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376E2" w14:textId="095F9829" w:rsidR="00463A6F" w:rsidRDefault="00EF7855">
      <w:r>
        <w:rPr>
          <w:noProof/>
        </w:rPr>
        <w:drawing>
          <wp:inline distT="0" distB="0" distL="0" distR="0" wp14:anchorId="335D0129" wp14:editId="0991C5B3">
            <wp:extent cx="2964210" cy="1314450"/>
            <wp:effectExtent l="0" t="0" r="0" b="0"/>
            <wp:docPr id="3" name="Image 3"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10;&#10;Description générée automatiquemen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977416" cy="1320306"/>
                    </a:xfrm>
                    <a:prstGeom prst="rect">
                      <a:avLst/>
                    </a:prstGeom>
                  </pic:spPr>
                </pic:pic>
              </a:graphicData>
            </a:graphic>
          </wp:inline>
        </w:drawing>
      </w:r>
    </w:p>
    <w:p w14:paraId="0F156982" w14:textId="6EFDF011" w:rsidR="009E2694" w:rsidRPr="00EF7855" w:rsidRDefault="0087209B" w:rsidP="00EF7855">
      <w:pPr>
        <w:jc w:val="center"/>
        <w:rPr>
          <w:b/>
          <w:bCs/>
          <w:sz w:val="84"/>
          <w:szCs w:val="84"/>
          <w:u w:val="single"/>
        </w:rPr>
      </w:pPr>
      <w:r w:rsidRPr="00EF7855">
        <w:rPr>
          <w:b/>
          <w:bCs/>
          <w:sz w:val="84"/>
          <w:szCs w:val="84"/>
          <w:u w:val="single"/>
        </w:rPr>
        <w:t xml:space="preserve">Oyez </w:t>
      </w:r>
      <w:proofErr w:type="spellStart"/>
      <w:r w:rsidRPr="00EF7855">
        <w:rPr>
          <w:b/>
          <w:bCs/>
          <w:sz w:val="84"/>
          <w:szCs w:val="84"/>
          <w:u w:val="single"/>
        </w:rPr>
        <w:t>Oyez</w:t>
      </w:r>
      <w:proofErr w:type="spellEnd"/>
    </w:p>
    <w:p w14:paraId="5AB48910" w14:textId="2D9166D0" w:rsidR="0087209B" w:rsidRPr="00EF7855" w:rsidRDefault="0087209B" w:rsidP="00EF7855">
      <w:pPr>
        <w:jc w:val="center"/>
        <w:rPr>
          <w:b/>
          <w:bCs/>
          <w:sz w:val="36"/>
          <w:szCs w:val="36"/>
          <w:u w:val="single"/>
        </w:rPr>
      </w:pPr>
      <w:r w:rsidRPr="00EF7855">
        <w:rPr>
          <w:b/>
          <w:bCs/>
          <w:sz w:val="36"/>
          <w:szCs w:val="36"/>
          <w:highlight w:val="yellow"/>
          <w:u w:val="single"/>
        </w:rPr>
        <w:t>Prolongation du temps supplémentaire à taux double</w:t>
      </w:r>
    </w:p>
    <w:p w14:paraId="3E220BFC" w14:textId="3B3294E5" w:rsidR="0087209B" w:rsidRPr="00EF7855" w:rsidRDefault="0087209B" w:rsidP="0087209B">
      <w:pPr>
        <w:jc w:val="center"/>
        <w:rPr>
          <w:b/>
          <w:bCs/>
          <w:sz w:val="28"/>
          <w:szCs w:val="28"/>
          <w:u w:val="single"/>
        </w:rPr>
      </w:pPr>
    </w:p>
    <w:p w14:paraId="1E86E092" w14:textId="74D00005" w:rsidR="0087209B" w:rsidRPr="00EF7855" w:rsidRDefault="0087209B" w:rsidP="0087209B">
      <w:pPr>
        <w:jc w:val="center"/>
        <w:rPr>
          <w:sz w:val="32"/>
          <w:szCs w:val="32"/>
        </w:rPr>
      </w:pPr>
      <w:r w:rsidRPr="00EF7855">
        <w:rPr>
          <w:sz w:val="32"/>
          <w:szCs w:val="32"/>
        </w:rPr>
        <w:t>Le ministère a reconduit, et ce, pour un temps indéterminé, le temps supplémentaire à taux double</w:t>
      </w:r>
    </w:p>
    <w:p w14:paraId="6A9DBD9E" w14:textId="6E3E29F6" w:rsidR="0087209B" w:rsidRPr="00EF7855" w:rsidRDefault="0087209B" w:rsidP="0087209B">
      <w:pPr>
        <w:jc w:val="center"/>
        <w:rPr>
          <w:sz w:val="32"/>
          <w:szCs w:val="32"/>
        </w:rPr>
      </w:pPr>
      <w:r w:rsidRPr="00EF7855">
        <w:rPr>
          <w:sz w:val="32"/>
          <w:szCs w:val="32"/>
        </w:rPr>
        <w:t>Qui est admissible </w:t>
      </w:r>
      <w:r w:rsidR="008D0F47">
        <w:rPr>
          <w:sz w:val="32"/>
          <w:szCs w:val="32"/>
        </w:rPr>
        <w:t>?</w:t>
      </w:r>
    </w:p>
    <w:p w14:paraId="613AF867" w14:textId="00192DD4" w:rsidR="0087209B" w:rsidRDefault="0087209B" w:rsidP="0087209B">
      <w:pPr>
        <w:pStyle w:val="Paragraphedeliste"/>
        <w:numPr>
          <w:ilvl w:val="0"/>
          <w:numId w:val="2"/>
        </w:numPr>
        <w:jc w:val="center"/>
        <w:rPr>
          <w:sz w:val="32"/>
          <w:szCs w:val="32"/>
        </w:rPr>
      </w:pPr>
      <w:r w:rsidRPr="00EF7855">
        <w:rPr>
          <w:sz w:val="32"/>
          <w:szCs w:val="32"/>
        </w:rPr>
        <w:t>Catégories 1 à 4</w:t>
      </w:r>
      <w:r w:rsidR="00EF7855" w:rsidRPr="00EF7855">
        <w:rPr>
          <w:sz w:val="32"/>
          <w:szCs w:val="32"/>
        </w:rPr>
        <w:t xml:space="preserve">, incluant les employés </w:t>
      </w:r>
      <w:proofErr w:type="spellStart"/>
      <w:r w:rsidR="00EF7855" w:rsidRPr="00EF7855">
        <w:rPr>
          <w:sz w:val="32"/>
          <w:szCs w:val="32"/>
        </w:rPr>
        <w:t>sy</w:t>
      </w:r>
      <w:r w:rsidR="008D0F47">
        <w:rPr>
          <w:sz w:val="32"/>
          <w:szCs w:val="32"/>
        </w:rPr>
        <w:t>ndica</w:t>
      </w:r>
      <w:r w:rsidR="00EF7855" w:rsidRPr="00EF7855">
        <w:rPr>
          <w:sz w:val="32"/>
          <w:szCs w:val="32"/>
        </w:rPr>
        <w:t>bles</w:t>
      </w:r>
      <w:proofErr w:type="spellEnd"/>
      <w:r w:rsidR="00EF7855" w:rsidRPr="00EF7855">
        <w:rPr>
          <w:sz w:val="32"/>
          <w:szCs w:val="32"/>
        </w:rPr>
        <w:t xml:space="preserve"> non syndiqués</w:t>
      </w:r>
    </w:p>
    <w:p w14:paraId="60FFD683" w14:textId="77777777" w:rsidR="008D0F47" w:rsidRDefault="008D0F47" w:rsidP="008D0F47">
      <w:pPr>
        <w:pStyle w:val="Paragraphedeliste"/>
        <w:rPr>
          <w:sz w:val="32"/>
          <w:szCs w:val="32"/>
        </w:rPr>
      </w:pPr>
    </w:p>
    <w:p w14:paraId="3FB6336C" w14:textId="77777777" w:rsidR="008D0F47" w:rsidRPr="008D0F47" w:rsidRDefault="008D0F47" w:rsidP="008D0F47">
      <w:pPr>
        <w:jc w:val="center"/>
        <w:rPr>
          <w:b/>
          <w:bCs/>
          <w:sz w:val="28"/>
          <w:szCs w:val="28"/>
          <w:u w:val="single"/>
        </w:rPr>
      </w:pPr>
      <w:r w:rsidRPr="008D0F47">
        <w:rPr>
          <w:b/>
          <w:bCs/>
          <w:sz w:val="28"/>
          <w:szCs w:val="28"/>
          <w:u w:val="single"/>
        </w:rPr>
        <w:t xml:space="preserve">Voici un récapitulatif des modalités d’application pour le personnel salarié : </w:t>
      </w:r>
    </w:p>
    <w:p w14:paraId="55EAD6A5" w14:textId="77777777" w:rsidR="008D0F47" w:rsidRDefault="008D0F47" w:rsidP="008D0F47">
      <w:pPr>
        <w:jc w:val="center"/>
        <w:rPr>
          <w:sz w:val="28"/>
          <w:szCs w:val="28"/>
        </w:rPr>
      </w:pPr>
      <w:r w:rsidRPr="008D0F47">
        <w:rPr>
          <w:sz w:val="28"/>
          <w:szCs w:val="28"/>
        </w:rPr>
        <w:t xml:space="preserve">La personne salariée qui effectue une prestation de travail à temps complet, titulaire de poste ou non, ayant effectivement travaillé le nombre d’heures prévu </w:t>
      </w:r>
      <w:proofErr w:type="gramStart"/>
      <w:r w:rsidRPr="008D0F47">
        <w:rPr>
          <w:sz w:val="28"/>
          <w:szCs w:val="28"/>
        </w:rPr>
        <w:t>à</w:t>
      </w:r>
      <w:proofErr w:type="gramEnd"/>
      <w:r w:rsidRPr="008D0F47">
        <w:rPr>
          <w:sz w:val="28"/>
          <w:szCs w:val="28"/>
        </w:rPr>
        <w:t xml:space="preserve"> son titre d’emploi et qui effectue un ou des quarts de travail complets OU </w:t>
      </w:r>
      <w:r w:rsidRPr="008D0F47">
        <w:rPr>
          <w:sz w:val="28"/>
          <w:szCs w:val="28"/>
        </w:rPr>
        <w:t>un demi-quart</w:t>
      </w:r>
      <w:r w:rsidRPr="008D0F47">
        <w:rPr>
          <w:sz w:val="28"/>
          <w:szCs w:val="28"/>
        </w:rPr>
        <w:t xml:space="preserve"> (4 h) en sus de la journée ou de la semaine normale de travail, voit ceux-ci ou celui-ci rémunérés en temps supplémentaire à taux double, pourvu qu’elle ait respecté son horaire sept jours avant et sept jours après le quart de travail visé. Il n’est pas nécessaire que ces quarts soient faits la fin de semaine.</w:t>
      </w:r>
    </w:p>
    <w:p w14:paraId="0BACCFB4" w14:textId="77777777" w:rsidR="008D0F47" w:rsidRDefault="008D0F47" w:rsidP="008D0F47">
      <w:pPr>
        <w:jc w:val="center"/>
        <w:rPr>
          <w:sz w:val="28"/>
          <w:szCs w:val="28"/>
        </w:rPr>
      </w:pPr>
      <w:r w:rsidRPr="008D0F47">
        <w:rPr>
          <w:sz w:val="28"/>
          <w:szCs w:val="28"/>
        </w:rPr>
        <w:t xml:space="preserve"> La personne salariée qui effectue une prestation de travail à temps partiel, titulaire de poste ou non, qui effectue un ou des quarts de travail complets OU </w:t>
      </w:r>
      <w:r w:rsidRPr="008D0F47">
        <w:rPr>
          <w:sz w:val="28"/>
          <w:szCs w:val="28"/>
        </w:rPr>
        <w:t>un demi-quart</w:t>
      </w:r>
      <w:r w:rsidRPr="008D0F47">
        <w:rPr>
          <w:sz w:val="28"/>
          <w:szCs w:val="28"/>
        </w:rPr>
        <w:t xml:space="preserve"> (4 h) entre le début du quart de travail du vendredi et la fin du quart de travail de nuit le lundi, est admissible à la mesure pourvu qu’elle ait respecté son horaire sept jours avant et sept jours après le quart de travail visé. </w:t>
      </w:r>
    </w:p>
    <w:p w14:paraId="0A9E9079" w14:textId="77777777" w:rsidR="008D0F47" w:rsidRDefault="008D0F47" w:rsidP="008D0F47">
      <w:pPr>
        <w:jc w:val="center"/>
        <w:rPr>
          <w:sz w:val="28"/>
          <w:szCs w:val="28"/>
        </w:rPr>
      </w:pPr>
      <w:r w:rsidRPr="008D0F47">
        <w:rPr>
          <w:sz w:val="28"/>
          <w:szCs w:val="28"/>
        </w:rPr>
        <w:lastRenderedPageBreak/>
        <w:t xml:space="preserve">Aux fins d’application de la mesure, les heures suivantes sont considérées comme des heures effectivement travaillées : - Les heures régulières; - Les vacances; - Les congés fériés prévus au calendrier, excluant les congés compensatoires; - Les libérations syndicales (internes et externes); - La conversion de la prime de soir ou de nuit; - Absences reliées à la covid-19 (attente de résultat ou test positif); - Les </w:t>
      </w:r>
      <w:r w:rsidRPr="008D0F47">
        <w:rPr>
          <w:color w:val="000000" w:themeColor="text1"/>
          <w:sz w:val="28"/>
          <w:szCs w:val="28"/>
        </w:rPr>
        <w:t xml:space="preserve">congés mobiles; - Les congés parentaux, incluant les visites médicales liées à la </w:t>
      </w:r>
      <w:r w:rsidRPr="008D0F47">
        <w:rPr>
          <w:sz w:val="28"/>
          <w:szCs w:val="28"/>
        </w:rPr>
        <w:t xml:space="preserve">grossesse; - Les congés prévus à l’horaire aux fins d’aménagement de temps de travail (ex. : horaire 9/10 ou 4/32, etc.); - Les congés sociaux prévus à la convention collective. Dans les cas suivants, où des journées sans solde sont présentes à l’horaire, les modalités pour les personnes salariées offrant une prestation de travail à temps partiel s’appliquent : - Les congés sans solde aux fins de préretraite; - Les congés partiels sans solde avec entente (ex. : congé partiel pour études); </w:t>
      </w:r>
    </w:p>
    <w:p w14:paraId="115E36D0" w14:textId="51D537C8" w:rsidR="008D0F47" w:rsidRDefault="008D0F47" w:rsidP="008D0F47">
      <w:pPr>
        <w:jc w:val="center"/>
        <w:rPr>
          <w:sz w:val="28"/>
          <w:szCs w:val="28"/>
        </w:rPr>
      </w:pPr>
      <w:r w:rsidRPr="008D0F47">
        <w:rPr>
          <w:sz w:val="28"/>
          <w:szCs w:val="28"/>
        </w:rPr>
        <w:t>Tout autre type d’absence non prévue à l’horaire, rémunérée ou non, fait perdre l’admissibilité (ex. congé maladie, heures dues, etc.)</w:t>
      </w:r>
    </w:p>
    <w:p w14:paraId="7BC9D31D" w14:textId="08B4E91D" w:rsidR="008D0F47" w:rsidRDefault="008D0F47" w:rsidP="008D0F47">
      <w:pPr>
        <w:jc w:val="center"/>
        <w:rPr>
          <w:sz w:val="28"/>
          <w:szCs w:val="28"/>
        </w:rPr>
      </w:pPr>
    </w:p>
    <w:p w14:paraId="1F5FAE77" w14:textId="3E6EBACB" w:rsidR="008D0F47" w:rsidRDefault="008D0F47" w:rsidP="008D0F47">
      <w:pPr>
        <w:jc w:val="center"/>
        <w:rPr>
          <w:sz w:val="28"/>
          <w:szCs w:val="28"/>
        </w:rPr>
      </w:pPr>
      <w:r>
        <w:rPr>
          <w:sz w:val="28"/>
          <w:szCs w:val="28"/>
        </w:rPr>
        <w:t xml:space="preserve">D’autres questions? </w:t>
      </w:r>
    </w:p>
    <w:p w14:paraId="3900D749" w14:textId="33EEFDA7" w:rsidR="008D0F47" w:rsidRPr="008D0F47" w:rsidRDefault="008D0F47" w:rsidP="008D0F47">
      <w:pPr>
        <w:jc w:val="center"/>
        <w:rPr>
          <w:sz w:val="28"/>
          <w:szCs w:val="28"/>
        </w:rPr>
      </w:pPr>
      <w:r>
        <w:rPr>
          <w:sz w:val="28"/>
          <w:szCs w:val="28"/>
        </w:rPr>
        <w:t>Contacter nous </w:t>
      </w:r>
      <w:r w:rsidRPr="008D0F47">
        <w:rPr>
          <mc:AlternateContent>
            <mc:Choice Requires="w16se"/>
            <mc:Fallback>
              <w:rFonts w:ascii="Segoe UI Emoji" w:eastAsia="Segoe UI Emoji" w:hAnsi="Segoe UI Emoji" w:cs="Segoe UI Emoji"/>
            </mc:Fallback>
          </mc:AlternateContent>
          <w:sz w:val="28"/>
          <w:szCs w:val="28"/>
        </w:rPr>
        <mc:AlternateContent>
          <mc:Choice Requires="w16se">
            <w16se:symEx w16se:font="Segoe UI Emoji" w16se:char="1F60A"/>
          </mc:Choice>
          <mc:Fallback>
            <w:t>😊</w:t>
          </mc:Fallback>
        </mc:AlternateContent>
      </w:r>
    </w:p>
    <w:p w14:paraId="05E82CBA" w14:textId="423012C5" w:rsidR="00EF7855" w:rsidRPr="00EF7855" w:rsidRDefault="00EF7855" w:rsidP="00EF7855">
      <w:pPr>
        <w:jc w:val="center"/>
        <w:rPr>
          <w:sz w:val="32"/>
          <w:szCs w:val="32"/>
        </w:rPr>
      </w:pPr>
    </w:p>
    <w:p w14:paraId="1316022F" w14:textId="6687DC4F" w:rsidR="00EF7855" w:rsidRPr="00EF7855" w:rsidRDefault="008D0F47" w:rsidP="00EF7855">
      <w:pPr>
        <w:jc w:val="center"/>
        <w:rPr>
          <w:sz w:val="32"/>
          <w:szCs w:val="32"/>
        </w:rPr>
      </w:pPr>
      <w:hyperlink r:id="rId6" w:history="1">
        <w:r w:rsidR="00EF7855" w:rsidRPr="00EF7855">
          <w:rPr>
            <w:rStyle w:val="Lienhypertexte"/>
            <w:sz w:val="32"/>
            <w:szCs w:val="32"/>
          </w:rPr>
          <w:t>scfp-local899@outlook.com</w:t>
        </w:r>
      </w:hyperlink>
    </w:p>
    <w:p w14:paraId="48F97481" w14:textId="6256DC73" w:rsidR="00EF7855" w:rsidRPr="00EF7855" w:rsidRDefault="00EF7855" w:rsidP="00EF7855">
      <w:pPr>
        <w:jc w:val="center"/>
        <w:rPr>
          <w:sz w:val="32"/>
          <w:szCs w:val="32"/>
        </w:rPr>
      </w:pPr>
      <w:proofErr w:type="gramStart"/>
      <w:r w:rsidRPr="00EF7855">
        <w:rPr>
          <w:sz w:val="32"/>
          <w:szCs w:val="32"/>
        </w:rPr>
        <w:t>sur</w:t>
      </w:r>
      <w:proofErr w:type="gramEnd"/>
      <w:r w:rsidRPr="00EF7855">
        <w:rPr>
          <w:sz w:val="32"/>
          <w:szCs w:val="32"/>
        </w:rPr>
        <w:t xml:space="preserve"> </w:t>
      </w:r>
      <w:proofErr w:type="spellStart"/>
      <w:r w:rsidRPr="00EF7855">
        <w:rPr>
          <w:sz w:val="32"/>
          <w:szCs w:val="32"/>
        </w:rPr>
        <w:t>messenger</w:t>
      </w:r>
      <w:proofErr w:type="spellEnd"/>
    </w:p>
    <w:p w14:paraId="395411CD" w14:textId="3446D050" w:rsidR="00EF7855" w:rsidRPr="00EF7855" w:rsidRDefault="00EF7855" w:rsidP="00EF7855">
      <w:pPr>
        <w:jc w:val="center"/>
        <w:rPr>
          <w:sz w:val="32"/>
          <w:szCs w:val="32"/>
        </w:rPr>
      </w:pPr>
      <w:proofErr w:type="gramStart"/>
      <w:r w:rsidRPr="00EF7855">
        <w:rPr>
          <w:sz w:val="32"/>
          <w:szCs w:val="32"/>
        </w:rPr>
        <w:t>ou</w:t>
      </w:r>
      <w:proofErr w:type="gramEnd"/>
    </w:p>
    <w:p w14:paraId="240B2F4C" w14:textId="34B04502" w:rsidR="00EF7855" w:rsidRPr="00EF7855" w:rsidRDefault="00EF7855" w:rsidP="00EF7855">
      <w:pPr>
        <w:jc w:val="center"/>
        <w:rPr>
          <w:sz w:val="32"/>
          <w:szCs w:val="32"/>
        </w:rPr>
      </w:pPr>
      <w:r w:rsidRPr="00EF7855">
        <w:rPr>
          <w:sz w:val="32"/>
          <w:szCs w:val="32"/>
        </w:rPr>
        <w:t>418-748-2676 poste 22131</w:t>
      </w:r>
    </w:p>
    <w:p w14:paraId="1DB3A1DB" w14:textId="0F550BC7" w:rsidR="00EF7855" w:rsidRPr="00EF7855" w:rsidRDefault="00EF7855" w:rsidP="00EF7855">
      <w:pPr>
        <w:jc w:val="center"/>
        <w:rPr>
          <w:sz w:val="32"/>
          <w:szCs w:val="32"/>
        </w:rPr>
      </w:pPr>
    </w:p>
    <w:p w14:paraId="0F0662DC" w14:textId="664DE34B" w:rsidR="008D0F47" w:rsidRDefault="00EF7855" w:rsidP="008D0F47">
      <w:pPr>
        <w:jc w:val="right"/>
        <w:rPr>
          <w:sz w:val="32"/>
          <w:szCs w:val="32"/>
        </w:rPr>
      </w:pPr>
      <w:r w:rsidRPr="00EF7855">
        <w:rPr>
          <w:sz w:val="32"/>
          <w:szCs w:val="32"/>
        </w:rPr>
        <w:t>Votre exécutif</w:t>
      </w:r>
    </w:p>
    <w:p w14:paraId="55159760" w14:textId="7DE8E853" w:rsidR="008D0F47" w:rsidRPr="008D0F47" w:rsidRDefault="008D0F47" w:rsidP="008D0F47">
      <w:pPr>
        <w:jc w:val="right"/>
      </w:pPr>
    </w:p>
    <w:p w14:paraId="4DDBAA7D" w14:textId="77777777" w:rsidR="008D0F47" w:rsidRPr="008D0F47" w:rsidRDefault="008D0F47" w:rsidP="008D0F47">
      <w:pPr>
        <w:spacing w:before="240"/>
      </w:pPr>
    </w:p>
    <w:p w14:paraId="18FC69F8" w14:textId="4040F1F6" w:rsidR="00EF7855" w:rsidRPr="00EF7855" w:rsidRDefault="00EF7855" w:rsidP="00EF7855">
      <w:pPr>
        <w:ind w:left="360"/>
        <w:rPr>
          <w:sz w:val="32"/>
          <w:szCs w:val="32"/>
        </w:rPr>
      </w:pPr>
    </w:p>
    <w:p w14:paraId="7375F040" w14:textId="77777777" w:rsidR="0087209B" w:rsidRPr="0087209B" w:rsidRDefault="0087209B" w:rsidP="0087209B">
      <w:pPr>
        <w:jc w:val="center"/>
        <w:rPr>
          <w:sz w:val="32"/>
          <w:szCs w:val="32"/>
        </w:rPr>
      </w:pPr>
    </w:p>
    <w:p w14:paraId="1B993755" w14:textId="77777777" w:rsidR="0087209B" w:rsidRPr="0087209B" w:rsidRDefault="0087209B" w:rsidP="0087209B">
      <w:pPr>
        <w:jc w:val="center"/>
        <w:rPr>
          <w:sz w:val="96"/>
          <w:szCs w:val="96"/>
        </w:rPr>
      </w:pPr>
    </w:p>
    <w:p w14:paraId="214B33A4" w14:textId="5D08DA6B" w:rsidR="009E2694" w:rsidRDefault="009E2694"/>
    <w:p w14:paraId="37B019CE" w14:textId="79DAD2FE" w:rsidR="009E2694" w:rsidRDefault="009E2694"/>
    <w:p w14:paraId="5ADD4E56" w14:textId="77132104" w:rsidR="009E2694" w:rsidRDefault="009E2694"/>
    <w:p w14:paraId="33E6863F" w14:textId="3FA9D98C" w:rsidR="009E2694" w:rsidRDefault="009E2694"/>
    <w:p w14:paraId="52C24C2B" w14:textId="02F0FDA5" w:rsidR="009E2694" w:rsidRDefault="009E2694"/>
    <w:p w14:paraId="039AA80C" w14:textId="77777777" w:rsidR="009E2694" w:rsidRDefault="009E2694"/>
    <w:sectPr w:rsidR="009E2694" w:rsidSect="009E2694">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9958EC"/>
    <w:multiLevelType w:val="hybridMultilevel"/>
    <w:tmpl w:val="332A287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4B4C5F36"/>
    <w:multiLevelType w:val="hybridMultilevel"/>
    <w:tmpl w:val="DD14D32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709377505">
    <w:abstractNumId w:val="0"/>
  </w:num>
  <w:num w:numId="2" w16cid:durableId="1877617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694"/>
    <w:rsid w:val="00463A6F"/>
    <w:rsid w:val="007B5A93"/>
    <w:rsid w:val="0087209B"/>
    <w:rsid w:val="008D0F47"/>
    <w:rsid w:val="009E2694"/>
    <w:rsid w:val="00EF785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68760"/>
  <w15:chartTrackingRefBased/>
  <w15:docId w15:val="{C912C544-8C2E-4467-A0C6-428882E64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9E2694"/>
    <w:rPr>
      <w:color w:val="0563C1" w:themeColor="hyperlink"/>
      <w:u w:val="single"/>
    </w:rPr>
  </w:style>
  <w:style w:type="character" w:styleId="Mentionnonrsolue">
    <w:name w:val="Unresolved Mention"/>
    <w:basedOn w:val="Policepardfaut"/>
    <w:uiPriority w:val="99"/>
    <w:semiHidden/>
    <w:unhideWhenUsed/>
    <w:rsid w:val="009E2694"/>
    <w:rPr>
      <w:color w:val="605E5C"/>
      <w:shd w:val="clear" w:color="auto" w:fill="E1DFDD"/>
    </w:rPr>
  </w:style>
  <w:style w:type="character" w:styleId="Lienhypertextesuivivisit">
    <w:name w:val="FollowedHyperlink"/>
    <w:basedOn w:val="Policepardfaut"/>
    <w:uiPriority w:val="99"/>
    <w:semiHidden/>
    <w:unhideWhenUsed/>
    <w:rsid w:val="009E2694"/>
    <w:rPr>
      <w:color w:val="954F72" w:themeColor="followedHyperlink"/>
      <w:u w:val="single"/>
    </w:rPr>
  </w:style>
  <w:style w:type="paragraph" w:styleId="Paragraphedeliste">
    <w:name w:val="List Paragraph"/>
    <w:basedOn w:val="Normal"/>
    <w:uiPriority w:val="34"/>
    <w:qFormat/>
    <w:rsid w:val="0087209B"/>
    <w:pPr>
      <w:ind w:left="720"/>
      <w:contextualSpacing/>
    </w:pPr>
  </w:style>
  <w:style w:type="paragraph" w:styleId="Sansinterligne">
    <w:name w:val="No Spacing"/>
    <w:uiPriority w:val="1"/>
    <w:qFormat/>
    <w:rsid w:val="008D0F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fp-local899@outlook.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3</Pages>
  <Words>401</Words>
  <Characters>2210</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Josée Paradis</dc:creator>
  <cp:keywords/>
  <dc:description/>
  <cp:lastModifiedBy>Josée Paradis</cp:lastModifiedBy>
  <cp:revision>2</cp:revision>
  <dcterms:created xsi:type="dcterms:W3CDTF">2022-10-06T18:32:00Z</dcterms:created>
  <dcterms:modified xsi:type="dcterms:W3CDTF">2022-10-06T22:21:00Z</dcterms:modified>
</cp:coreProperties>
</file>