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D6" w:rsidRPr="006E26D6" w:rsidRDefault="006E26D6" w:rsidP="006E26D6">
      <w:pPr>
        <w:shd w:val="clear" w:color="auto" w:fill="FFFFFF"/>
        <w:rPr>
          <w:rFonts w:ascii="Segoe UI" w:eastAsia="Times New Roman" w:hAnsi="Segoe UI" w:cs="Segoe UI"/>
          <w:color w:val="0F1419"/>
          <w:sz w:val="30"/>
          <w:szCs w:val="30"/>
          <w:lang w:eastAsia="fr-FR"/>
        </w:rPr>
      </w:pPr>
      <w:r>
        <w:t xml:space="preserve">  Article original : </w:t>
      </w:r>
      <w:r w:rsidRPr="006E26D6">
        <w:t>https://www.precisionvaccinations.com/2022/01/20/europe-confirms-over-900000-covid-19-vaccine-side-effects</w:t>
      </w:r>
    </w:p>
    <w:p w:rsidR="007851D2" w:rsidRPr="007851D2" w:rsidRDefault="007851D2" w:rsidP="007851D2">
      <w:pPr>
        <w:spacing w:before="360" w:after="360" w:line="435" w:lineRule="atLeast"/>
        <w:rPr>
          <w:rFonts w:ascii="Arial" w:eastAsia="Times New Roman" w:hAnsi="Arial" w:cs="Arial"/>
          <w:b/>
          <w:bCs/>
          <w:color w:val="303030"/>
          <w:kern w:val="36"/>
          <w:sz w:val="32"/>
          <w:szCs w:val="32"/>
          <w:lang w:eastAsia="fr-FR"/>
        </w:rPr>
      </w:pPr>
      <w:r w:rsidRPr="007851D2">
        <w:rPr>
          <w:rFonts w:ascii="Arial" w:eastAsia="Times New Roman" w:hAnsi="Arial" w:cs="Arial"/>
          <w:b/>
          <w:bCs/>
          <w:color w:val="303030"/>
          <w:kern w:val="36"/>
          <w:sz w:val="32"/>
          <w:szCs w:val="32"/>
          <w:lang w:eastAsia="fr-FR"/>
        </w:rPr>
        <w:t>L'Europe confirme plus de 900 000 effets secondaires du vaccin COVID-19</w:t>
      </w:r>
    </w:p>
    <w:p w:rsidR="007851D2" w:rsidRPr="00EC6016" w:rsidRDefault="007851D2" w:rsidP="007851D2">
      <w:pPr>
        <w:spacing w:before="360" w:after="360" w:line="435" w:lineRule="atLeast"/>
        <w:rPr>
          <w:rFonts w:ascii="Arial" w:eastAsia="Times New Roman" w:hAnsi="Arial" w:cs="Arial"/>
          <w:b/>
          <w:bCs/>
          <w:color w:val="303030"/>
          <w:kern w:val="36"/>
          <w:lang w:eastAsia="fr-FR"/>
        </w:rPr>
      </w:pPr>
      <w:r w:rsidRPr="00EC6016">
        <w:rPr>
          <w:rFonts w:ascii="Arial" w:eastAsia="Times New Roman" w:hAnsi="Arial" w:cs="Arial"/>
          <w:b/>
          <w:bCs/>
          <w:color w:val="303030"/>
          <w:kern w:val="36"/>
          <w:lang w:eastAsia="fr-FR"/>
        </w:rPr>
        <w:t>20 janvier 2022 - 8:08 am CST</w:t>
      </w:r>
    </w:p>
    <w:p w:rsidR="007851D2" w:rsidRPr="00EC6016" w:rsidRDefault="007851D2" w:rsidP="007851D2">
      <w:pPr>
        <w:spacing w:before="360" w:after="360" w:line="435" w:lineRule="atLeast"/>
        <w:rPr>
          <w:rFonts w:ascii="Arial" w:eastAsia="Times New Roman" w:hAnsi="Arial" w:cs="Arial"/>
          <w:b/>
          <w:bCs/>
          <w:color w:val="303030"/>
          <w:kern w:val="36"/>
          <w:lang w:eastAsia="fr-FR"/>
        </w:rPr>
      </w:pPr>
      <w:r w:rsidRPr="00EC6016">
        <w:rPr>
          <w:rFonts w:ascii="Arial" w:eastAsia="Times New Roman" w:hAnsi="Arial" w:cs="Arial"/>
          <w:b/>
          <w:bCs/>
          <w:color w:val="303030"/>
          <w:kern w:val="36"/>
          <w:lang w:eastAsia="fr-FR"/>
        </w:rPr>
        <w:t>(Precision Vaccinations)</w:t>
      </w:r>
    </w:p>
    <w:p w:rsidR="007851D2" w:rsidRDefault="007851D2" w:rsidP="007851D2">
      <w:pPr>
        <w:spacing w:before="360" w:after="360" w:line="435" w:lineRule="atLeast"/>
        <w:rPr>
          <w:rFonts w:ascii="inherit" w:eastAsia="Times New Roman" w:hAnsi="inherit" w:cs="Segoe UI"/>
          <w:b/>
          <w:bCs/>
          <w:color w:val="303030"/>
          <w:kern w:val="36"/>
          <w:sz w:val="72"/>
          <w:szCs w:val="72"/>
          <w:lang w:eastAsia="fr-FR"/>
        </w:rPr>
      </w:pPr>
    </w:p>
    <w:p w:rsidR="00EC6016" w:rsidRPr="00EC6016" w:rsidRDefault="00EC6016" w:rsidP="00EC6016">
      <w:pPr>
        <w:spacing w:before="360" w:after="36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L'Agence européenne du médicament (EMA) a confirmé aujourd'hui que les dernières informations sur la sécurité de quatre vaccins COVID-19 autorisés figurent dans la mise à jour mensuelle de la sécurité dans le monde réel.</w:t>
      </w:r>
    </w:p>
    <w:p w:rsidR="00EC6016" w:rsidRDefault="00EC6016" w:rsidP="00EC6016">
      <w:pPr>
        <w:spacing w:before="360" w:after="36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Le plan de surveillance de la sécurité des vaccins COVID-19 du Comité pour l'évaluation des risques en matière de pharmacovigilance (PRAC) de l'EMA exige que l'EMA surveille les effets secondaires suspectés signalés par les particuliers et les professionnels de santé dans l'UE.</w:t>
      </w:r>
    </w:p>
    <w:p w:rsidR="00EC6016" w:rsidRPr="00EC6016" w:rsidRDefault="00EC6016" w:rsidP="00EC6016">
      <w:pPr>
        <w:numPr>
          <w:ilvl w:val="0"/>
          <w:numId w:val="1"/>
        </w:numPr>
        <w:spacing w:before="100" w:beforeAutospacing="1" w:after="30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Le PRAC a indiqué qu'au 20 janvier 2022, plus de 735 millions de vaccins avaient été administrés à des personnes dans l'Union européenne (UE) et l'Espace économique européen (EEE) au début du mois de janvier 2022.</w:t>
      </w:r>
    </w:p>
    <w:p w:rsidR="00EC6016" w:rsidRPr="00EC6016" w:rsidRDefault="00EC6016" w:rsidP="00EC6016">
      <w:pPr>
        <w:numPr>
          <w:ilvl w:val="0"/>
          <w:numId w:val="1"/>
        </w:numPr>
        <w:spacing w:before="100" w:beforeAutospacing="1" w:after="30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Et plus de 900 000 effets secondaires ont été signalés pendant la pandémie de COVID-19.</w:t>
      </w:r>
    </w:p>
    <w:p w:rsidR="00EC6016" w:rsidRDefault="00EC6016" w:rsidP="00EC6016">
      <w:pPr>
        <w:numPr>
          <w:ilvl w:val="0"/>
          <w:numId w:val="1"/>
        </w:numPr>
        <w:spacing w:before="100" w:beforeAutospacing="1" w:after="30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L'EMA a communiqué les données suivantes aujourd'hui :</w:t>
      </w:r>
    </w:p>
    <w:p w:rsidR="00EC6016" w:rsidRPr="00EC6016" w:rsidRDefault="00EC6016" w:rsidP="00EC6016">
      <w:pPr>
        <w:spacing w:before="360" w:after="36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 Comirnaty - 545.000.000 de doses administrées à des personnes dans l'UE/EEE, avec 522.530 effets secondaires signalés (.0009),</w:t>
      </w:r>
    </w:p>
    <w:p w:rsidR="00EC6016" w:rsidRPr="00EC6016" w:rsidRDefault="00EC6016" w:rsidP="00EC6016">
      <w:pPr>
        <w:spacing w:before="360" w:after="36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 SpikeVax - 103 000 000 de doses administrées à des personnes dans l'UE/EEE, avec 124 410 effets secondaires signalés (.001),</w:t>
      </w:r>
    </w:p>
    <w:p w:rsidR="00EC6016" w:rsidRPr="00EC6016" w:rsidRDefault="00EC6016" w:rsidP="00EC6016">
      <w:pPr>
        <w:spacing w:before="360" w:after="36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lastRenderedPageBreak/>
        <w:t>- Vaxzevria - 69.000.000 de doses administrées à des personnes dans l'UE/EEE, avec 231.363 effets secondaires signalés (.003).</w:t>
      </w:r>
    </w:p>
    <w:p w:rsidR="00EC6016" w:rsidRDefault="00EC6016" w:rsidP="00EC6016">
      <w:pPr>
        <w:spacing w:before="360" w:after="360" w:line="435" w:lineRule="atLeast"/>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 Janssen (J&amp;J) - 18 700 000 doses administrées à des personnes dans l'UE/EEE, avec 35 027 effets secondaires signalés (.0018).</w:t>
      </w:r>
    </w:p>
    <w:p w:rsidR="00EC6016" w:rsidRDefault="00EC6016" w:rsidP="00EC6016">
      <w:pPr>
        <w:spacing w:after="0" w:line="240" w:lineRule="auto"/>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Selon l'EMA, les effets secondaires suspectés sont des événements médicaux observés après la vaccination par le COVID-19 mais qui ne sont pas nécessairement liés ou causés par le vaccin.</w:t>
      </w:r>
    </w:p>
    <w:p w:rsidR="00EC6016" w:rsidRPr="00EC6016" w:rsidRDefault="00EC6016" w:rsidP="00EC6016">
      <w:pPr>
        <w:spacing w:after="0" w:line="240" w:lineRule="auto"/>
        <w:rPr>
          <w:rFonts w:ascii="Segoe UI" w:eastAsia="Times New Roman" w:hAnsi="Segoe UI" w:cs="Segoe UI"/>
          <w:color w:val="292929"/>
          <w:sz w:val="27"/>
          <w:szCs w:val="27"/>
          <w:lang w:eastAsia="fr-FR"/>
        </w:rPr>
      </w:pPr>
    </w:p>
    <w:p w:rsidR="00EC6016" w:rsidRDefault="00EC6016" w:rsidP="00EC6016">
      <w:pPr>
        <w:spacing w:after="0" w:line="240" w:lineRule="auto"/>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 xml:space="preserve">Une base de données européenne appelée </w:t>
      </w:r>
      <w:r w:rsidRPr="00EC6016">
        <w:rPr>
          <w:rFonts w:ascii="Segoe UI" w:eastAsia="Times New Roman" w:hAnsi="Segoe UI" w:cs="Segoe UI"/>
          <w:b/>
          <w:color w:val="FF0000"/>
          <w:sz w:val="27"/>
          <w:szCs w:val="27"/>
          <w:lang w:eastAsia="fr-FR"/>
        </w:rPr>
        <w:t>EudraVigilance</w:t>
      </w:r>
      <w:r w:rsidRPr="00EC6016">
        <w:rPr>
          <w:rFonts w:ascii="Segoe UI" w:eastAsia="Times New Roman" w:hAnsi="Segoe UI" w:cs="Segoe UI"/>
          <w:color w:val="292929"/>
          <w:sz w:val="27"/>
          <w:szCs w:val="27"/>
          <w:lang w:eastAsia="fr-FR"/>
        </w:rPr>
        <w:t xml:space="preserve"> contient ces rapports d'effets secondaires du vaccin. En outre, </w:t>
      </w:r>
      <w:bookmarkStart w:id="0" w:name="_GoBack"/>
      <w:r w:rsidRPr="00EC6016">
        <w:rPr>
          <w:rFonts w:ascii="Segoe UI" w:eastAsia="Times New Roman" w:hAnsi="Segoe UI" w:cs="Segoe UI"/>
          <w:color w:val="FF0000"/>
          <w:sz w:val="27"/>
          <w:szCs w:val="27"/>
          <w:lang w:eastAsia="fr-FR"/>
        </w:rPr>
        <w:t xml:space="preserve">la base de données européenne </w:t>
      </w:r>
      <w:bookmarkEnd w:id="0"/>
      <w:r w:rsidRPr="00EC6016">
        <w:rPr>
          <w:rFonts w:ascii="Segoe UI" w:eastAsia="Times New Roman" w:hAnsi="Segoe UI" w:cs="Segoe UI"/>
          <w:color w:val="292929"/>
          <w:sz w:val="27"/>
          <w:szCs w:val="27"/>
          <w:lang w:eastAsia="fr-FR"/>
        </w:rPr>
        <w:t xml:space="preserve">sur les effets indésirables présumés des médicaments </w:t>
      </w:r>
      <w:r w:rsidRPr="00EC6016">
        <w:rPr>
          <w:rFonts w:ascii="Segoe UI" w:eastAsia="Times New Roman" w:hAnsi="Segoe UI" w:cs="Segoe UI"/>
          <w:color w:val="FF0000"/>
          <w:sz w:val="27"/>
          <w:szCs w:val="27"/>
          <w:lang w:eastAsia="fr-FR"/>
        </w:rPr>
        <w:t>permet au public d'accéder à ces données de plusieurs manières</w:t>
      </w:r>
      <w:r w:rsidRPr="00EC6016">
        <w:rPr>
          <w:rFonts w:ascii="Segoe UI" w:eastAsia="Times New Roman" w:hAnsi="Segoe UI" w:cs="Segoe UI"/>
          <w:color w:val="292929"/>
          <w:sz w:val="27"/>
          <w:szCs w:val="27"/>
          <w:lang w:eastAsia="fr-FR"/>
        </w:rPr>
        <w:t xml:space="preserve"> tout en tenant compte de la législation européenne sur la protection des données.</w:t>
      </w:r>
    </w:p>
    <w:p w:rsidR="00EC6016" w:rsidRPr="00EC6016" w:rsidRDefault="00EC6016" w:rsidP="00EC6016">
      <w:pPr>
        <w:spacing w:after="0" w:line="240" w:lineRule="auto"/>
        <w:rPr>
          <w:rFonts w:ascii="Segoe UI" w:eastAsia="Times New Roman" w:hAnsi="Segoe UI" w:cs="Segoe UI"/>
          <w:color w:val="292929"/>
          <w:sz w:val="27"/>
          <w:szCs w:val="27"/>
          <w:lang w:eastAsia="fr-FR"/>
        </w:rPr>
      </w:pPr>
    </w:p>
    <w:p w:rsidR="00EC6016" w:rsidRDefault="00EC6016" w:rsidP="00EC6016">
      <w:pPr>
        <w:spacing w:after="0" w:line="240" w:lineRule="auto"/>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Au 20 janvier 2022, l'EMA a autorisé cinq vaccins COVID-19, dont le Nuvaxovid de Novavax, basé dans le Maryland.</w:t>
      </w:r>
    </w:p>
    <w:p w:rsidR="00EC6016" w:rsidRPr="00EC6016" w:rsidRDefault="00EC6016" w:rsidP="00EC6016">
      <w:pPr>
        <w:spacing w:after="0" w:line="240" w:lineRule="auto"/>
        <w:rPr>
          <w:rFonts w:ascii="Segoe UI" w:eastAsia="Times New Roman" w:hAnsi="Segoe UI" w:cs="Segoe UI"/>
          <w:color w:val="292929"/>
          <w:sz w:val="27"/>
          <w:szCs w:val="27"/>
          <w:lang w:eastAsia="fr-FR"/>
        </w:rPr>
      </w:pPr>
    </w:p>
    <w:p w:rsidR="00EC6016" w:rsidRDefault="00EC6016" w:rsidP="00EC6016">
      <w:pPr>
        <w:spacing w:after="0" w:line="240" w:lineRule="auto"/>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En outre, l'EMA examine actuellement les vaccins candidats Sputnik V, Sinovac, Vidprevtyn et VLA2001 de Valneva.</w:t>
      </w:r>
    </w:p>
    <w:p w:rsidR="00EC6016" w:rsidRPr="00EC6016" w:rsidRDefault="00EC6016" w:rsidP="00EC6016">
      <w:pPr>
        <w:spacing w:after="0" w:line="240" w:lineRule="auto"/>
        <w:rPr>
          <w:rFonts w:ascii="Segoe UI" w:eastAsia="Times New Roman" w:hAnsi="Segoe UI" w:cs="Segoe UI"/>
          <w:color w:val="292929"/>
          <w:sz w:val="27"/>
          <w:szCs w:val="27"/>
          <w:lang w:eastAsia="fr-FR"/>
        </w:rPr>
      </w:pPr>
    </w:p>
    <w:p w:rsidR="00EC6016" w:rsidRPr="00EC6016" w:rsidRDefault="00EC6016" w:rsidP="00EC6016">
      <w:pPr>
        <w:spacing w:after="0" w:line="240" w:lineRule="auto"/>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La mission de l'EMA est de favoriser l'excellence scientifique dans l'évaluation et la surveillance des médicaments au bénéfice de la santé publique et animale dans l'UE.</w:t>
      </w:r>
    </w:p>
    <w:p w:rsidR="00EC6016" w:rsidRPr="00EC6016" w:rsidRDefault="00EC6016" w:rsidP="00EC6016">
      <w:pPr>
        <w:spacing w:after="0" w:line="240" w:lineRule="auto"/>
        <w:rPr>
          <w:rFonts w:ascii="Segoe UI" w:eastAsia="Times New Roman" w:hAnsi="Segoe UI" w:cs="Segoe UI"/>
          <w:color w:val="292929"/>
          <w:sz w:val="27"/>
          <w:szCs w:val="27"/>
          <w:lang w:eastAsia="fr-FR"/>
        </w:rPr>
      </w:pPr>
      <w:r w:rsidRPr="00EC6016">
        <w:rPr>
          <w:rFonts w:ascii="Segoe UI" w:eastAsia="Times New Roman" w:hAnsi="Segoe UI" w:cs="Segoe UI"/>
          <w:color w:val="292929"/>
          <w:sz w:val="27"/>
          <w:szCs w:val="27"/>
          <w:lang w:eastAsia="fr-FR"/>
        </w:rPr>
        <w:t>-</w:t>
      </w:r>
    </w:p>
    <w:p w:rsidR="008759E7" w:rsidRPr="008759E7" w:rsidRDefault="00EC6016" w:rsidP="00EC6016">
      <w:pPr>
        <w:spacing w:after="0" w:line="240" w:lineRule="auto"/>
        <w:rPr>
          <w:rFonts w:ascii="Times New Roman" w:eastAsia="Times New Roman" w:hAnsi="Times New Roman" w:cs="Times New Roman"/>
          <w:sz w:val="24"/>
          <w:szCs w:val="24"/>
          <w:lang w:eastAsia="fr-FR"/>
        </w:rPr>
      </w:pPr>
      <w:r w:rsidRPr="00EC6016">
        <w:rPr>
          <w:rFonts w:ascii="Segoe UI" w:eastAsia="Times New Roman" w:hAnsi="Segoe UI" w:cs="Segoe UI"/>
          <w:color w:val="292929"/>
          <w:sz w:val="27"/>
          <w:szCs w:val="27"/>
          <w:lang w:eastAsia="fr-FR"/>
        </w:rPr>
        <w:t>Don Ward Hackett</w:t>
      </w:r>
      <w:r w:rsidR="008759E7" w:rsidRPr="008759E7">
        <w:rPr>
          <w:rFonts w:ascii="Times New Roman" w:eastAsia="Times New Roman" w:hAnsi="Times New Roman" w:cs="Times New Roman"/>
          <w:b/>
          <w:bCs/>
          <w:color w:val="333333"/>
          <w:sz w:val="24"/>
          <w:szCs w:val="24"/>
          <w:bdr w:val="single" w:sz="6" w:space="5" w:color="CCCCCC" w:frame="1"/>
          <w:shd w:val="clear" w:color="auto" w:fill="FFFFFF"/>
          <w:lang w:eastAsia="fr-FR"/>
        </w:rPr>
        <w:t>Share</w:t>
      </w:r>
    </w:p>
    <w:p w:rsidR="006E26D6" w:rsidRPr="006E26D6" w:rsidRDefault="006E26D6" w:rsidP="006E26D6">
      <w:pPr>
        <w:pStyle w:val="Sansinterligne"/>
      </w:pPr>
    </w:p>
    <w:sectPr w:rsidR="006E26D6" w:rsidRPr="006E26D6" w:rsidSect="006E26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520"/>
    <w:multiLevelType w:val="multilevel"/>
    <w:tmpl w:val="FDFC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D6"/>
    <w:rsid w:val="003910C4"/>
    <w:rsid w:val="006E26D6"/>
    <w:rsid w:val="007851D2"/>
    <w:rsid w:val="008759E7"/>
    <w:rsid w:val="00C515CB"/>
    <w:rsid w:val="00EC6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72B2"/>
  <w15:chartTrackingRefBased/>
  <w15:docId w15:val="{416334F1-2BA3-4817-B5C3-6C020B7B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75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E26D6"/>
    <w:pPr>
      <w:spacing w:after="0" w:line="240" w:lineRule="auto"/>
    </w:pPr>
  </w:style>
  <w:style w:type="character" w:customStyle="1" w:styleId="Titre1Car">
    <w:name w:val="Titre 1 Car"/>
    <w:basedOn w:val="Policepardfaut"/>
    <w:link w:val="Titre1"/>
    <w:uiPriority w:val="9"/>
    <w:rsid w:val="008759E7"/>
    <w:rPr>
      <w:rFonts w:ascii="Times New Roman" w:eastAsia="Times New Roman" w:hAnsi="Times New Roman" w:cs="Times New Roman"/>
      <w:b/>
      <w:bCs/>
      <w:kern w:val="36"/>
      <w:sz w:val="48"/>
      <w:szCs w:val="48"/>
      <w:lang w:eastAsia="fr-FR"/>
    </w:rPr>
  </w:style>
  <w:style w:type="character" w:customStyle="1" w:styleId="pretext-geo">
    <w:name w:val="pretext-geo"/>
    <w:basedOn w:val="Policepardfaut"/>
    <w:rsid w:val="008759E7"/>
  </w:style>
  <w:style w:type="paragraph" w:styleId="NormalWeb">
    <w:name w:val="Normal (Web)"/>
    <w:basedOn w:val="Normal"/>
    <w:uiPriority w:val="99"/>
    <w:semiHidden/>
    <w:unhideWhenUsed/>
    <w:rsid w:val="008759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59E7"/>
    <w:rPr>
      <w:color w:val="0000FF"/>
      <w:u w:val="single"/>
    </w:rPr>
  </w:style>
  <w:style w:type="character" w:customStyle="1" w:styleId="need-share-buttonbutton">
    <w:name w:val="need-share-button_button"/>
    <w:basedOn w:val="Policepardfaut"/>
    <w:rsid w:val="0087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5765">
      <w:bodyDiv w:val="1"/>
      <w:marLeft w:val="0"/>
      <w:marRight w:val="0"/>
      <w:marTop w:val="0"/>
      <w:marBottom w:val="0"/>
      <w:divBdr>
        <w:top w:val="none" w:sz="0" w:space="0" w:color="auto"/>
        <w:left w:val="none" w:sz="0" w:space="0" w:color="auto"/>
        <w:bottom w:val="none" w:sz="0" w:space="0" w:color="auto"/>
        <w:right w:val="none" w:sz="0" w:space="0" w:color="auto"/>
      </w:divBdr>
      <w:divsChild>
        <w:div w:id="610941951">
          <w:marLeft w:val="0"/>
          <w:marRight w:val="0"/>
          <w:marTop w:val="0"/>
          <w:marBottom w:val="0"/>
          <w:divBdr>
            <w:top w:val="none" w:sz="0" w:space="0" w:color="auto"/>
            <w:left w:val="none" w:sz="0" w:space="0" w:color="auto"/>
            <w:bottom w:val="none" w:sz="0" w:space="0" w:color="auto"/>
            <w:right w:val="none" w:sz="0" w:space="0" w:color="auto"/>
          </w:divBdr>
          <w:divsChild>
            <w:div w:id="982122527">
              <w:marLeft w:val="0"/>
              <w:marRight w:val="0"/>
              <w:marTop w:val="0"/>
              <w:marBottom w:val="0"/>
              <w:divBdr>
                <w:top w:val="none" w:sz="0" w:space="0" w:color="auto"/>
                <w:left w:val="none" w:sz="0" w:space="0" w:color="auto"/>
                <w:bottom w:val="none" w:sz="0" w:space="0" w:color="auto"/>
                <w:right w:val="none" w:sz="0" w:space="0" w:color="auto"/>
              </w:divBdr>
              <w:divsChild>
                <w:div w:id="1492066835">
                  <w:marLeft w:val="-225"/>
                  <w:marRight w:val="-225"/>
                  <w:marTop w:val="0"/>
                  <w:marBottom w:val="0"/>
                  <w:divBdr>
                    <w:top w:val="none" w:sz="0" w:space="0" w:color="auto"/>
                    <w:left w:val="none" w:sz="0" w:space="0" w:color="auto"/>
                    <w:bottom w:val="none" w:sz="0" w:space="0" w:color="auto"/>
                    <w:right w:val="none" w:sz="0" w:space="0" w:color="auto"/>
                  </w:divBdr>
                  <w:divsChild>
                    <w:div w:id="942955058">
                      <w:marLeft w:val="0"/>
                      <w:marRight w:val="0"/>
                      <w:marTop w:val="0"/>
                      <w:marBottom w:val="0"/>
                      <w:divBdr>
                        <w:top w:val="none" w:sz="0" w:space="0" w:color="auto"/>
                        <w:left w:val="none" w:sz="0" w:space="0" w:color="auto"/>
                        <w:bottom w:val="none" w:sz="0" w:space="0" w:color="auto"/>
                        <w:right w:val="none" w:sz="0" w:space="0" w:color="auto"/>
                      </w:divBdr>
                      <w:divsChild>
                        <w:div w:id="2061593437">
                          <w:marLeft w:val="0"/>
                          <w:marRight w:val="0"/>
                          <w:marTop w:val="300"/>
                          <w:marBottom w:val="0"/>
                          <w:divBdr>
                            <w:top w:val="none" w:sz="0" w:space="0" w:color="auto"/>
                            <w:left w:val="none" w:sz="0" w:space="0" w:color="auto"/>
                            <w:bottom w:val="none" w:sz="0" w:space="0" w:color="auto"/>
                            <w:right w:val="none" w:sz="0" w:space="0" w:color="auto"/>
                          </w:divBdr>
                          <w:divsChild>
                            <w:div w:id="263998115">
                              <w:marLeft w:val="0"/>
                              <w:marRight w:val="0"/>
                              <w:marTop w:val="0"/>
                              <w:marBottom w:val="0"/>
                              <w:divBdr>
                                <w:top w:val="none" w:sz="0" w:space="0" w:color="auto"/>
                                <w:left w:val="none" w:sz="0" w:space="0" w:color="auto"/>
                                <w:bottom w:val="none" w:sz="0" w:space="0" w:color="auto"/>
                                <w:right w:val="none" w:sz="0" w:space="0" w:color="auto"/>
                              </w:divBdr>
                              <w:divsChild>
                                <w:div w:id="3580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5035">
                          <w:marLeft w:val="0"/>
                          <w:marRight w:val="0"/>
                          <w:marTop w:val="480"/>
                          <w:marBottom w:val="480"/>
                          <w:divBdr>
                            <w:top w:val="none" w:sz="0" w:space="0" w:color="auto"/>
                            <w:left w:val="none" w:sz="0" w:space="0" w:color="auto"/>
                            <w:bottom w:val="none" w:sz="0" w:space="0" w:color="auto"/>
                            <w:right w:val="none" w:sz="0" w:space="0" w:color="auto"/>
                          </w:divBdr>
                          <w:divsChild>
                            <w:div w:id="1955481548">
                              <w:marLeft w:val="0"/>
                              <w:marRight w:val="75"/>
                              <w:marTop w:val="0"/>
                              <w:marBottom w:val="0"/>
                              <w:divBdr>
                                <w:top w:val="none" w:sz="0" w:space="0" w:color="auto"/>
                                <w:left w:val="none" w:sz="0" w:space="0" w:color="auto"/>
                                <w:bottom w:val="none" w:sz="0" w:space="0" w:color="auto"/>
                                <w:right w:val="none" w:sz="0" w:space="0" w:color="auto"/>
                              </w:divBdr>
                            </w:div>
                          </w:divsChild>
                        </w:div>
                        <w:div w:id="1488860569">
                          <w:marLeft w:val="0"/>
                          <w:marRight w:val="0"/>
                          <w:marTop w:val="0"/>
                          <w:marBottom w:val="0"/>
                          <w:divBdr>
                            <w:top w:val="none" w:sz="0" w:space="0" w:color="auto"/>
                            <w:left w:val="none" w:sz="0" w:space="0" w:color="auto"/>
                            <w:bottom w:val="none" w:sz="0" w:space="0" w:color="auto"/>
                            <w:right w:val="none" w:sz="0" w:space="0" w:color="auto"/>
                          </w:divBdr>
                          <w:divsChild>
                            <w:div w:id="2136604848">
                              <w:marLeft w:val="0"/>
                              <w:marRight w:val="0"/>
                              <w:marTop w:val="0"/>
                              <w:marBottom w:val="0"/>
                              <w:divBdr>
                                <w:top w:val="none" w:sz="0" w:space="0" w:color="auto"/>
                                <w:left w:val="none" w:sz="0" w:space="0" w:color="auto"/>
                                <w:bottom w:val="none" w:sz="0" w:space="0" w:color="auto"/>
                                <w:right w:val="none" w:sz="0" w:space="0" w:color="auto"/>
                              </w:divBdr>
                              <w:divsChild>
                                <w:div w:id="1277910463">
                                  <w:marLeft w:val="0"/>
                                  <w:marRight w:val="0"/>
                                  <w:marTop w:val="0"/>
                                  <w:marBottom w:val="0"/>
                                  <w:divBdr>
                                    <w:top w:val="none" w:sz="0" w:space="0" w:color="auto"/>
                                    <w:left w:val="none" w:sz="0" w:space="0" w:color="auto"/>
                                    <w:bottom w:val="none" w:sz="0" w:space="0" w:color="auto"/>
                                    <w:right w:val="none" w:sz="0" w:space="0" w:color="auto"/>
                                  </w:divBdr>
                                  <w:divsChild>
                                    <w:div w:id="12001623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573251">
      <w:bodyDiv w:val="1"/>
      <w:marLeft w:val="0"/>
      <w:marRight w:val="0"/>
      <w:marTop w:val="0"/>
      <w:marBottom w:val="0"/>
      <w:divBdr>
        <w:top w:val="none" w:sz="0" w:space="0" w:color="auto"/>
        <w:left w:val="none" w:sz="0" w:space="0" w:color="auto"/>
        <w:bottom w:val="none" w:sz="0" w:space="0" w:color="auto"/>
        <w:right w:val="none" w:sz="0" w:space="0" w:color="auto"/>
      </w:divBdr>
      <w:divsChild>
        <w:div w:id="994649861">
          <w:marLeft w:val="0"/>
          <w:marRight w:val="0"/>
          <w:marTop w:val="0"/>
          <w:marBottom w:val="0"/>
          <w:divBdr>
            <w:top w:val="none" w:sz="0" w:space="0" w:color="auto"/>
            <w:left w:val="none" w:sz="0" w:space="0" w:color="auto"/>
            <w:bottom w:val="none" w:sz="0" w:space="0" w:color="auto"/>
            <w:right w:val="none" w:sz="0" w:space="0" w:color="auto"/>
          </w:divBdr>
          <w:divsChild>
            <w:div w:id="223953406">
              <w:marLeft w:val="0"/>
              <w:marRight w:val="0"/>
              <w:marTop w:val="0"/>
              <w:marBottom w:val="0"/>
              <w:divBdr>
                <w:top w:val="none" w:sz="0" w:space="0" w:color="auto"/>
                <w:left w:val="none" w:sz="0" w:space="0" w:color="auto"/>
                <w:bottom w:val="none" w:sz="0" w:space="0" w:color="auto"/>
                <w:right w:val="none" w:sz="0" w:space="0" w:color="auto"/>
              </w:divBdr>
              <w:divsChild>
                <w:div w:id="4299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2106">
          <w:marLeft w:val="0"/>
          <w:marRight w:val="0"/>
          <w:marTop w:val="360"/>
          <w:marBottom w:val="420"/>
          <w:divBdr>
            <w:top w:val="none" w:sz="0" w:space="0" w:color="auto"/>
            <w:left w:val="none" w:sz="0" w:space="0" w:color="auto"/>
            <w:bottom w:val="none" w:sz="0" w:space="0" w:color="auto"/>
            <w:right w:val="none" w:sz="0" w:space="0" w:color="auto"/>
          </w:divBdr>
        </w:div>
      </w:divsChild>
    </w:div>
    <w:div w:id="1402366180">
      <w:bodyDiv w:val="1"/>
      <w:marLeft w:val="0"/>
      <w:marRight w:val="0"/>
      <w:marTop w:val="0"/>
      <w:marBottom w:val="0"/>
      <w:divBdr>
        <w:top w:val="none" w:sz="0" w:space="0" w:color="auto"/>
        <w:left w:val="none" w:sz="0" w:space="0" w:color="auto"/>
        <w:bottom w:val="none" w:sz="0" w:space="0" w:color="auto"/>
        <w:right w:val="none" w:sz="0" w:space="0" w:color="auto"/>
      </w:divBdr>
      <w:divsChild>
        <w:div w:id="1301882965">
          <w:marLeft w:val="0"/>
          <w:marRight w:val="0"/>
          <w:marTop w:val="0"/>
          <w:marBottom w:val="0"/>
          <w:divBdr>
            <w:top w:val="none" w:sz="0" w:space="0" w:color="auto"/>
            <w:left w:val="none" w:sz="0" w:space="0" w:color="auto"/>
            <w:bottom w:val="none" w:sz="0" w:space="0" w:color="auto"/>
            <w:right w:val="none" w:sz="0" w:space="0" w:color="auto"/>
          </w:divBdr>
        </w:div>
        <w:div w:id="150667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397</Words>
  <Characters>2186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2022-01-21T18:33:00Z</dcterms:created>
  <dcterms:modified xsi:type="dcterms:W3CDTF">2022-01-21T19:00:00Z</dcterms:modified>
</cp:coreProperties>
</file>