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5667CF" w:rsidP="00E817B5">
      <w:pPr>
        <w:pStyle w:val="Sansinterligne"/>
        <w:rPr>
          <w:rFonts w:ascii="Arial" w:hAnsi="Arial" w:cs="Arial"/>
          <w:sz w:val="28"/>
          <w:szCs w:val="28"/>
        </w:rPr>
      </w:pPr>
    </w:p>
    <w:p w:rsidR="00E817B5" w:rsidRDefault="00E817B5" w:rsidP="00E817B5">
      <w:pPr>
        <w:pStyle w:val="Sansinterligne"/>
        <w:rPr>
          <w:rFonts w:ascii="Arial" w:hAnsi="Arial" w:cs="Arial"/>
          <w:sz w:val="28"/>
          <w:szCs w:val="28"/>
        </w:rPr>
      </w:pPr>
    </w:p>
    <w:p w:rsidR="00E817B5" w:rsidRPr="00E817B5" w:rsidRDefault="00E817B5" w:rsidP="00E817B5">
      <w:pPr>
        <w:pStyle w:val="Sansinterligne"/>
        <w:rPr>
          <w:rFonts w:ascii="Arial" w:hAnsi="Arial" w:cs="Arial"/>
          <w:b/>
          <w:sz w:val="40"/>
          <w:szCs w:val="40"/>
        </w:rPr>
      </w:pPr>
      <w:r w:rsidRPr="00E817B5">
        <w:rPr>
          <w:rFonts w:ascii="Arial" w:hAnsi="Arial" w:cs="Arial"/>
          <w:b/>
          <w:sz w:val="40"/>
          <w:szCs w:val="40"/>
        </w:rPr>
        <w:t>Comment Pfizer fait taire les lanceurs d’alerte.</w:t>
      </w:r>
    </w:p>
    <w:p w:rsidR="00E817B5" w:rsidRDefault="00E817B5" w:rsidP="00E817B5">
      <w:pPr>
        <w:pStyle w:val="Sansinterligne"/>
        <w:rPr>
          <w:rFonts w:ascii="Arial" w:hAnsi="Arial" w:cs="Arial"/>
          <w:sz w:val="28"/>
          <w:szCs w:val="28"/>
        </w:rPr>
      </w:pPr>
    </w:p>
    <w:p w:rsidR="00E817B5" w:rsidRDefault="00E817B5" w:rsidP="00E817B5">
      <w:pPr>
        <w:pStyle w:val="Sansinterligne"/>
        <w:rPr>
          <w:rFonts w:ascii="Segoe UI" w:hAnsi="Segoe UI" w:cs="Segoe UI"/>
          <w:color w:val="1D9BF0"/>
          <w:sz w:val="30"/>
          <w:szCs w:val="30"/>
          <w:shd w:val="clear" w:color="auto" w:fill="FFFFFF"/>
        </w:rPr>
      </w:pPr>
      <w:r>
        <w:rPr>
          <w:rFonts w:ascii="Arial" w:hAnsi="Arial" w:cs="Arial"/>
          <w:sz w:val="28"/>
          <w:szCs w:val="28"/>
        </w:rPr>
        <w:t xml:space="preserve">Source : </w:t>
      </w:r>
      <w:hyperlink r:id="rId5" w:history="1">
        <w:r w:rsidRPr="00944851">
          <w:rPr>
            <w:rStyle w:val="Lienhypertexte"/>
            <w:rFonts w:ascii="Segoe UI" w:hAnsi="Segoe UI" w:cs="Segoe UI"/>
            <w:sz w:val="30"/>
            <w:szCs w:val="30"/>
            <w:shd w:val="clear" w:color="auto" w:fill="FFFFFF"/>
          </w:rPr>
          <w:t>https://uncutnews.ch/wie-pfizer-zeugen-die-sich-zu-wort-meldeten-zum-schweigen-brachte/</w:t>
        </w:r>
      </w:hyperlink>
    </w:p>
    <w:p w:rsidR="00E817B5" w:rsidRDefault="00E817B5" w:rsidP="00E817B5">
      <w:pPr>
        <w:pStyle w:val="Sansinterligne"/>
        <w:rPr>
          <w:rFonts w:ascii="Arial" w:hAnsi="Arial" w:cs="Arial"/>
          <w:sz w:val="28"/>
          <w:szCs w:val="28"/>
        </w:rPr>
      </w:pPr>
    </w:p>
    <w:p w:rsidR="00E817B5" w:rsidRPr="00E817B5" w:rsidRDefault="005667CF" w:rsidP="00E817B5">
      <w:pPr>
        <w:numPr>
          <w:ilvl w:val="0"/>
          <w:numId w:val="1"/>
        </w:numPr>
        <w:spacing w:before="100" w:beforeAutospacing="1" w:after="100" w:afterAutospacing="1" w:line="240" w:lineRule="auto"/>
        <w:jc w:val="center"/>
        <w:textAlignment w:val="baseline"/>
        <w:rPr>
          <w:rFonts w:ascii="Arial" w:eastAsia="Times New Roman" w:hAnsi="Arial" w:cs="Arial"/>
          <w:color w:val="333333"/>
          <w:sz w:val="30"/>
          <w:szCs w:val="30"/>
          <w:lang w:eastAsia="fr-FR"/>
        </w:rPr>
      </w:pPr>
      <w:hyperlink r:id="rId6" w:history="1">
        <w:r w:rsidR="00E817B5" w:rsidRPr="00E817B5">
          <w:rPr>
            <w:rFonts w:ascii="Roboto" w:eastAsia="Times New Roman" w:hAnsi="Roboto" w:cs="Arial"/>
            <w:color w:val="0000FF"/>
            <w:sz w:val="30"/>
            <w:szCs w:val="30"/>
            <w:lang w:eastAsia="fr-FR"/>
          </w:rPr>
          <w:br/>
          <w:t>uncut-news.ch</w:t>
        </w:r>
      </w:hyperlink>
    </w:p>
    <w:p w:rsidR="00E817B5" w:rsidRPr="00E817B5" w:rsidRDefault="005667CF" w:rsidP="00E817B5">
      <w:pPr>
        <w:numPr>
          <w:ilvl w:val="0"/>
          <w:numId w:val="1"/>
        </w:numPr>
        <w:spacing w:before="100" w:beforeAutospacing="1" w:after="100" w:afterAutospacing="1" w:line="240" w:lineRule="auto"/>
        <w:jc w:val="center"/>
        <w:textAlignment w:val="baseline"/>
        <w:rPr>
          <w:rFonts w:ascii="Arial" w:eastAsia="Times New Roman" w:hAnsi="Arial" w:cs="Arial"/>
          <w:color w:val="333333"/>
          <w:sz w:val="30"/>
          <w:szCs w:val="30"/>
          <w:lang w:eastAsia="fr-FR"/>
        </w:rPr>
      </w:pPr>
      <w:hyperlink r:id="rId7" w:history="1">
        <w:r w:rsidR="00E817B5" w:rsidRPr="00E817B5">
          <w:rPr>
            <w:rFonts w:ascii="Roboto" w:eastAsia="Times New Roman" w:hAnsi="Roboto" w:cs="Arial"/>
            <w:color w:val="0000FF"/>
            <w:sz w:val="30"/>
            <w:szCs w:val="30"/>
            <w:lang w:eastAsia="fr-FR"/>
          </w:rPr>
          <w:t>Januar 2, 2022</w:t>
        </w:r>
      </w:hyperlink>
    </w:p>
    <w:p w:rsidR="001916B9" w:rsidRPr="001916B9" w:rsidRDefault="001916B9" w:rsidP="001916B9">
      <w:pPr>
        <w:spacing w:after="100" w:afterAutospacing="1" w:line="240" w:lineRule="auto"/>
        <w:jc w:val="center"/>
        <w:rPr>
          <w:rFonts w:ascii="Roboto" w:eastAsia="Times New Roman" w:hAnsi="Roboto" w:cs="Times New Roman"/>
          <w:color w:val="1B252F"/>
          <w:sz w:val="30"/>
          <w:szCs w:val="30"/>
          <w:lang w:eastAsia="fr-FR"/>
        </w:rPr>
      </w:pPr>
      <w:r w:rsidRPr="001916B9">
        <w:rPr>
          <w:rFonts w:ascii="Roboto" w:eastAsia="Times New Roman" w:hAnsi="Roboto" w:cs="Times New Roman"/>
          <w:color w:val="1B252F"/>
          <w:sz w:val="30"/>
          <w:szCs w:val="30"/>
          <w:lang w:eastAsia="fr-FR"/>
        </w:rPr>
        <w:t>Selon Brook Jackson, un lanceur d'alerte qui a participé à l'étude de phase 3 de Pfizer sur le vaccin COVID, les données ont été falsifiées, les patients ont été privés de leur sang, l'entreprise a embauché des employés mal formés pour administrer les injections et le suivi des effets secondaires signalés a été bien en deçà des attentes.</w:t>
      </w:r>
    </w:p>
    <w:p w:rsidR="001916B9" w:rsidRPr="001916B9" w:rsidRDefault="001916B9" w:rsidP="001916B9">
      <w:pPr>
        <w:spacing w:after="100" w:afterAutospacing="1" w:line="240" w:lineRule="auto"/>
        <w:jc w:val="center"/>
        <w:rPr>
          <w:rFonts w:ascii="Roboto" w:eastAsia="Times New Roman" w:hAnsi="Roboto" w:cs="Times New Roman"/>
          <w:color w:val="1B252F"/>
          <w:sz w:val="30"/>
          <w:szCs w:val="30"/>
          <w:lang w:eastAsia="fr-FR"/>
        </w:rPr>
      </w:pPr>
      <w:r w:rsidRPr="001916B9">
        <w:rPr>
          <w:rFonts w:ascii="Roboto" w:eastAsia="Times New Roman" w:hAnsi="Roboto" w:cs="Times New Roman"/>
          <w:color w:val="1B252F"/>
          <w:sz w:val="30"/>
          <w:szCs w:val="30"/>
          <w:lang w:eastAsia="fr-FR"/>
        </w:rPr>
        <w:t>La FDA n'a pas donné suite à la plainte de Jackson et n'a pas enquêté sur les allégations avant d'accorder une licence complète à la seringue Comirnaty de Pfizer.</w:t>
      </w:r>
    </w:p>
    <w:p w:rsidR="001916B9" w:rsidRPr="001916B9" w:rsidRDefault="001916B9" w:rsidP="001916B9">
      <w:pPr>
        <w:spacing w:after="100" w:afterAutospacing="1" w:line="240" w:lineRule="auto"/>
        <w:jc w:val="center"/>
        <w:rPr>
          <w:rFonts w:ascii="Roboto" w:eastAsia="Times New Roman" w:hAnsi="Roboto" w:cs="Times New Roman"/>
          <w:color w:val="1B252F"/>
          <w:sz w:val="30"/>
          <w:szCs w:val="30"/>
          <w:lang w:eastAsia="fr-FR"/>
        </w:rPr>
      </w:pPr>
      <w:r w:rsidRPr="001916B9">
        <w:rPr>
          <w:rFonts w:ascii="Roboto" w:eastAsia="Times New Roman" w:hAnsi="Roboto" w:cs="Times New Roman"/>
          <w:color w:val="1B252F"/>
          <w:sz w:val="30"/>
          <w:szCs w:val="30"/>
          <w:highlight w:val="yellow"/>
          <w:lang w:eastAsia="fr-FR"/>
        </w:rPr>
        <w:t xml:space="preserve">La FDA veut maintenant évaluer pendant </w:t>
      </w:r>
      <w:r w:rsidRPr="001916B9">
        <w:rPr>
          <w:rFonts w:ascii="Roboto" w:eastAsia="Times New Roman" w:hAnsi="Roboto" w:cs="Times New Roman"/>
          <w:color w:val="1B252F"/>
          <w:sz w:val="30"/>
          <w:szCs w:val="30"/>
          <w:highlight w:val="yellow"/>
          <w:bdr w:val="single" w:sz="4" w:space="0" w:color="auto"/>
          <w:lang w:eastAsia="fr-FR"/>
        </w:rPr>
        <w:t>75 ans</w:t>
      </w:r>
      <w:r w:rsidRPr="001916B9">
        <w:rPr>
          <w:rFonts w:ascii="Roboto" w:eastAsia="Times New Roman" w:hAnsi="Roboto" w:cs="Times New Roman"/>
          <w:color w:val="1B252F"/>
          <w:sz w:val="30"/>
          <w:szCs w:val="30"/>
          <w:highlight w:val="yellow"/>
          <w:lang w:eastAsia="fr-FR"/>
        </w:rPr>
        <w:t xml:space="preserve"> les données sur lesquelles elle s'est basée pour accorder une licence complète au Comirnaty</w:t>
      </w:r>
      <w:r w:rsidRPr="001916B9">
        <w:rPr>
          <w:rFonts w:ascii="Roboto" w:eastAsia="Times New Roman" w:hAnsi="Roboto" w:cs="Times New Roman"/>
          <w:color w:val="1B252F"/>
          <w:sz w:val="30"/>
          <w:szCs w:val="30"/>
          <w:lang w:eastAsia="fr-FR"/>
        </w:rPr>
        <w:t>.</w:t>
      </w:r>
    </w:p>
    <w:p w:rsidR="001916B9" w:rsidRPr="001916B9" w:rsidRDefault="001916B9" w:rsidP="001916B9">
      <w:pPr>
        <w:spacing w:after="100" w:afterAutospacing="1" w:line="240" w:lineRule="auto"/>
        <w:jc w:val="center"/>
        <w:rPr>
          <w:rFonts w:ascii="Roboto" w:eastAsia="Times New Roman" w:hAnsi="Roboto" w:cs="Times New Roman"/>
          <w:color w:val="1B252F"/>
          <w:sz w:val="30"/>
          <w:szCs w:val="30"/>
          <w:lang w:eastAsia="fr-FR"/>
        </w:rPr>
      </w:pPr>
      <w:r w:rsidRPr="001916B9">
        <w:rPr>
          <w:rFonts w:ascii="Roboto" w:eastAsia="Times New Roman" w:hAnsi="Roboto" w:cs="Times New Roman"/>
          <w:color w:val="1B252F"/>
          <w:sz w:val="30"/>
          <w:szCs w:val="30"/>
          <w:lang w:eastAsia="fr-FR"/>
        </w:rPr>
        <w:t>Un rapport de Pfizer sur les événements indésirables, couvrant la période de décembre 2020 à fin février 2021, montre que la seringue provoque des blessures graves et souvent à long terme, non réparées.</w:t>
      </w:r>
    </w:p>
    <w:p w:rsidR="001916B9" w:rsidRPr="001916B9" w:rsidRDefault="001916B9" w:rsidP="001916B9">
      <w:pPr>
        <w:spacing w:after="100" w:afterAutospacing="1" w:line="240" w:lineRule="auto"/>
        <w:jc w:val="center"/>
        <w:rPr>
          <w:rFonts w:ascii="Roboto" w:eastAsia="Times New Roman" w:hAnsi="Roboto" w:cs="Times New Roman"/>
          <w:color w:val="1B252F"/>
          <w:sz w:val="30"/>
          <w:szCs w:val="30"/>
          <w:lang w:eastAsia="fr-FR"/>
        </w:rPr>
      </w:pPr>
      <w:r w:rsidRPr="001916B9">
        <w:rPr>
          <w:rFonts w:ascii="Roboto" w:eastAsia="Times New Roman" w:hAnsi="Roboto" w:cs="Times New Roman"/>
          <w:color w:val="1B252F"/>
          <w:sz w:val="30"/>
          <w:szCs w:val="30"/>
          <w:lang w:eastAsia="fr-FR"/>
        </w:rPr>
        <w:t>Les données de Pfizer montrent également que la seringue provoque des blessures graves chez les femmes enceintes et allaitantes. Sur la seule base de ces données, qui étaient connues de la FDA fin avril 2021, la seringue Pfizer aurait dû être retirée du marché.</w:t>
      </w:r>
    </w:p>
    <w:p w:rsidR="001916B9" w:rsidRDefault="001916B9" w:rsidP="001916B9">
      <w:pPr>
        <w:spacing w:after="100" w:afterAutospacing="1" w:line="240" w:lineRule="auto"/>
        <w:jc w:val="center"/>
        <w:rPr>
          <w:rFonts w:ascii="Roboto" w:eastAsia="Times New Roman" w:hAnsi="Roboto" w:cs="Times New Roman"/>
          <w:color w:val="1B252F"/>
          <w:sz w:val="30"/>
          <w:szCs w:val="30"/>
          <w:lang w:eastAsia="fr-FR"/>
        </w:rPr>
      </w:pPr>
      <w:r w:rsidRPr="001916B9">
        <w:rPr>
          <w:rFonts w:ascii="Roboto" w:eastAsia="Times New Roman" w:hAnsi="Roboto" w:cs="Times New Roman"/>
          <w:color w:val="1B252F"/>
          <w:sz w:val="30"/>
          <w:szCs w:val="30"/>
          <w:lang w:eastAsia="fr-FR"/>
        </w:rPr>
        <w:t>Selon Brook Jackson, une lanceuse d'alerte qui a collaboré à l'étude de phase 3 de Pfizer sur le vaccin COVID à l'automne 2020, les données ont été falsifiées, les patients ont été privés de sang, l'entreprise a embauché du personnel mal formé pour administrer les injections et le suivi des effets secondaires signalés a été considérablement retardé.</w:t>
      </w:r>
    </w:p>
    <w:p w:rsidR="001916B9" w:rsidRPr="001916B9" w:rsidRDefault="001916B9" w:rsidP="001916B9">
      <w:pPr>
        <w:spacing w:after="100" w:afterAutospacing="1" w:line="240" w:lineRule="auto"/>
        <w:rPr>
          <w:rFonts w:ascii="Roboto" w:eastAsia="Times New Roman" w:hAnsi="Roboto" w:cs="Times New Roman"/>
          <w:b/>
          <w:bCs/>
          <w:color w:val="1B252F"/>
          <w:sz w:val="30"/>
          <w:szCs w:val="30"/>
          <w:lang w:eastAsia="fr-FR"/>
        </w:rPr>
      </w:pPr>
      <w:r w:rsidRPr="001916B9">
        <w:rPr>
          <w:rFonts w:ascii="Roboto" w:eastAsia="Times New Roman" w:hAnsi="Roboto" w:cs="Times New Roman"/>
          <w:b/>
          <w:bCs/>
          <w:color w:val="1B252F"/>
          <w:sz w:val="30"/>
          <w:szCs w:val="30"/>
          <w:lang w:eastAsia="fr-FR"/>
        </w:rPr>
        <w:t>Falsification des données parmi les nombreux problèmes constatés</w:t>
      </w:r>
    </w:p>
    <w:p w:rsidR="001916B9" w:rsidRPr="00D240C4" w:rsidRDefault="001916B9" w:rsidP="001916B9">
      <w:pPr>
        <w:spacing w:after="100" w:afterAutospacing="1" w:line="240" w:lineRule="auto"/>
        <w:rPr>
          <w:rFonts w:ascii="Roboto" w:eastAsia="Times New Roman" w:hAnsi="Roboto" w:cs="Times New Roman"/>
          <w:bCs/>
          <w:color w:val="1B252F"/>
          <w:sz w:val="30"/>
          <w:szCs w:val="30"/>
          <w:lang w:eastAsia="fr-FR"/>
        </w:rPr>
      </w:pPr>
      <w:r w:rsidRPr="00D240C4">
        <w:rPr>
          <w:rFonts w:ascii="Roboto" w:eastAsia="Times New Roman" w:hAnsi="Roboto" w:cs="Times New Roman"/>
          <w:bCs/>
          <w:color w:val="1B252F"/>
          <w:sz w:val="30"/>
          <w:szCs w:val="30"/>
          <w:lang w:eastAsia="fr-FR"/>
        </w:rPr>
        <w:t xml:space="preserve">Jackson affirme qu'elle a informé à plusieurs reprises ses supérieurs de la mauvaise gestion du laboratoire, des préoccupations concernant la sécurité des patients et des problèmes d'intégrité des données. Réalisant que ses préoccupations étaient ignorées, elle a finalement déposé une plainte auprès de la Food and Drug Administration des </w:t>
      </w:r>
      <w:r w:rsidRPr="00D240C4">
        <w:rPr>
          <w:rFonts w:ascii="Roboto" w:eastAsia="Times New Roman" w:hAnsi="Roboto" w:cs="Times New Roman"/>
          <w:bCs/>
          <w:color w:val="1B252F"/>
          <w:sz w:val="30"/>
          <w:szCs w:val="30"/>
          <w:lang w:eastAsia="fr-FR"/>
        </w:rPr>
        <w:lastRenderedPageBreak/>
        <w:t>États-Unis. Dans sa plainte auprès de la FDA, Jackson a énuméré une douzaine d'incidents préoccupants, dont les suivants :</w:t>
      </w:r>
    </w:p>
    <w:p w:rsidR="001916B9" w:rsidRPr="00D240C4" w:rsidRDefault="001916B9" w:rsidP="001916B9">
      <w:pPr>
        <w:spacing w:after="100" w:afterAutospacing="1" w:line="240" w:lineRule="auto"/>
        <w:rPr>
          <w:rFonts w:ascii="Roboto" w:eastAsia="Times New Roman" w:hAnsi="Roboto" w:cs="Times New Roman"/>
          <w:bCs/>
          <w:color w:val="1B252F"/>
          <w:sz w:val="30"/>
          <w:szCs w:val="30"/>
          <w:lang w:eastAsia="fr-FR"/>
        </w:rPr>
      </w:pPr>
      <w:r w:rsidRPr="00D240C4">
        <w:rPr>
          <w:rFonts w:ascii="Roboto" w:eastAsia="Times New Roman" w:hAnsi="Roboto" w:cs="Times New Roman"/>
          <w:bCs/>
          <w:color w:val="1B252F"/>
          <w:sz w:val="30"/>
          <w:szCs w:val="30"/>
          <w:lang w:eastAsia="fr-FR"/>
        </w:rPr>
        <w:t>- Les participants n'ont pas été surveillés par du personnel clinique après l'injection.</w:t>
      </w:r>
    </w:p>
    <w:p w:rsidR="001916B9" w:rsidRPr="00D240C4" w:rsidRDefault="001916B9" w:rsidP="001916B9">
      <w:pPr>
        <w:spacing w:after="100" w:afterAutospacing="1" w:line="240" w:lineRule="auto"/>
        <w:rPr>
          <w:rFonts w:ascii="Roboto" w:eastAsia="Times New Roman" w:hAnsi="Roboto" w:cs="Times New Roman"/>
          <w:bCs/>
          <w:color w:val="1B252F"/>
          <w:sz w:val="30"/>
          <w:szCs w:val="30"/>
          <w:lang w:eastAsia="fr-FR"/>
        </w:rPr>
      </w:pPr>
      <w:r w:rsidRPr="00D240C4">
        <w:rPr>
          <w:rFonts w:ascii="Roboto" w:eastAsia="Times New Roman" w:hAnsi="Roboto" w:cs="Times New Roman"/>
          <w:bCs/>
          <w:color w:val="1B252F"/>
          <w:sz w:val="30"/>
          <w:szCs w:val="30"/>
          <w:lang w:eastAsia="fr-FR"/>
        </w:rPr>
        <w:t>- Les patients qui ont présenté des effets indésirables n'ont pas été examinés immédiatement et les écarts par rapport au protocole n'ont pas été signalés.</w:t>
      </w:r>
    </w:p>
    <w:p w:rsidR="001916B9" w:rsidRPr="00D240C4" w:rsidRDefault="001916B9" w:rsidP="001916B9">
      <w:pPr>
        <w:spacing w:after="100" w:afterAutospacing="1" w:line="240" w:lineRule="auto"/>
        <w:rPr>
          <w:rFonts w:ascii="Roboto" w:eastAsia="Times New Roman" w:hAnsi="Roboto" w:cs="Times New Roman"/>
          <w:bCs/>
          <w:color w:val="1B252F"/>
          <w:sz w:val="30"/>
          <w:szCs w:val="30"/>
          <w:lang w:eastAsia="fr-FR"/>
        </w:rPr>
      </w:pPr>
      <w:r w:rsidRPr="00D240C4">
        <w:rPr>
          <w:rFonts w:ascii="Roboto" w:eastAsia="Times New Roman" w:hAnsi="Roboto" w:cs="Times New Roman"/>
          <w:bCs/>
          <w:color w:val="1B252F"/>
          <w:sz w:val="30"/>
          <w:szCs w:val="30"/>
          <w:lang w:eastAsia="fr-FR"/>
        </w:rPr>
        <w:t>- Les flacons d'injection de Pfizer ont été conservés à des températures inappropriées.</w:t>
      </w:r>
    </w:p>
    <w:p w:rsidR="001916B9" w:rsidRPr="00D240C4" w:rsidRDefault="001916B9" w:rsidP="001916B9">
      <w:pPr>
        <w:spacing w:after="100" w:afterAutospacing="1" w:line="240" w:lineRule="auto"/>
        <w:rPr>
          <w:rFonts w:ascii="Roboto" w:eastAsia="Times New Roman" w:hAnsi="Roboto" w:cs="Times New Roman"/>
          <w:bCs/>
          <w:color w:val="1B252F"/>
          <w:sz w:val="30"/>
          <w:szCs w:val="30"/>
          <w:lang w:eastAsia="fr-FR"/>
        </w:rPr>
      </w:pPr>
      <w:r w:rsidRPr="00D240C4">
        <w:rPr>
          <w:rFonts w:ascii="Roboto" w:eastAsia="Times New Roman" w:hAnsi="Roboto" w:cs="Times New Roman"/>
          <w:bCs/>
          <w:color w:val="1B252F"/>
          <w:sz w:val="30"/>
          <w:szCs w:val="30"/>
          <w:lang w:eastAsia="fr-FR"/>
        </w:rPr>
        <w:t>- Les échantillons de laboratoire ont été mal étiquetés.</w:t>
      </w:r>
    </w:p>
    <w:p w:rsidR="00D240C4" w:rsidRDefault="001916B9" w:rsidP="001916B9">
      <w:pPr>
        <w:spacing w:after="100" w:afterAutospacing="1" w:line="240" w:lineRule="auto"/>
        <w:rPr>
          <w:rFonts w:ascii="Roboto" w:eastAsia="Times New Roman" w:hAnsi="Roboto" w:cs="Times New Roman"/>
          <w:bCs/>
          <w:color w:val="1B252F"/>
          <w:sz w:val="30"/>
          <w:szCs w:val="30"/>
          <w:lang w:eastAsia="fr-FR"/>
        </w:rPr>
      </w:pPr>
      <w:r w:rsidRPr="00D240C4">
        <w:rPr>
          <w:rFonts w:ascii="Roboto" w:eastAsia="Times New Roman" w:hAnsi="Roboto" w:cs="Times New Roman"/>
          <w:bCs/>
          <w:color w:val="1B252F"/>
          <w:sz w:val="30"/>
          <w:szCs w:val="30"/>
          <w:lang w:eastAsia="fr-FR"/>
        </w:rPr>
        <w:t>Le jour même, Jackson a été licenciée. Selon sa lettre de licenciement, la direction a décidé qu'elle "ne convenait pas à l'entreprise". Selon Jackson, c'était la première fois qu'elle était licenciée en 20 ans de carrière en tant que coordinatrice de recherche clinique. Comme le note Thacker</w:t>
      </w:r>
      <w:r w:rsidR="00D240C4">
        <w:rPr>
          <w:rFonts w:ascii="Roboto" w:eastAsia="Times New Roman" w:hAnsi="Roboto" w:cs="Times New Roman"/>
          <w:bCs/>
          <w:color w:val="1B252F"/>
          <w:sz w:val="30"/>
          <w:szCs w:val="30"/>
          <w:lang w:eastAsia="fr-FR"/>
        </w:rPr>
        <w:t> :</w:t>
      </w:r>
    </w:p>
    <w:p w:rsidR="00D240C4" w:rsidRPr="00D240C4" w:rsidRDefault="00D240C4" w:rsidP="00D240C4">
      <w:pPr>
        <w:spacing w:after="100" w:afterAutospacing="1" w:line="240" w:lineRule="auto"/>
        <w:rPr>
          <w:rFonts w:ascii="Roboto" w:eastAsia="Times New Roman" w:hAnsi="Roboto" w:cs="Times New Roman"/>
          <w:i/>
          <w:iCs/>
          <w:color w:val="1B252F"/>
          <w:sz w:val="30"/>
          <w:szCs w:val="30"/>
          <w:lang w:eastAsia="fr-FR"/>
        </w:rPr>
      </w:pPr>
      <w:r w:rsidRPr="00D240C4">
        <w:rPr>
          <w:rFonts w:ascii="Roboto" w:eastAsia="Times New Roman" w:hAnsi="Roboto" w:cs="Times New Roman"/>
          <w:i/>
          <w:iCs/>
          <w:color w:val="1B252F"/>
          <w:sz w:val="30"/>
          <w:szCs w:val="30"/>
          <w:lang w:eastAsia="fr-FR"/>
        </w:rPr>
        <w:t>Dans un enregistrement d'une réunion entre Jackson et deux directeurs fin septembre 2020, on peut entendre un cadre supérieur de Ventavia expliquer que l'entreprise n'a pas été en mesure de quantifier le type et le nombre d'erreurs qu'elle a constatées lors de l'examen des documents d'étude de contrôle qualité. A mon avis, c'est tous les jours quelque chose de nouveau, dit un cadre de Ventavia. Nous savons que c'est significatif.</w:t>
      </w:r>
    </w:p>
    <w:p w:rsidR="00D240C4" w:rsidRPr="00D240C4" w:rsidRDefault="00D240C4" w:rsidP="00D240C4">
      <w:pPr>
        <w:spacing w:after="100" w:afterAutospacing="1" w:line="240" w:lineRule="auto"/>
        <w:rPr>
          <w:rFonts w:ascii="Roboto" w:eastAsia="Times New Roman" w:hAnsi="Roboto" w:cs="Times New Roman"/>
          <w:i/>
          <w:iCs/>
          <w:color w:val="1B252F"/>
          <w:sz w:val="30"/>
          <w:szCs w:val="30"/>
          <w:lang w:eastAsia="fr-FR"/>
        </w:rPr>
      </w:pPr>
      <w:r w:rsidRPr="00D240C4">
        <w:rPr>
          <w:rFonts w:ascii="Roboto" w:eastAsia="Times New Roman" w:hAnsi="Roboto" w:cs="Times New Roman"/>
          <w:i/>
          <w:iCs/>
          <w:color w:val="1B252F"/>
          <w:sz w:val="30"/>
          <w:szCs w:val="30"/>
          <w:lang w:eastAsia="fr-FR"/>
        </w:rPr>
        <w:t>Ventavia n'a pas suivi les demandes d'entrée de données, comme le montre un e-mail d'ICON, l'institut de recherche sous contrat avec lequel Pfizer a collaboré pour l'étude. ICON a rappelé à Ventavia dans un courriel de septembre 2020 : "L'attente pour cette étude est que toutes les demandes soient satisfaites dans les 24 heures.</w:t>
      </w:r>
    </w:p>
    <w:p w:rsidR="00D240C4" w:rsidRPr="00D240C4" w:rsidRDefault="00D240C4" w:rsidP="00D240C4">
      <w:pPr>
        <w:spacing w:after="100" w:afterAutospacing="1" w:line="240" w:lineRule="auto"/>
        <w:rPr>
          <w:rFonts w:ascii="Roboto" w:eastAsia="Times New Roman" w:hAnsi="Roboto" w:cs="Times New Roman"/>
          <w:i/>
          <w:iCs/>
          <w:color w:val="1B252F"/>
          <w:sz w:val="30"/>
          <w:szCs w:val="30"/>
          <w:lang w:eastAsia="fr-FR"/>
        </w:rPr>
      </w:pPr>
      <w:r w:rsidRPr="00D240C4">
        <w:rPr>
          <w:rFonts w:ascii="Roboto" w:eastAsia="Times New Roman" w:hAnsi="Roboto" w:cs="Times New Roman"/>
          <w:i/>
          <w:iCs/>
          <w:color w:val="1B252F"/>
          <w:sz w:val="30"/>
          <w:szCs w:val="30"/>
          <w:lang w:eastAsia="fr-FR"/>
        </w:rPr>
        <w:t>ICON a alors marqué en jaune plus de 100 demandes en attente datant de plus de trois jours. Il s'agissait par exemple de deux personnes chez qui le sujet avait signalé des symptômes/réactions graves... Selon le protocole, les sujets présentant des réactions locales de grade 3 doivent être contactés. Veuillez confirmer si un CONTACT NON PLANIFIÉ a eu lieu et mettre à jour le formulaire correspondant en conséquence.</w:t>
      </w:r>
    </w:p>
    <w:p w:rsidR="00D240C4" w:rsidRPr="00D240C4" w:rsidRDefault="00D240C4" w:rsidP="00D240C4">
      <w:pPr>
        <w:spacing w:after="100" w:afterAutospacing="1" w:line="240" w:lineRule="auto"/>
        <w:rPr>
          <w:rFonts w:ascii="Roboto" w:eastAsia="Times New Roman" w:hAnsi="Roboto" w:cs="Times New Roman"/>
          <w:i/>
          <w:iCs/>
          <w:color w:val="1B252F"/>
          <w:sz w:val="30"/>
          <w:szCs w:val="30"/>
          <w:lang w:eastAsia="fr-FR"/>
        </w:rPr>
      </w:pPr>
      <w:r w:rsidRPr="00D240C4">
        <w:rPr>
          <w:rFonts w:ascii="Roboto" w:eastAsia="Times New Roman" w:hAnsi="Roboto" w:cs="Times New Roman"/>
          <w:i/>
          <w:iCs/>
          <w:color w:val="1B252F"/>
          <w:sz w:val="30"/>
          <w:szCs w:val="30"/>
          <w:lang w:eastAsia="fr-FR"/>
        </w:rPr>
        <w:t>Selon le protocole de l'étude, un contact téléphonique aurait dû avoir lieu afin d'obtenir plus de détails et de déterminer si une visite sur place était cliniquement indiquée. Les documents indiquent que les problèmes existaient déjà depuis plusieurs semaines.</w:t>
      </w:r>
    </w:p>
    <w:p w:rsidR="00D240C4" w:rsidRDefault="00D240C4" w:rsidP="00D240C4">
      <w:pPr>
        <w:spacing w:after="100" w:afterAutospacing="1" w:line="240" w:lineRule="auto"/>
        <w:rPr>
          <w:rFonts w:ascii="Roboto" w:eastAsia="Times New Roman" w:hAnsi="Roboto" w:cs="Times New Roman"/>
          <w:i/>
          <w:iCs/>
          <w:color w:val="1B252F"/>
          <w:sz w:val="30"/>
          <w:szCs w:val="30"/>
          <w:lang w:eastAsia="fr-FR"/>
        </w:rPr>
      </w:pPr>
      <w:r w:rsidRPr="00D240C4">
        <w:rPr>
          <w:rFonts w:ascii="Roboto" w:eastAsia="Times New Roman" w:hAnsi="Roboto" w:cs="Times New Roman"/>
          <w:i/>
          <w:iCs/>
          <w:color w:val="1B252F"/>
          <w:sz w:val="30"/>
          <w:szCs w:val="30"/>
          <w:lang w:eastAsia="fr-FR"/>
        </w:rPr>
        <w:t>Dans une liste de "points d'action" qui a circulé parmi les cadres de Ventavia au début du mois d'août 2020, peu après le début de l'étude et avant l'embauche de Jackson, un cadre de Ventavia a mentionné trois employés du site avec lesquels il devait "discuter du problème du journal électronique/de la falsification des données, etc. L'un d'entre eux a été 'averti verbalement de modifier les données et de ne pas noter les entrées tardives', selon une note.</w:t>
      </w:r>
    </w:p>
    <w:p w:rsidR="00D240C4" w:rsidRDefault="00D240C4" w:rsidP="00512F51">
      <w:pPr>
        <w:spacing w:after="100" w:afterAutospacing="1" w:line="240" w:lineRule="auto"/>
        <w:jc w:val="center"/>
        <w:rPr>
          <w:rFonts w:ascii="Roboto" w:eastAsia="Times New Roman" w:hAnsi="Roboto" w:cs="Times New Roman"/>
          <w:color w:val="1B252F"/>
          <w:sz w:val="30"/>
          <w:szCs w:val="30"/>
          <w:lang w:eastAsia="fr-FR"/>
        </w:rPr>
      </w:pPr>
      <w:r w:rsidRPr="00D240C4">
        <w:rPr>
          <w:rFonts w:ascii="Roboto" w:eastAsia="Times New Roman" w:hAnsi="Roboto" w:cs="Times New Roman"/>
          <w:color w:val="1B252F"/>
          <w:sz w:val="30"/>
          <w:szCs w:val="30"/>
          <w:lang w:eastAsia="fr-FR"/>
        </w:rPr>
        <w:t>Les révélations de Jackson ont récemment été présentées dans le documentaire italien "Pfizergate". Les documents qu'elle a rassemblés peuvent être téléchargés sur le site de COVID Vaccine Reaction.</w:t>
      </w:r>
    </w:p>
    <w:p w:rsidR="00D0793F" w:rsidRPr="00EA2E1F" w:rsidRDefault="00D0793F" w:rsidP="00D0793F">
      <w:pPr>
        <w:spacing w:after="100" w:afterAutospacing="1" w:line="240" w:lineRule="auto"/>
        <w:jc w:val="center"/>
        <w:rPr>
          <w:rFonts w:ascii="Arial" w:eastAsia="Times New Roman" w:hAnsi="Arial" w:cs="Arial"/>
          <w:b/>
          <w:bCs/>
          <w:color w:val="1B252F"/>
          <w:sz w:val="36"/>
          <w:szCs w:val="36"/>
          <w:lang w:eastAsia="fr-FR"/>
        </w:rPr>
      </w:pPr>
      <w:r w:rsidRPr="00EA2E1F">
        <w:rPr>
          <w:rFonts w:ascii="Arial" w:eastAsia="Times New Roman" w:hAnsi="Arial" w:cs="Arial"/>
          <w:b/>
          <w:bCs/>
          <w:color w:val="1B252F"/>
          <w:sz w:val="36"/>
          <w:szCs w:val="36"/>
          <w:lang w:eastAsia="fr-FR"/>
        </w:rPr>
        <w:t>Ventavia, Pfizer et la FDA ignorent les accusations</w:t>
      </w:r>
    </w:p>
    <w:p w:rsidR="00D0793F" w:rsidRPr="00D0793F" w:rsidRDefault="00D0793F" w:rsidP="00D0793F">
      <w:pPr>
        <w:spacing w:after="100" w:afterAutospacing="1" w:line="240" w:lineRule="auto"/>
        <w:jc w:val="center"/>
        <w:rPr>
          <w:rFonts w:ascii="Roboto" w:eastAsia="Times New Roman" w:hAnsi="Roboto" w:cs="Times New Roman"/>
          <w:bCs/>
          <w:color w:val="1B252F"/>
          <w:sz w:val="30"/>
          <w:szCs w:val="30"/>
          <w:lang w:eastAsia="fr-FR"/>
        </w:rPr>
      </w:pPr>
      <w:r w:rsidRPr="00D0793F">
        <w:rPr>
          <w:rFonts w:ascii="Roboto" w:eastAsia="Times New Roman" w:hAnsi="Roboto" w:cs="Times New Roman"/>
          <w:bCs/>
          <w:color w:val="1B252F"/>
          <w:sz w:val="30"/>
          <w:szCs w:val="30"/>
          <w:lang w:eastAsia="fr-FR"/>
        </w:rPr>
        <w:t>Curieusement, l'étendue des efforts de Ventavia pour se défendre consiste à nier que Jackson ait jamais travaillé sur l'étude de Pfizer - une accusation dont il est prouvé qu'elle est fausse, puisqu'elle possède des documents prouvant qu'elle a été chargée de travailler sur l'étude.</w:t>
      </w:r>
    </w:p>
    <w:p w:rsidR="00D0793F" w:rsidRPr="00D0793F" w:rsidRDefault="00D0793F" w:rsidP="00D0793F">
      <w:pPr>
        <w:spacing w:after="100" w:afterAutospacing="1" w:line="240" w:lineRule="auto"/>
        <w:jc w:val="center"/>
        <w:rPr>
          <w:rFonts w:ascii="Roboto" w:eastAsia="Times New Roman" w:hAnsi="Roboto" w:cs="Times New Roman"/>
          <w:bCs/>
          <w:color w:val="1B252F"/>
          <w:sz w:val="30"/>
          <w:szCs w:val="30"/>
          <w:lang w:eastAsia="fr-FR"/>
        </w:rPr>
      </w:pPr>
      <w:r w:rsidRPr="00D0793F">
        <w:rPr>
          <w:rFonts w:ascii="Roboto" w:eastAsia="Times New Roman" w:hAnsi="Roboto" w:cs="Times New Roman"/>
          <w:bCs/>
          <w:color w:val="1B252F"/>
          <w:sz w:val="30"/>
          <w:szCs w:val="30"/>
          <w:lang w:eastAsia="fr-FR"/>
        </w:rPr>
        <w:t>Pfizer n'a pas non plus fait de commentaires sur ce sujet. L'entreprise n'a répondu à aucune des questions du BMJ, qui visaient notamment à savoir si les données de Ventavia avaient été prises en compte dans les analyses de sécurité et d'efficacité de Pfizer.</w:t>
      </w:r>
    </w:p>
    <w:p w:rsidR="00D0793F" w:rsidRPr="00D0793F" w:rsidRDefault="00D0793F" w:rsidP="00D0793F">
      <w:pPr>
        <w:spacing w:after="100" w:afterAutospacing="1" w:line="240" w:lineRule="auto"/>
        <w:jc w:val="center"/>
        <w:rPr>
          <w:rFonts w:ascii="Roboto" w:eastAsia="Times New Roman" w:hAnsi="Roboto" w:cs="Times New Roman"/>
          <w:bCs/>
          <w:color w:val="1B252F"/>
          <w:sz w:val="30"/>
          <w:szCs w:val="30"/>
          <w:lang w:eastAsia="fr-FR"/>
        </w:rPr>
      </w:pPr>
      <w:r w:rsidRPr="00D0793F">
        <w:rPr>
          <w:rFonts w:ascii="Roboto" w:eastAsia="Times New Roman" w:hAnsi="Roboto" w:cs="Times New Roman"/>
          <w:bCs/>
          <w:color w:val="1B252F"/>
          <w:sz w:val="30"/>
          <w:szCs w:val="30"/>
          <w:lang w:eastAsia="fr-FR"/>
        </w:rPr>
        <w:t>Nous savons cependant qu'aucun des problèmes soulevés par Jackson dans sa plainte auprès de la FDA n'a été mentionné ou abordé dans le document d'information de Pfizer présenté au comité consultatif de la FDA le 20 décembre 2020, lorsque la demande d'autorisation d'urgence a été examinée.</w:t>
      </w:r>
    </w:p>
    <w:p w:rsidR="00D0793F" w:rsidRPr="00D0793F" w:rsidRDefault="00D0793F" w:rsidP="00D0793F">
      <w:pPr>
        <w:spacing w:after="100" w:afterAutospacing="1" w:line="240" w:lineRule="auto"/>
        <w:jc w:val="center"/>
        <w:rPr>
          <w:rFonts w:ascii="Roboto" w:eastAsia="Times New Roman" w:hAnsi="Roboto" w:cs="Times New Roman"/>
          <w:bCs/>
          <w:color w:val="1B252F"/>
          <w:sz w:val="30"/>
          <w:szCs w:val="30"/>
          <w:lang w:eastAsia="fr-FR"/>
        </w:rPr>
      </w:pPr>
      <w:r w:rsidRPr="00D0793F">
        <w:rPr>
          <w:rFonts w:ascii="Roboto" w:eastAsia="Times New Roman" w:hAnsi="Roboto" w:cs="Times New Roman"/>
          <w:bCs/>
          <w:color w:val="1B252F"/>
          <w:sz w:val="30"/>
          <w:szCs w:val="30"/>
          <w:lang w:eastAsia="fr-FR"/>
        </w:rPr>
        <w:t>La FDA a accordé une autorisation d'urgence au vaccin de Pfizer dès le lendemain, bien qu'elle ait reçu la plainte de Jackson, ce qui aurait dû freiner la FDA. Ils auraient au moins dû examiner la question avant d'aller plus loin.</w:t>
      </w:r>
    </w:p>
    <w:p w:rsidR="00D0793F" w:rsidRPr="00D0793F" w:rsidRDefault="00D0793F" w:rsidP="00D0793F">
      <w:pPr>
        <w:spacing w:after="100" w:afterAutospacing="1" w:line="240" w:lineRule="auto"/>
        <w:jc w:val="center"/>
        <w:rPr>
          <w:rFonts w:ascii="Roboto" w:eastAsia="Times New Roman" w:hAnsi="Roboto" w:cs="Times New Roman"/>
          <w:bCs/>
          <w:color w:val="1B252F"/>
          <w:sz w:val="30"/>
          <w:szCs w:val="30"/>
          <w:lang w:eastAsia="fr-FR"/>
        </w:rPr>
      </w:pPr>
      <w:r w:rsidRPr="00D0793F">
        <w:rPr>
          <w:rFonts w:ascii="Roboto" w:eastAsia="Times New Roman" w:hAnsi="Roboto" w:cs="Times New Roman"/>
          <w:bCs/>
          <w:color w:val="1B252F"/>
          <w:sz w:val="30"/>
          <w:szCs w:val="30"/>
          <w:lang w:eastAsia="fr-FR"/>
        </w:rPr>
        <w:t>Le BMJ a tenté d'obtenir de la FDA une réponse à la question de savoir pourquoi elle n'avait inspecté aucun des centres d'essai de Ventavia après les accusations de Jackson et si elle avait reçu d'autres plaintes concernant l'étude. Un porte-parole de la FDA a indiqué au BMJ que l'agence ne pouvait pas faire de commentaires car il s'agissait d'une "affaire en cours", quoi que cela puisse signifier.</w:t>
      </w:r>
    </w:p>
    <w:p w:rsidR="00D0793F" w:rsidRDefault="00D0793F" w:rsidP="00D0793F">
      <w:pPr>
        <w:spacing w:after="100" w:afterAutospacing="1" w:line="240" w:lineRule="auto"/>
        <w:jc w:val="center"/>
        <w:rPr>
          <w:rFonts w:ascii="Roboto" w:eastAsia="Times New Roman" w:hAnsi="Roboto" w:cs="Times New Roman"/>
          <w:bCs/>
          <w:color w:val="1B252F"/>
          <w:sz w:val="30"/>
          <w:szCs w:val="30"/>
          <w:lang w:eastAsia="fr-FR"/>
        </w:rPr>
      </w:pPr>
      <w:r w:rsidRPr="00D0793F">
        <w:rPr>
          <w:rFonts w:ascii="Roboto" w:eastAsia="Times New Roman" w:hAnsi="Roboto" w:cs="Times New Roman"/>
          <w:bCs/>
          <w:color w:val="1B252F"/>
          <w:sz w:val="30"/>
          <w:szCs w:val="30"/>
          <w:lang w:eastAsia="fr-FR"/>
        </w:rPr>
        <w:t>La FDA a toutefois déclaré qu'elle avait pleinement confiance dans les données utilisées pour l'autorisation du vaccin COVID-19 de Pfizer-BioNTech et l'approbation de la Commission. Si l'on considère qu'ils n'ont pas examiné les plaintes de Jackson, leur vote de confiance ne me semble pas très convaincant.</w:t>
      </w:r>
    </w:p>
    <w:p w:rsidR="00D0793F" w:rsidRPr="00EA2E1F" w:rsidRDefault="00D0793F" w:rsidP="00D0793F">
      <w:pPr>
        <w:spacing w:after="100" w:afterAutospacing="1" w:line="240" w:lineRule="auto"/>
        <w:jc w:val="center"/>
        <w:rPr>
          <w:rFonts w:ascii="Arial" w:eastAsia="Times New Roman" w:hAnsi="Arial" w:cs="Arial"/>
          <w:b/>
          <w:bCs/>
          <w:color w:val="1B252F"/>
          <w:sz w:val="36"/>
          <w:szCs w:val="36"/>
          <w:lang w:eastAsia="fr-FR"/>
        </w:rPr>
      </w:pPr>
      <w:r w:rsidRPr="00EA2E1F">
        <w:rPr>
          <w:rFonts w:ascii="Arial" w:eastAsia="Times New Roman" w:hAnsi="Arial" w:cs="Arial"/>
          <w:b/>
          <w:bCs/>
          <w:color w:val="1B252F"/>
          <w:sz w:val="36"/>
          <w:szCs w:val="36"/>
          <w:lang w:eastAsia="fr-FR"/>
        </w:rPr>
        <w:t>D'autres témoins de Ventavia s'expriment</w:t>
      </w:r>
    </w:p>
    <w:p w:rsidR="00B73531" w:rsidRDefault="00D0793F" w:rsidP="00D0793F">
      <w:pPr>
        <w:spacing w:after="100" w:afterAutospacing="1" w:line="240" w:lineRule="auto"/>
        <w:rPr>
          <w:rFonts w:ascii="Roboto" w:eastAsia="Times New Roman" w:hAnsi="Roboto" w:cs="Times New Roman"/>
          <w:bCs/>
          <w:color w:val="1B252F"/>
          <w:sz w:val="30"/>
          <w:szCs w:val="30"/>
          <w:lang w:eastAsia="fr-FR"/>
        </w:rPr>
      </w:pPr>
      <w:r w:rsidRPr="00D0793F">
        <w:rPr>
          <w:rFonts w:ascii="Roboto" w:eastAsia="Times New Roman" w:hAnsi="Roboto" w:cs="Times New Roman"/>
          <w:bCs/>
          <w:color w:val="1B252F"/>
          <w:sz w:val="30"/>
          <w:szCs w:val="30"/>
          <w:lang w:eastAsia="fr-FR"/>
        </w:rPr>
        <w:t>Jackson n'est pas le seul employé à avoir été licencié par Ventavia après avoir exprimé des inquiétudes quant à l'intégrité de l'étude de Pfizer. Selon Thacker, plusieurs autres employés de Ventavia ont soit quitté l'entreprise, soit été licenciés. Parmi eux, un fonctionnaire de Ventavia qui avait participé à la réunion susmentionnée fin septembre. Thacker écrit</w:t>
      </w:r>
    </w:p>
    <w:p w:rsidR="00B73531" w:rsidRPr="00B73531" w:rsidRDefault="00B73531" w:rsidP="00B73531">
      <w:pPr>
        <w:spacing w:after="100" w:afterAutospacing="1" w:line="240" w:lineRule="auto"/>
        <w:rPr>
          <w:rFonts w:ascii="Roboto" w:eastAsia="Times New Roman" w:hAnsi="Roboto" w:cs="Times New Roman"/>
          <w:i/>
          <w:iCs/>
          <w:color w:val="1B252F"/>
          <w:sz w:val="30"/>
          <w:szCs w:val="30"/>
          <w:lang w:eastAsia="fr-FR"/>
        </w:rPr>
      </w:pPr>
      <w:r w:rsidRPr="00B73531">
        <w:rPr>
          <w:rFonts w:ascii="Roboto" w:eastAsia="Times New Roman" w:hAnsi="Roboto" w:cs="Times New Roman"/>
          <w:i/>
          <w:iCs/>
          <w:color w:val="1B252F"/>
          <w:sz w:val="30"/>
          <w:szCs w:val="30"/>
          <w:lang w:eastAsia="fr-FR"/>
        </w:rPr>
        <w:t>Dans un message texte envoyé [à Jackson] en juin, l'ancien fonctionnaire s'est excusé et a déclaré que "tout ce dont vous vous êtes plaint était parfaitement exact". Deux anciens employés de Ventavia ont parlé anonymement au BMJ, craignant des représailles et la perte d'emplois dans la communauté de recherche très soudée. Toutes deux ont confirmé de larges aspects de la plainte de Jackson.</w:t>
      </w:r>
    </w:p>
    <w:p w:rsidR="00B73531" w:rsidRPr="00B73531" w:rsidRDefault="00B73531" w:rsidP="00B73531">
      <w:pPr>
        <w:spacing w:after="100" w:afterAutospacing="1" w:line="240" w:lineRule="auto"/>
        <w:rPr>
          <w:rFonts w:ascii="Roboto" w:eastAsia="Times New Roman" w:hAnsi="Roboto" w:cs="Times New Roman"/>
          <w:i/>
          <w:iCs/>
          <w:color w:val="1B252F"/>
          <w:sz w:val="30"/>
          <w:szCs w:val="30"/>
          <w:lang w:eastAsia="fr-FR"/>
        </w:rPr>
      </w:pPr>
      <w:r w:rsidRPr="00B73531">
        <w:rPr>
          <w:rFonts w:ascii="Roboto" w:eastAsia="Times New Roman" w:hAnsi="Roboto" w:cs="Times New Roman"/>
          <w:i/>
          <w:iCs/>
          <w:color w:val="1B252F"/>
          <w:sz w:val="30"/>
          <w:szCs w:val="30"/>
          <w:lang w:eastAsia="fr-FR"/>
        </w:rPr>
        <w:t>L'une d'entre elles a déclaré qu'elle avait travaillé sur plus de quatre douzaines d'essais cliniques au cours de sa carrière, dont de nombreux essais de grande envergure, mais qu'elle n'avait jamais connu un environnement de travail aussi "agité" que celui de Ventavia dans l'essai de Pfizer.</w:t>
      </w:r>
    </w:p>
    <w:p w:rsidR="00B73531" w:rsidRDefault="00B73531" w:rsidP="00B73531">
      <w:pPr>
        <w:spacing w:after="100" w:afterAutospacing="1" w:line="240" w:lineRule="auto"/>
        <w:rPr>
          <w:rFonts w:ascii="Roboto" w:eastAsia="Times New Roman" w:hAnsi="Roboto" w:cs="Times New Roman"/>
          <w:i/>
          <w:iCs/>
          <w:color w:val="1B252F"/>
          <w:sz w:val="30"/>
          <w:szCs w:val="30"/>
          <w:lang w:eastAsia="fr-FR"/>
        </w:rPr>
      </w:pPr>
      <w:r w:rsidRPr="00B73531">
        <w:rPr>
          <w:rFonts w:ascii="Roboto" w:eastAsia="Times New Roman" w:hAnsi="Roboto" w:cs="Times New Roman"/>
          <w:i/>
          <w:iCs/>
          <w:color w:val="1B252F"/>
          <w:sz w:val="30"/>
          <w:szCs w:val="30"/>
          <w:lang w:eastAsia="fr-FR"/>
        </w:rPr>
        <w:t>Je n'ai jamais eu à faire ce qu'on me demandait de faire, a-t-elle déclaré à The BMJ. Cela semblait simplement être quelque chose de différent des choses normales - les choses qui sont autorisées et attendues.</w:t>
      </w:r>
    </w:p>
    <w:p w:rsidR="002113FB" w:rsidRDefault="002113FB" w:rsidP="00512F51">
      <w:pPr>
        <w:spacing w:after="100" w:afterAutospacing="1" w:line="240" w:lineRule="auto"/>
        <w:rPr>
          <w:rFonts w:ascii="Roboto" w:eastAsia="Times New Roman" w:hAnsi="Roboto" w:cs="Times New Roman"/>
          <w:color w:val="1B252F"/>
          <w:sz w:val="30"/>
          <w:szCs w:val="30"/>
          <w:lang w:eastAsia="fr-FR"/>
        </w:rPr>
      </w:pPr>
      <w:r w:rsidRPr="002113FB">
        <w:rPr>
          <w:rFonts w:ascii="Roboto" w:eastAsia="Times New Roman" w:hAnsi="Roboto" w:cs="Times New Roman"/>
          <w:color w:val="1B252F"/>
          <w:sz w:val="30"/>
          <w:szCs w:val="30"/>
          <w:lang w:eastAsia="fr-FR"/>
        </w:rPr>
        <w:t>Selon ces informateurs, les problèmes ont persisté après le licenciement de Jackson. L'un d'entre eux affirme qu'à plusieurs reprises, il n'y avait pas assez de personnel pour tester les participants à l'étude qui avaient signalé des symptômes similaires à ceux du COVID.</w:t>
      </w:r>
    </w:p>
    <w:p w:rsidR="002113FB" w:rsidRDefault="002113FB" w:rsidP="00512F51">
      <w:pPr>
        <w:spacing w:after="100" w:afterAutospacing="1" w:line="240" w:lineRule="auto"/>
        <w:rPr>
          <w:rFonts w:ascii="Roboto" w:eastAsia="Times New Roman" w:hAnsi="Roboto" w:cs="Times New Roman"/>
          <w:color w:val="1B252F"/>
          <w:sz w:val="30"/>
          <w:szCs w:val="30"/>
          <w:lang w:eastAsia="fr-FR"/>
        </w:rPr>
      </w:pPr>
      <w:r w:rsidRPr="002113FB">
        <w:rPr>
          <w:rFonts w:ascii="Roboto" w:eastAsia="Times New Roman" w:hAnsi="Roboto" w:cs="Times New Roman"/>
          <w:color w:val="1B252F"/>
          <w:sz w:val="30"/>
          <w:szCs w:val="30"/>
          <w:lang w:eastAsia="fr-FR"/>
        </w:rPr>
        <w:t>La maladie symptomatique COVID-19 confirmée en laboratoire était le critère d'évaluation principal de l'étude, c'était donc un enjeu crucial. Un mémorandum d'examen de la FDA daté d'août 2021 indique que 477 participants à l'étude suspectés d'être atteints de COVID-19 n'ont pas été testés pour l'infection. "Je ne pense pas qu'il s'agissait de bonnes données propres", a déclaré l'ancien employé de Ventavia à Thacker. "C'est une confusion folle".</w:t>
      </w:r>
    </w:p>
    <w:p w:rsidR="00F10184" w:rsidRDefault="002113FB" w:rsidP="00512F51">
      <w:pPr>
        <w:spacing w:after="100" w:afterAutospacing="1" w:line="240" w:lineRule="auto"/>
        <w:rPr>
          <w:rFonts w:ascii="Roboto" w:eastAsia="Times New Roman" w:hAnsi="Roboto" w:cs="Times New Roman"/>
          <w:color w:val="1B252F"/>
          <w:sz w:val="30"/>
          <w:szCs w:val="30"/>
          <w:lang w:eastAsia="fr-FR"/>
        </w:rPr>
      </w:pPr>
      <w:r w:rsidRPr="002113FB">
        <w:rPr>
          <w:rFonts w:ascii="Roboto" w:eastAsia="Times New Roman" w:hAnsi="Roboto" w:cs="Times New Roman"/>
          <w:color w:val="1B252F"/>
          <w:sz w:val="30"/>
          <w:szCs w:val="30"/>
          <w:lang w:eastAsia="fr-FR"/>
        </w:rPr>
        <w:t>De telles déclarations sont clairement en contradiction avec les déclarations des dirigeants politiques, des autorités sanitaires et des médias grand public. La plupart d'entre eux, comme le ministre australien de la Santé Greg Hunt, ont affirmé que les vaccins COVID avaient été soumis à des "tests rigoureux et indépendants" pour s'assurer qu'ils étaient "sûrs, efficaces et fabriqués selon des normes élevées".</w:t>
      </w:r>
    </w:p>
    <w:p w:rsidR="00F10184" w:rsidRDefault="00F10184" w:rsidP="00512F51">
      <w:pPr>
        <w:spacing w:after="100" w:afterAutospacing="1" w:line="240" w:lineRule="auto"/>
        <w:rPr>
          <w:rFonts w:ascii="Roboto" w:eastAsia="Times New Roman" w:hAnsi="Roboto" w:cs="Times New Roman"/>
          <w:color w:val="1B252F"/>
          <w:sz w:val="30"/>
          <w:szCs w:val="30"/>
          <w:lang w:eastAsia="fr-FR"/>
        </w:rPr>
      </w:pPr>
      <w:r w:rsidRPr="00F10184">
        <w:rPr>
          <w:rFonts w:ascii="Roboto" w:eastAsia="Times New Roman" w:hAnsi="Roboto" w:cs="Times New Roman"/>
          <w:color w:val="1B252F"/>
          <w:sz w:val="30"/>
          <w:szCs w:val="30"/>
          <w:highlight w:val="yellow"/>
          <w:lang w:eastAsia="fr-FR"/>
        </w:rPr>
        <w:t>Rien de ce que nous savons à ce jour n'appuie une telle conclusion. Les tests étaient loin d'être rigoureux et n'ont pas été vérifiés de manière indépendante.</w:t>
      </w:r>
    </w:p>
    <w:p w:rsidR="00F10184" w:rsidRDefault="00F10184" w:rsidP="00512F51">
      <w:pPr>
        <w:spacing w:after="100" w:afterAutospacing="1" w:line="240" w:lineRule="auto"/>
        <w:jc w:val="center"/>
        <w:rPr>
          <w:rFonts w:ascii="Roboto" w:eastAsia="Times New Roman" w:hAnsi="Roboto" w:cs="Times New Roman"/>
          <w:color w:val="1B252F"/>
          <w:sz w:val="30"/>
          <w:szCs w:val="30"/>
          <w:lang w:eastAsia="fr-FR"/>
        </w:rPr>
      </w:pPr>
      <w:r w:rsidRPr="00F10184">
        <w:rPr>
          <w:rFonts w:ascii="Roboto" w:eastAsia="Times New Roman" w:hAnsi="Roboto" w:cs="Times New Roman"/>
          <w:color w:val="1B252F"/>
          <w:sz w:val="30"/>
          <w:szCs w:val="30"/>
          <w:lang w:eastAsia="fr-FR"/>
        </w:rPr>
        <w:t xml:space="preserve">Les données du Vaccine Adverse Events Reporting System (VAERS) montrent qu'ils sont d'une insécurité choquante ; les données de la pratique montrent que l'efficacité diminue en quelques mois et que l'on devient plus vulnérable aux variantes du SRAS-CoV-2 et à d'autres infections ; et il s'est avéré que les normes de fabrication sont également insuffisantes, car </w:t>
      </w:r>
      <w:r w:rsidRPr="00F10184">
        <w:rPr>
          <w:rFonts w:ascii="Roboto" w:eastAsia="Times New Roman" w:hAnsi="Roboto" w:cs="Times New Roman"/>
          <w:color w:val="1B252F"/>
          <w:sz w:val="30"/>
          <w:szCs w:val="30"/>
          <w:highlight w:val="yellow"/>
          <w:lang w:eastAsia="fr-FR"/>
        </w:rPr>
        <w:t>on a trouvé une multitude de substances étrangères dans les flacons</w:t>
      </w:r>
      <w:r w:rsidRPr="00F10184">
        <w:rPr>
          <w:rFonts w:ascii="Roboto" w:eastAsia="Times New Roman" w:hAnsi="Roboto" w:cs="Times New Roman"/>
          <w:color w:val="1B252F"/>
          <w:sz w:val="30"/>
          <w:szCs w:val="30"/>
          <w:lang w:eastAsia="fr-FR"/>
        </w:rPr>
        <w:t>.</w:t>
      </w:r>
    </w:p>
    <w:p w:rsidR="00F10184" w:rsidRPr="00F10184" w:rsidRDefault="00F10184" w:rsidP="00F10184">
      <w:pPr>
        <w:spacing w:after="100" w:afterAutospacing="1" w:line="240" w:lineRule="auto"/>
        <w:jc w:val="center"/>
        <w:rPr>
          <w:rFonts w:ascii="Arial" w:eastAsia="Times New Roman" w:hAnsi="Arial" w:cs="Arial"/>
          <w:b/>
          <w:bCs/>
          <w:color w:val="1B252F"/>
          <w:sz w:val="36"/>
          <w:szCs w:val="36"/>
          <w:lang w:eastAsia="fr-FR"/>
        </w:rPr>
      </w:pPr>
      <w:r w:rsidRPr="00F10184">
        <w:rPr>
          <w:rFonts w:ascii="Arial" w:eastAsia="Times New Roman" w:hAnsi="Arial" w:cs="Arial"/>
          <w:b/>
          <w:bCs/>
          <w:color w:val="1B252F"/>
          <w:sz w:val="36"/>
          <w:szCs w:val="36"/>
          <w:lang w:eastAsia="fr-FR"/>
        </w:rPr>
        <w:t>La science dépend d'une collecte de données rigoureuse</w:t>
      </w:r>
    </w:p>
    <w:p w:rsidR="00C92654" w:rsidRPr="00C92654" w:rsidRDefault="00C92654" w:rsidP="00C92654">
      <w:pPr>
        <w:spacing w:after="100" w:afterAutospacing="1" w:line="240" w:lineRule="auto"/>
        <w:rPr>
          <w:rFonts w:ascii="Roboto" w:eastAsia="Times New Roman" w:hAnsi="Roboto" w:cs="Times New Roman"/>
          <w:color w:val="1B252F"/>
          <w:sz w:val="30"/>
          <w:szCs w:val="30"/>
          <w:lang w:eastAsia="fr-FR"/>
        </w:rPr>
      </w:pPr>
      <w:r w:rsidRPr="00C92654">
        <w:rPr>
          <w:rFonts w:ascii="Roboto" w:eastAsia="Times New Roman" w:hAnsi="Roboto" w:cs="Times New Roman"/>
          <w:color w:val="1B252F"/>
          <w:sz w:val="30"/>
          <w:szCs w:val="30"/>
          <w:lang w:eastAsia="fr-FR"/>
        </w:rPr>
        <w:t>La vidéo ci-dessus est un court extrait d'une réunion organisée par le sénateur Ron Johnson le 2 novembre 2021, au cours de laquelle Peter Doshi, Ph.D., co-éditeur du BMJ, a expliqué certaines des nombreuses préoccupations des experts concernant l'intégrité des données COVID-Jab.</w:t>
      </w:r>
    </w:p>
    <w:p w:rsidR="00C92654" w:rsidRDefault="00C92654" w:rsidP="00C92654">
      <w:pPr>
        <w:spacing w:after="100" w:afterAutospacing="1" w:line="240" w:lineRule="auto"/>
        <w:rPr>
          <w:rFonts w:ascii="Roboto" w:eastAsia="Times New Roman" w:hAnsi="Roboto" w:cs="Times New Roman"/>
          <w:color w:val="1B252F"/>
          <w:sz w:val="30"/>
          <w:szCs w:val="30"/>
          <w:lang w:eastAsia="fr-FR"/>
        </w:rPr>
      </w:pPr>
      <w:r w:rsidRPr="00C92654">
        <w:rPr>
          <w:rFonts w:ascii="Roboto" w:eastAsia="Times New Roman" w:hAnsi="Roboto" w:cs="Times New Roman"/>
          <w:color w:val="1B252F"/>
          <w:sz w:val="30"/>
          <w:szCs w:val="30"/>
          <w:lang w:eastAsia="fr-FR"/>
        </w:rPr>
        <w:t>Il a souligné que les données brutes de l'étude de Pfizer ne seraient pas disponibles avant mai 2025. Jusqu'à présent, Pfizer a refusé de fournir ses données brutes à des examinateurs indépendants, et sans ces données, il n'y a aucun moyen de confirmer que les affirmations de Pfizer sont effectivement vraies et correctes.</w:t>
      </w:r>
    </w:p>
    <w:p w:rsidR="00C92654" w:rsidRPr="00C92654" w:rsidRDefault="00C92654" w:rsidP="00512F51">
      <w:pPr>
        <w:spacing w:after="100" w:afterAutospacing="1" w:line="240" w:lineRule="auto"/>
        <w:rPr>
          <w:rFonts w:ascii="Roboto" w:eastAsia="Times New Roman" w:hAnsi="Roboto" w:cs="Times New Roman"/>
          <w:color w:val="1B252F"/>
          <w:sz w:val="30"/>
          <w:szCs w:val="30"/>
          <w:lang w:eastAsia="fr-FR"/>
        </w:rPr>
      </w:pPr>
      <w:r w:rsidRPr="00C92654">
        <w:rPr>
          <w:rFonts w:ascii="Roboto" w:eastAsia="Times New Roman" w:hAnsi="Roboto" w:cs="Times New Roman"/>
          <w:color w:val="1B252F"/>
          <w:sz w:val="30"/>
          <w:szCs w:val="30"/>
          <w:lang w:eastAsia="fr-FR"/>
        </w:rPr>
        <w:t xml:space="preserve">En d'autres termes, on attend de nous que nous croyions simplement la parole d'une entreprise qui figure en tête de la liste des criminels économiques ; une entreprise qui a été condamnée en 2009 à une amende record de 2,3 milliards de dollars pour marketing frauduleux et fraude dans le domaine de la santé. Les communiqués de presse ne sont pas une science. Ils sont du marketing. </w:t>
      </w:r>
      <w:r w:rsidRPr="00C92654">
        <w:rPr>
          <w:rFonts w:ascii="Roboto" w:eastAsia="Times New Roman" w:hAnsi="Roboto" w:cs="Times New Roman"/>
          <w:color w:val="1B252F"/>
          <w:sz w:val="30"/>
          <w:szCs w:val="30"/>
          <w:highlight w:val="yellow"/>
          <w:lang w:eastAsia="fr-FR"/>
        </w:rPr>
        <w:t>Sans les données brutes, nous n'avons pas de base scientifique sur laquelle fonder nos décisions concernant le kill shot de COVID.</w:t>
      </w:r>
    </w:p>
    <w:p w:rsidR="00C92654" w:rsidRDefault="00C92654" w:rsidP="00512F51">
      <w:pPr>
        <w:spacing w:after="100" w:afterAutospacing="1" w:line="240" w:lineRule="auto"/>
        <w:rPr>
          <w:rFonts w:ascii="Roboto" w:eastAsia="Times New Roman" w:hAnsi="Roboto" w:cs="Times New Roman"/>
          <w:color w:val="1B252F"/>
          <w:sz w:val="30"/>
          <w:szCs w:val="30"/>
          <w:lang w:eastAsia="fr-FR"/>
        </w:rPr>
      </w:pPr>
      <w:r w:rsidRPr="00C92654">
        <w:rPr>
          <w:rFonts w:ascii="Roboto" w:eastAsia="Times New Roman" w:hAnsi="Roboto" w:cs="Times New Roman"/>
          <w:color w:val="1B252F"/>
          <w:sz w:val="30"/>
          <w:szCs w:val="30"/>
          <w:lang w:eastAsia="fr-FR"/>
        </w:rPr>
        <w:t>Doshi a souligné à quel point le processus que nous suivons actuellement n'est absolument pas scientifique. Il souligne également que les médecins ont le devoir éthique de ne pas recommander de traitement pour lequel ils ne disposent pas de données. Il cite un article de 2020 qu'il a co-écrit :</w:t>
      </w:r>
    </w:p>
    <w:p w:rsidR="002C2D8D" w:rsidRPr="002C2D8D" w:rsidRDefault="002C2D8D" w:rsidP="002C2D8D">
      <w:pPr>
        <w:spacing w:after="100" w:afterAutospacing="1" w:line="240" w:lineRule="auto"/>
        <w:jc w:val="center"/>
        <w:rPr>
          <w:rFonts w:ascii="Roboto" w:eastAsia="Times New Roman" w:hAnsi="Roboto" w:cs="Times New Roman"/>
          <w:i/>
          <w:iCs/>
          <w:color w:val="1B252F"/>
          <w:sz w:val="30"/>
          <w:szCs w:val="30"/>
          <w:lang w:eastAsia="fr-FR"/>
        </w:rPr>
      </w:pPr>
      <w:r w:rsidRPr="002C2D8D">
        <w:rPr>
          <w:rFonts w:ascii="Roboto" w:eastAsia="Times New Roman" w:hAnsi="Roboto" w:cs="Times New Roman"/>
          <w:i/>
          <w:iCs/>
          <w:color w:val="1B252F"/>
          <w:sz w:val="30"/>
          <w:szCs w:val="30"/>
          <w:lang w:eastAsia="fr-FR"/>
        </w:rPr>
        <w:t>La transparence des données n'est pas un 'nice to have'. Les affirmations faites sans accès aux données - que ce soit dans des publications avec peer review ou dans des preprints sans peer review - ne sont pas des affirmations scientifiques.</w:t>
      </w:r>
    </w:p>
    <w:p w:rsidR="002C2D8D" w:rsidRPr="002C2D8D" w:rsidRDefault="002C2D8D" w:rsidP="002C2D8D">
      <w:pPr>
        <w:spacing w:after="100" w:afterAutospacing="1" w:line="240" w:lineRule="auto"/>
        <w:jc w:val="center"/>
        <w:rPr>
          <w:rFonts w:ascii="Roboto" w:eastAsia="Times New Roman" w:hAnsi="Roboto" w:cs="Times New Roman"/>
          <w:i/>
          <w:iCs/>
          <w:color w:val="1B252F"/>
          <w:sz w:val="30"/>
          <w:szCs w:val="30"/>
          <w:lang w:eastAsia="fr-FR"/>
        </w:rPr>
      </w:pPr>
      <w:r w:rsidRPr="002C2D8D">
        <w:rPr>
          <w:rFonts w:ascii="Roboto" w:eastAsia="Times New Roman" w:hAnsi="Roboto" w:cs="Times New Roman"/>
          <w:i/>
          <w:iCs/>
          <w:color w:val="1B252F"/>
          <w:sz w:val="30"/>
          <w:szCs w:val="30"/>
          <w:lang w:eastAsia="fr-FR"/>
        </w:rPr>
        <w:t>Les produits peuvent être commercialisés sans accès aux données, mais les médecins et les associations professionnelles devraient déclarer publiquement que sans une transparence totale des données, ils refuseront d'approuver les produits COVID-19 comme étant scientifiquement fondés.</w:t>
      </w:r>
    </w:p>
    <w:p w:rsidR="002C2D8D" w:rsidRDefault="002C2D8D" w:rsidP="002C2D8D">
      <w:pPr>
        <w:spacing w:after="100" w:afterAutospacing="1" w:line="240" w:lineRule="auto"/>
        <w:jc w:val="center"/>
        <w:rPr>
          <w:rFonts w:ascii="Roboto" w:eastAsia="Times New Roman" w:hAnsi="Roboto" w:cs="Times New Roman"/>
          <w:i/>
          <w:iCs/>
          <w:color w:val="1B252F"/>
          <w:sz w:val="30"/>
          <w:szCs w:val="30"/>
          <w:lang w:eastAsia="fr-FR"/>
        </w:rPr>
      </w:pPr>
      <w:r w:rsidRPr="002C2D8D">
        <w:rPr>
          <w:rFonts w:ascii="Roboto" w:eastAsia="Times New Roman" w:hAnsi="Roboto" w:cs="Times New Roman"/>
          <w:i/>
          <w:iCs/>
          <w:color w:val="1B252F"/>
          <w:sz w:val="30"/>
          <w:szCs w:val="30"/>
          <w:lang w:eastAsia="fr-FR"/>
        </w:rPr>
        <w:t>"Le point sur lequel je veux insister est très simple", a déclaré Doshi. "Les données sur les vaccins COVID ne sont pas disponibles et ne le seront pas dans les années à venir. Pourtant, nous ne 'demandons' pas seulement à des millions de personnes de prendre ces vaccins, nous les 'obligeons' à le faire... Sans données, ce n'est pas de la science".</w:t>
      </w:r>
    </w:p>
    <w:p w:rsidR="002C2D8D" w:rsidRPr="00EA2E1F" w:rsidRDefault="002C2D8D" w:rsidP="00EA2E1F">
      <w:pPr>
        <w:spacing w:after="100" w:afterAutospacing="1" w:line="240" w:lineRule="auto"/>
        <w:jc w:val="center"/>
        <w:rPr>
          <w:rFonts w:ascii="Arial" w:eastAsia="Times New Roman" w:hAnsi="Arial" w:cs="Arial"/>
          <w:b/>
          <w:bCs/>
          <w:color w:val="1B252F"/>
          <w:sz w:val="36"/>
          <w:szCs w:val="36"/>
          <w:lang w:eastAsia="fr-FR"/>
        </w:rPr>
      </w:pPr>
      <w:r w:rsidRPr="00EA2E1F">
        <w:rPr>
          <w:rFonts w:ascii="Arial" w:eastAsia="Times New Roman" w:hAnsi="Arial" w:cs="Arial"/>
          <w:b/>
          <w:bCs/>
          <w:color w:val="1B252F"/>
          <w:sz w:val="36"/>
          <w:szCs w:val="36"/>
          <w:lang w:eastAsia="fr-FR"/>
        </w:rPr>
        <w:t>La FDA veut 75 ans pour libérer les données des essais cliniques de Pfizer</w:t>
      </w:r>
    </w:p>
    <w:p w:rsidR="002C2D8D" w:rsidRDefault="002C2D8D" w:rsidP="00512F51">
      <w:pPr>
        <w:spacing w:after="100" w:afterAutospacing="1" w:line="240" w:lineRule="auto"/>
        <w:rPr>
          <w:rFonts w:ascii="Roboto" w:eastAsia="Times New Roman" w:hAnsi="Roboto" w:cs="Times New Roman"/>
          <w:color w:val="1B252F"/>
          <w:sz w:val="30"/>
          <w:szCs w:val="30"/>
          <w:lang w:eastAsia="fr-FR"/>
        </w:rPr>
      </w:pPr>
      <w:r w:rsidRPr="002C2D8D">
        <w:rPr>
          <w:rFonts w:ascii="Roboto" w:eastAsia="Times New Roman" w:hAnsi="Roboto" w:cs="Times New Roman"/>
          <w:color w:val="1B252F"/>
          <w:sz w:val="30"/>
          <w:szCs w:val="30"/>
          <w:lang w:eastAsia="fr-FR"/>
        </w:rPr>
        <w:t>En septembre 2021, un groupe appelé Public Health and Medical Professionals for Transparency (PHMPT) a déposé une demande de liberté d'information (Freedom of Information Act, FOIA) auprès de la FDA afin d'obtenir les documents utilisés pour l'autorisation de mise sur le marché du Comirnaty, y compris les données sur la sécurité et l'efficacité, les rapports sur les effets indésirables et les listes d'ingrédients actifs et inactifs.</w:t>
      </w:r>
    </w:p>
    <w:p w:rsidR="002E618A" w:rsidRDefault="002E618A" w:rsidP="00512F51">
      <w:pPr>
        <w:spacing w:after="100" w:afterAutospacing="1" w:line="240" w:lineRule="auto"/>
        <w:rPr>
          <w:rFonts w:ascii="Roboto" w:eastAsia="Times New Roman" w:hAnsi="Roboto" w:cs="Times New Roman"/>
          <w:color w:val="1B252F"/>
          <w:sz w:val="30"/>
          <w:szCs w:val="30"/>
          <w:lang w:eastAsia="fr-FR"/>
        </w:rPr>
      </w:pPr>
      <w:r w:rsidRPr="002E618A">
        <w:rPr>
          <w:rFonts w:ascii="Roboto" w:eastAsia="Times New Roman" w:hAnsi="Roboto" w:cs="Times New Roman"/>
          <w:color w:val="1B252F"/>
          <w:sz w:val="30"/>
          <w:szCs w:val="30"/>
          <w:lang w:eastAsia="fr-FR"/>
        </w:rPr>
        <w:t xml:space="preserve">Dans sa demande de FOIA, le PHMPT a demandé à l'agence d'accélérer la publication des documents - </w:t>
      </w:r>
      <w:r w:rsidRPr="002E618A">
        <w:rPr>
          <w:rFonts w:ascii="Roboto" w:eastAsia="Times New Roman" w:hAnsi="Roboto" w:cs="Times New Roman"/>
          <w:color w:val="1B252F"/>
          <w:sz w:val="30"/>
          <w:szCs w:val="30"/>
          <w:highlight w:val="yellow"/>
          <w:lang w:eastAsia="fr-FR"/>
        </w:rPr>
        <w:t>une demande raisonnable si l'on considère que nous ne disposons pas de données brutes et que les vaccins sont administrés à des enfants âgés de 5 ans.</w:t>
      </w:r>
      <w:r w:rsidRPr="002E618A">
        <w:rPr>
          <w:rFonts w:ascii="Roboto" w:eastAsia="Times New Roman" w:hAnsi="Roboto" w:cs="Times New Roman"/>
          <w:color w:val="1B252F"/>
          <w:sz w:val="30"/>
          <w:szCs w:val="30"/>
          <w:lang w:eastAsia="fr-FR"/>
        </w:rPr>
        <w:t xml:space="preserve"> </w:t>
      </w:r>
    </w:p>
    <w:p w:rsidR="002E618A" w:rsidRDefault="002E618A" w:rsidP="00512F51">
      <w:pPr>
        <w:spacing w:after="100" w:afterAutospacing="1" w:line="240" w:lineRule="auto"/>
        <w:rPr>
          <w:rFonts w:ascii="Roboto" w:eastAsia="Times New Roman" w:hAnsi="Roboto" w:cs="Times New Roman"/>
          <w:color w:val="1B252F"/>
          <w:sz w:val="30"/>
          <w:szCs w:val="30"/>
          <w:lang w:eastAsia="fr-FR"/>
        </w:rPr>
      </w:pPr>
      <w:r w:rsidRPr="002E618A">
        <w:rPr>
          <w:rFonts w:ascii="Roboto" w:eastAsia="Times New Roman" w:hAnsi="Roboto" w:cs="Times New Roman"/>
          <w:color w:val="1B252F"/>
          <w:sz w:val="30"/>
          <w:szCs w:val="30"/>
          <w:lang w:eastAsia="fr-FR"/>
        </w:rPr>
        <w:t>Lorsqu'au bout d'un mois, la FDA n'avait toujours pas répondu à la demande de la FOIA, le PHMPT a déposé une plainte.</w:t>
      </w:r>
    </w:p>
    <w:p w:rsidR="002E618A" w:rsidRDefault="002E618A" w:rsidP="00512F51">
      <w:pPr>
        <w:spacing w:after="100" w:afterAutospacing="1" w:line="240" w:lineRule="auto"/>
        <w:rPr>
          <w:rFonts w:ascii="Roboto" w:eastAsia="Times New Roman" w:hAnsi="Roboto" w:cs="Times New Roman"/>
          <w:color w:val="1B252F"/>
          <w:sz w:val="30"/>
          <w:szCs w:val="30"/>
          <w:lang w:eastAsia="fr-FR"/>
        </w:rPr>
      </w:pPr>
      <w:r w:rsidRPr="002E618A">
        <w:rPr>
          <w:rFonts w:ascii="Roboto" w:eastAsia="Times New Roman" w:hAnsi="Roboto" w:cs="Times New Roman"/>
          <w:color w:val="1B252F"/>
          <w:sz w:val="30"/>
          <w:szCs w:val="30"/>
          <w:lang w:eastAsia="fr-FR"/>
        </w:rPr>
        <w:t>La FDA a d'abord demandé au juge l'autorisation de retarder la publication complète de tous les documents - 329 000 pages au total - jusqu'en 2076 et de ne publier que 500 pages par mois. Le juge a accepté.</w:t>
      </w:r>
    </w:p>
    <w:p w:rsidR="002E618A" w:rsidRDefault="002E618A" w:rsidP="00512F51">
      <w:pPr>
        <w:spacing w:after="100" w:afterAutospacing="1" w:line="240" w:lineRule="auto"/>
        <w:rPr>
          <w:rFonts w:ascii="Roboto" w:eastAsia="Times New Roman" w:hAnsi="Roboto" w:cs="Times New Roman"/>
          <w:color w:val="1B252F"/>
          <w:sz w:val="30"/>
          <w:szCs w:val="30"/>
          <w:lang w:eastAsia="fr-FR"/>
        </w:rPr>
      </w:pPr>
      <w:r w:rsidRPr="002E618A">
        <w:rPr>
          <w:rFonts w:ascii="Roboto" w:eastAsia="Times New Roman" w:hAnsi="Roboto" w:cs="Times New Roman"/>
          <w:color w:val="1B252F"/>
          <w:sz w:val="30"/>
          <w:szCs w:val="30"/>
          <w:lang w:eastAsia="fr-FR"/>
        </w:rPr>
        <w:t xml:space="preserve">Peu de temps après, la FDA a affirmé avoir trouvé 59 000 pages supplémentaires, ce qui nécessiterait un report de 20 ans supplémentaires. </w:t>
      </w:r>
      <w:r w:rsidRPr="002E618A">
        <w:rPr>
          <w:rFonts w:ascii="Roboto" w:eastAsia="Times New Roman" w:hAnsi="Roboto" w:cs="Times New Roman"/>
          <w:color w:val="1B252F"/>
          <w:sz w:val="30"/>
          <w:szCs w:val="30"/>
          <w:highlight w:val="yellow"/>
          <w:lang w:eastAsia="fr-FR"/>
        </w:rPr>
        <w:t>Selon la FDA, la libération complète ne pourra pas avoir lieu avant 2096, date à laquelle la plupart d'entre nous seront morts et enterrés.</w:t>
      </w:r>
      <w:r w:rsidRPr="002E618A">
        <w:rPr>
          <w:rFonts w:ascii="Roboto" w:eastAsia="Times New Roman" w:hAnsi="Roboto" w:cs="Times New Roman"/>
          <w:color w:val="1B252F"/>
          <w:sz w:val="30"/>
          <w:szCs w:val="30"/>
          <w:lang w:eastAsia="fr-FR"/>
        </w:rPr>
        <w:t xml:space="preserve"> Comme le fait remarquer Aaron Siri, l'avocat qui travaille sur l'affaire pour le compte du PHMPT :</w:t>
      </w:r>
    </w:p>
    <w:p w:rsidR="002E618A" w:rsidRPr="00EA2E1F" w:rsidRDefault="002E618A" w:rsidP="00512F51">
      <w:pPr>
        <w:spacing w:after="100" w:afterAutospacing="1" w:line="240" w:lineRule="auto"/>
        <w:rPr>
          <w:rFonts w:ascii="Roboto" w:eastAsia="Times New Roman" w:hAnsi="Roboto" w:cs="Times New Roman"/>
          <w:i/>
          <w:iCs/>
          <w:color w:val="FF0000"/>
          <w:sz w:val="30"/>
          <w:szCs w:val="30"/>
          <w:lang w:eastAsia="fr-FR"/>
        </w:rPr>
      </w:pPr>
      <w:r w:rsidRPr="002E618A">
        <w:rPr>
          <w:rFonts w:ascii="Roboto" w:eastAsia="Times New Roman" w:hAnsi="Roboto" w:cs="Times New Roman"/>
          <w:i/>
          <w:iCs/>
          <w:color w:val="1B252F"/>
          <w:sz w:val="30"/>
          <w:szCs w:val="30"/>
          <w:lang w:eastAsia="fr-FR"/>
        </w:rPr>
        <w:t xml:space="preserve">Si vous avez du mal à croire ce que vous lisez, c'est parce </w:t>
      </w:r>
      <w:r w:rsidRPr="00EA2E1F">
        <w:rPr>
          <w:rFonts w:ascii="Roboto" w:eastAsia="Times New Roman" w:hAnsi="Roboto" w:cs="Times New Roman"/>
          <w:i/>
          <w:iCs/>
          <w:color w:val="FF0000"/>
          <w:sz w:val="30"/>
          <w:szCs w:val="30"/>
          <w:lang w:eastAsia="fr-FR"/>
        </w:rPr>
        <w:t>qu'il est dystopique que le gouvernement donne des milliards à Pfizer, impose aux Américains de prendre son produit, interdise aux Américains d'intenter des actions en justice pour dommages, et refuse pourtant de montrer aux Américains les données sur lesquelles repose l'autorisation.</w:t>
      </w:r>
    </w:p>
    <w:p w:rsidR="00EA2E1F" w:rsidRPr="00EA2E1F" w:rsidRDefault="00EA2E1F" w:rsidP="00EA2E1F">
      <w:pPr>
        <w:pStyle w:val="NormalWeb"/>
        <w:rPr>
          <w:rFonts w:ascii="Roboto" w:hAnsi="Roboto"/>
          <w:color w:val="1B252F"/>
          <w:sz w:val="30"/>
          <w:szCs w:val="30"/>
        </w:rPr>
      </w:pPr>
      <w:r w:rsidRPr="00EA2E1F">
        <w:rPr>
          <w:rFonts w:ascii="Roboto" w:hAnsi="Roboto"/>
          <w:color w:val="1B252F"/>
          <w:sz w:val="30"/>
          <w:szCs w:val="30"/>
        </w:rPr>
        <w:t>En dehors de cela, les 92 pages initialement déclassifiées sont si accablantes que nous n'avons pas besoin de centaines de milliers de pages pour évaluer la sécurité de ces seringues. En fait, les données sont si incroyablement mauvaises que l'on peut sérieusement se demander comment la FDA a pu conclure que les seringues Pfizer étaient suffisamment sûres pour être utilisées, notamment chez les femmes enceintes et les enfants.</w:t>
      </w:r>
    </w:p>
    <w:p w:rsidR="00EA2E1F" w:rsidRPr="00EA2E1F" w:rsidRDefault="00EA2E1F" w:rsidP="00EA2E1F">
      <w:pPr>
        <w:pStyle w:val="NormalWeb"/>
        <w:spacing w:before="0" w:beforeAutospacing="0"/>
        <w:jc w:val="center"/>
        <w:rPr>
          <w:rFonts w:ascii="Arial" w:hAnsi="Arial" w:cs="Arial"/>
          <w:b/>
          <w:color w:val="1B252F"/>
          <w:sz w:val="36"/>
          <w:szCs w:val="36"/>
        </w:rPr>
      </w:pPr>
      <w:r w:rsidRPr="00EA2E1F">
        <w:rPr>
          <w:rFonts w:ascii="Arial" w:hAnsi="Arial" w:cs="Arial"/>
          <w:b/>
          <w:color w:val="1B252F"/>
          <w:sz w:val="36"/>
          <w:szCs w:val="36"/>
        </w:rPr>
        <w:t>Révélations choquantes dans la première pile de documents de la FOIA</w:t>
      </w:r>
    </w:p>
    <w:p w:rsidR="005A2B28" w:rsidRDefault="005A2B28" w:rsidP="00512F51">
      <w:pPr>
        <w:pStyle w:val="NormalWeb"/>
        <w:spacing w:before="0" w:beforeAutospacing="0"/>
        <w:rPr>
          <w:rFonts w:ascii="Roboto" w:hAnsi="Roboto"/>
          <w:sz w:val="30"/>
          <w:szCs w:val="30"/>
        </w:rPr>
      </w:pPr>
      <w:r w:rsidRPr="005A2B28">
        <w:rPr>
          <w:rFonts w:ascii="Roboto" w:hAnsi="Roboto"/>
          <w:sz w:val="30"/>
          <w:szCs w:val="30"/>
        </w:rPr>
        <w:t>Mi-novembre 2021, deux mois après le dépôt de la plainte, la FDA a publié le premier lot de 91 pages montrant que la FDA avait connaissance de problèmes de sécurité choquants depuis le 30 avril 2021.</w:t>
      </w:r>
    </w:p>
    <w:p w:rsidR="00512F51" w:rsidRDefault="005A2B28" w:rsidP="00512F51">
      <w:pPr>
        <w:rPr>
          <w:rFonts w:ascii="Roboto" w:hAnsi="Roboto"/>
          <w:sz w:val="30"/>
          <w:szCs w:val="30"/>
        </w:rPr>
      </w:pPr>
      <w:r w:rsidRPr="005A2B28">
        <w:rPr>
          <w:rFonts w:ascii="Roboto" w:eastAsia="Times New Roman" w:hAnsi="Roboto" w:cs="Times New Roman"/>
          <w:sz w:val="30"/>
          <w:szCs w:val="30"/>
          <w:lang w:eastAsia="fr-FR"/>
        </w:rPr>
        <w:t>Jusqu'au 28 février 2021, Pfizer a reçu un total de 42.086 rapports d'événements indésirables, dont 1.223 décès, provenant principalement des États-Unis, du Royaume-Uni, d'Italie, d'Allemagne, de France et du Portugal. Parmi ces événements indésirables, 25.379 ont été médicalement confirmés. Le diagramme suivant, tiré d'un des documents, donne un aperçu général des résultats rapportés.</w:t>
      </w:r>
      <w:r w:rsidR="00512F51">
        <w:rPr>
          <w:rFonts w:ascii="Roboto" w:hAnsi="Roboto"/>
          <w:noProof/>
          <w:sz w:val="30"/>
          <w:szCs w:val="30"/>
          <w:lang w:eastAsia="fr-FR"/>
        </w:rPr>
        <w:drawing>
          <wp:inline distT="0" distB="0" distL="0" distR="0">
            <wp:extent cx="5715000" cy="5362575"/>
            <wp:effectExtent l="0" t="0" r="0" b="9525"/>
            <wp:docPr id="1" name="Image 1" descr="https://media.mercola.com/ImageServer/Public/2021/December/post-authorization-adverse-event-repo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mercola.com/ImageServer/Public/2021/December/post-authorization-adverse-event-report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5362575"/>
                    </a:xfrm>
                    <a:prstGeom prst="rect">
                      <a:avLst/>
                    </a:prstGeom>
                    <a:noFill/>
                    <a:ln>
                      <a:noFill/>
                    </a:ln>
                  </pic:spPr>
                </pic:pic>
              </a:graphicData>
            </a:graphic>
          </wp:inline>
        </w:drawing>
      </w:r>
    </w:p>
    <w:p w:rsidR="00012FDB" w:rsidRDefault="00012FDB" w:rsidP="00512F51">
      <w:pPr>
        <w:pStyle w:val="NormalWeb"/>
        <w:spacing w:before="0" w:beforeAutospacing="0"/>
        <w:rPr>
          <w:rFonts w:ascii="Roboto" w:hAnsi="Roboto"/>
          <w:sz w:val="30"/>
          <w:szCs w:val="30"/>
        </w:rPr>
      </w:pPr>
      <w:r w:rsidRPr="00012FDB">
        <w:rPr>
          <w:rFonts w:ascii="Roboto" w:hAnsi="Roboto"/>
          <w:sz w:val="30"/>
          <w:szCs w:val="30"/>
        </w:rPr>
        <w:t xml:space="preserve">1.223 décès et 42.086 rapports de blessures au cours des trois premiers mois constituent un signal de sécurité clair, </w:t>
      </w:r>
      <w:r w:rsidRPr="00012FDB">
        <w:rPr>
          <w:rFonts w:ascii="Roboto" w:hAnsi="Roboto"/>
          <w:sz w:val="30"/>
          <w:szCs w:val="30"/>
          <w:u w:val="single"/>
        </w:rPr>
        <w:t>surtout si l'on considère que le vaccin contre la grippe porcine de 1976 a été retiré après seulement 25 décès.</w:t>
      </w:r>
    </w:p>
    <w:p w:rsidR="00012FDB" w:rsidRDefault="00012FDB" w:rsidP="00512F51">
      <w:pPr>
        <w:pStyle w:val="NormalWeb"/>
        <w:spacing w:before="0" w:beforeAutospacing="0"/>
        <w:rPr>
          <w:rFonts w:ascii="Roboto" w:hAnsi="Roboto"/>
          <w:sz w:val="30"/>
          <w:szCs w:val="30"/>
        </w:rPr>
      </w:pPr>
      <w:r w:rsidRPr="00012FDB">
        <w:rPr>
          <w:rFonts w:ascii="Roboto" w:hAnsi="Roboto"/>
          <w:sz w:val="30"/>
          <w:szCs w:val="30"/>
        </w:rPr>
        <w:t>Dans la vidéo ci-dessus, Melanie Risdon du Western Standard interviewe le Dr Daniel Nagase, un médecin de l'Alberta, au Canada, qui s'est vu retirer son droit d'exercer après avoir traité avec succès des patients COVID-19 avec de l'ivermectine. Nagase aborde d'autres données tout aussi dévastatrices dans ces documents.</w:t>
      </w:r>
    </w:p>
    <w:p w:rsidR="00012FDB" w:rsidRDefault="00012FDB" w:rsidP="00512F51">
      <w:pPr>
        <w:pStyle w:val="NormalWeb"/>
        <w:spacing w:before="0" w:beforeAutospacing="0"/>
        <w:rPr>
          <w:rFonts w:ascii="Roboto" w:hAnsi="Roboto"/>
          <w:sz w:val="30"/>
          <w:szCs w:val="30"/>
        </w:rPr>
      </w:pPr>
      <w:r w:rsidRPr="00012FDB">
        <w:rPr>
          <w:rFonts w:ascii="Roboto" w:hAnsi="Roboto"/>
          <w:sz w:val="30"/>
          <w:szCs w:val="30"/>
        </w:rPr>
        <w:t xml:space="preserve">Il souligne que sur les 42.086 patients qui ont subi des dommages au cours des trois premiers mois, 520 d'entre eux ont été diagnostiqués avec un handicap ou une maladie à long terme. 11.361 n'étaient pas encore rétablis au moment du rapport. Cela signifie que </w:t>
      </w:r>
      <w:r w:rsidRPr="00012FDB">
        <w:rPr>
          <w:rFonts w:ascii="Roboto" w:hAnsi="Roboto"/>
          <w:sz w:val="30"/>
          <w:szCs w:val="30"/>
          <w:highlight w:val="yellow"/>
        </w:rPr>
        <w:t>27 % des blessés ne se sont pas remis de leur incident</w:t>
      </w:r>
      <w:r w:rsidRPr="00012FDB">
        <w:rPr>
          <w:rFonts w:ascii="Roboto" w:hAnsi="Roboto"/>
          <w:sz w:val="30"/>
          <w:szCs w:val="30"/>
        </w:rPr>
        <w:t>.</w:t>
      </w:r>
    </w:p>
    <w:p w:rsidR="00012FDB" w:rsidRDefault="00012FDB" w:rsidP="00512F51">
      <w:pPr>
        <w:pStyle w:val="NormalWeb"/>
        <w:spacing w:before="0" w:beforeAutospacing="0"/>
        <w:rPr>
          <w:rStyle w:val="Accentuation"/>
          <w:rFonts w:ascii="Roboto" w:hAnsi="Roboto"/>
          <w:b/>
          <w:bCs/>
          <w:sz w:val="30"/>
          <w:szCs w:val="30"/>
        </w:rPr>
      </w:pPr>
      <w:r w:rsidRPr="00012FDB">
        <w:rPr>
          <w:rStyle w:val="Accentuation"/>
          <w:rFonts w:ascii="Roboto" w:hAnsi="Roboto"/>
          <w:b/>
          <w:bCs/>
          <w:sz w:val="30"/>
          <w:szCs w:val="30"/>
        </w:rPr>
        <w:t>Lorsque des personnes sont blessées par cette injection, elles sont souvent très gravement atteintes. Près d'une personne sur trois ayant reçu la piqûre et ayant subi un effet indésirable a fini morte, handicapée de manière permanente ou avec des blessures à long terme non réparées.</w:t>
      </w:r>
    </w:p>
    <w:p w:rsidR="00012FDB" w:rsidRDefault="00012FDB" w:rsidP="00512F51">
      <w:pPr>
        <w:pStyle w:val="NormalWeb"/>
        <w:spacing w:before="0" w:beforeAutospacing="0"/>
        <w:rPr>
          <w:rFonts w:ascii="Roboto" w:hAnsi="Roboto"/>
          <w:sz w:val="30"/>
          <w:szCs w:val="30"/>
        </w:rPr>
      </w:pPr>
      <w:r w:rsidRPr="00012FDB">
        <w:rPr>
          <w:rFonts w:ascii="Roboto" w:hAnsi="Roboto"/>
          <w:sz w:val="30"/>
          <w:szCs w:val="30"/>
        </w:rPr>
        <w:t>Si l'on additionne tout : les 1223 décès, les 520 handicaps de longue durée et les 11 361 personnes qui ne se sont pas remises de leur blessure, on obtient un peu plus de 31 %.</w:t>
      </w:r>
    </w:p>
    <w:p w:rsidR="00012FDB" w:rsidRDefault="00012FDB" w:rsidP="00512F51">
      <w:pPr>
        <w:pStyle w:val="has-text-align-center"/>
        <w:spacing w:before="0" w:beforeAutospacing="0"/>
        <w:jc w:val="center"/>
        <w:rPr>
          <w:rFonts w:ascii="Roboto" w:hAnsi="Roboto"/>
          <w:sz w:val="30"/>
          <w:szCs w:val="30"/>
        </w:rPr>
      </w:pPr>
      <w:r w:rsidRPr="00012FDB">
        <w:rPr>
          <w:rFonts w:ascii="Roboto" w:hAnsi="Roboto"/>
          <w:sz w:val="30"/>
          <w:szCs w:val="30"/>
        </w:rPr>
        <w:t xml:space="preserve">En d'autres termes, près d'une personne sur trois ayant reçu l'injection et ayant subi un effet indésirable a fini morte, handicapée de manière permanente ou avec une blessure à long terme non guérie. "Cela devrait faire la une des journaux", dit Nagase. </w:t>
      </w:r>
      <w:r w:rsidRPr="00012FDB">
        <w:rPr>
          <w:rFonts w:ascii="Roboto" w:hAnsi="Roboto"/>
          <w:sz w:val="30"/>
          <w:szCs w:val="30"/>
          <w:highlight w:val="yellow"/>
        </w:rPr>
        <w:t>Comment la FDA peut-elle considérer cela et conclure que la seringue est sûre</w:t>
      </w:r>
      <w:r w:rsidRPr="00012FDB">
        <w:rPr>
          <w:rFonts w:ascii="Roboto" w:hAnsi="Roboto"/>
          <w:sz w:val="30"/>
          <w:szCs w:val="30"/>
        </w:rPr>
        <w:t xml:space="preserve"> ? Lorsque des personnes sont blessées par cette injection, elles sont souvent très gravement atteintes.</w:t>
      </w:r>
    </w:p>
    <w:p w:rsidR="00A72220" w:rsidRDefault="00A72220" w:rsidP="00512F51">
      <w:pPr>
        <w:pStyle w:val="NormalWeb"/>
        <w:spacing w:before="0" w:beforeAutospacing="0"/>
        <w:rPr>
          <w:rStyle w:val="lev"/>
          <w:rFonts w:ascii="Roboto" w:hAnsi="Roboto"/>
          <w:sz w:val="38"/>
          <w:szCs w:val="38"/>
        </w:rPr>
      </w:pPr>
      <w:r w:rsidRPr="00A72220">
        <w:rPr>
          <w:rStyle w:val="lev"/>
          <w:rFonts w:ascii="Roboto" w:hAnsi="Roboto"/>
          <w:sz w:val="38"/>
          <w:szCs w:val="38"/>
        </w:rPr>
        <w:t>Des données de Pfizer prouvent que l'injection n'est pas sûre pour les femmes enceintes</w:t>
      </w:r>
    </w:p>
    <w:p w:rsidR="00A72220" w:rsidRDefault="00A72220" w:rsidP="00512F51">
      <w:pPr>
        <w:pStyle w:val="NormalWeb"/>
        <w:spacing w:before="0" w:beforeAutospacing="0"/>
        <w:rPr>
          <w:rFonts w:ascii="Roboto" w:hAnsi="Roboto"/>
          <w:sz w:val="30"/>
          <w:szCs w:val="30"/>
        </w:rPr>
      </w:pPr>
      <w:r w:rsidRPr="00A72220">
        <w:rPr>
          <w:rFonts w:ascii="Roboto" w:hAnsi="Roboto"/>
          <w:sz w:val="30"/>
          <w:szCs w:val="30"/>
        </w:rPr>
        <w:t xml:space="preserve">A la page 12 du document "Cumulative Analysis of Post-Authorization Adverse Event Reports Received Through 28-Feb-2021", on trouve des données concernant les femmes enceintes et allaitantes. </w:t>
      </w:r>
      <w:r w:rsidRPr="00A72220">
        <w:rPr>
          <w:rFonts w:ascii="Roboto" w:hAnsi="Roboto"/>
          <w:sz w:val="30"/>
          <w:szCs w:val="30"/>
          <w:highlight w:val="yellow"/>
        </w:rPr>
        <w:t>Là encore, les résultats sont ahurissants et auraient dû déclencher un arrêt complet de la campagne d'injection chez les femmes enceintes et allaitantes.</w:t>
      </w:r>
    </w:p>
    <w:p w:rsidR="00A72220" w:rsidRDefault="00A72220" w:rsidP="00512F51">
      <w:pPr>
        <w:pStyle w:val="NormalWeb"/>
        <w:spacing w:before="0" w:beforeAutospacing="0"/>
        <w:rPr>
          <w:rFonts w:ascii="Roboto" w:hAnsi="Roboto"/>
          <w:sz w:val="30"/>
          <w:szCs w:val="30"/>
        </w:rPr>
      </w:pPr>
      <w:r w:rsidRPr="00A72220">
        <w:rPr>
          <w:rFonts w:ascii="Roboto" w:hAnsi="Roboto"/>
          <w:sz w:val="30"/>
          <w:szCs w:val="30"/>
        </w:rPr>
        <w:t xml:space="preserve">Il est inquiétant de constater qu'aucune donnée complète n'a été collectée sur ces femmes, par exemple sur le trimestre dans lequel elles se trouvaient lorsqu'elles ont reçu les injections. Cela indique à nouveau de graves problèmes dans la collecte de données d'études par Pfizer. </w:t>
      </w:r>
      <w:r w:rsidRPr="00A72220">
        <w:rPr>
          <w:rFonts w:ascii="Roboto" w:hAnsi="Roboto"/>
          <w:sz w:val="30"/>
          <w:szCs w:val="30"/>
          <w:highlight w:val="yellow"/>
        </w:rPr>
        <w:t>Comment peut-on inclure des femmes enceintes dans une étude sans collecter des informations de base, comme le nombre de semaines de grossesse ?</w:t>
      </w:r>
    </w:p>
    <w:p w:rsidR="00A72220" w:rsidRDefault="00A72220" w:rsidP="00512F51">
      <w:pPr>
        <w:pStyle w:val="NormalWeb"/>
        <w:spacing w:before="0" w:beforeAutospacing="0"/>
        <w:rPr>
          <w:rFonts w:ascii="Roboto" w:hAnsi="Roboto"/>
          <w:sz w:val="30"/>
          <w:szCs w:val="30"/>
        </w:rPr>
      </w:pPr>
      <w:r w:rsidRPr="00A72220">
        <w:rPr>
          <w:rFonts w:ascii="Roboto" w:hAnsi="Roboto"/>
          <w:sz w:val="30"/>
          <w:szCs w:val="30"/>
        </w:rPr>
        <w:t xml:space="preserve">A la page 12, nous apprenons que sur 124 événements indésirables impliquant une femme enceinte, seuls 49 étaient non graves et 75 graves. Sur les 274 mères enceintes qui ont déclaré un événement indésirable, 27 % ont subi un événement indésirable </w:t>
      </w:r>
      <w:r w:rsidRPr="00A72220">
        <w:rPr>
          <w:rFonts w:ascii="Roboto" w:hAnsi="Roboto"/>
          <w:b/>
          <w:sz w:val="30"/>
          <w:szCs w:val="30"/>
        </w:rPr>
        <w:t>GRAVE,</w:t>
      </w:r>
      <w:r w:rsidRPr="00A72220">
        <w:rPr>
          <w:rFonts w:ascii="Roboto" w:hAnsi="Roboto"/>
          <w:sz w:val="30"/>
          <w:szCs w:val="30"/>
        </w:rPr>
        <w:t xml:space="preserve"> comme une fausse couche ou un enfant mort-né. "C'est un danger incroyable !" dit Nagase, et </w:t>
      </w:r>
      <w:r w:rsidRPr="00A72220">
        <w:rPr>
          <w:rFonts w:ascii="Roboto" w:hAnsi="Roboto"/>
          <w:color w:val="FF0000"/>
          <w:sz w:val="30"/>
          <w:szCs w:val="30"/>
        </w:rPr>
        <w:t>la FDA est également consciente de ce danger depuis le 30 avril 2021</w:t>
      </w:r>
      <w:r w:rsidRPr="00A72220">
        <w:rPr>
          <w:rFonts w:ascii="Roboto" w:hAnsi="Roboto"/>
          <w:sz w:val="30"/>
          <w:szCs w:val="30"/>
        </w:rPr>
        <w:t>.</w:t>
      </w:r>
    </w:p>
    <w:p w:rsidR="00A72220" w:rsidRDefault="00A72220" w:rsidP="00512F51">
      <w:pPr>
        <w:pStyle w:val="NormalWeb"/>
        <w:spacing w:before="0" w:beforeAutospacing="0"/>
        <w:rPr>
          <w:rFonts w:ascii="Roboto" w:hAnsi="Roboto"/>
          <w:sz w:val="30"/>
          <w:szCs w:val="30"/>
        </w:rPr>
      </w:pPr>
      <w:r w:rsidRPr="00A72220">
        <w:rPr>
          <w:rFonts w:ascii="Roboto" w:hAnsi="Roboto"/>
          <w:sz w:val="30"/>
          <w:szCs w:val="30"/>
        </w:rPr>
        <w:t>Les données montrent également qu'il existe un risque pour les mères qui allaitent. Sur les 133 mères allaitantes qui ont soumis un rapport, 17 des nourrissons allaités - 13 % - ont subi un événement indésirable dû à cette exposition secondaire (lait maternel), un résultat que Nagase qualifie d'"absolument stupéfiant".</w:t>
      </w:r>
    </w:p>
    <w:p w:rsidR="00A72220" w:rsidRDefault="00A72220" w:rsidP="00512F51">
      <w:pPr>
        <w:pStyle w:val="has-text-align-center"/>
        <w:spacing w:before="0" w:beforeAutospacing="0"/>
        <w:jc w:val="center"/>
        <w:rPr>
          <w:rStyle w:val="Accentuation"/>
          <w:rFonts w:ascii="Roboto" w:hAnsi="Roboto"/>
          <w:sz w:val="30"/>
          <w:szCs w:val="30"/>
        </w:rPr>
      </w:pPr>
      <w:r w:rsidRPr="00A72220">
        <w:rPr>
          <w:rStyle w:val="Accentuation"/>
          <w:rFonts w:ascii="Roboto" w:hAnsi="Roboto"/>
          <w:sz w:val="30"/>
          <w:szCs w:val="30"/>
        </w:rPr>
        <w:t>L'idée que le "vaccin" est transmis par le lait maternel est donc absolument vraie", dit-il. "</w:t>
      </w:r>
      <w:r w:rsidRPr="002543D0">
        <w:rPr>
          <w:rStyle w:val="Accentuation"/>
          <w:rFonts w:ascii="Roboto" w:hAnsi="Roboto"/>
          <w:sz w:val="30"/>
          <w:szCs w:val="30"/>
          <w:highlight w:val="yellow"/>
        </w:rPr>
        <w:t>Ceci est prouvé par les propres données de Pfizer sur les événements indésirables</w:t>
      </w:r>
    </w:p>
    <w:p w:rsidR="002543D0" w:rsidRDefault="002543D0" w:rsidP="002543D0">
      <w:pPr>
        <w:pStyle w:val="has-text-align-center"/>
        <w:spacing w:before="0" w:beforeAutospacing="0"/>
        <w:jc w:val="center"/>
        <w:rPr>
          <w:rFonts w:ascii="Roboto" w:hAnsi="Roboto"/>
          <w:sz w:val="38"/>
          <w:szCs w:val="38"/>
        </w:rPr>
      </w:pPr>
      <w:r w:rsidRPr="002543D0">
        <w:rPr>
          <w:rStyle w:val="lev"/>
          <w:rFonts w:ascii="Roboto" w:hAnsi="Roboto"/>
          <w:sz w:val="38"/>
          <w:szCs w:val="38"/>
        </w:rPr>
        <w:t>Enfants présentant un risque de blessures graves à long terme</w:t>
      </w:r>
    </w:p>
    <w:p w:rsidR="002543D0" w:rsidRDefault="002543D0" w:rsidP="00512F51">
      <w:pPr>
        <w:pStyle w:val="NormalWeb"/>
        <w:spacing w:before="0" w:beforeAutospacing="0"/>
        <w:rPr>
          <w:rFonts w:ascii="Roboto" w:hAnsi="Roboto"/>
          <w:sz w:val="30"/>
          <w:szCs w:val="30"/>
        </w:rPr>
      </w:pPr>
      <w:r w:rsidRPr="002543D0">
        <w:rPr>
          <w:rFonts w:ascii="Roboto" w:hAnsi="Roboto"/>
          <w:sz w:val="30"/>
          <w:szCs w:val="30"/>
        </w:rPr>
        <w:t xml:space="preserve">Pfizer a également reçu 34 rapports d'événements indésirables chez des enfants de moins de 12 ans, le plus jeune étant âgé de 2 mois. Parmi ceux-ci, 24 ont été classés comme "graves" et seulement 10 comme "non graves". </w:t>
      </w:r>
      <w:r w:rsidRPr="002543D0">
        <w:rPr>
          <w:rFonts w:ascii="Roboto" w:hAnsi="Roboto"/>
          <w:sz w:val="30"/>
          <w:szCs w:val="30"/>
          <w:highlight w:val="yellow"/>
        </w:rPr>
        <w:t>Parmi les enfants blessés, 70,6 % ont donc subi des blessures GRAVES.</w:t>
      </w:r>
    </w:p>
    <w:p w:rsidR="002543D0" w:rsidRDefault="002543D0" w:rsidP="00512F51">
      <w:pPr>
        <w:pStyle w:val="NormalWeb"/>
        <w:spacing w:before="0" w:beforeAutospacing="0"/>
        <w:rPr>
          <w:rFonts w:ascii="Roboto" w:hAnsi="Roboto"/>
          <w:sz w:val="30"/>
          <w:szCs w:val="30"/>
        </w:rPr>
      </w:pPr>
      <w:r w:rsidRPr="002543D0">
        <w:rPr>
          <w:rFonts w:ascii="Roboto" w:hAnsi="Roboto"/>
          <w:color w:val="FF0000"/>
          <w:sz w:val="30"/>
          <w:szCs w:val="30"/>
        </w:rPr>
        <w:t xml:space="preserve">Comment nos autorités sanitaires peuvent-elles approuver cette injection de COVID pour les enfants de moins de 12 ans, alors que la grande majorité des blessures, lorsqu'elles surviennent, sont graves ? </w:t>
      </w:r>
      <w:r w:rsidRPr="002543D0">
        <w:rPr>
          <w:rFonts w:ascii="Roboto" w:hAnsi="Roboto"/>
          <w:sz w:val="30"/>
          <w:szCs w:val="30"/>
        </w:rPr>
        <w:t>A cela s'ajoute le fait que 13 des enfants gravement blessés n'ont toujours pas été traités au 28 février 2021.</w:t>
      </w:r>
    </w:p>
    <w:p w:rsidR="002543D0" w:rsidRDefault="002543D0" w:rsidP="00512F51">
      <w:pPr>
        <w:pStyle w:val="NormalWeb"/>
        <w:spacing w:before="0" w:beforeAutospacing="0"/>
        <w:rPr>
          <w:rFonts w:ascii="Roboto" w:hAnsi="Roboto"/>
          <w:sz w:val="30"/>
          <w:szCs w:val="30"/>
        </w:rPr>
      </w:pPr>
      <w:r w:rsidRPr="002543D0">
        <w:rPr>
          <w:rFonts w:ascii="Roboto" w:hAnsi="Roboto"/>
          <w:sz w:val="30"/>
          <w:szCs w:val="30"/>
        </w:rPr>
        <w:t xml:space="preserve">Selon Nagase, la seringue COVID de Pfizer aurait dû être retirée définitivement du marché sur la seule base de ces documents. Selon lui, la raison pour laquelle cela n'a pas été fait est que </w:t>
      </w:r>
      <w:r w:rsidRPr="002543D0">
        <w:rPr>
          <w:rFonts w:ascii="Roboto" w:hAnsi="Roboto"/>
          <w:sz w:val="30"/>
          <w:szCs w:val="30"/>
          <w:highlight w:val="yellow"/>
        </w:rPr>
        <w:t>le système médical et réglementaire a été corrompu et usurpé par l'industrie pharmaceutique</w:t>
      </w:r>
      <w:r w:rsidRPr="002543D0">
        <w:rPr>
          <w:rFonts w:ascii="Roboto" w:hAnsi="Roboto"/>
          <w:sz w:val="30"/>
          <w:szCs w:val="30"/>
        </w:rPr>
        <w:t xml:space="preserve">. Ils veulent gagner de l'argent avec ces seringues, et </w:t>
      </w:r>
      <w:r w:rsidRPr="009956A8">
        <w:rPr>
          <w:rFonts w:ascii="Roboto" w:hAnsi="Roboto"/>
          <w:sz w:val="30"/>
          <w:szCs w:val="30"/>
          <w:highlight w:val="yellow"/>
        </w:rPr>
        <w:t>nos autorités sanitaires dissimulent les dommages avérés pour favoriser la recherche du profit.</w:t>
      </w:r>
    </w:p>
    <w:p w:rsidR="002543D0" w:rsidRPr="002543D0" w:rsidRDefault="002543D0" w:rsidP="002543D0">
      <w:pPr>
        <w:pStyle w:val="NormalWeb"/>
        <w:rPr>
          <w:rFonts w:ascii="Roboto" w:hAnsi="Roboto"/>
          <w:sz w:val="30"/>
          <w:szCs w:val="30"/>
        </w:rPr>
      </w:pPr>
      <w:r w:rsidRPr="002543D0">
        <w:rPr>
          <w:rFonts w:ascii="Roboto" w:hAnsi="Roboto"/>
          <w:sz w:val="30"/>
          <w:szCs w:val="30"/>
        </w:rPr>
        <w:t>En fin de compte, vous seul pouvez décider de ce qui est dans votre intérêt. Mais s'il vous plaît, lisez les données scientifiques actuelles avant de prendre votre décision, et ne vous fiez pas aveuglément aux communiqués de presse des entreprises et aux déclarations de sécurité non fondées.</w:t>
      </w:r>
    </w:p>
    <w:p w:rsidR="00401BFA" w:rsidRDefault="002543D0" w:rsidP="002543D0">
      <w:pPr>
        <w:pStyle w:val="NormalWeb"/>
        <w:spacing w:before="0" w:beforeAutospacing="0"/>
        <w:rPr>
          <w:rFonts w:ascii="Roboto" w:hAnsi="Roboto"/>
          <w:sz w:val="30"/>
          <w:szCs w:val="30"/>
        </w:rPr>
      </w:pPr>
      <w:r w:rsidRPr="00401BFA">
        <w:rPr>
          <w:rFonts w:ascii="Roboto" w:hAnsi="Roboto"/>
          <w:color w:val="FF0000"/>
          <w:sz w:val="30"/>
          <w:szCs w:val="30"/>
        </w:rPr>
        <w:t xml:space="preserve">Les propres données de Pfizer prouvent qu'il n'est pas sûr selon toute définition raisonnable du mot, </w:t>
      </w:r>
      <w:r w:rsidRPr="002543D0">
        <w:rPr>
          <w:rFonts w:ascii="Roboto" w:hAnsi="Roboto"/>
          <w:sz w:val="30"/>
          <w:szCs w:val="30"/>
        </w:rPr>
        <w:t>et cela en plus des déclarations de Jackson et d'autres qui ont vu à quel point la collecte de données est bâclée.</w:t>
      </w:r>
    </w:p>
    <w:p w:rsidR="00512F51" w:rsidRDefault="00401BFA" w:rsidP="002543D0">
      <w:pPr>
        <w:pStyle w:val="NormalWeb"/>
        <w:spacing w:before="0" w:beforeAutospacing="0"/>
        <w:rPr>
          <w:rFonts w:ascii="Roboto" w:hAnsi="Roboto"/>
          <w:sz w:val="30"/>
          <w:szCs w:val="30"/>
        </w:rPr>
      </w:pPr>
      <w:r w:rsidRPr="00401BFA">
        <w:rPr>
          <w:rFonts w:ascii="Roboto" w:hAnsi="Roboto"/>
          <w:b/>
          <w:color w:val="FF0000"/>
          <w:sz w:val="30"/>
          <w:szCs w:val="30"/>
        </w:rPr>
        <w:t>Sources</w:t>
      </w:r>
      <w:r>
        <w:rPr>
          <w:rFonts w:ascii="Roboto" w:hAnsi="Roboto"/>
          <w:sz w:val="30"/>
          <w:szCs w:val="30"/>
        </w:rPr>
        <w:t xml:space="preserve"> : </w:t>
      </w:r>
    </w:p>
    <w:p w:rsidR="00512F51" w:rsidRDefault="00512F51" w:rsidP="00512F51">
      <w:pPr>
        <w:numPr>
          <w:ilvl w:val="0"/>
          <w:numId w:val="4"/>
        </w:numPr>
        <w:spacing w:after="0" w:line="240" w:lineRule="auto"/>
        <w:textAlignment w:val="baseline"/>
        <w:rPr>
          <w:rFonts w:ascii="Roboto" w:hAnsi="Roboto"/>
          <w:sz w:val="30"/>
          <w:szCs w:val="30"/>
        </w:rPr>
      </w:pPr>
      <w:r>
        <w:rPr>
          <w:rFonts w:ascii="Roboto" w:hAnsi="Roboto"/>
          <w:sz w:val="23"/>
          <w:szCs w:val="23"/>
          <w:vertAlign w:val="superscript"/>
        </w:rPr>
        <w:t>1,</w:t>
      </w:r>
      <w:r>
        <w:rPr>
          <w:rFonts w:ascii="Roboto" w:hAnsi="Roboto"/>
          <w:sz w:val="30"/>
          <w:szCs w:val="30"/>
        </w:rPr>
        <w:t> </w:t>
      </w:r>
      <w:r>
        <w:rPr>
          <w:rFonts w:ascii="Roboto" w:hAnsi="Roboto"/>
          <w:sz w:val="23"/>
          <w:szCs w:val="23"/>
          <w:vertAlign w:val="superscript"/>
        </w:rPr>
        <w:t>3,</w:t>
      </w:r>
      <w:r>
        <w:rPr>
          <w:rFonts w:ascii="Roboto" w:hAnsi="Roboto"/>
          <w:sz w:val="30"/>
          <w:szCs w:val="30"/>
        </w:rPr>
        <w:t> </w:t>
      </w:r>
      <w:r>
        <w:rPr>
          <w:rFonts w:ascii="Roboto" w:hAnsi="Roboto"/>
          <w:sz w:val="23"/>
          <w:szCs w:val="23"/>
          <w:vertAlign w:val="superscript"/>
        </w:rPr>
        <w:t>8</w:t>
      </w:r>
      <w:r>
        <w:rPr>
          <w:rFonts w:ascii="Roboto" w:hAnsi="Roboto"/>
          <w:sz w:val="30"/>
          <w:szCs w:val="30"/>
        </w:rPr>
        <w:t> </w:t>
      </w:r>
      <w:hyperlink r:id="rId9" w:tgtFrame="_blank" w:history="1">
        <w:r>
          <w:rPr>
            <w:rStyle w:val="Lienhypertexte"/>
            <w:rFonts w:ascii="Roboto" w:hAnsi="Roboto"/>
            <w:sz w:val="30"/>
            <w:szCs w:val="30"/>
          </w:rPr>
          <w:t>The BMJ 2021; 375:n2635</w:t>
        </w:r>
      </w:hyperlink>
    </w:p>
    <w:p w:rsidR="00512F51" w:rsidRDefault="00512F51" w:rsidP="00512F51">
      <w:pPr>
        <w:numPr>
          <w:ilvl w:val="0"/>
          <w:numId w:val="4"/>
        </w:numPr>
        <w:spacing w:after="0" w:line="240" w:lineRule="auto"/>
        <w:textAlignment w:val="baseline"/>
        <w:rPr>
          <w:rFonts w:ascii="Roboto" w:hAnsi="Roboto"/>
          <w:sz w:val="30"/>
          <w:szCs w:val="30"/>
        </w:rPr>
      </w:pPr>
      <w:r>
        <w:rPr>
          <w:rFonts w:ascii="Roboto" w:hAnsi="Roboto"/>
          <w:sz w:val="23"/>
          <w:szCs w:val="23"/>
          <w:vertAlign w:val="superscript"/>
        </w:rPr>
        <w:t>2</w:t>
      </w:r>
      <w:r>
        <w:rPr>
          <w:rFonts w:ascii="Roboto" w:hAnsi="Roboto"/>
          <w:sz w:val="30"/>
          <w:szCs w:val="30"/>
        </w:rPr>
        <w:t> </w:t>
      </w:r>
      <w:hyperlink r:id="rId10" w:tgtFrame="_blank" w:history="1">
        <w:r>
          <w:rPr>
            <w:rStyle w:val="Lienhypertexte"/>
            <w:rFonts w:ascii="Roboto" w:hAnsi="Roboto"/>
            <w:sz w:val="30"/>
            <w:szCs w:val="30"/>
          </w:rPr>
          <w:t>The Last American Vagabond December 2, 2021</w:t>
        </w:r>
      </w:hyperlink>
    </w:p>
    <w:p w:rsidR="00512F51" w:rsidRDefault="00512F51" w:rsidP="00512F51">
      <w:pPr>
        <w:numPr>
          <w:ilvl w:val="0"/>
          <w:numId w:val="4"/>
        </w:numPr>
        <w:spacing w:after="0" w:line="240" w:lineRule="auto"/>
        <w:textAlignment w:val="baseline"/>
        <w:rPr>
          <w:rFonts w:ascii="Roboto" w:hAnsi="Roboto"/>
          <w:sz w:val="30"/>
          <w:szCs w:val="30"/>
        </w:rPr>
      </w:pPr>
      <w:r>
        <w:rPr>
          <w:rFonts w:ascii="Roboto" w:hAnsi="Roboto"/>
          <w:sz w:val="23"/>
          <w:szCs w:val="23"/>
          <w:vertAlign w:val="superscript"/>
        </w:rPr>
        <w:t>4</w:t>
      </w:r>
      <w:r>
        <w:rPr>
          <w:rFonts w:ascii="Roboto" w:hAnsi="Roboto"/>
          <w:sz w:val="30"/>
          <w:szCs w:val="30"/>
        </w:rPr>
        <w:t> </w:t>
      </w:r>
      <w:hyperlink r:id="rId11" w:tgtFrame="_blank" w:history="1">
        <w:r>
          <w:rPr>
            <w:rStyle w:val="Lienhypertexte"/>
            <w:rFonts w:ascii="Roboto" w:hAnsi="Roboto"/>
            <w:sz w:val="30"/>
            <w:szCs w:val="30"/>
          </w:rPr>
          <w:t>Facebook Pfizergate</w:t>
        </w:r>
      </w:hyperlink>
    </w:p>
    <w:p w:rsidR="00512F51" w:rsidRDefault="00512F51" w:rsidP="00512F51">
      <w:pPr>
        <w:numPr>
          <w:ilvl w:val="0"/>
          <w:numId w:val="4"/>
        </w:numPr>
        <w:spacing w:after="0" w:line="240" w:lineRule="auto"/>
        <w:textAlignment w:val="baseline"/>
        <w:rPr>
          <w:rFonts w:ascii="Roboto" w:hAnsi="Roboto"/>
          <w:sz w:val="30"/>
          <w:szCs w:val="30"/>
        </w:rPr>
      </w:pPr>
      <w:r>
        <w:rPr>
          <w:rFonts w:ascii="Roboto" w:hAnsi="Roboto"/>
          <w:sz w:val="23"/>
          <w:szCs w:val="23"/>
          <w:vertAlign w:val="superscript"/>
        </w:rPr>
        <w:t>5</w:t>
      </w:r>
      <w:r>
        <w:rPr>
          <w:rFonts w:ascii="Roboto" w:hAnsi="Roboto"/>
          <w:sz w:val="30"/>
          <w:szCs w:val="30"/>
        </w:rPr>
        <w:t> </w:t>
      </w:r>
      <w:hyperlink r:id="rId12" w:tgtFrame="_blank" w:history="1">
        <w:r>
          <w:rPr>
            <w:rStyle w:val="Lienhypertexte"/>
            <w:rFonts w:ascii="Roboto" w:hAnsi="Roboto"/>
            <w:sz w:val="30"/>
            <w:szCs w:val="30"/>
          </w:rPr>
          <w:t>Ilsussidario.net Pfizergate</w:t>
        </w:r>
      </w:hyperlink>
    </w:p>
    <w:p w:rsidR="00512F51" w:rsidRDefault="00512F51" w:rsidP="00512F51">
      <w:pPr>
        <w:numPr>
          <w:ilvl w:val="0"/>
          <w:numId w:val="4"/>
        </w:numPr>
        <w:spacing w:after="0" w:line="240" w:lineRule="auto"/>
        <w:textAlignment w:val="baseline"/>
        <w:rPr>
          <w:rFonts w:ascii="Roboto" w:hAnsi="Roboto"/>
          <w:sz w:val="30"/>
          <w:szCs w:val="30"/>
        </w:rPr>
      </w:pPr>
      <w:r>
        <w:rPr>
          <w:rFonts w:ascii="Roboto" w:hAnsi="Roboto"/>
          <w:sz w:val="23"/>
          <w:szCs w:val="23"/>
          <w:vertAlign w:val="superscript"/>
        </w:rPr>
        <w:t>6</w:t>
      </w:r>
      <w:r>
        <w:rPr>
          <w:rFonts w:ascii="Roboto" w:hAnsi="Roboto"/>
          <w:sz w:val="30"/>
          <w:szCs w:val="30"/>
        </w:rPr>
        <w:t> </w:t>
      </w:r>
      <w:hyperlink r:id="rId13" w:tgtFrame="_blank" w:history="1">
        <w:r>
          <w:rPr>
            <w:rStyle w:val="Lienhypertexte"/>
            <w:rFonts w:ascii="Roboto" w:hAnsi="Roboto"/>
            <w:sz w:val="30"/>
            <w:szCs w:val="30"/>
          </w:rPr>
          <w:t>Covidvaccinereaction.com</w:t>
        </w:r>
      </w:hyperlink>
    </w:p>
    <w:p w:rsidR="00512F51" w:rsidRDefault="00512F51" w:rsidP="00512F51">
      <w:pPr>
        <w:numPr>
          <w:ilvl w:val="0"/>
          <w:numId w:val="4"/>
        </w:numPr>
        <w:spacing w:after="0" w:line="240" w:lineRule="auto"/>
        <w:textAlignment w:val="baseline"/>
        <w:rPr>
          <w:rFonts w:ascii="Roboto" w:hAnsi="Roboto"/>
          <w:sz w:val="30"/>
          <w:szCs w:val="30"/>
        </w:rPr>
      </w:pPr>
      <w:r>
        <w:rPr>
          <w:rFonts w:ascii="Roboto" w:hAnsi="Roboto"/>
          <w:sz w:val="23"/>
          <w:szCs w:val="23"/>
          <w:vertAlign w:val="superscript"/>
        </w:rPr>
        <w:t>7</w:t>
      </w:r>
      <w:r>
        <w:rPr>
          <w:rFonts w:ascii="Roboto" w:hAnsi="Roboto"/>
          <w:sz w:val="30"/>
          <w:szCs w:val="30"/>
        </w:rPr>
        <w:t> </w:t>
      </w:r>
      <w:hyperlink r:id="rId14" w:tgtFrame="_blank" w:history="1">
        <w:r>
          <w:rPr>
            <w:rStyle w:val="Lienhypertexte"/>
            <w:rFonts w:ascii="Roboto" w:hAnsi="Roboto"/>
            <w:sz w:val="30"/>
            <w:szCs w:val="30"/>
          </w:rPr>
          <w:t>The BMJ 2021;375:n2635 Rapid Response</w:t>
        </w:r>
      </w:hyperlink>
    </w:p>
    <w:p w:rsidR="00512F51" w:rsidRDefault="00512F51" w:rsidP="00512F51">
      <w:pPr>
        <w:numPr>
          <w:ilvl w:val="0"/>
          <w:numId w:val="4"/>
        </w:numPr>
        <w:spacing w:after="0" w:line="240" w:lineRule="auto"/>
        <w:textAlignment w:val="baseline"/>
        <w:rPr>
          <w:rFonts w:ascii="Roboto" w:hAnsi="Roboto"/>
          <w:sz w:val="30"/>
          <w:szCs w:val="30"/>
        </w:rPr>
      </w:pPr>
      <w:r>
        <w:rPr>
          <w:rFonts w:ascii="Roboto" w:hAnsi="Roboto"/>
          <w:sz w:val="23"/>
          <w:szCs w:val="23"/>
          <w:vertAlign w:val="superscript"/>
        </w:rPr>
        <w:t>9</w:t>
      </w:r>
      <w:r>
        <w:rPr>
          <w:rFonts w:ascii="Roboto" w:hAnsi="Roboto"/>
          <w:sz w:val="30"/>
          <w:szCs w:val="30"/>
        </w:rPr>
        <w:t> </w:t>
      </w:r>
      <w:hyperlink r:id="rId15" w:tgtFrame="_blank" w:history="1">
        <w:r>
          <w:rPr>
            <w:rStyle w:val="Lienhypertexte"/>
            <w:rFonts w:ascii="Roboto" w:hAnsi="Roboto"/>
            <w:sz w:val="30"/>
            <w:szCs w:val="30"/>
          </w:rPr>
          <w:t>Twitter Greg Hunt February 15, 2021</w:t>
        </w:r>
      </w:hyperlink>
    </w:p>
    <w:p w:rsidR="00512F51" w:rsidRDefault="00512F51" w:rsidP="00512F51">
      <w:pPr>
        <w:numPr>
          <w:ilvl w:val="0"/>
          <w:numId w:val="4"/>
        </w:numPr>
        <w:spacing w:after="0" w:line="240" w:lineRule="auto"/>
        <w:textAlignment w:val="baseline"/>
        <w:rPr>
          <w:rFonts w:ascii="Roboto" w:hAnsi="Roboto"/>
          <w:sz w:val="30"/>
          <w:szCs w:val="30"/>
        </w:rPr>
      </w:pPr>
      <w:r>
        <w:rPr>
          <w:rFonts w:ascii="Roboto" w:hAnsi="Roboto"/>
          <w:sz w:val="23"/>
          <w:szCs w:val="23"/>
          <w:vertAlign w:val="superscript"/>
        </w:rPr>
        <w:t>10</w:t>
      </w:r>
      <w:r>
        <w:rPr>
          <w:rFonts w:ascii="Roboto" w:hAnsi="Roboto"/>
          <w:sz w:val="30"/>
          <w:szCs w:val="30"/>
        </w:rPr>
        <w:t> </w:t>
      </w:r>
      <w:hyperlink r:id="rId16" w:tgtFrame="_blank" w:history="1">
        <w:r>
          <w:rPr>
            <w:rStyle w:val="Lienhypertexte"/>
            <w:rFonts w:ascii="Roboto" w:hAnsi="Roboto"/>
            <w:sz w:val="30"/>
            <w:szCs w:val="30"/>
          </w:rPr>
          <w:t>CNBC August 30, 2021</w:t>
        </w:r>
      </w:hyperlink>
    </w:p>
    <w:p w:rsidR="00512F51" w:rsidRDefault="00512F51" w:rsidP="00512F51">
      <w:pPr>
        <w:numPr>
          <w:ilvl w:val="0"/>
          <w:numId w:val="4"/>
        </w:numPr>
        <w:spacing w:after="0" w:line="240" w:lineRule="auto"/>
        <w:textAlignment w:val="baseline"/>
        <w:rPr>
          <w:rFonts w:ascii="Roboto" w:hAnsi="Roboto"/>
          <w:sz w:val="30"/>
          <w:szCs w:val="30"/>
        </w:rPr>
      </w:pPr>
      <w:r>
        <w:rPr>
          <w:rFonts w:ascii="Roboto" w:hAnsi="Roboto"/>
          <w:sz w:val="23"/>
          <w:szCs w:val="23"/>
          <w:vertAlign w:val="superscript"/>
        </w:rPr>
        <w:t>11</w:t>
      </w:r>
      <w:r>
        <w:rPr>
          <w:rFonts w:ascii="Roboto" w:hAnsi="Roboto"/>
          <w:sz w:val="30"/>
          <w:szCs w:val="30"/>
        </w:rPr>
        <w:t> </w:t>
      </w:r>
      <w:hyperlink r:id="rId17" w:tgtFrame="_blank" w:history="1">
        <w:r>
          <w:rPr>
            <w:rStyle w:val="Lienhypertexte"/>
            <w:rFonts w:ascii="Roboto" w:hAnsi="Roboto"/>
            <w:sz w:val="30"/>
            <w:szCs w:val="30"/>
          </w:rPr>
          <w:t>ABC Australia September 4, 2009</w:t>
        </w:r>
      </w:hyperlink>
    </w:p>
    <w:p w:rsidR="00512F51" w:rsidRDefault="00512F51" w:rsidP="00512F51">
      <w:pPr>
        <w:numPr>
          <w:ilvl w:val="0"/>
          <w:numId w:val="4"/>
        </w:numPr>
        <w:spacing w:after="0" w:line="240" w:lineRule="auto"/>
        <w:textAlignment w:val="baseline"/>
        <w:rPr>
          <w:rFonts w:ascii="Roboto" w:hAnsi="Roboto"/>
          <w:sz w:val="30"/>
          <w:szCs w:val="30"/>
        </w:rPr>
      </w:pPr>
      <w:r>
        <w:rPr>
          <w:rFonts w:ascii="Roboto" w:hAnsi="Roboto"/>
          <w:sz w:val="23"/>
          <w:szCs w:val="23"/>
          <w:vertAlign w:val="superscript"/>
        </w:rPr>
        <w:t>12</w:t>
      </w:r>
      <w:r>
        <w:rPr>
          <w:rFonts w:ascii="Roboto" w:hAnsi="Roboto"/>
          <w:sz w:val="30"/>
          <w:szCs w:val="30"/>
        </w:rPr>
        <w:t> </w:t>
      </w:r>
      <w:hyperlink r:id="rId18" w:tgtFrame="_blank" w:history="1">
        <w:r>
          <w:rPr>
            <w:rStyle w:val="Lienhypertexte"/>
            <w:rFonts w:ascii="Roboto" w:hAnsi="Roboto"/>
            <w:sz w:val="30"/>
            <w:szCs w:val="30"/>
          </w:rPr>
          <w:t>The BMJ 2020; 370; m3260</w:t>
        </w:r>
      </w:hyperlink>
    </w:p>
    <w:p w:rsidR="00512F51" w:rsidRDefault="00512F51" w:rsidP="00512F51">
      <w:pPr>
        <w:numPr>
          <w:ilvl w:val="0"/>
          <w:numId w:val="4"/>
        </w:numPr>
        <w:spacing w:after="0" w:line="240" w:lineRule="auto"/>
        <w:textAlignment w:val="baseline"/>
        <w:rPr>
          <w:rFonts w:ascii="Roboto" w:hAnsi="Roboto"/>
          <w:sz w:val="30"/>
          <w:szCs w:val="30"/>
        </w:rPr>
      </w:pPr>
      <w:r>
        <w:rPr>
          <w:rFonts w:ascii="Roboto" w:hAnsi="Roboto"/>
          <w:sz w:val="23"/>
          <w:szCs w:val="23"/>
          <w:vertAlign w:val="superscript"/>
        </w:rPr>
        <w:t>13</w:t>
      </w:r>
      <w:r>
        <w:rPr>
          <w:rFonts w:ascii="Roboto" w:hAnsi="Roboto"/>
          <w:sz w:val="30"/>
          <w:szCs w:val="30"/>
        </w:rPr>
        <w:t> </w:t>
      </w:r>
      <w:hyperlink r:id="rId19" w:tgtFrame="_blank" w:history="1">
        <w:r>
          <w:rPr>
            <w:rStyle w:val="Lienhypertexte"/>
            <w:rFonts w:ascii="Roboto" w:hAnsi="Roboto"/>
            <w:sz w:val="30"/>
            <w:szCs w:val="30"/>
          </w:rPr>
          <w:t>The Defender November 19, 2021</w:t>
        </w:r>
      </w:hyperlink>
    </w:p>
    <w:p w:rsidR="00512F51" w:rsidRDefault="00512F51" w:rsidP="00512F51">
      <w:pPr>
        <w:numPr>
          <w:ilvl w:val="0"/>
          <w:numId w:val="4"/>
        </w:numPr>
        <w:spacing w:after="0" w:line="240" w:lineRule="auto"/>
        <w:textAlignment w:val="baseline"/>
        <w:rPr>
          <w:rFonts w:ascii="Roboto" w:hAnsi="Roboto"/>
          <w:sz w:val="30"/>
          <w:szCs w:val="30"/>
        </w:rPr>
      </w:pPr>
      <w:r>
        <w:rPr>
          <w:rFonts w:ascii="Roboto" w:hAnsi="Roboto"/>
          <w:sz w:val="23"/>
          <w:szCs w:val="23"/>
          <w:vertAlign w:val="superscript"/>
        </w:rPr>
        <w:t>14,</w:t>
      </w:r>
      <w:r>
        <w:rPr>
          <w:rFonts w:ascii="Roboto" w:hAnsi="Roboto"/>
          <w:sz w:val="30"/>
          <w:szCs w:val="30"/>
        </w:rPr>
        <w:t> </w:t>
      </w:r>
      <w:r>
        <w:rPr>
          <w:rFonts w:ascii="Roboto" w:hAnsi="Roboto"/>
          <w:sz w:val="23"/>
          <w:szCs w:val="23"/>
          <w:vertAlign w:val="superscript"/>
        </w:rPr>
        <w:t>15</w:t>
      </w:r>
      <w:r>
        <w:rPr>
          <w:rFonts w:ascii="Roboto" w:hAnsi="Roboto"/>
          <w:sz w:val="30"/>
          <w:szCs w:val="30"/>
        </w:rPr>
        <w:t> </w:t>
      </w:r>
      <w:hyperlink r:id="rId20" w:tgtFrame="_blank" w:history="1">
        <w:r>
          <w:rPr>
            <w:rStyle w:val="Lienhypertexte"/>
            <w:rFonts w:ascii="Roboto" w:hAnsi="Roboto"/>
            <w:sz w:val="30"/>
            <w:szCs w:val="30"/>
          </w:rPr>
          <w:t>Newsmax December 8, 2021</w:t>
        </w:r>
      </w:hyperlink>
    </w:p>
    <w:p w:rsidR="00512F51" w:rsidRDefault="00512F51" w:rsidP="00512F51">
      <w:pPr>
        <w:numPr>
          <w:ilvl w:val="0"/>
          <w:numId w:val="4"/>
        </w:numPr>
        <w:spacing w:after="0" w:line="240" w:lineRule="auto"/>
        <w:textAlignment w:val="baseline"/>
        <w:rPr>
          <w:rFonts w:ascii="Roboto" w:hAnsi="Roboto"/>
          <w:sz w:val="30"/>
          <w:szCs w:val="30"/>
        </w:rPr>
      </w:pPr>
      <w:r>
        <w:rPr>
          <w:rFonts w:ascii="Roboto" w:hAnsi="Roboto"/>
          <w:sz w:val="23"/>
          <w:szCs w:val="23"/>
          <w:vertAlign w:val="superscript"/>
        </w:rPr>
        <w:t>16</w:t>
      </w:r>
      <w:r>
        <w:rPr>
          <w:rFonts w:ascii="Roboto" w:hAnsi="Roboto"/>
          <w:sz w:val="30"/>
          <w:szCs w:val="30"/>
        </w:rPr>
        <w:t> </w:t>
      </w:r>
      <w:hyperlink r:id="rId21" w:tgtFrame="_blank" w:history="1">
        <w:r>
          <w:rPr>
            <w:rStyle w:val="Lienhypertexte"/>
            <w:rFonts w:ascii="Roboto" w:hAnsi="Roboto"/>
            <w:sz w:val="30"/>
            <w:szCs w:val="30"/>
          </w:rPr>
          <w:t>PHMPT.org Pfizer documents</w:t>
        </w:r>
      </w:hyperlink>
    </w:p>
    <w:p w:rsidR="00512F51" w:rsidRDefault="00512F51" w:rsidP="00512F51">
      <w:pPr>
        <w:numPr>
          <w:ilvl w:val="0"/>
          <w:numId w:val="4"/>
        </w:numPr>
        <w:spacing w:after="0" w:line="240" w:lineRule="auto"/>
        <w:textAlignment w:val="baseline"/>
        <w:rPr>
          <w:rFonts w:ascii="Roboto" w:hAnsi="Roboto"/>
          <w:sz w:val="30"/>
          <w:szCs w:val="30"/>
        </w:rPr>
      </w:pPr>
      <w:r>
        <w:rPr>
          <w:rFonts w:ascii="Roboto" w:hAnsi="Roboto"/>
          <w:sz w:val="23"/>
          <w:szCs w:val="23"/>
          <w:vertAlign w:val="superscript"/>
        </w:rPr>
        <w:t>17</w:t>
      </w:r>
      <w:r>
        <w:rPr>
          <w:rFonts w:ascii="Roboto" w:hAnsi="Roboto"/>
          <w:sz w:val="30"/>
          <w:szCs w:val="30"/>
        </w:rPr>
        <w:t> </w:t>
      </w:r>
      <w:hyperlink r:id="rId22" w:tgtFrame="_blank" w:history="1">
        <w:r>
          <w:rPr>
            <w:rStyle w:val="Lienhypertexte"/>
            <w:rFonts w:ascii="Roboto" w:hAnsi="Roboto"/>
            <w:sz w:val="30"/>
            <w:szCs w:val="30"/>
          </w:rPr>
          <w:t>thekylebecker.substack.com November 21, 2021</w:t>
        </w:r>
      </w:hyperlink>
    </w:p>
    <w:p w:rsidR="00512F51" w:rsidRDefault="00512F51" w:rsidP="00512F51">
      <w:pPr>
        <w:numPr>
          <w:ilvl w:val="0"/>
          <w:numId w:val="4"/>
        </w:numPr>
        <w:spacing w:after="0" w:line="240" w:lineRule="auto"/>
        <w:textAlignment w:val="baseline"/>
        <w:rPr>
          <w:rFonts w:ascii="Roboto" w:hAnsi="Roboto"/>
          <w:sz w:val="30"/>
          <w:szCs w:val="30"/>
        </w:rPr>
      </w:pPr>
      <w:r>
        <w:rPr>
          <w:rFonts w:ascii="Roboto" w:hAnsi="Roboto"/>
          <w:sz w:val="23"/>
          <w:szCs w:val="23"/>
          <w:vertAlign w:val="superscript"/>
        </w:rPr>
        <w:t>18,</w:t>
      </w:r>
      <w:r>
        <w:rPr>
          <w:rFonts w:ascii="Roboto" w:hAnsi="Roboto"/>
          <w:sz w:val="30"/>
          <w:szCs w:val="30"/>
        </w:rPr>
        <w:t> </w:t>
      </w:r>
      <w:r>
        <w:rPr>
          <w:rFonts w:ascii="Roboto" w:hAnsi="Roboto"/>
          <w:sz w:val="23"/>
          <w:szCs w:val="23"/>
          <w:vertAlign w:val="superscript"/>
        </w:rPr>
        <w:t>19</w:t>
      </w:r>
      <w:r>
        <w:rPr>
          <w:rFonts w:ascii="Roboto" w:hAnsi="Roboto"/>
          <w:sz w:val="30"/>
          <w:szCs w:val="30"/>
        </w:rPr>
        <w:t> </w:t>
      </w:r>
      <w:hyperlink r:id="rId23" w:tgtFrame="_blank" w:history="1">
        <w:r>
          <w:rPr>
            <w:rStyle w:val="Lienhypertexte"/>
            <w:rFonts w:ascii="Roboto" w:hAnsi="Roboto"/>
            <w:sz w:val="30"/>
            <w:szCs w:val="30"/>
          </w:rPr>
          <w:t>Cumulative Analysis of Post-Authorization Adverse Event Reports Received Through 28-Feb-2021</w:t>
        </w:r>
      </w:hyperlink>
    </w:p>
    <w:p w:rsidR="00512F51" w:rsidRDefault="005667CF" w:rsidP="00512F51">
      <w:pPr>
        <w:pStyle w:val="Titre3"/>
        <w:spacing w:before="0" w:beforeAutospacing="0" w:after="0" w:afterAutospacing="0"/>
        <w:rPr>
          <w:rFonts w:ascii="Arial" w:hAnsi="Arial" w:cs="Arial"/>
          <w:color w:val="333333"/>
        </w:rPr>
      </w:pPr>
      <w:hyperlink r:id="rId24" w:tgtFrame="_blank" w:history="1">
        <w:r w:rsidR="00512F51">
          <w:rPr>
            <w:rStyle w:val="Lienhypertexte"/>
            <w:rFonts w:ascii="Roboto" w:hAnsi="Roboto" w:cs="Arial"/>
            <w:b w:val="0"/>
            <w:bCs w:val="0"/>
          </w:rPr>
          <w:t>QUELLE: PFIZER WHISTLEBLOWER EXPOSES VACCINE DATA COVER-UP</w:t>
        </w:r>
      </w:hyperlink>
    </w:p>
    <w:p w:rsidR="000622CD" w:rsidRDefault="00E23016" w:rsidP="00512F51">
      <w:pPr>
        <w:spacing w:before="100" w:beforeAutospacing="1" w:after="100" w:afterAutospacing="1" w:line="240" w:lineRule="auto"/>
        <w:textAlignment w:val="baseline"/>
        <w:rPr>
          <w:rFonts w:ascii="Arial" w:eastAsia="Times New Roman" w:hAnsi="Arial" w:cs="Arial"/>
          <w:color w:val="333333"/>
          <w:sz w:val="30"/>
          <w:szCs w:val="30"/>
          <w:lang w:eastAsia="fr-FR"/>
        </w:rPr>
      </w:pPr>
      <w:r w:rsidRPr="00401BFA">
        <w:rPr>
          <w:rFonts w:ascii="Arial" w:eastAsia="Times New Roman" w:hAnsi="Arial" w:cs="Arial"/>
          <w:b/>
          <w:color w:val="333333"/>
          <w:sz w:val="30"/>
          <w:szCs w:val="30"/>
          <w:lang w:eastAsia="fr-FR"/>
        </w:rPr>
        <w:t>REMARQUE</w:t>
      </w:r>
      <w:r w:rsidR="000622CD">
        <w:rPr>
          <w:rFonts w:ascii="Arial" w:eastAsia="Times New Roman" w:hAnsi="Arial" w:cs="Arial"/>
          <w:b/>
          <w:color w:val="333333"/>
          <w:sz w:val="30"/>
          <w:szCs w:val="30"/>
          <w:lang w:eastAsia="fr-FR"/>
        </w:rPr>
        <w:t>S</w:t>
      </w:r>
      <w:r w:rsidR="000622CD" w:rsidRPr="000622CD">
        <w:rPr>
          <w:rFonts w:ascii="Roboto" w:eastAsia="Times New Roman" w:hAnsi="Roboto" w:cs="Times New Roman"/>
          <w:color w:val="1B252F"/>
          <w:sz w:val="30"/>
          <w:szCs w:val="30"/>
          <w:lang w:eastAsia="fr-FR"/>
        </w:rPr>
        <w:t xml:space="preserve"> </w:t>
      </w:r>
      <w:r w:rsidR="00401BFA">
        <w:rPr>
          <w:rFonts w:ascii="Arial" w:eastAsia="Times New Roman" w:hAnsi="Arial" w:cs="Arial"/>
          <w:color w:val="333333"/>
          <w:sz w:val="30"/>
          <w:szCs w:val="30"/>
          <w:lang w:eastAsia="fr-FR"/>
        </w:rPr>
        <w:t>de la part du traducteur</w:t>
      </w:r>
      <w:r>
        <w:rPr>
          <w:rFonts w:ascii="Arial" w:eastAsia="Times New Roman" w:hAnsi="Arial" w:cs="Arial"/>
          <w:color w:val="333333"/>
          <w:sz w:val="30"/>
          <w:szCs w:val="30"/>
          <w:lang w:eastAsia="fr-FR"/>
        </w:rPr>
        <w:t xml:space="preserve">: </w:t>
      </w:r>
    </w:p>
    <w:p w:rsidR="00E817B5" w:rsidRDefault="000622CD" w:rsidP="00512F51">
      <w:pPr>
        <w:spacing w:before="100" w:beforeAutospacing="1" w:after="100" w:afterAutospacing="1" w:line="240" w:lineRule="auto"/>
        <w:textAlignment w:val="baseline"/>
        <w:rPr>
          <w:rFonts w:ascii="Roboto" w:eastAsia="Times New Roman" w:hAnsi="Roboto" w:cs="Times New Roman"/>
          <w:color w:val="1B252F"/>
          <w:sz w:val="30"/>
          <w:szCs w:val="30"/>
          <w:lang w:eastAsia="fr-FR"/>
        </w:rPr>
      </w:pPr>
      <w:r w:rsidRPr="000622CD">
        <w:rPr>
          <w:rFonts w:ascii="Arial" w:eastAsia="Times New Roman" w:hAnsi="Arial" w:cs="Arial"/>
          <w:color w:val="FF0000"/>
          <w:sz w:val="30"/>
          <w:szCs w:val="30"/>
          <w:lang w:eastAsia="fr-FR"/>
        </w:rPr>
        <w:t>1)</w:t>
      </w:r>
      <w:r>
        <w:rPr>
          <w:rFonts w:ascii="Arial" w:eastAsia="Times New Roman" w:hAnsi="Arial" w:cs="Arial"/>
          <w:color w:val="333333"/>
          <w:sz w:val="30"/>
          <w:szCs w:val="30"/>
          <w:lang w:eastAsia="fr-FR"/>
        </w:rPr>
        <w:t xml:space="preserve"> </w:t>
      </w:r>
      <w:r w:rsidR="00E23016">
        <w:rPr>
          <w:rFonts w:ascii="Arial" w:eastAsia="Times New Roman" w:hAnsi="Arial" w:cs="Arial"/>
          <w:color w:val="333333"/>
          <w:sz w:val="30"/>
          <w:szCs w:val="30"/>
          <w:lang w:eastAsia="fr-FR"/>
        </w:rPr>
        <w:t>« </w:t>
      </w:r>
      <w:r w:rsidR="00E23016" w:rsidRPr="002113FB">
        <w:rPr>
          <w:rFonts w:ascii="Roboto" w:eastAsia="Times New Roman" w:hAnsi="Roboto" w:cs="Times New Roman"/>
          <w:color w:val="1B252F"/>
          <w:sz w:val="30"/>
          <w:szCs w:val="30"/>
          <w:lang w:eastAsia="fr-FR"/>
        </w:rPr>
        <w:t xml:space="preserve">. </w:t>
      </w:r>
      <w:r w:rsidR="00E23016" w:rsidRPr="00F20A85">
        <w:rPr>
          <w:rFonts w:ascii="Roboto" w:eastAsia="Times New Roman" w:hAnsi="Roboto" w:cs="Times New Roman"/>
          <w:i/>
          <w:color w:val="1B252F"/>
          <w:sz w:val="30"/>
          <w:szCs w:val="30"/>
          <w:lang w:eastAsia="fr-FR"/>
        </w:rPr>
        <w:t>La plupart d'entre eux, comme le ministre australien de la Santé Greg Hunt, ont affirmé que les vaccins COVID avaient été soumis à des "tests rigoureux et indépendants" pour s'assurer qu'ils étaient "</w:t>
      </w:r>
      <w:r w:rsidR="00E23016" w:rsidRPr="00401BFA">
        <w:rPr>
          <w:rFonts w:ascii="Roboto" w:eastAsia="Times New Roman" w:hAnsi="Roboto" w:cs="Times New Roman"/>
          <w:i/>
          <w:color w:val="FF0000"/>
          <w:sz w:val="30"/>
          <w:szCs w:val="30"/>
          <w:lang w:eastAsia="fr-FR"/>
        </w:rPr>
        <w:t>sûrs, efficaces et fabriqués selon des normes élevées</w:t>
      </w:r>
      <w:r w:rsidR="00E23016" w:rsidRPr="00401BFA">
        <w:rPr>
          <w:rFonts w:ascii="Roboto" w:eastAsia="Times New Roman" w:hAnsi="Roboto" w:cs="Times New Roman"/>
          <w:color w:val="FF0000"/>
          <w:sz w:val="30"/>
          <w:szCs w:val="30"/>
          <w:lang w:eastAsia="fr-FR"/>
        </w:rPr>
        <w:t>"</w:t>
      </w:r>
      <w:r w:rsidR="00E23016" w:rsidRPr="002113FB">
        <w:rPr>
          <w:rFonts w:ascii="Roboto" w:eastAsia="Times New Roman" w:hAnsi="Roboto" w:cs="Times New Roman"/>
          <w:color w:val="1B252F"/>
          <w:sz w:val="30"/>
          <w:szCs w:val="30"/>
          <w:lang w:eastAsia="fr-FR"/>
        </w:rPr>
        <w:t>.</w:t>
      </w:r>
      <w:r w:rsidR="00E23016">
        <w:rPr>
          <w:rFonts w:ascii="Roboto" w:eastAsia="Times New Roman" w:hAnsi="Roboto" w:cs="Times New Roman"/>
          <w:color w:val="1B252F"/>
          <w:sz w:val="30"/>
          <w:szCs w:val="30"/>
          <w:lang w:eastAsia="fr-FR"/>
        </w:rPr>
        <w:t xml:space="preserve"> » C’est, à peu de choses près, </w:t>
      </w:r>
      <w:r w:rsidR="00401BFA">
        <w:rPr>
          <w:rFonts w:ascii="Roboto" w:eastAsia="Times New Roman" w:hAnsi="Roboto" w:cs="Times New Roman"/>
          <w:color w:val="1B252F"/>
          <w:sz w:val="30"/>
          <w:szCs w:val="30"/>
          <w:lang w:eastAsia="fr-FR"/>
        </w:rPr>
        <w:t xml:space="preserve">ce </w:t>
      </w:r>
      <w:r w:rsidR="00E23016">
        <w:rPr>
          <w:rFonts w:ascii="Roboto" w:eastAsia="Times New Roman" w:hAnsi="Roboto" w:cs="Times New Roman"/>
          <w:color w:val="1B252F"/>
          <w:sz w:val="30"/>
          <w:szCs w:val="30"/>
          <w:lang w:eastAsia="fr-FR"/>
        </w:rPr>
        <w:t>qu’on peut lire sur la page du « Centre</w:t>
      </w:r>
      <w:r w:rsidR="00F20A85">
        <w:rPr>
          <w:rFonts w:ascii="Roboto" w:eastAsia="Times New Roman" w:hAnsi="Roboto" w:cs="Times New Roman"/>
          <w:color w:val="1B252F"/>
          <w:sz w:val="30"/>
          <w:szCs w:val="30"/>
          <w:lang w:eastAsia="fr-FR"/>
        </w:rPr>
        <w:t xml:space="preserve"> d’information » dédié au Covid 19 (</w:t>
      </w:r>
      <w:hyperlink r:id="rId25" w:history="1">
        <w:r w:rsidR="00F20A85" w:rsidRPr="0001215A">
          <w:rPr>
            <w:rStyle w:val="Lienhypertexte"/>
            <w:rFonts w:ascii="Roboto" w:eastAsia="Times New Roman" w:hAnsi="Roboto" w:cs="Times New Roman"/>
            <w:sz w:val="30"/>
            <w:szCs w:val="30"/>
            <w:lang w:eastAsia="fr-FR"/>
          </w:rPr>
          <w:t>https://www.facebook.com/coronavirus_info</w:t>
        </w:r>
      </w:hyperlink>
      <w:r w:rsidR="00F20A85">
        <w:rPr>
          <w:rFonts w:ascii="Roboto" w:eastAsia="Times New Roman" w:hAnsi="Roboto" w:cs="Times New Roman"/>
          <w:color w:val="1B252F"/>
          <w:sz w:val="30"/>
          <w:szCs w:val="30"/>
          <w:lang w:eastAsia="fr-FR"/>
        </w:rPr>
        <w:t>)</w:t>
      </w:r>
      <w:r w:rsidR="00401BFA">
        <w:rPr>
          <w:rFonts w:ascii="Roboto" w:eastAsia="Times New Roman" w:hAnsi="Roboto" w:cs="Times New Roman"/>
          <w:color w:val="1B252F"/>
          <w:sz w:val="30"/>
          <w:szCs w:val="30"/>
          <w:lang w:eastAsia="fr-FR"/>
        </w:rPr>
        <w:t xml:space="preserve"> lorsqu’on suit les conseils </w:t>
      </w:r>
      <w:r w:rsidR="00401BFA">
        <w:rPr>
          <w:rFonts w:ascii="Roboto" w:eastAsia="Times New Roman" w:hAnsi="Roboto" w:cs="Times New Roman"/>
          <w:color w:val="1B252F"/>
          <w:sz w:val="30"/>
          <w:szCs w:val="30"/>
          <w:lang w:eastAsia="fr-FR"/>
        </w:rPr>
        <w:t>que les robots de Facebook insèrent après tout message comportant certains mots-clés,</w:t>
      </w:r>
      <w:r w:rsidR="00F20A85">
        <w:rPr>
          <w:rFonts w:ascii="Roboto" w:eastAsia="Times New Roman" w:hAnsi="Roboto" w:cs="Times New Roman"/>
          <w:color w:val="1B252F"/>
          <w:sz w:val="30"/>
          <w:szCs w:val="30"/>
          <w:lang w:eastAsia="fr-FR"/>
        </w:rPr>
        <w:t>:</w:t>
      </w:r>
      <w:r w:rsidR="00F20A85">
        <w:rPr>
          <w:rFonts w:ascii="Roboto" w:eastAsia="Times New Roman" w:hAnsi="Roboto" w:cs="Times New Roman"/>
          <w:color w:val="1B252F"/>
          <w:sz w:val="30"/>
          <w:szCs w:val="30"/>
          <w:lang w:eastAsia="fr-FR"/>
        </w:rPr>
        <w:t xml:space="preserve"> </w:t>
      </w:r>
    </w:p>
    <w:p w:rsidR="00F20A85" w:rsidRDefault="00F20A85" w:rsidP="00512F51">
      <w:pPr>
        <w:spacing w:before="100" w:beforeAutospacing="1" w:after="100" w:afterAutospacing="1" w:line="240" w:lineRule="auto"/>
        <w:textAlignment w:val="baseline"/>
        <w:rPr>
          <w:rFonts w:ascii="Arial" w:eastAsia="Times New Roman" w:hAnsi="Arial" w:cs="Arial"/>
          <w:color w:val="333333"/>
          <w:sz w:val="30"/>
          <w:szCs w:val="30"/>
          <w:lang w:eastAsia="fr-FR"/>
        </w:rPr>
      </w:pPr>
      <w:r>
        <w:rPr>
          <w:rFonts w:ascii="Arial" w:eastAsia="Times New Roman" w:hAnsi="Arial" w:cs="Arial"/>
          <w:noProof/>
          <w:color w:val="333333"/>
          <w:sz w:val="30"/>
          <w:szCs w:val="30"/>
          <w:lang w:eastAsia="fr-FR"/>
        </w:rPr>
        <w:drawing>
          <wp:inline distT="0" distB="0" distL="0" distR="0">
            <wp:extent cx="5829300" cy="41624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songes du centre d'information sur le Covid.JPG"/>
                    <pic:cNvPicPr/>
                  </pic:nvPicPr>
                  <pic:blipFill>
                    <a:blip r:embed="rId26">
                      <a:extLst>
                        <a:ext uri="{28A0092B-C50C-407E-A947-70E740481C1C}">
                          <a14:useLocalDpi xmlns:a14="http://schemas.microsoft.com/office/drawing/2010/main" val="0"/>
                        </a:ext>
                      </a:extLst>
                    </a:blip>
                    <a:stretch>
                      <a:fillRect/>
                    </a:stretch>
                  </pic:blipFill>
                  <pic:spPr>
                    <a:xfrm>
                      <a:off x="0" y="0"/>
                      <a:ext cx="5829300" cy="4162425"/>
                    </a:xfrm>
                    <a:prstGeom prst="rect">
                      <a:avLst/>
                    </a:prstGeom>
                  </pic:spPr>
                </pic:pic>
              </a:graphicData>
            </a:graphic>
          </wp:inline>
        </w:drawing>
      </w:r>
    </w:p>
    <w:p w:rsidR="00F20A85" w:rsidRDefault="00401BFA" w:rsidP="00512F51">
      <w:pPr>
        <w:spacing w:before="100" w:beforeAutospacing="1" w:after="100" w:afterAutospacing="1" w:line="240" w:lineRule="auto"/>
        <w:textAlignment w:val="baseline"/>
        <w:rPr>
          <w:rFonts w:ascii="Arial" w:eastAsia="Times New Roman" w:hAnsi="Arial" w:cs="Arial"/>
          <w:color w:val="333333"/>
          <w:sz w:val="30"/>
          <w:szCs w:val="30"/>
          <w:lang w:eastAsia="fr-FR"/>
        </w:rPr>
      </w:pPr>
      <w:r>
        <w:rPr>
          <w:rFonts w:ascii="Arial" w:eastAsia="Times New Roman" w:hAnsi="Arial" w:cs="Arial"/>
          <w:color w:val="333333"/>
          <w:sz w:val="30"/>
          <w:szCs w:val="30"/>
          <w:lang w:eastAsia="fr-FR"/>
        </w:rPr>
        <w:t>Ce « Centre d’information » parle de tous les vaccins, mais l’article que vous venez de lire démontre que le me</w:t>
      </w:r>
      <w:r w:rsidR="005667CF">
        <w:rPr>
          <w:rFonts w:ascii="Arial" w:eastAsia="Times New Roman" w:hAnsi="Arial" w:cs="Arial"/>
          <w:color w:val="333333"/>
          <w:sz w:val="30"/>
          <w:szCs w:val="30"/>
          <w:lang w:eastAsia="fr-FR"/>
        </w:rPr>
        <w:t>n</w:t>
      </w:r>
      <w:r>
        <w:rPr>
          <w:rFonts w:ascii="Arial" w:eastAsia="Times New Roman" w:hAnsi="Arial" w:cs="Arial"/>
          <w:color w:val="333333"/>
          <w:sz w:val="30"/>
          <w:szCs w:val="30"/>
          <w:lang w:eastAsia="fr-FR"/>
        </w:rPr>
        <w:t>songe est particulièrement gros, concernant le vaccin de Pfizer.</w:t>
      </w:r>
    </w:p>
    <w:p w:rsidR="000622CD" w:rsidRPr="00E817B5" w:rsidRDefault="000622CD" w:rsidP="00512F51">
      <w:pPr>
        <w:spacing w:before="100" w:beforeAutospacing="1" w:after="100" w:afterAutospacing="1" w:line="240" w:lineRule="auto"/>
        <w:textAlignment w:val="baseline"/>
        <w:rPr>
          <w:rFonts w:ascii="Arial" w:eastAsia="Times New Roman" w:hAnsi="Arial" w:cs="Arial"/>
          <w:color w:val="333333"/>
          <w:sz w:val="30"/>
          <w:szCs w:val="30"/>
          <w:lang w:eastAsia="fr-FR"/>
        </w:rPr>
      </w:pPr>
      <w:r w:rsidRPr="005667CF">
        <w:rPr>
          <w:rFonts w:ascii="Arial" w:eastAsia="Times New Roman" w:hAnsi="Arial" w:cs="Arial"/>
          <w:color w:val="FF0000"/>
          <w:sz w:val="30"/>
          <w:szCs w:val="30"/>
          <w:lang w:eastAsia="fr-FR"/>
        </w:rPr>
        <w:t>2)</w:t>
      </w:r>
      <w:r>
        <w:rPr>
          <w:rFonts w:ascii="Arial" w:eastAsia="Times New Roman" w:hAnsi="Arial" w:cs="Arial"/>
          <w:color w:val="333333"/>
          <w:sz w:val="30"/>
          <w:szCs w:val="30"/>
          <w:lang w:eastAsia="fr-FR"/>
        </w:rPr>
        <w:t xml:space="preserve"> Le sort du Dr. NAGASE </w:t>
      </w:r>
      <w:r w:rsidR="005667CF">
        <w:rPr>
          <w:rFonts w:ascii="Arial" w:eastAsia="Times New Roman" w:hAnsi="Arial" w:cs="Arial"/>
          <w:color w:val="333333"/>
          <w:sz w:val="30"/>
          <w:szCs w:val="30"/>
          <w:lang w:eastAsia="fr-FR"/>
        </w:rPr>
        <w:t xml:space="preserve">(cité) </w:t>
      </w:r>
      <w:r>
        <w:rPr>
          <w:rFonts w:ascii="Arial" w:eastAsia="Times New Roman" w:hAnsi="Arial" w:cs="Arial"/>
          <w:color w:val="333333"/>
          <w:sz w:val="30"/>
          <w:szCs w:val="30"/>
          <w:lang w:eastAsia="fr-FR"/>
        </w:rPr>
        <w:t>rappelle les pressions et les sanctions dont ont été victimes plusieurs médecins français lanceurs d’alerte, pressions et sanctions exercées principalement par l’Ordre des médecins</w:t>
      </w:r>
      <w:r w:rsidR="005667CF">
        <w:rPr>
          <w:rFonts w:ascii="Arial" w:eastAsia="Times New Roman" w:hAnsi="Arial" w:cs="Arial"/>
          <w:color w:val="333333"/>
          <w:sz w:val="30"/>
          <w:szCs w:val="30"/>
          <w:lang w:eastAsia="fr-FR"/>
        </w:rPr>
        <w:t>. Je pense inutile de rappeler leurs noms, tous les Français les connaisent, en tout cas tous ceux qui fréquentent les réseaux sociaux Twitter, Facebook et VK.</w:t>
      </w:r>
      <w:bookmarkStart w:id="0" w:name="_GoBack"/>
      <w:bookmarkEnd w:id="0"/>
    </w:p>
    <w:sectPr w:rsidR="000622CD" w:rsidRPr="00E817B5" w:rsidSect="00E817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55A0F"/>
    <w:multiLevelType w:val="multilevel"/>
    <w:tmpl w:val="68C4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D3708E"/>
    <w:multiLevelType w:val="multilevel"/>
    <w:tmpl w:val="A8A8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1F439F"/>
    <w:multiLevelType w:val="multilevel"/>
    <w:tmpl w:val="B8C04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4E79A5"/>
    <w:multiLevelType w:val="multilevel"/>
    <w:tmpl w:val="239C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7B5"/>
    <w:rsid w:val="00012FDB"/>
    <w:rsid w:val="000622CD"/>
    <w:rsid w:val="001916B9"/>
    <w:rsid w:val="002113FB"/>
    <w:rsid w:val="002543D0"/>
    <w:rsid w:val="002C2D8D"/>
    <w:rsid w:val="002E618A"/>
    <w:rsid w:val="003910C4"/>
    <w:rsid w:val="00401BFA"/>
    <w:rsid w:val="00512F51"/>
    <w:rsid w:val="005667CF"/>
    <w:rsid w:val="005A2B28"/>
    <w:rsid w:val="00920993"/>
    <w:rsid w:val="009956A8"/>
    <w:rsid w:val="00A72220"/>
    <w:rsid w:val="00B73531"/>
    <w:rsid w:val="00C515CB"/>
    <w:rsid w:val="00C92654"/>
    <w:rsid w:val="00CF44C8"/>
    <w:rsid w:val="00D0793F"/>
    <w:rsid w:val="00D240C4"/>
    <w:rsid w:val="00E23016"/>
    <w:rsid w:val="00E817B5"/>
    <w:rsid w:val="00EA2E1F"/>
    <w:rsid w:val="00F10184"/>
    <w:rsid w:val="00F20A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B2653"/>
  <w15:chartTrackingRefBased/>
  <w15:docId w15:val="{350D9D32-9039-4ADE-A7E6-7E9D901E3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512F5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817B5"/>
    <w:pPr>
      <w:spacing w:after="0" w:line="240" w:lineRule="auto"/>
    </w:pPr>
  </w:style>
  <w:style w:type="character" w:styleId="Lienhypertexte">
    <w:name w:val="Hyperlink"/>
    <w:basedOn w:val="Policepardfaut"/>
    <w:uiPriority w:val="99"/>
    <w:unhideWhenUsed/>
    <w:rsid w:val="00E817B5"/>
    <w:rPr>
      <w:color w:val="0563C1" w:themeColor="hyperlink"/>
      <w:u w:val="single"/>
    </w:rPr>
  </w:style>
  <w:style w:type="character" w:customStyle="1" w:styleId="elementor-icon-list-text">
    <w:name w:val="elementor-icon-list-text"/>
    <w:basedOn w:val="Policepardfaut"/>
    <w:rsid w:val="00E817B5"/>
  </w:style>
  <w:style w:type="paragraph" w:styleId="NormalWeb">
    <w:name w:val="Normal (Web)"/>
    <w:basedOn w:val="Normal"/>
    <w:uiPriority w:val="99"/>
    <w:semiHidden/>
    <w:unhideWhenUsed/>
    <w:rsid w:val="00512F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12F51"/>
    <w:rPr>
      <w:i/>
      <w:iCs/>
    </w:rPr>
  </w:style>
  <w:style w:type="paragraph" w:customStyle="1" w:styleId="has-text-align-center">
    <w:name w:val="has-text-align-center"/>
    <w:basedOn w:val="Normal"/>
    <w:rsid w:val="00512F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12F51"/>
    <w:rPr>
      <w:b/>
      <w:bCs/>
    </w:rPr>
  </w:style>
  <w:style w:type="character" w:styleId="CitationHTML">
    <w:name w:val="HTML Cite"/>
    <w:basedOn w:val="Policepardfaut"/>
    <w:uiPriority w:val="99"/>
    <w:semiHidden/>
    <w:unhideWhenUsed/>
    <w:rsid w:val="00512F51"/>
    <w:rPr>
      <w:i/>
      <w:iCs/>
    </w:rPr>
  </w:style>
  <w:style w:type="character" w:customStyle="1" w:styleId="Titre3Car">
    <w:name w:val="Titre 3 Car"/>
    <w:basedOn w:val="Policepardfaut"/>
    <w:link w:val="Titre3"/>
    <w:uiPriority w:val="9"/>
    <w:rsid w:val="00512F51"/>
    <w:rPr>
      <w:rFonts w:ascii="Times New Roman" w:eastAsia="Times New Roman" w:hAnsi="Times New Roman" w:cs="Times New Roman"/>
      <w:b/>
      <w:bCs/>
      <w:sz w:val="27"/>
      <w:szCs w:val="27"/>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240393">
      <w:bodyDiv w:val="1"/>
      <w:marLeft w:val="0"/>
      <w:marRight w:val="0"/>
      <w:marTop w:val="0"/>
      <w:marBottom w:val="0"/>
      <w:divBdr>
        <w:top w:val="none" w:sz="0" w:space="0" w:color="auto"/>
        <w:left w:val="none" w:sz="0" w:space="0" w:color="auto"/>
        <w:bottom w:val="none" w:sz="0" w:space="0" w:color="auto"/>
        <w:right w:val="none" w:sz="0" w:space="0" w:color="auto"/>
      </w:divBdr>
      <w:divsChild>
        <w:div w:id="30351827">
          <w:marLeft w:val="0"/>
          <w:marRight w:val="0"/>
          <w:marTop w:val="0"/>
          <w:marBottom w:val="300"/>
          <w:divBdr>
            <w:top w:val="none" w:sz="0" w:space="0" w:color="auto"/>
            <w:left w:val="none" w:sz="0" w:space="0" w:color="auto"/>
            <w:bottom w:val="none" w:sz="0" w:space="0" w:color="auto"/>
            <w:right w:val="none" w:sz="0" w:space="0" w:color="auto"/>
          </w:divBdr>
          <w:divsChild>
            <w:div w:id="914558283">
              <w:marLeft w:val="0"/>
              <w:marRight w:val="0"/>
              <w:marTop w:val="0"/>
              <w:marBottom w:val="0"/>
              <w:divBdr>
                <w:top w:val="none" w:sz="0" w:space="0" w:color="auto"/>
                <w:left w:val="none" w:sz="0" w:space="0" w:color="auto"/>
                <w:bottom w:val="none" w:sz="0" w:space="0" w:color="auto"/>
                <w:right w:val="none" w:sz="0" w:space="0" w:color="auto"/>
              </w:divBdr>
              <w:divsChild>
                <w:div w:id="1752503518">
                  <w:marLeft w:val="0"/>
                  <w:marRight w:val="0"/>
                  <w:marTop w:val="0"/>
                  <w:marBottom w:val="240"/>
                  <w:divBdr>
                    <w:top w:val="none" w:sz="0" w:space="0" w:color="auto"/>
                    <w:left w:val="none" w:sz="0" w:space="0" w:color="auto"/>
                    <w:bottom w:val="none" w:sz="0" w:space="0" w:color="auto"/>
                    <w:right w:val="none" w:sz="0" w:space="0" w:color="auto"/>
                  </w:divBdr>
                </w:div>
                <w:div w:id="4454639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347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2658636">
          <w:marLeft w:val="0"/>
          <w:marRight w:val="0"/>
          <w:marTop w:val="0"/>
          <w:marBottom w:val="300"/>
          <w:divBdr>
            <w:top w:val="none" w:sz="0" w:space="0" w:color="auto"/>
            <w:left w:val="none" w:sz="0" w:space="0" w:color="auto"/>
            <w:bottom w:val="none" w:sz="0" w:space="0" w:color="auto"/>
            <w:right w:val="none" w:sz="0" w:space="0" w:color="auto"/>
          </w:divBdr>
          <w:divsChild>
            <w:div w:id="46007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440140">
      <w:bodyDiv w:val="1"/>
      <w:marLeft w:val="0"/>
      <w:marRight w:val="0"/>
      <w:marTop w:val="0"/>
      <w:marBottom w:val="0"/>
      <w:divBdr>
        <w:top w:val="none" w:sz="0" w:space="0" w:color="auto"/>
        <w:left w:val="none" w:sz="0" w:space="0" w:color="auto"/>
        <w:bottom w:val="none" w:sz="0" w:space="0" w:color="auto"/>
        <w:right w:val="none" w:sz="0" w:space="0" w:color="auto"/>
      </w:divBdr>
      <w:divsChild>
        <w:div w:id="6085885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8514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61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96420813">
          <w:blockQuote w:val="1"/>
          <w:marLeft w:val="720"/>
          <w:marRight w:val="720"/>
          <w:marTop w:val="100"/>
          <w:marBottom w:val="100"/>
          <w:divBdr>
            <w:top w:val="none" w:sz="0" w:space="0" w:color="auto"/>
            <w:left w:val="none" w:sz="0" w:space="0" w:color="auto"/>
            <w:bottom w:val="none" w:sz="0" w:space="0" w:color="auto"/>
            <w:right w:val="none" w:sz="0" w:space="0" w:color="auto"/>
          </w:divBdr>
        </w:div>
        <w:div w:id="24820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0707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9171708">
      <w:bodyDiv w:val="1"/>
      <w:marLeft w:val="0"/>
      <w:marRight w:val="0"/>
      <w:marTop w:val="0"/>
      <w:marBottom w:val="0"/>
      <w:divBdr>
        <w:top w:val="none" w:sz="0" w:space="0" w:color="auto"/>
        <w:left w:val="none" w:sz="0" w:space="0" w:color="auto"/>
        <w:bottom w:val="none" w:sz="0" w:space="0" w:color="auto"/>
        <w:right w:val="none" w:sz="0" w:space="0" w:color="auto"/>
      </w:divBdr>
      <w:divsChild>
        <w:div w:id="368066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320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529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ovidvaccinereactions.com/downloads/" TargetMode="External"/><Relationship Id="rId18" Type="http://schemas.openxmlformats.org/officeDocument/2006/relationships/hyperlink" Target="https://www.bmj.com/content/370/bmj.m3260" TargetMode="External"/><Relationship Id="rId26" Type="http://schemas.openxmlformats.org/officeDocument/2006/relationships/image" Target="media/image2.JPG"/><Relationship Id="rId3" Type="http://schemas.openxmlformats.org/officeDocument/2006/relationships/settings" Target="settings.xml"/><Relationship Id="rId21" Type="http://schemas.openxmlformats.org/officeDocument/2006/relationships/hyperlink" Target="https://phmpt.org/pfizers-documents/" TargetMode="External"/><Relationship Id="rId7" Type="http://schemas.openxmlformats.org/officeDocument/2006/relationships/hyperlink" Target="https://uncutnews.ch/2022/01/02/" TargetMode="External"/><Relationship Id="rId12" Type="http://schemas.openxmlformats.org/officeDocument/2006/relationships/hyperlink" Target="https://www.ilsussidiario.net/news/pfizergate-anticipazioni-report-imprecisioni-nel-trial-audio-e-documenti-inediti/2257557/" TargetMode="External"/><Relationship Id="rId17" Type="http://schemas.openxmlformats.org/officeDocument/2006/relationships/hyperlink" Target="https://www.abc.net.au/news/2009-09-03/pfizer-fine-should-act-as-deterrent/1417140" TargetMode="External"/><Relationship Id="rId25" Type="http://schemas.openxmlformats.org/officeDocument/2006/relationships/hyperlink" Target="https://www.facebook.com/coronavirus_info" TargetMode="External"/><Relationship Id="rId2" Type="http://schemas.openxmlformats.org/officeDocument/2006/relationships/styles" Target="styles.xml"/><Relationship Id="rId16" Type="http://schemas.openxmlformats.org/officeDocument/2006/relationships/hyperlink" Target="https://www.cnbc.com/2021/08/30/japans-moderna-vaccine-contamination-woes-1-million-more-shots-suspended.html" TargetMode="External"/><Relationship Id="rId20" Type="http://schemas.openxmlformats.org/officeDocument/2006/relationships/hyperlink" Target="https://www.newsmax.com/health/health-news/fda-vaccinedata-pfizer-75-years/2021/12/08/id/1047876/" TargetMode="External"/><Relationship Id="rId1" Type="http://schemas.openxmlformats.org/officeDocument/2006/relationships/numbering" Target="numbering.xml"/><Relationship Id="rId6" Type="http://schemas.openxmlformats.org/officeDocument/2006/relationships/hyperlink" Target="https://uncutnews.ch/author/uncut-news-ch/" TargetMode="External"/><Relationship Id="rId11" Type="http://schemas.openxmlformats.org/officeDocument/2006/relationships/hyperlink" Target="https://www.facebook.com/watch/?ref=external&amp;v=262862215875503" TargetMode="External"/><Relationship Id="rId24" Type="http://schemas.openxmlformats.org/officeDocument/2006/relationships/hyperlink" Target="https://articles.mercola.com/sites/articles/archive/2021/12/31/pfizer-whistleblower-exposes-vaccine-data-cover-up.aspx?ui=9c61c0428e2c408fdaa52e1f8a2e29b3c347424cdbd5be591509cf14340e9789&amp;sd=20210104&amp;cid_source=dnl&amp;cid_medium=email&amp;cid_content=art1HL&amp;cid=20211231_HL2&amp;mid=DM1069811&amp;rid=1365760030" TargetMode="External"/><Relationship Id="rId5" Type="http://schemas.openxmlformats.org/officeDocument/2006/relationships/hyperlink" Target="https://uncutnews.ch/wie-pfizer-zeugen-die-sich-zu-wort-meldeten-zum-schweigen-brachte/" TargetMode="External"/><Relationship Id="rId15" Type="http://schemas.openxmlformats.org/officeDocument/2006/relationships/hyperlink" Target="https://twitter.com/GregHuntMP/status/1361438836371427331?s=20" TargetMode="External"/><Relationship Id="rId23" Type="http://schemas.openxmlformats.org/officeDocument/2006/relationships/hyperlink" Target="https://phmpt.org/wp-content/uploads/2021/11/5.3.6-postmarketing-experience.pdf" TargetMode="External"/><Relationship Id="rId28" Type="http://schemas.openxmlformats.org/officeDocument/2006/relationships/theme" Target="theme/theme1.xml"/><Relationship Id="rId10" Type="http://schemas.openxmlformats.org/officeDocument/2006/relationships/hyperlink" Target="https://www.thelastamericanvagabond.com/brook-jackson-interview-pfizer-whistleblower-exposes-cover-up-calling-vaccine-data-into-question/" TargetMode="External"/><Relationship Id="rId19" Type="http://schemas.openxmlformats.org/officeDocument/2006/relationships/hyperlink" Target="https://childrenshealthdefense.org/defender/fda-licensing-pfizer-comirnaty-covid-vaccine/" TargetMode="External"/><Relationship Id="rId4" Type="http://schemas.openxmlformats.org/officeDocument/2006/relationships/webSettings" Target="webSettings.xml"/><Relationship Id="rId9" Type="http://schemas.openxmlformats.org/officeDocument/2006/relationships/hyperlink" Target="https://www.bmj.com/content/375/bmj.n2635" TargetMode="External"/><Relationship Id="rId14" Type="http://schemas.openxmlformats.org/officeDocument/2006/relationships/hyperlink" Target="https://www.bmj.com/content/375/bmj.n2635/rr-41" TargetMode="External"/><Relationship Id="rId22" Type="http://schemas.openxmlformats.org/officeDocument/2006/relationships/hyperlink" Target="https://thekylebecker.substack.com/p/the-fda-produced-first-batch-of-confidential"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3711</Words>
  <Characters>20411</Characters>
  <Application>Microsoft Office Word</Application>
  <DocSecurity>0</DocSecurity>
  <Lines>170</Lines>
  <Paragraphs>48</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QUELLE: PFIZER WHISTLEBLOWER EXPOSES VACCINE DATA COVER-UP</vt:lpstr>
    </vt:vector>
  </TitlesOfParts>
  <Company>HP</Company>
  <LinksUpToDate>false</LinksUpToDate>
  <CharactersWithSpaces>24074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3</cp:revision>
  <dcterms:created xsi:type="dcterms:W3CDTF">2022-01-13T18:50:00Z</dcterms:created>
  <dcterms:modified xsi:type="dcterms:W3CDTF">2022-01-13T18:55:00Z</dcterms:modified>
</cp:coreProperties>
</file>