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224EB0" w:rsidP="003A17A0">
      <w:pPr>
        <w:pStyle w:val="Sansinterligne"/>
        <w:rPr>
          <w:rFonts w:ascii="Arial" w:hAnsi="Arial" w:cs="Arial"/>
          <w:sz w:val="24"/>
          <w:szCs w:val="24"/>
        </w:rPr>
      </w:pPr>
    </w:p>
    <w:p w:rsidR="003A17A0" w:rsidRDefault="003A17A0" w:rsidP="003A17A0">
      <w:pPr>
        <w:pStyle w:val="Sansinterligne"/>
        <w:rPr>
          <w:rFonts w:ascii="Arial" w:hAnsi="Arial" w:cs="Arial"/>
          <w:sz w:val="24"/>
          <w:szCs w:val="24"/>
        </w:rPr>
      </w:pPr>
    </w:p>
    <w:p w:rsidR="003A17A0" w:rsidRPr="003A17A0" w:rsidRDefault="003A17A0" w:rsidP="003A17A0">
      <w:pPr>
        <w:shd w:val="clear" w:color="auto" w:fill="FFFFFF"/>
        <w:spacing w:after="150" w:line="240" w:lineRule="auto"/>
        <w:outlineLvl w:val="5"/>
        <w:rPr>
          <w:rFonts w:ascii="Segoe UI Historic" w:eastAsia="Times New Roman" w:hAnsi="Segoe UI Historic" w:cs="Segoe UI Historic"/>
          <w:b/>
          <w:bCs/>
          <w:caps/>
          <w:color w:val="050505"/>
          <w:sz w:val="15"/>
          <w:szCs w:val="15"/>
          <w:lang w:eastAsia="fr-FR"/>
        </w:rPr>
      </w:pPr>
      <w:r w:rsidRPr="003A17A0">
        <w:rPr>
          <w:rFonts w:ascii="inherit" w:eastAsia="Times New Roman" w:hAnsi="inherit" w:cs="Segoe UI Historic"/>
          <w:b/>
          <w:bCs/>
          <w:caps/>
          <w:color w:val="050505"/>
          <w:sz w:val="15"/>
          <w:szCs w:val="15"/>
          <w:lang w:eastAsia="fr-FR"/>
        </w:rPr>
        <w:t>CA Y EST L'OMS A CHANGÉ SON DOGME. ON N'HÉSITE PLUS ON MITRAILLE À VOLONTÉ.</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b/>
          <w:bCs/>
          <w:color w:val="050505"/>
          <w:sz w:val="28"/>
          <w:szCs w:val="28"/>
          <w:lang w:eastAsia="fr-FR"/>
        </w:rPr>
        <w:t>L’Organisation mondiale de la santé a modifié la définition de l’« immunité collective », éliminant le consensus qui existait avant le COVID, selon lequel on pouvait y parvenir en laissant un virus se propager dans une population, et insistant sur le fait que l’immunité collective provient uniquement des vaccins.</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b/>
          <w:bCs/>
          <w:color w:val="050505"/>
          <w:sz w:val="28"/>
          <w:szCs w:val="28"/>
          <w:lang w:eastAsia="fr-FR"/>
        </w:rPr>
        <w:t>La messe est dite, seule le Dieu vaccin compte et puis c'est tout !</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b/>
          <w:bCs/>
          <w:color w:val="050505"/>
          <w:sz w:val="28"/>
          <w:szCs w:val="28"/>
          <w:lang w:eastAsia="fr-FR"/>
        </w:rPr>
        <w:t>Ça c'était hier (archive)</w:t>
      </w:r>
    </w:p>
    <w:p w:rsidR="003A17A0" w:rsidRPr="003A17A0" w:rsidRDefault="003A17A0" w:rsidP="003A17A0">
      <w:pPr>
        <w:shd w:val="clear" w:color="auto" w:fill="FFFFFF"/>
        <w:spacing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color w:val="050505"/>
          <w:sz w:val="28"/>
          <w:szCs w:val="28"/>
          <w:lang w:eastAsia="fr-FR"/>
        </w:rPr>
        <w:t>L'identification de tout nouveau pathogène, tel que le virus COVID-19, s'accompagne de nombreuses inconnues, notamment sa capacité à se propager dans la population humaine et sa virulence. Les stratégies de surveillance initiale se concentrent principalement sur l'utilisation de tests moléculaires (RT-PCR) pour mesurer l'infection aiguë chez les patients atteints d'une maladie grave, car ce sont les personnes qui recherchent et ont besoin de soins de santé. Cela peut manquer la fraction des infections légères ou asymptomatiques qui ne nécessitent pas de soins médicaux et, à ce titre, le spectre complet de la maladie n'est pas connu. Les réponses aux questions ci-dessous sont basées sur notre compréhension actuelle du virus COVID-19 et de la maladie qu'il provoque. L'OMS continuera à mettre à jour ces réponses à mesure que de nouvelles informations seront disponibles.</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b/>
          <w:bCs/>
          <w:color w:val="050505"/>
          <w:sz w:val="28"/>
          <w:szCs w:val="28"/>
          <w:lang w:eastAsia="fr-FR"/>
        </w:rPr>
        <w:t>Aujourd'hui : Adieu les test PCR, en guise d'introduction on a droit à ceci sur la même page:</w:t>
      </w:r>
    </w:p>
    <w:p w:rsidR="003A17A0" w:rsidRPr="003A17A0" w:rsidRDefault="003A17A0" w:rsidP="003A17A0">
      <w:pPr>
        <w:shd w:val="clear" w:color="auto" w:fill="FFFFFF"/>
        <w:spacing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color w:val="050505"/>
          <w:sz w:val="28"/>
          <w:szCs w:val="28"/>
          <w:lang w:eastAsia="fr-FR"/>
        </w:rPr>
        <w:t>Les réponses aux questions ci-dessous sont basées sur notre compréhension actuelle du virus SRAS-CoV-2 et du COVID-19, la maladie qu'il provoque. L'OMS continuera à mettre à jour ces réponses à mesure que de nouvelles informations seront disponibles.</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b/>
          <w:bCs/>
          <w:color w:val="050505"/>
          <w:sz w:val="28"/>
          <w:szCs w:val="28"/>
          <w:lang w:eastAsia="fr-FR"/>
        </w:rPr>
        <w:t>La définition originale de l’OMS </w:t>
      </w:r>
      <w:r w:rsidRPr="003A17A0">
        <w:rPr>
          <w:rFonts w:ascii="inherit" w:eastAsia="Times New Roman" w:hAnsi="inherit" w:cs="Segoe UI Historic"/>
          <w:color w:val="050505"/>
          <w:sz w:val="28"/>
          <w:szCs w:val="28"/>
          <w:lang w:eastAsia="fr-FR"/>
        </w:rPr>
        <w:t>indique que l’immunité collective « se produit lorsqu’une population est immunisée soit par la vaccination, soit par une immunité développée par une infection antérieure. Cela signifie que même les personnes qui n’ont pas été infectées, ou chez qui une infection n’a pas déclenché de réponse immunitaire, sont protégées car les personnes immunisées de leur entourage peuvent servir de tampon entre elles et une personne infectée ».</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color w:val="050505"/>
          <w:sz w:val="28"/>
          <w:szCs w:val="28"/>
          <w:lang w:eastAsia="fr-FR"/>
        </w:rPr>
        <w:t>La définition originale ne parvient pas à identifier le consensus pré-Covid sur ce que l’on entend par « immunité collective », c’est-à-dire lorsqu’une population est protégée contre un virus parce qu’un nombre suffisant de personnes ont été infectées par celui-ci pour créer une immunité communautaire.</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b/>
          <w:bCs/>
          <w:color w:val="050505"/>
          <w:sz w:val="28"/>
          <w:szCs w:val="28"/>
          <w:lang w:eastAsia="fr-FR"/>
        </w:rPr>
        <w:t>Cependant, la version actualisée de l’OMS est encore plus extrême, insistant sur le fait que l’immunité collective ne peut être obtenue que par des programmes de vaccination de masse.</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color w:val="050505"/>
          <w:sz w:val="28"/>
          <w:szCs w:val="28"/>
          <w:lang w:eastAsia="fr-FR"/>
        </w:rPr>
        <w:t>« “L’immunité collective”, également appelée “immunité des populations”, est un concept utilisé pour la vaccination, selon lequel une population peut être protégée contre un certain virus si un seuil de vaccination est atteint », indique le site web de l’OMS, qui ajoute : « L’immunité collective est obtenue en protégeant les personnes contre un virus, et non en les exposant à celui-ci ».</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color w:val="050505"/>
          <w:sz w:val="28"/>
          <w:szCs w:val="28"/>
          <w:lang w:eastAsia="fr-FR"/>
        </w:rPr>
        <w:t>« “L’immunité collective” existe lorsqu’un pourcentage élevé de la population est vacciné », déclare le site web, </w:t>
      </w:r>
      <w:r w:rsidRPr="003A17A0">
        <w:rPr>
          <w:rFonts w:ascii="inherit" w:eastAsia="Times New Roman" w:hAnsi="inherit" w:cs="Segoe UI Historic"/>
          <w:b/>
          <w:bCs/>
          <w:color w:val="050505"/>
          <w:sz w:val="28"/>
          <w:szCs w:val="28"/>
          <w:lang w:eastAsia="fr-FR"/>
        </w:rPr>
        <w:t xml:space="preserve">omettant complètement la signification originale de « l’immunité </w:t>
      </w:r>
      <w:r w:rsidRPr="003A17A0">
        <w:rPr>
          <w:rFonts w:ascii="inherit" w:eastAsia="Times New Roman" w:hAnsi="inherit" w:cs="Segoe UI Historic"/>
          <w:b/>
          <w:bCs/>
          <w:color w:val="050505"/>
          <w:sz w:val="28"/>
          <w:szCs w:val="28"/>
          <w:lang w:eastAsia="fr-FR"/>
        </w:rPr>
        <w:lastRenderedPageBreak/>
        <w:t>collective </w:t>
      </w:r>
      <w:r w:rsidRPr="003A17A0">
        <w:rPr>
          <w:rFonts w:ascii="inherit" w:eastAsia="Times New Roman" w:hAnsi="inherit" w:cs="Segoe UI Historic"/>
          <w:color w:val="050505"/>
          <w:sz w:val="28"/>
          <w:szCs w:val="28"/>
          <w:lang w:eastAsia="fr-FR"/>
        </w:rPr>
        <w:t>», qui est le moment où une population devient immunisée contre un virus en y étant exposée.</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b/>
          <w:bCs/>
          <w:color w:val="050505"/>
          <w:sz w:val="28"/>
          <w:szCs w:val="28"/>
          <w:lang w:eastAsia="fr-FR"/>
        </w:rPr>
        <w:t>En changeant la définition de l’« immunité collective », l’OMS réécrit littéralement des centaines d’années de compréhension scientifique de la signification réelle de ce terme, dans un effort apparent pour faire taire tout argument selon lequel l’immunité collective aurait été une meilleure approche pour lutter contre le COVID-19 que le confinement et la distanciation sociale.</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color w:val="050505"/>
          <w:sz w:val="28"/>
          <w:szCs w:val="28"/>
          <w:lang w:eastAsia="fr-FR"/>
        </w:rPr>
        <w:t>Vous pouvez comparer les deux versions (en anglais) à partir du site de l'archive du site :</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hyperlink r:id="rId4" w:tgtFrame="_blank" w:history="1">
        <w:r w:rsidRPr="003A17A0">
          <w:rPr>
            <w:rFonts w:ascii="inherit" w:eastAsia="Times New Roman" w:hAnsi="inherit" w:cs="Segoe UI Historic"/>
            <w:color w:val="0000FF"/>
            <w:sz w:val="28"/>
            <w:szCs w:val="28"/>
            <w:u w:val="single"/>
            <w:bdr w:val="none" w:sz="0" w:space="0" w:color="auto" w:frame="1"/>
            <w:lang w:eastAsia="fr-FR"/>
          </w:rPr>
          <w:t>https://web.archive.org/.../coronavirus-disease-covid-19...</w:t>
        </w:r>
      </w:hyperlink>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color w:val="050505"/>
          <w:sz w:val="28"/>
          <w:szCs w:val="28"/>
          <w:lang w:eastAsia="fr-FR"/>
        </w:rPr>
        <w:t>et du site d'aujourd'hui :</w:t>
      </w:r>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hyperlink r:id="rId5" w:tgtFrame="_blank" w:history="1">
        <w:r w:rsidRPr="003A17A0">
          <w:rPr>
            <w:rFonts w:ascii="inherit" w:eastAsia="Times New Roman" w:hAnsi="inherit" w:cs="Segoe UI Historic"/>
            <w:color w:val="0000FF"/>
            <w:sz w:val="28"/>
            <w:szCs w:val="28"/>
            <w:u w:val="single"/>
            <w:bdr w:val="none" w:sz="0" w:space="0" w:color="auto" w:frame="1"/>
            <w:lang w:eastAsia="fr-FR"/>
          </w:rPr>
          <w:t>https://www.who.int/.../coronavirus-disease-covid-19...</w:t>
        </w:r>
      </w:hyperlink>
    </w:p>
    <w:p w:rsidR="003A17A0" w:rsidRPr="003A17A0" w:rsidRDefault="003A17A0" w:rsidP="003A17A0">
      <w:pPr>
        <w:shd w:val="clear" w:color="auto" w:fill="FFFFFF"/>
        <w:spacing w:after="120" w:line="240" w:lineRule="auto"/>
        <w:rPr>
          <w:rFonts w:ascii="Segoe UI Historic" w:eastAsia="Times New Roman" w:hAnsi="Segoe UI Historic" w:cs="Segoe UI Historic"/>
          <w:color w:val="050505"/>
          <w:sz w:val="28"/>
          <w:szCs w:val="28"/>
          <w:lang w:eastAsia="fr-FR"/>
        </w:rPr>
      </w:pPr>
      <w:r w:rsidRPr="003A17A0">
        <w:rPr>
          <w:rFonts w:ascii="inherit" w:eastAsia="Times New Roman" w:hAnsi="inherit" w:cs="Segoe UI Historic"/>
          <w:b/>
          <w:bCs/>
          <w:color w:val="050505"/>
          <w:sz w:val="28"/>
          <w:szCs w:val="28"/>
          <w:lang w:eastAsia="fr-FR"/>
        </w:rPr>
        <w:t>Vous aurez quelques surprises.</w:t>
      </w:r>
    </w:p>
    <w:p w:rsidR="003A17A0" w:rsidRPr="003A17A0" w:rsidRDefault="003A17A0" w:rsidP="003A17A0">
      <w:pPr>
        <w:pStyle w:val="Sansinterligne"/>
        <w:rPr>
          <w:rFonts w:ascii="Arial" w:hAnsi="Arial" w:cs="Arial"/>
          <w:sz w:val="24"/>
          <w:szCs w:val="24"/>
        </w:rPr>
      </w:pPr>
      <w:bookmarkStart w:id="0" w:name="_GoBack"/>
      <w:bookmarkEnd w:id="0"/>
    </w:p>
    <w:sectPr w:rsidR="003A17A0" w:rsidRPr="003A17A0" w:rsidSect="003A17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A0"/>
    <w:rsid w:val="00224EB0"/>
    <w:rsid w:val="003910C4"/>
    <w:rsid w:val="003A17A0"/>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3FF7"/>
  <w15:chartTrackingRefBased/>
  <w15:docId w15:val="{C809B0F3-7D48-4D02-A590-AEF0A2CA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6">
    <w:name w:val="heading 6"/>
    <w:basedOn w:val="Normal"/>
    <w:link w:val="Titre6Car"/>
    <w:uiPriority w:val="9"/>
    <w:qFormat/>
    <w:rsid w:val="003A17A0"/>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17A0"/>
    <w:pPr>
      <w:spacing w:after="0" w:line="240" w:lineRule="auto"/>
    </w:pPr>
  </w:style>
  <w:style w:type="character" w:customStyle="1" w:styleId="Titre6Car">
    <w:name w:val="Titre 6 Car"/>
    <w:basedOn w:val="Policepardfaut"/>
    <w:link w:val="Titre6"/>
    <w:uiPriority w:val="9"/>
    <w:rsid w:val="003A17A0"/>
    <w:rPr>
      <w:rFonts w:ascii="Times New Roman" w:eastAsia="Times New Roman" w:hAnsi="Times New Roman" w:cs="Times New Roman"/>
      <w:b/>
      <w:bCs/>
      <w:sz w:val="15"/>
      <w:szCs w:val="15"/>
      <w:lang w:eastAsia="fr-FR"/>
    </w:rPr>
  </w:style>
  <w:style w:type="character" w:customStyle="1" w:styleId="d2edcug0">
    <w:name w:val="d2edcug0"/>
    <w:basedOn w:val="Policepardfaut"/>
    <w:rsid w:val="003A17A0"/>
  </w:style>
  <w:style w:type="character" w:styleId="Lienhypertexte">
    <w:name w:val="Hyperlink"/>
    <w:basedOn w:val="Policepardfaut"/>
    <w:uiPriority w:val="99"/>
    <w:semiHidden/>
    <w:unhideWhenUsed/>
    <w:rsid w:val="003A1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682072">
      <w:bodyDiv w:val="1"/>
      <w:marLeft w:val="0"/>
      <w:marRight w:val="0"/>
      <w:marTop w:val="0"/>
      <w:marBottom w:val="0"/>
      <w:divBdr>
        <w:top w:val="none" w:sz="0" w:space="0" w:color="auto"/>
        <w:left w:val="none" w:sz="0" w:space="0" w:color="auto"/>
        <w:bottom w:val="none" w:sz="0" w:space="0" w:color="auto"/>
        <w:right w:val="none" w:sz="0" w:space="0" w:color="auto"/>
      </w:divBdr>
      <w:divsChild>
        <w:div w:id="179704320">
          <w:marLeft w:val="0"/>
          <w:marRight w:val="0"/>
          <w:marTop w:val="0"/>
          <w:marBottom w:val="120"/>
          <w:divBdr>
            <w:top w:val="none" w:sz="0" w:space="0" w:color="auto"/>
            <w:left w:val="none" w:sz="0" w:space="0" w:color="auto"/>
            <w:bottom w:val="none" w:sz="0" w:space="0" w:color="auto"/>
            <w:right w:val="none" w:sz="0" w:space="0" w:color="auto"/>
          </w:divBdr>
        </w:div>
        <w:div w:id="639850027">
          <w:marLeft w:val="0"/>
          <w:marRight w:val="0"/>
          <w:marTop w:val="0"/>
          <w:marBottom w:val="120"/>
          <w:divBdr>
            <w:top w:val="none" w:sz="0" w:space="0" w:color="auto"/>
            <w:left w:val="none" w:sz="0" w:space="0" w:color="auto"/>
            <w:bottom w:val="none" w:sz="0" w:space="0" w:color="auto"/>
            <w:right w:val="none" w:sz="0" w:space="0" w:color="auto"/>
          </w:divBdr>
        </w:div>
        <w:div w:id="1621765966">
          <w:marLeft w:val="0"/>
          <w:marRight w:val="0"/>
          <w:marTop w:val="0"/>
          <w:marBottom w:val="120"/>
          <w:divBdr>
            <w:top w:val="none" w:sz="0" w:space="0" w:color="auto"/>
            <w:left w:val="none" w:sz="0" w:space="0" w:color="auto"/>
            <w:bottom w:val="none" w:sz="0" w:space="0" w:color="auto"/>
            <w:right w:val="none" w:sz="0" w:space="0" w:color="auto"/>
          </w:divBdr>
        </w:div>
        <w:div w:id="876352604">
          <w:marLeft w:val="0"/>
          <w:marRight w:val="0"/>
          <w:marTop w:val="300"/>
          <w:marBottom w:val="0"/>
          <w:divBdr>
            <w:top w:val="none" w:sz="0" w:space="0" w:color="auto"/>
            <w:left w:val="none" w:sz="0" w:space="0" w:color="auto"/>
            <w:bottom w:val="none" w:sz="0" w:space="0" w:color="auto"/>
            <w:right w:val="none" w:sz="0" w:space="0" w:color="auto"/>
          </w:divBdr>
          <w:divsChild>
            <w:div w:id="174595155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77129552">
          <w:marLeft w:val="0"/>
          <w:marRight w:val="0"/>
          <w:marTop w:val="0"/>
          <w:marBottom w:val="120"/>
          <w:divBdr>
            <w:top w:val="none" w:sz="0" w:space="0" w:color="auto"/>
            <w:left w:val="none" w:sz="0" w:space="0" w:color="auto"/>
            <w:bottom w:val="none" w:sz="0" w:space="0" w:color="auto"/>
            <w:right w:val="none" w:sz="0" w:space="0" w:color="auto"/>
          </w:divBdr>
        </w:div>
        <w:div w:id="169951526">
          <w:marLeft w:val="0"/>
          <w:marRight w:val="0"/>
          <w:marTop w:val="300"/>
          <w:marBottom w:val="0"/>
          <w:divBdr>
            <w:top w:val="none" w:sz="0" w:space="0" w:color="auto"/>
            <w:left w:val="none" w:sz="0" w:space="0" w:color="auto"/>
            <w:bottom w:val="none" w:sz="0" w:space="0" w:color="auto"/>
            <w:right w:val="none" w:sz="0" w:space="0" w:color="auto"/>
          </w:divBdr>
          <w:divsChild>
            <w:div w:id="72722012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98374706">
          <w:marLeft w:val="0"/>
          <w:marRight w:val="0"/>
          <w:marTop w:val="0"/>
          <w:marBottom w:val="120"/>
          <w:divBdr>
            <w:top w:val="none" w:sz="0" w:space="0" w:color="auto"/>
            <w:left w:val="none" w:sz="0" w:space="0" w:color="auto"/>
            <w:bottom w:val="none" w:sz="0" w:space="0" w:color="auto"/>
            <w:right w:val="none" w:sz="0" w:space="0" w:color="auto"/>
          </w:divBdr>
        </w:div>
        <w:div w:id="1226912610">
          <w:marLeft w:val="0"/>
          <w:marRight w:val="0"/>
          <w:marTop w:val="0"/>
          <w:marBottom w:val="120"/>
          <w:divBdr>
            <w:top w:val="none" w:sz="0" w:space="0" w:color="auto"/>
            <w:left w:val="none" w:sz="0" w:space="0" w:color="auto"/>
            <w:bottom w:val="none" w:sz="0" w:space="0" w:color="auto"/>
            <w:right w:val="none" w:sz="0" w:space="0" w:color="auto"/>
          </w:divBdr>
        </w:div>
        <w:div w:id="1397582691">
          <w:marLeft w:val="0"/>
          <w:marRight w:val="0"/>
          <w:marTop w:val="0"/>
          <w:marBottom w:val="120"/>
          <w:divBdr>
            <w:top w:val="none" w:sz="0" w:space="0" w:color="auto"/>
            <w:left w:val="none" w:sz="0" w:space="0" w:color="auto"/>
            <w:bottom w:val="none" w:sz="0" w:space="0" w:color="auto"/>
            <w:right w:val="none" w:sz="0" w:space="0" w:color="auto"/>
          </w:divBdr>
        </w:div>
        <w:div w:id="1555891658">
          <w:marLeft w:val="0"/>
          <w:marRight w:val="0"/>
          <w:marTop w:val="0"/>
          <w:marBottom w:val="120"/>
          <w:divBdr>
            <w:top w:val="none" w:sz="0" w:space="0" w:color="auto"/>
            <w:left w:val="none" w:sz="0" w:space="0" w:color="auto"/>
            <w:bottom w:val="none" w:sz="0" w:space="0" w:color="auto"/>
            <w:right w:val="none" w:sz="0" w:space="0" w:color="auto"/>
          </w:divBdr>
        </w:div>
        <w:div w:id="387456706">
          <w:marLeft w:val="0"/>
          <w:marRight w:val="0"/>
          <w:marTop w:val="0"/>
          <w:marBottom w:val="120"/>
          <w:divBdr>
            <w:top w:val="none" w:sz="0" w:space="0" w:color="auto"/>
            <w:left w:val="none" w:sz="0" w:space="0" w:color="auto"/>
            <w:bottom w:val="none" w:sz="0" w:space="0" w:color="auto"/>
            <w:right w:val="none" w:sz="0" w:space="0" w:color="auto"/>
          </w:divBdr>
        </w:div>
        <w:div w:id="105582165">
          <w:marLeft w:val="0"/>
          <w:marRight w:val="0"/>
          <w:marTop w:val="0"/>
          <w:marBottom w:val="120"/>
          <w:divBdr>
            <w:top w:val="none" w:sz="0" w:space="0" w:color="auto"/>
            <w:left w:val="none" w:sz="0" w:space="0" w:color="auto"/>
            <w:bottom w:val="none" w:sz="0" w:space="0" w:color="auto"/>
            <w:right w:val="none" w:sz="0" w:space="0" w:color="auto"/>
          </w:divBdr>
        </w:div>
        <w:div w:id="1875460874">
          <w:marLeft w:val="0"/>
          <w:marRight w:val="0"/>
          <w:marTop w:val="0"/>
          <w:marBottom w:val="120"/>
          <w:divBdr>
            <w:top w:val="none" w:sz="0" w:space="0" w:color="auto"/>
            <w:left w:val="none" w:sz="0" w:space="0" w:color="auto"/>
            <w:bottom w:val="none" w:sz="0" w:space="0" w:color="auto"/>
            <w:right w:val="none" w:sz="0" w:space="0" w:color="auto"/>
          </w:divBdr>
        </w:div>
        <w:div w:id="2043633149">
          <w:marLeft w:val="0"/>
          <w:marRight w:val="0"/>
          <w:marTop w:val="0"/>
          <w:marBottom w:val="120"/>
          <w:divBdr>
            <w:top w:val="none" w:sz="0" w:space="0" w:color="auto"/>
            <w:left w:val="none" w:sz="0" w:space="0" w:color="auto"/>
            <w:bottom w:val="none" w:sz="0" w:space="0" w:color="auto"/>
            <w:right w:val="none" w:sz="0" w:space="0" w:color="auto"/>
          </w:divBdr>
        </w:div>
        <w:div w:id="1159929747">
          <w:marLeft w:val="0"/>
          <w:marRight w:val="0"/>
          <w:marTop w:val="0"/>
          <w:marBottom w:val="120"/>
          <w:divBdr>
            <w:top w:val="none" w:sz="0" w:space="0" w:color="auto"/>
            <w:left w:val="none" w:sz="0" w:space="0" w:color="auto"/>
            <w:bottom w:val="none" w:sz="0" w:space="0" w:color="auto"/>
            <w:right w:val="none" w:sz="0" w:space="0" w:color="auto"/>
          </w:divBdr>
        </w:div>
        <w:div w:id="1226138557">
          <w:marLeft w:val="0"/>
          <w:marRight w:val="0"/>
          <w:marTop w:val="0"/>
          <w:marBottom w:val="120"/>
          <w:divBdr>
            <w:top w:val="none" w:sz="0" w:space="0" w:color="auto"/>
            <w:left w:val="none" w:sz="0" w:space="0" w:color="auto"/>
            <w:bottom w:val="none" w:sz="0" w:space="0" w:color="auto"/>
            <w:right w:val="none" w:sz="0" w:space="0" w:color="auto"/>
          </w:divBdr>
        </w:div>
        <w:div w:id="163456079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ho.int/news-room/q-a-detail/coronavirus-disease-covid-19-serology?fbclid=IwAR1TAi29_wQDIAkV5bdO2kE8XOwgHoiyUt4mGwqII7x64_aH4tHlvdFEwf4" TargetMode="External"/><Relationship Id="rId4" Type="http://schemas.openxmlformats.org/officeDocument/2006/relationships/hyperlink" Target="https://web.archive.org/web/20201101161006/https:/www.who.int/news-room/q-a-detail/coronavirus-disease-covid-19-serolog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2020-12-24T16:25:00Z</dcterms:created>
  <dcterms:modified xsi:type="dcterms:W3CDTF">2020-12-24T17:01:00Z</dcterms:modified>
</cp:coreProperties>
</file>