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4B" w:rsidRDefault="00D6484B" w:rsidP="00D6484B">
      <w:r>
        <w:t>TLEMCEN  LE  06/09/2020</w:t>
      </w:r>
    </w:p>
    <w:p w:rsidR="00D6484B" w:rsidRDefault="00D6484B" w:rsidP="00D6484B"/>
    <w:p w:rsidR="00F70FA0" w:rsidRDefault="00F70FA0" w:rsidP="00D6484B">
      <w:r>
        <w:t>4 EME ANNEE  /SF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BESOINS SPECIFIQUES DE LA FEMME ENCEINTE ET DE LA FEMME ALLAITANT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Rappels physiologiques et physiopathologiques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Besoins spécifiques liés à la grossesse et l’allaitement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Energétiques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trois composantes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besoins du </w:t>
      </w:r>
      <w:proofErr w:type="spellStart"/>
      <w:r>
        <w:rPr>
          <w:rFonts w:ascii="ArialMT" w:hAnsi="ArialMT" w:cs="ArialMT"/>
          <w:sz w:val="20"/>
          <w:szCs w:val="20"/>
        </w:rPr>
        <w:t>foetus</w:t>
      </w:r>
      <w:proofErr w:type="spellEnd"/>
      <w:r>
        <w:rPr>
          <w:rFonts w:ascii="ArialMT" w:hAnsi="ArialMT" w:cs="ArialMT"/>
          <w:sz w:val="20"/>
          <w:szCs w:val="20"/>
        </w:rPr>
        <w:t xml:space="preserve"> et de ses annexes (quasi nuls au 1</w:t>
      </w:r>
      <w:r>
        <w:rPr>
          <w:rFonts w:ascii="ArialMT" w:hAnsi="ArialMT" w:cs="ArialMT"/>
          <w:sz w:val="13"/>
          <w:szCs w:val="13"/>
        </w:rPr>
        <w:t xml:space="preserve">er </w:t>
      </w:r>
      <w:r>
        <w:rPr>
          <w:rFonts w:ascii="ArialMT" w:hAnsi="ArialMT" w:cs="ArialMT"/>
          <w:sz w:val="20"/>
          <w:szCs w:val="20"/>
        </w:rPr>
        <w:t>trimestre, 80 Kcal/j au 3</w:t>
      </w:r>
      <w:r>
        <w:rPr>
          <w:rFonts w:ascii="ArialMT" w:hAnsi="ArialMT" w:cs="ArialMT"/>
          <w:sz w:val="13"/>
          <w:szCs w:val="13"/>
        </w:rPr>
        <w:t>ème</w:t>
      </w:r>
      <w:r>
        <w:rPr>
          <w:rFonts w:ascii="ArialMT" w:hAnsi="ArialMT" w:cs="ArialMT"/>
          <w:sz w:val="20"/>
          <w:szCs w:val="20"/>
        </w:rPr>
        <w:t>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constitution d’une réserve de lipides dans l’organisme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augmentation de la DER à partir du 2</w:t>
      </w:r>
      <w:r>
        <w:rPr>
          <w:rFonts w:ascii="ArialMT" w:hAnsi="ArialMT" w:cs="ArialMT"/>
          <w:sz w:val="13"/>
          <w:szCs w:val="13"/>
        </w:rPr>
        <w:t xml:space="preserve">ème </w:t>
      </w:r>
      <w:r>
        <w:rPr>
          <w:rFonts w:ascii="ArialMT" w:hAnsi="ArialMT" w:cs="ArialMT"/>
          <w:sz w:val="20"/>
          <w:szCs w:val="20"/>
        </w:rPr>
        <w:t>trimestre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besoins totaux théoriques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- 100 à 150 Kcal/j au 2</w:t>
      </w:r>
      <w:r>
        <w:rPr>
          <w:rFonts w:ascii="ArialMT" w:hAnsi="ArialMT" w:cs="ArialMT"/>
          <w:sz w:val="13"/>
          <w:szCs w:val="13"/>
        </w:rPr>
        <w:t xml:space="preserve">ème </w:t>
      </w:r>
      <w:r>
        <w:rPr>
          <w:rFonts w:ascii="ArialMT" w:hAnsi="ArialMT" w:cs="ArialMT"/>
          <w:sz w:val="20"/>
          <w:szCs w:val="20"/>
        </w:rPr>
        <w:t>trimestre, 200 à 300 Kcal/j au 3</w:t>
      </w:r>
      <w:r>
        <w:rPr>
          <w:rFonts w:ascii="ArialMT" w:hAnsi="ArialMT" w:cs="ArialMT"/>
          <w:sz w:val="13"/>
          <w:szCs w:val="13"/>
        </w:rPr>
        <w:t xml:space="preserve">ème </w:t>
      </w:r>
      <w:r>
        <w:rPr>
          <w:rFonts w:ascii="ArialMT" w:hAnsi="ArialMT" w:cs="ArialMT"/>
          <w:sz w:val="20"/>
          <w:szCs w:val="20"/>
        </w:rPr>
        <w:t>, 500 Kcal/j au cours de l’allaitement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probablement surestimés : apports énergétiques avant la grossesse souvent excédentaires,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réserves adipeuses </w:t>
      </w:r>
      <w:proofErr w:type="spellStart"/>
      <w:r>
        <w:rPr>
          <w:rFonts w:ascii="ArialMT" w:hAnsi="ArialMT" w:cs="ArialMT"/>
          <w:sz w:val="20"/>
          <w:szCs w:val="20"/>
        </w:rPr>
        <w:t>pré-existantes</w:t>
      </w:r>
      <w:proofErr w:type="spellEnd"/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Protidiques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3"/>
          <w:szCs w:val="13"/>
        </w:rPr>
      </w:pPr>
      <w:r>
        <w:rPr>
          <w:rFonts w:ascii="ArialMT" w:hAnsi="ArialMT" w:cs="ArialMT"/>
          <w:sz w:val="20"/>
          <w:szCs w:val="20"/>
        </w:rPr>
        <w:t>- 1 g/j pendant le 1</w:t>
      </w:r>
      <w:r>
        <w:rPr>
          <w:rFonts w:ascii="ArialMT" w:hAnsi="ArialMT" w:cs="ArialMT"/>
          <w:sz w:val="13"/>
          <w:szCs w:val="13"/>
        </w:rPr>
        <w:t xml:space="preserve">er </w:t>
      </w:r>
      <w:r>
        <w:rPr>
          <w:rFonts w:ascii="ArialMT" w:hAnsi="ArialMT" w:cs="ArialMT"/>
          <w:sz w:val="20"/>
          <w:szCs w:val="20"/>
        </w:rPr>
        <w:t>trimestre, 6 g/j pendant le 2</w:t>
      </w:r>
      <w:r>
        <w:rPr>
          <w:rFonts w:ascii="ArialMT" w:hAnsi="ArialMT" w:cs="ArialMT"/>
          <w:sz w:val="13"/>
          <w:szCs w:val="13"/>
        </w:rPr>
        <w:t xml:space="preserve">ème </w:t>
      </w:r>
      <w:r>
        <w:rPr>
          <w:rFonts w:ascii="ArialMT" w:hAnsi="ArialMT" w:cs="ArialMT"/>
          <w:sz w:val="20"/>
          <w:szCs w:val="20"/>
        </w:rPr>
        <w:t>,10 g/j pendant le 3</w:t>
      </w:r>
      <w:r>
        <w:rPr>
          <w:rFonts w:ascii="ArialMT" w:hAnsi="ArialMT" w:cs="ArialMT"/>
          <w:sz w:val="13"/>
          <w:szCs w:val="13"/>
        </w:rPr>
        <w:t>ème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couverts si alimentation non déficitaire (apports habituels supérieurs aux besoins)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Micronutriments et vitamines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impact dès la période péri-</w:t>
      </w:r>
      <w:proofErr w:type="spellStart"/>
      <w:r>
        <w:rPr>
          <w:rFonts w:ascii="ArialMT" w:hAnsi="ArialMT" w:cs="ArialMT"/>
          <w:sz w:val="20"/>
          <w:szCs w:val="20"/>
        </w:rPr>
        <w:t>conceptionnelle</w:t>
      </w:r>
      <w:proofErr w:type="spellEnd"/>
      <w:r>
        <w:rPr>
          <w:rFonts w:ascii="ArialMT" w:hAnsi="ArialMT" w:cs="ArialMT"/>
          <w:sz w:val="20"/>
          <w:szCs w:val="20"/>
        </w:rPr>
        <w:t xml:space="preserve"> et pendant la grossesse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besoins habituellement couverts par une alimentation équilibrée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attention particulière pour l’acide folique, le fer, le calcium et la vitamine D, l’iode.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Conséquences d’apports ou d’une prise de poids inadaptée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Apport énergétique &lt; 1500 Kcal/j et/ou prise de poids insuffisante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production de corps cétoniques (délétères pour le développement cérébral du </w:t>
      </w:r>
      <w:proofErr w:type="spellStart"/>
      <w:r>
        <w:rPr>
          <w:rFonts w:ascii="ArialMT" w:hAnsi="ArialMT" w:cs="ArialMT"/>
          <w:sz w:val="20"/>
          <w:szCs w:val="20"/>
        </w:rPr>
        <w:t>foetus</w:t>
      </w:r>
      <w:proofErr w:type="spellEnd"/>
      <w:r>
        <w:rPr>
          <w:rFonts w:ascii="ArialMT" w:hAnsi="ArialMT" w:cs="ArialMT"/>
          <w:sz w:val="20"/>
          <w:szCs w:val="20"/>
        </w:rPr>
        <w:t>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risque de RCIU et de faible poids de naissance (facteur de risque d’obésité à l’âge adulte)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Obésité, prise de poids excessive, diabète gestationnel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risque accru de macrosomie (poids &gt; 4 kg) et de complications périnatales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Diabète gestationnel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risque accru de diabète ultérieur chez la mère et son enfant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Prise de poids optimale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Femmes de corpulence normale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- 9 à 15 kg (1 kg/ mois les 2 premiers trimestres, 500 g/</w:t>
      </w:r>
      <w:proofErr w:type="spellStart"/>
      <w:r>
        <w:rPr>
          <w:rFonts w:ascii="ArialMT" w:hAnsi="ArialMT" w:cs="ArialMT"/>
          <w:sz w:val="20"/>
          <w:szCs w:val="20"/>
        </w:rPr>
        <w:t>sem</w:t>
      </w:r>
      <w:proofErr w:type="spellEnd"/>
      <w:r>
        <w:rPr>
          <w:rFonts w:ascii="ArialMT" w:hAnsi="ArialMT" w:cs="ArialMT"/>
          <w:sz w:val="20"/>
          <w:szCs w:val="20"/>
        </w:rPr>
        <w:t xml:space="preserve"> le 3</w:t>
      </w:r>
      <w:r>
        <w:rPr>
          <w:rFonts w:ascii="ArialMT" w:hAnsi="ArialMT" w:cs="ArialMT"/>
          <w:sz w:val="13"/>
          <w:szCs w:val="13"/>
        </w:rPr>
        <w:t>ème</w:t>
      </w:r>
      <w:r>
        <w:rPr>
          <w:rFonts w:ascii="ArialMT" w:hAnsi="ArialMT" w:cs="ArialMT"/>
          <w:sz w:val="20"/>
          <w:szCs w:val="20"/>
        </w:rPr>
        <w:t>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une prise &gt; 15 kg augmente le risque de complications lors de l’accouchement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Femmes obèses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- 6 à 8 kg (risque accru de macrosomie et de diabète gestationnel)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Femmes maigres ou grossesse gémellaire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supérieure à 12 kg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Conseils nutritionnels spécifiques chez la femme enceinte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Surveiller le poids et favoriser une prise de poids optimale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Le plus souvent pas d’augmentation des apports énergétiques au cours du premier trimestre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Augmentation de 100 à 200 Kcal/j au cours du 3</w:t>
      </w:r>
      <w:r>
        <w:rPr>
          <w:rFonts w:ascii="ArialMT" w:hAnsi="ArialMT" w:cs="ArialMT"/>
          <w:sz w:val="13"/>
          <w:szCs w:val="13"/>
        </w:rPr>
        <w:t xml:space="preserve">ème </w:t>
      </w:r>
      <w:r>
        <w:rPr>
          <w:rFonts w:ascii="ArialMT" w:hAnsi="ArialMT" w:cs="ArialMT"/>
          <w:sz w:val="20"/>
          <w:szCs w:val="20"/>
        </w:rPr>
        <w:t>trimestre en fonction de la prise de poids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Dépister les prises de poids insuffisantes et les anomalies du comportement alimentaire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- 3 repas par jour, arrêt des restrictions, correction des déséquilibres alimentaires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Minimum 1600 Kcal/j par jour et 1 g/kg/j protéines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Si maigreur, vomissements, prise de poids insuffisante : fractionnement des repas et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spellStart"/>
      <w:r>
        <w:rPr>
          <w:rFonts w:ascii="ArialMT" w:hAnsi="ArialMT" w:cs="ArialMT"/>
          <w:sz w:val="20"/>
          <w:szCs w:val="20"/>
        </w:rPr>
        <w:t>supplémentations</w:t>
      </w:r>
      <w:proofErr w:type="spellEnd"/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Dépister les prises de poids excessives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Structurer les repas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Limiter les apports sans descendre en dessous de 1600 Kcal/jour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Prévenir les déficiences en minéraux et vitamines (acide folique, fer, calcium et vitamine D, iode)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Idéalement dès le projet de grossesse (alimentation équilibrée)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Situations à risque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facteurs individuels (maigreurs et troubles du comportement alimentaire, régime végétariens,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lastRenderedPageBreak/>
        <w:t>adolescentes, grossesses rapprochées ou gémellaires)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facteurs sociaux (personnes défavorisées)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Prévenir les carences en acide folique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</w:t>
      </w:r>
      <w:proofErr w:type="spellStart"/>
      <w:r>
        <w:rPr>
          <w:rFonts w:ascii="ArialMT" w:hAnsi="ArialMT" w:cs="ArialMT"/>
          <w:sz w:val="20"/>
          <w:szCs w:val="20"/>
        </w:rPr>
        <w:t>spina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bifida</w:t>
      </w:r>
      <w:proofErr w:type="spellEnd"/>
      <w:r>
        <w:rPr>
          <w:rFonts w:ascii="ArialMT" w:hAnsi="ArialMT" w:cs="ArialMT"/>
          <w:sz w:val="20"/>
          <w:szCs w:val="20"/>
        </w:rPr>
        <w:t xml:space="preserve"> (la fermeture du tube neural survient au cours des 3 premières semaines de gestation)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prématurité et RCIU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ANC: 400 </w:t>
      </w:r>
      <w:proofErr w:type="spellStart"/>
      <w:r>
        <w:rPr>
          <w:rFonts w:ascii="ArialMT" w:hAnsi="ArialMT" w:cs="ArialMT"/>
          <w:sz w:val="20"/>
          <w:szCs w:val="20"/>
        </w:rPr>
        <w:t>ug</w:t>
      </w:r>
      <w:proofErr w:type="spellEnd"/>
      <w:r>
        <w:rPr>
          <w:rFonts w:ascii="ArialMT" w:hAnsi="ArialMT" w:cs="ArialMT"/>
          <w:sz w:val="20"/>
          <w:szCs w:val="20"/>
        </w:rPr>
        <w:t>/j avant et pendant la grossesse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aliments riches en acide folique : levure, foie ; pâté de foie ; salade verte, châtaigne, noix, amandes ;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légumes verts, maïs, petits pois, pois chiche, melon, fromages fermentés, de façon moindre agrumes,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bananes, kiwis, céréales complètes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</w:t>
      </w:r>
      <w:proofErr w:type="spellStart"/>
      <w:r>
        <w:rPr>
          <w:rFonts w:ascii="ArialMT" w:hAnsi="ArialMT" w:cs="ArialMT"/>
          <w:sz w:val="20"/>
          <w:szCs w:val="20"/>
        </w:rPr>
        <w:t>supplémentation</w:t>
      </w:r>
      <w:proofErr w:type="spellEnd"/>
      <w:r>
        <w:rPr>
          <w:rFonts w:ascii="ArialMT" w:hAnsi="ArialMT" w:cs="ArialMT"/>
          <w:sz w:val="20"/>
          <w:szCs w:val="20"/>
        </w:rPr>
        <w:t xml:space="preserve"> systématique en période </w:t>
      </w:r>
      <w:proofErr w:type="spellStart"/>
      <w:r>
        <w:rPr>
          <w:rFonts w:ascii="ArialMT" w:hAnsi="ArialMT" w:cs="ArialMT"/>
          <w:sz w:val="20"/>
          <w:szCs w:val="20"/>
        </w:rPr>
        <w:t>périconceptionnelle</w:t>
      </w:r>
      <w:proofErr w:type="spellEnd"/>
      <w:r>
        <w:rPr>
          <w:rFonts w:ascii="ArialMT" w:hAnsi="ArialMT" w:cs="ArialMT"/>
          <w:sz w:val="20"/>
          <w:szCs w:val="20"/>
        </w:rPr>
        <w:t xml:space="preserve"> et au cours de la grossesse (400 </w:t>
      </w:r>
      <w:proofErr w:type="spellStart"/>
      <w:r>
        <w:rPr>
          <w:rFonts w:ascii="ArialMT" w:hAnsi="ArialMT" w:cs="ArialMT"/>
          <w:sz w:val="20"/>
          <w:szCs w:val="20"/>
        </w:rPr>
        <w:t>ug</w:t>
      </w:r>
      <w:proofErr w:type="spellEnd"/>
      <w:r>
        <w:rPr>
          <w:rFonts w:ascii="ArialMT" w:hAnsi="ArialMT" w:cs="ArialMT"/>
          <w:sz w:val="20"/>
          <w:szCs w:val="20"/>
        </w:rPr>
        <w:t>/j ; 5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mg si antécédents de </w:t>
      </w:r>
      <w:proofErr w:type="spellStart"/>
      <w:r>
        <w:rPr>
          <w:rFonts w:ascii="ArialMT" w:hAnsi="ArialMT" w:cs="ArialMT"/>
          <w:sz w:val="20"/>
          <w:szCs w:val="20"/>
        </w:rPr>
        <w:t>spina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bifida</w:t>
      </w:r>
      <w:proofErr w:type="spellEnd"/>
      <w:r>
        <w:rPr>
          <w:rFonts w:ascii="ArialMT" w:hAnsi="ArialMT" w:cs="ArialMT"/>
          <w:sz w:val="20"/>
          <w:szCs w:val="20"/>
        </w:rPr>
        <w:t>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Prévenir et traiter les carences martiales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asthénie et anémie chez la mère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prématurité et </w:t>
      </w:r>
      <w:proofErr w:type="spellStart"/>
      <w:r>
        <w:rPr>
          <w:rFonts w:ascii="ArialMT" w:hAnsi="ArialMT" w:cs="ArialMT"/>
          <w:sz w:val="20"/>
          <w:szCs w:val="20"/>
        </w:rPr>
        <w:t>hypothrophie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foetale</w:t>
      </w:r>
      <w:proofErr w:type="spellEnd"/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en France, 1/4 des femmes enceintes (4.5% avec anémies)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ANC : 25-30 mg/j du 4</w:t>
      </w:r>
      <w:r>
        <w:rPr>
          <w:rFonts w:ascii="ArialMT" w:hAnsi="ArialMT" w:cs="ArialMT"/>
          <w:sz w:val="13"/>
          <w:szCs w:val="13"/>
        </w:rPr>
        <w:t xml:space="preserve">ème </w:t>
      </w:r>
      <w:r>
        <w:rPr>
          <w:rFonts w:ascii="ArialMT" w:hAnsi="ArialMT" w:cs="ArialMT"/>
          <w:sz w:val="20"/>
          <w:szCs w:val="20"/>
        </w:rPr>
        <w:t>au 9</w:t>
      </w:r>
      <w:r>
        <w:rPr>
          <w:rFonts w:ascii="ArialMT" w:hAnsi="ArialMT" w:cs="ArialMT"/>
          <w:sz w:val="13"/>
          <w:szCs w:val="13"/>
        </w:rPr>
        <w:t xml:space="preserve">ème </w:t>
      </w:r>
      <w:r>
        <w:rPr>
          <w:rFonts w:ascii="ArialMT" w:hAnsi="ArialMT" w:cs="ArialMT"/>
          <w:sz w:val="20"/>
          <w:szCs w:val="20"/>
        </w:rPr>
        <w:t>mois de grossesse.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Identification des patientes à risque : grossesses rapprochées, faible consommation de viande,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antécédent de carence martiale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dépistage de la carence (en tenant compte de l’hémodilution liée à la grossesse)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</w:t>
      </w:r>
      <w:proofErr w:type="spellStart"/>
      <w:r>
        <w:rPr>
          <w:rFonts w:ascii="ArialMT" w:hAnsi="ArialMT" w:cs="ArialMT"/>
          <w:sz w:val="20"/>
          <w:szCs w:val="20"/>
        </w:rPr>
        <w:t>supplémentation</w:t>
      </w:r>
      <w:proofErr w:type="spellEnd"/>
      <w:r>
        <w:rPr>
          <w:rFonts w:ascii="ArialMT" w:hAnsi="ArialMT" w:cs="ArialMT"/>
          <w:sz w:val="20"/>
          <w:szCs w:val="20"/>
        </w:rPr>
        <w:t xml:space="preserve"> si nécessaire (50mg de fer métal/j).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Prévenir la carence en calcium et en vitamine D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perte osseuse chez la mère et défaut d’accrétion chez le </w:t>
      </w:r>
      <w:proofErr w:type="spellStart"/>
      <w:r>
        <w:rPr>
          <w:rFonts w:ascii="ArialMT" w:hAnsi="ArialMT" w:cs="ArialMT"/>
          <w:sz w:val="20"/>
          <w:szCs w:val="20"/>
        </w:rPr>
        <w:t>foetus</w:t>
      </w:r>
      <w:proofErr w:type="spellEnd"/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carence en vitamine D quasi constante en fin de grossesse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pendant les 1</w:t>
      </w:r>
      <w:r>
        <w:rPr>
          <w:rFonts w:ascii="ArialMT" w:hAnsi="ArialMT" w:cs="ArialMT"/>
          <w:sz w:val="13"/>
          <w:szCs w:val="13"/>
        </w:rPr>
        <w:t xml:space="preserve">ères </w:t>
      </w:r>
      <w:r>
        <w:rPr>
          <w:rFonts w:ascii="ArialMT" w:hAnsi="ArialMT" w:cs="ArialMT"/>
          <w:sz w:val="20"/>
          <w:szCs w:val="20"/>
        </w:rPr>
        <w:t>semaines de vie, le nouveau-né ne peut synthétiser la vitamine D (augmentation du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risque d’hypocalcémie pendant les premiers jours de vie)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ANC Ca : &gt; 1000 mg/j pendant la grossesse et l’allaitement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ANC Vitamine D : 10 </w:t>
      </w:r>
      <w:proofErr w:type="spellStart"/>
      <w:r>
        <w:rPr>
          <w:rFonts w:ascii="ArialMT" w:hAnsi="ArialMT" w:cs="ArialMT"/>
          <w:sz w:val="20"/>
          <w:szCs w:val="20"/>
        </w:rPr>
        <w:t>ug</w:t>
      </w:r>
      <w:proofErr w:type="spellEnd"/>
      <w:r>
        <w:rPr>
          <w:rFonts w:ascii="ArialMT" w:hAnsi="ArialMT" w:cs="ArialMT"/>
          <w:sz w:val="20"/>
          <w:szCs w:val="20"/>
        </w:rPr>
        <w:t xml:space="preserve"> (400 UI)/j dès le début de la </w:t>
      </w:r>
      <w:proofErr w:type="spellStart"/>
      <w:r>
        <w:rPr>
          <w:rFonts w:ascii="ArialMT" w:hAnsi="ArialMT" w:cs="ArialMT"/>
          <w:sz w:val="20"/>
          <w:szCs w:val="20"/>
        </w:rPr>
        <w:t>grossess</w:t>
      </w:r>
      <w:proofErr w:type="spellEnd"/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encourager la consommation de produits laitiers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</w:t>
      </w:r>
      <w:proofErr w:type="spellStart"/>
      <w:r>
        <w:rPr>
          <w:rFonts w:ascii="ArialMT" w:hAnsi="ArialMT" w:cs="ArialMT"/>
          <w:sz w:val="20"/>
          <w:szCs w:val="20"/>
        </w:rPr>
        <w:t>supplémentation</w:t>
      </w:r>
      <w:proofErr w:type="spellEnd"/>
      <w:r>
        <w:rPr>
          <w:rFonts w:ascii="ArialMT" w:hAnsi="ArialMT" w:cs="ArialMT"/>
          <w:sz w:val="20"/>
          <w:szCs w:val="20"/>
        </w:rPr>
        <w:t xml:space="preserve"> systématique en vitamine D, notamment pendant les mois d’hiver (100 000 à 200 000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unités à la fin du 2</w:t>
      </w:r>
      <w:r>
        <w:rPr>
          <w:rFonts w:ascii="ArialMT" w:hAnsi="ArialMT" w:cs="ArialMT"/>
          <w:sz w:val="13"/>
          <w:szCs w:val="13"/>
        </w:rPr>
        <w:t xml:space="preserve">ème </w:t>
      </w:r>
      <w:r>
        <w:rPr>
          <w:rFonts w:ascii="ArialMT" w:hAnsi="ArialMT" w:cs="ArialMT"/>
          <w:sz w:val="20"/>
          <w:szCs w:val="20"/>
        </w:rPr>
        <w:t>trimestre per os en une fois)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Prévenir la carence en iode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avortements, prématurité, mortalité </w:t>
      </w:r>
      <w:proofErr w:type="spellStart"/>
      <w:r>
        <w:rPr>
          <w:rFonts w:ascii="ArialMT" w:hAnsi="ArialMT" w:cs="ArialMT"/>
          <w:sz w:val="20"/>
          <w:szCs w:val="20"/>
        </w:rPr>
        <w:t>péri-natale</w:t>
      </w:r>
      <w:proofErr w:type="spellEnd"/>
      <w:r>
        <w:rPr>
          <w:rFonts w:ascii="ArialMT" w:hAnsi="ArialMT" w:cs="ArialMT"/>
          <w:sz w:val="20"/>
          <w:szCs w:val="20"/>
        </w:rPr>
        <w:t>, hypothyroïdie, déficiences mentales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</w:t>
      </w:r>
      <w:proofErr w:type="spellStart"/>
      <w:r>
        <w:rPr>
          <w:rFonts w:ascii="ArialMT" w:hAnsi="ArialMT" w:cs="ArialMT"/>
          <w:sz w:val="20"/>
          <w:szCs w:val="20"/>
        </w:rPr>
        <w:t>supplémentation</w:t>
      </w:r>
      <w:proofErr w:type="spellEnd"/>
      <w:r>
        <w:rPr>
          <w:rFonts w:ascii="ArialMT" w:hAnsi="ArialMT" w:cs="ArialMT"/>
          <w:sz w:val="20"/>
          <w:szCs w:val="20"/>
        </w:rPr>
        <w:t xml:space="preserve"> en iode dans les zones de carence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Eviter un apport excessif en vitamine A (tératogène au-delà de 3000 UI/j)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déconseiller la consommation de foie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</w:t>
      </w:r>
      <w:proofErr w:type="spellStart"/>
      <w:r>
        <w:rPr>
          <w:rFonts w:ascii="ArialMT" w:hAnsi="ArialMT" w:cs="ArialMT"/>
          <w:sz w:val="20"/>
          <w:szCs w:val="20"/>
        </w:rPr>
        <w:t>supplémentation</w:t>
      </w:r>
      <w:proofErr w:type="spellEnd"/>
      <w:r>
        <w:rPr>
          <w:rFonts w:ascii="ArialMT" w:hAnsi="ArialMT" w:cs="ArialMT"/>
          <w:sz w:val="20"/>
          <w:szCs w:val="20"/>
        </w:rPr>
        <w:t xml:space="preserve"> contre-indiquée pendant la grossesse (attention aux poly-vitamines)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Aider les femmes à interrompre les prises de toxiques (tabac, alcool, cannabis …) avant la grossesse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Le tabac altère le développement placentaire (RCIU, prématurité, mort subite)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L’alcool est toxique pour le cerveau du </w:t>
      </w:r>
      <w:proofErr w:type="spellStart"/>
      <w:r>
        <w:rPr>
          <w:rFonts w:ascii="ArialMT" w:hAnsi="ArialMT" w:cs="ArialMT"/>
          <w:sz w:val="20"/>
          <w:szCs w:val="20"/>
        </w:rPr>
        <w:t>foetus</w:t>
      </w:r>
      <w:proofErr w:type="spellEnd"/>
      <w:r>
        <w:rPr>
          <w:rFonts w:ascii="ArialMT" w:hAnsi="ArialMT" w:cs="ArialMT"/>
          <w:sz w:val="20"/>
          <w:szCs w:val="20"/>
        </w:rPr>
        <w:t xml:space="preserve"> (pas de seuil de risque).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Limiter les risques sanitaires liés à la consommation de certains aliments (listériose, toxoplasmose)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Information orale, étayée par l’information écrite disponible dans le carnet de grossesse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Listériose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16"/>
          <w:szCs w:val="16"/>
        </w:rPr>
        <w:t xml:space="preserve">- </w:t>
      </w:r>
      <w:r>
        <w:rPr>
          <w:rFonts w:ascii="ArialMT" w:hAnsi="ArialMT" w:cs="ArialMT"/>
          <w:sz w:val="20"/>
          <w:szCs w:val="20"/>
        </w:rPr>
        <w:t>éviter les fromages à pâte molle et au lait cru et la charcuterie à la coupe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16"/>
          <w:szCs w:val="16"/>
        </w:rPr>
        <w:t xml:space="preserve">- </w:t>
      </w:r>
      <w:r>
        <w:rPr>
          <w:rFonts w:ascii="ArialMT" w:hAnsi="ArialMT" w:cs="ArialMT"/>
          <w:sz w:val="20"/>
          <w:szCs w:val="20"/>
        </w:rPr>
        <w:t>éviter les viandes, coquillages, poissons crus et fumés.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Toxoplasmose (en cas de séronégativité)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consommer la viande cuite ; se laver les mains après avoir manipulé de la viande crue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éplucher et rincer les légumes et fruits consommés crus, ainsi que les herbes aromatiques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éviter le contact avec les chats (ou tout élément ayant pu être contaminé par leurs déjections)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ne jardiner qu’avec des gants et se laver les mains après.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Encourager l’activité physique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Encourager l’activité physique d’intensité modérée (quotidien, loisirs)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Eviter les efforts intenses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Promouvoir l’allaitement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mode d’alimentation le plus adapté au développement harmonieux de l’enfant</w:t>
      </w:r>
    </w:p>
    <w:p w:rsidR="00F70FA0" w:rsidRDefault="00F70FA0" w:rsidP="00F7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limite le risque d’allergies</w:t>
      </w:r>
    </w:p>
    <w:p w:rsidR="00087E79" w:rsidRDefault="00F70FA0" w:rsidP="00F70FA0">
      <w:r>
        <w:rPr>
          <w:rFonts w:ascii="ArialMT" w:hAnsi="ArialMT" w:cs="ArialMT"/>
          <w:sz w:val="20"/>
          <w:szCs w:val="20"/>
        </w:rPr>
        <w:t>- facilite la perte du poids acquis pendant la grossesse</w:t>
      </w:r>
      <w:r>
        <w:t>++++++++++++++++++++++++++++++++++++++++++++</w:t>
      </w:r>
    </w:p>
    <w:p w:rsidR="00087E79" w:rsidRDefault="00087E79" w:rsidP="00087E79"/>
    <w:p w:rsidR="00087E79" w:rsidRDefault="00087E79" w:rsidP="00087E79"/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34"/>
          <w:szCs w:val="34"/>
        </w:rPr>
      </w:pPr>
      <w:r>
        <w:rPr>
          <w:rFonts w:ascii="Courier New" w:hAnsi="Courier New" w:cs="Courier New"/>
          <w:b/>
          <w:bCs/>
          <w:sz w:val="34"/>
          <w:szCs w:val="34"/>
        </w:rPr>
        <w:t>EVALUATION DE L’ETAT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34"/>
          <w:szCs w:val="34"/>
        </w:rPr>
      </w:pPr>
      <w:r>
        <w:rPr>
          <w:rFonts w:ascii="Courier New" w:hAnsi="Courier New" w:cs="Courier New"/>
          <w:b/>
          <w:bCs/>
          <w:sz w:val="34"/>
          <w:szCs w:val="34"/>
        </w:rPr>
        <w:t xml:space="preserve">NUTRITIONNEL. 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Objectifs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Evaluer l’état nutritionnel d’un adulte sain et d’un adulte malade.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Argumenter la prise en charge d’une dénutrition.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Consensus et recommandations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Évaluation de la dénutrition </w:t>
      </w:r>
      <w:proofErr w:type="spellStart"/>
      <w:r>
        <w:rPr>
          <w:rFonts w:ascii="ArialMT" w:hAnsi="ArialMT" w:cs="ArialMT"/>
          <w:sz w:val="20"/>
          <w:szCs w:val="20"/>
        </w:rPr>
        <w:t>protéino</w:t>
      </w:r>
      <w:proofErr w:type="spellEnd"/>
      <w:r>
        <w:rPr>
          <w:rFonts w:ascii="ArialMT" w:hAnsi="ArialMT" w:cs="ArialMT"/>
          <w:sz w:val="20"/>
          <w:szCs w:val="20"/>
        </w:rPr>
        <w:t>-énergétique des adultes hospitalisés HAS 2003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INTRODUCTION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Que cela soit par excès (obésité) ou déficit (dénutrition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protido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>-énergétique), toute altération de l’état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nutritionnel est un facteur de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morbi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>-mortalité des affections médico-chirurgicales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L’indice de masse corporelle (IMC) est à la base de l’évaluation de l’état nutritionnel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Valeurs de référence de l’IMC chez l’adulte non âgé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Classification IMC (P/T</w:t>
      </w:r>
      <w:r>
        <w:rPr>
          <w:rFonts w:ascii="Arial" w:hAnsi="Arial" w:cs="Arial"/>
          <w:b/>
          <w:bCs/>
          <w:sz w:val="13"/>
          <w:szCs w:val="13"/>
        </w:rPr>
        <w:t xml:space="preserve">2 </w:t>
      </w:r>
      <w:r>
        <w:rPr>
          <w:rFonts w:ascii="Arial" w:hAnsi="Arial" w:cs="Arial"/>
          <w:b/>
          <w:bCs/>
          <w:sz w:val="20"/>
          <w:szCs w:val="20"/>
        </w:rPr>
        <w:t>en kg/m</w:t>
      </w:r>
      <w:r>
        <w:rPr>
          <w:rFonts w:ascii="Arial" w:hAnsi="Arial" w:cs="Arial"/>
          <w:b/>
          <w:bCs/>
          <w:sz w:val="13"/>
          <w:szCs w:val="13"/>
        </w:rPr>
        <w:t>2</w:t>
      </w:r>
      <w:r>
        <w:rPr>
          <w:rFonts w:ascii="Arial" w:hAnsi="Arial" w:cs="Arial"/>
          <w:b/>
          <w:bCs/>
          <w:sz w:val="20"/>
          <w:szCs w:val="20"/>
        </w:rPr>
        <w:t>)* Risque associé de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comorbidité</w:t>
      </w:r>
      <w:proofErr w:type="spellEnd"/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Dénutrition certaine &lt;16 sévère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Dénutrition probable 16.0 à 18.5 modéré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Valeurs de référence &gt;18.5 à 24.9 référence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Surpoids 25.0 à 29.9 légèrement augmenté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Obésité ≥ 30.0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Type 1 (modérée) 30.0 à 34.9 modérément augmenté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Type 2 (sévère) 35.0 à 39.9 fortement augmenté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Type 3 (massive, morbide) ≥ 40 très fortement augmenté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* IMC= rapport du poids (P en kg) sur la taille au carré (T en m)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Seule est abordée ici la dénutrition de l’adulte non âgé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les conséquences de l’obésité sont abordées dans l’item 267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la situation du sujet âgé (seuils de dénutrition différents du sujet non âgé) est abordée dans l’item 61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Algorithme de dépistage et de prise en charge de la dénutrition chez le sujet hospitalisé (PNNS)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EVALUATION DE L’ETAT NUTRITIONNEL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Evaluation de l’état nutritionnel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doit être évalué devant toute situation à risque nutritionnel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doit être réalisé en routine lors de tout examen clinique d’admission </w:t>
      </w:r>
      <w:proofErr w:type="spellStart"/>
      <w:r>
        <w:rPr>
          <w:rFonts w:ascii="ArialMT" w:hAnsi="ArialMT" w:cs="ArialMT"/>
          <w:sz w:val="20"/>
          <w:szCs w:val="20"/>
        </w:rPr>
        <w:t>hospitallière</w:t>
      </w:r>
      <w:proofErr w:type="spellEnd"/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doit figurer dans le dossier du patient hospitalisé, de même que son évolution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repose en première intention sur le poids (actuel et habituel) , la taille et l’IMC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Données cliniques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L’amaigrissement : principal signe d’alerte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à 2% en 1 semaine, 5% en 1 mois ou 10% en 6 mois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L’indice de Masse Corporelle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Normal entre 18,5 et 25.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Dénutrition probable si IMC &lt; 18,5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Si la taille ne peut être mesurée, estimation à partir de la hauteur talon-genou (formule de </w:t>
      </w:r>
      <w:proofErr w:type="spellStart"/>
      <w:r>
        <w:rPr>
          <w:rFonts w:ascii="ArialMT" w:hAnsi="ArialMT" w:cs="ArialMT"/>
          <w:sz w:val="20"/>
          <w:szCs w:val="20"/>
        </w:rPr>
        <w:t>Chumlea</w:t>
      </w:r>
      <w:proofErr w:type="spellEnd"/>
      <w:r>
        <w:rPr>
          <w:rFonts w:ascii="ArialMT" w:hAnsi="ArialMT" w:cs="ArialMT"/>
          <w:sz w:val="20"/>
          <w:szCs w:val="20"/>
        </w:rPr>
        <w:t>)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Attention : la présence d’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oedèmes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peut masquer la dénutrition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Autres éléments cliniques d’intérêt non recommandés en routine par les référentiels nationaux: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la circonférence musculaire brachiale : estimation de la masse maigre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la force musculaire (dynamomètre manuel (</w:t>
      </w:r>
      <w:proofErr w:type="spellStart"/>
      <w:r>
        <w:rPr>
          <w:rFonts w:ascii="ArialMT" w:hAnsi="ArialMT" w:cs="ArialMT"/>
          <w:sz w:val="20"/>
          <w:szCs w:val="20"/>
        </w:rPr>
        <w:t>Handgrip</w:t>
      </w:r>
      <w:proofErr w:type="spellEnd"/>
      <w:r>
        <w:rPr>
          <w:rFonts w:ascii="ArialMT" w:hAnsi="ArialMT" w:cs="ArialMT"/>
          <w:sz w:val="20"/>
          <w:szCs w:val="20"/>
        </w:rPr>
        <w:t>)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Les signes fonctionnels et cliniques de dénutrition viennent à l’appui des paramètres anthropométriques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fonctionnels (mémorisation, concentration, asthénie, diminution des capacités physiques..)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fonte du tissu adipeux sous-cutané et musculaire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altération des phanères et des muqueuses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hypotension artérielle, bradycardie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troubles digestifs (constipation …),…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ostéoporose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Marqueurs biologiques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L’albuminémie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Normale entre 35 et 50 g/l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Dénutrition modérée : 30 à 35 g/L ; dénutrition sévère : &lt; 30 g/l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A interpréter en fonction de l’existence d’un état inflammatoire (CRP) ou d’une autre cause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d’</w:t>
      </w:r>
      <w:proofErr w:type="spellStart"/>
      <w:r>
        <w:rPr>
          <w:rFonts w:ascii="ArialMT" w:hAnsi="ArialMT" w:cs="ArialMT"/>
          <w:sz w:val="20"/>
          <w:szCs w:val="20"/>
        </w:rPr>
        <w:t>hypoalbuminémie</w:t>
      </w:r>
      <w:proofErr w:type="spellEnd"/>
      <w:r>
        <w:rPr>
          <w:rFonts w:ascii="ArialMT" w:hAnsi="ArialMT" w:cs="ArialMT"/>
          <w:sz w:val="20"/>
          <w:szCs w:val="20"/>
        </w:rPr>
        <w:t xml:space="preserve"> (insuffisance hépatique, syndrome néphrotique, pertes digestives).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Du fait de sa demi-vie longue (21 jours)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reflète l’état nutritionnel des dernières semaines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est peu réactive à la </w:t>
      </w:r>
      <w:proofErr w:type="spellStart"/>
      <w:r>
        <w:rPr>
          <w:rFonts w:ascii="ArialMT" w:hAnsi="ArialMT" w:cs="ArialMT"/>
          <w:sz w:val="20"/>
          <w:szCs w:val="20"/>
        </w:rPr>
        <w:t>renutrition</w:t>
      </w:r>
      <w:proofErr w:type="spellEnd"/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transthyrétine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ou pré-albumine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Normale entre 0,25 - 0,35 g/l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Dénutrition modérée 0,15 - 0,25 g/l ; dénutrition sévère &lt; 0,15 g/l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Egalement affectée par l’existence d’un état inflammatoire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Demi-vie courte (48 h) : intérêt pour suivre la réalimentation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Index multiparamétriques : le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Nutritional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Risk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Index (N.R.I) ou index de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Buzby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fait référence chez l’adulte jusque 75 ans :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</w:t>
      </w:r>
      <w:r>
        <w:rPr>
          <w:rFonts w:ascii="Arial" w:hAnsi="Arial" w:cs="Arial"/>
          <w:i/>
          <w:iCs/>
          <w:sz w:val="20"/>
          <w:szCs w:val="20"/>
        </w:rPr>
        <w:t>NRI = 1,519 x albuminémie (g / l) + 0,417 x (poids actuel / poids usuel) x 100.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normal &gt; 97.5%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dénutrition modérée : 83,5 à 97,5%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dénutrition sévère : &lt; 83,5% :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En pratique un algorithme de dépistage à deux niveaux peut être proposé à large échelle (figure)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Un niveau 1 – niveau d’alerte - reposant sur la vitesse d’amaigrissement et l’IMC</w:t>
      </w:r>
    </w:p>
    <w:p w:rsidR="00087E79" w:rsidRDefault="00087E79" w:rsidP="00087E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Un niveau 2 – de confirmation - reposant sur l’indice de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Buzby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(et nécessitant donc outre la mesure du poids</w:t>
      </w:r>
    </w:p>
    <w:p w:rsidR="00F70FA0" w:rsidRDefault="00087E79" w:rsidP="00087E79">
      <w:pPr>
        <w:ind w:firstLine="708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actuel et habituel, l’évaluation de l’albuminémie)</w:t>
      </w:r>
    </w:p>
    <w:p w:rsidR="00DD709E" w:rsidRDefault="00DD709E" w:rsidP="00087E79">
      <w:pPr>
        <w:ind w:firstLine="708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+++++++++++++++++++++++++++++++++++++++++++++++++</w:t>
      </w:r>
    </w:p>
    <w:p w:rsidR="00DD709E" w:rsidRDefault="00DD709E" w:rsidP="00087E79">
      <w:pPr>
        <w:ind w:firstLine="708"/>
        <w:rPr>
          <w:rFonts w:ascii="Arial" w:hAnsi="Arial" w:cs="Arial"/>
          <w:i/>
          <w:iCs/>
          <w:sz w:val="20"/>
          <w:szCs w:val="20"/>
        </w:rPr>
      </w:pP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00"/>
          <w:sz w:val="20"/>
          <w:szCs w:val="20"/>
        </w:rPr>
      </w:pPr>
      <w:r>
        <w:rPr>
          <w:rFonts w:ascii="Arial" w:hAnsi="Arial" w:cs="Arial"/>
          <w:b/>
          <w:bCs/>
          <w:color w:val="008100"/>
          <w:sz w:val="20"/>
          <w:szCs w:val="20"/>
        </w:rPr>
        <w:t>Actions du diététicien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Actions d’évaluation complémentaires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évaluation fine des consommations alimentaires et des habitudes de vie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évaluation des difficultés et moyens pour modifier un comportement alimentaire.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Apports de connaissances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explication de conseils personnalisés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informations : lien entre pathologie et comportement alimentaire, reconnaissance des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propres facteurs de risque, composition, préparation et conservation des aliments, bénéfice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du conseil diététique.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SymbolMT" w:eastAsia="SymbolMT" w:hAnsi="Arial" w:cs="SymbolMT" w:hint="eastAsia"/>
          <w:color w:val="000000"/>
          <w:sz w:val="16"/>
          <w:szCs w:val="16"/>
        </w:rPr>
        <w:t>•</w:t>
      </w:r>
      <w:r>
        <w:rPr>
          <w:rFonts w:ascii="SymbolMT" w:eastAsia="SymbolMT" w:hAnsi="Arial" w:cs="SymbolMT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Actions d’éducation thérapeutique nutritionnelle </w:t>
      </w:r>
      <w:r>
        <w:rPr>
          <w:rFonts w:ascii="Arial" w:hAnsi="Arial" w:cs="Arial"/>
          <w:color w:val="000000"/>
          <w:sz w:val="16"/>
          <w:szCs w:val="16"/>
        </w:rPr>
        <w:t>qui s’appuient sur les principes et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les étapes de l’éducation thérapeutique.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Actions d’aide à la prise de décisions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négociation, prise de conscience, choix et priorité des actions possibles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choix de méthodes et de techniques éducatives.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Actions de rééducation nutritionnelle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adaptation des consommations alimentaires : évaluation chiffrée et analyse des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consommations pour parvenir aux paramètres nutritionnels souhaités en lien avec un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traitement ou une pathologie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aide et accompagnement pour résoudre des difficultés quotidiennes.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Actions de conseils auprès des médecins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 xml:space="preserve">compléments nutritionnels oraux et/ou de produits d’alimentation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entérale</w:t>
      </w:r>
      <w:proofErr w:type="spellEnd"/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compléments vitaminiques ou minéraux.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00"/>
          <w:sz w:val="20"/>
          <w:szCs w:val="20"/>
        </w:rPr>
      </w:pPr>
      <w:r>
        <w:rPr>
          <w:rFonts w:ascii="Arial" w:hAnsi="Arial" w:cs="Arial"/>
          <w:b/>
          <w:bCs/>
          <w:color w:val="008100"/>
          <w:sz w:val="20"/>
          <w:szCs w:val="20"/>
        </w:rPr>
        <w:t>Communication interprofessionnelle et coordination du soin nutritionnel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 soin nutritionnel est souvent le résultat d’un travail en équipe. Les actions du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diététicien et si besoin les interventions de soutien de la stratégie diététique sont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planifiées en lien avec les professionnels de santé concernés.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Les éléments de traçabilité qui permettent d’assurer la continuité des soins doivent être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consignés dans le dossier du patient où sont retrouvées :</w:t>
      </w:r>
    </w:p>
    <w:p w:rsidR="007D2172" w:rsidRDefault="007D2172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D2172" w:rsidRDefault="007D2172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La consultation diététique </w:t>
      </w:r>
      <w:r>
        <w:rPr>
          <w:rFonts w:ascii="Arial" w:hAnsi="Arial" w:cs="Arial"/>
          <w:color w:val="000000"/>
          <w:sz w:val="18"/>
          <w:szCs w:val="18"/>
        </w:rPr>
        <w:t>s’appuie sur une démarche de soin réalisée à partir</w:t>
      </w: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d’une prescription médicale ou à la demande d’un particulier. Elle comprend un</w:t>
      </w: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bilan diététique, la négociation d’objectifs de soin diététique, la mise en place d’une</w:t>
      </w: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stratégie et le suivi nutritionnel à but éducatif, préventif ou thérapeutique.</w:t>
      </w: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En fonction de l’orientation des consultations, la prise en charge diététique</w:t>
      </w: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nécessite des modalités définies de coordination des professionnels de santé entre</w:t>
      </w: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eux et une continuité des soins.</w:t>
      </w: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La prescription médicale </w:t>
      </w:r>
      <w:r>
        <w:rPr>
          <w:rFonts w:ascii="Arial" w:hAnsi="Arial" w:cs="Arial"/>
          <w:color w:val="000000"/>
          <w:sz w:val="16"/>
          <w:szCs w:val="16"/>
        </w:rPr>
        <w:t>:</w:t>
      </w: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Les motifs de la consultation, le diagnostic médical et les traitements en cours, les objectifs de</w:t>
      </w: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traitement, les antécédents médicaux et chirurgicaux</w:t>
      </w: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La synthèse écrite initiale</w:t>
      </w: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Les données spécifiques, le diagnostic et les objectifs diététiques, les actions négociées avec</w:t>
      </w: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la personne soignée, les documents remis à celle-ci, les courriers ou contacts avec les</w:t>
      </w: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professionnels de santé après accord de la personne soignée</w:t>
      </w: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La synthèse écrite des consultations de suivi et du bilan diététique final</w:t>
      </w: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L’évolution des données spécifiques, l’évaluation à distance des actions négociées avec la</w:t>
      </w: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personne soignée, l’évolution des modifications de comportements alimentaires, l’indication de</w:t>
      </w:r>
    </w:p>
    <w:p w:rsidR="007D2172" w:rsidRDefault="007D2172" w:rsidP="007D2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>suivi complémentaire et du délai de ce suivi, les documents remis à la personne soignée,</w:t>
      </w:r>
    </w:p>
    <w:p w:rsidR="007D2172" w:rsidRDefault="007D2172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D2172" w:rsidRDefault="007D2172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00"/>
          <w:sz w:val="20"/>
          <w:szCs w:val="20"/>
        </w:rPr>
      </w:pPr>
      <w:r>
        <w:rPr>
          <w:rFonts w:ascii="Arial" w:hAnsi="Arial" w:cs="Arial"/>
          <w:b/>
          <w:bCs/>
          <w:color w:val="008100"/>
          <w:sz w:val="20"/>
          <w:szCs w:val="20"/>
        </w:rPr>
        <w:t>Évolution des pratiques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La formation continue, tout au long de la carrière professionnelle, est indispensable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pour assurer la qualité de la consultation réalisée par un diététicien.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LA CONSULTATION DIÉTÉTIQUE RÉALISÉE PAR UN DIÉTÉTICIEN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00"/>
          <w:sz w:val="20"/>
          <w:szCs w:val="20"/>
        </w:rPr>
      </w:pPr>
      <w:r>
        <w:rPr>
          <w:rFonts w:ascii="Arial" w:hAnsi="Arial" w:cs="Arial"/>
          <w:b/>
          <w:bCs/>
          <w:color w:val="008100"/>
          <w:sz w:val="20"/>
          <w:szCs w:val="20"/>
        </w:rPr>
        <w:t>Objectifs des recommandations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définir le contenu de la consultation diététique, les modalités de conduite d’un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entretien et les éléments spécifiques de la démarche de soin diététique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présenter les outils couramment utilisés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nécessaires pour le recueil de données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et pour la réalisation des actions spécifiques du diététicien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identifier les éléments de traçabilité du soin nutritionnel dans le dossier du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patient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définir les modalités de coordination entre les professionnels de santé pour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assurer la continuité des soins.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00"/>
          <w:sz w:val="20"/>
          <w:szCs w:val="20"/>
        </w:rPr>
      </w:pPr>
      <w:r>
        <w:rPr>
          <w:rFonts w:ascii="Arial" w:hAnsi="Arial" w:cs="Arial"/>
          <w:b/>
          <w:bCs/>
          <w:color w:val="008100"/>
          <w:sz w:val="20"/>
          <w:szCs w:val="20"/>
        </w:rPr>
        <w:t>Cibles des recommandations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les diététiciens en établissement de santé, en exercice libéral, dans le cadre de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réseau de santé et d’actions de santé publique, pour leur pratique quotidienne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les médecins, les infirmières, </w:t>
      </w:r>
      <w:r w:rsidRPr="0020230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les sages-femmes,</w:t>
      </w:r>
      <w:r>
        <w:rPr>
          <w:rFonts w:ascii="Arial" w:hAnsi="Arial" w:cs="Arial"/>
          <w:color w:val="000000"/>
          <w:sz w:val="18"/>
          <w:szCs w:val="18"/>
        </w:rPr>
        <w:t xml:space="preserve"> les assistantes sociales, les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ergothérapeutes, les kinésithérapeutes, les orthophonistes, les psychologues qui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travaillent en collaboration avec les diététiciens.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Ce document peut également être utilisé pour élaborer des recommandations sur des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prises en charge diététiques spécifiques qui concernent les adultes, les adolescents à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partir de 16 ans, et les personnes âgées. La consultation diététique pour les enfants de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0 à 16 ans fera l’objet d’un travail ultérieur, qui s’appuiera sur les principes énoncés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dans ces recommandations.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00"/>
          <w:sz w:val="20"/>
          <w:szCs w:val="20"/>
        </w:rPr>
      </w:pPr>
      <w:r>
        <w:rPr>
          <w:rFonts w:ascii="Arial" w:hAnsi="Arial" w:cs="Arial"/>
          <w:b/>
          <w:bCs/>
          <w:color w:val="008100"/>
          <w:sz w:val="20"/>
          <w:szCs w:val="20"/>
        </w:rPr>
        <w:t>Définition de la démarche de soin diététique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Processus par étapes qui a pour finalité de garantir des apports nutritionnels conformes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aux besoins des personnes et aux exigences thérapeutiques, tout en tenant compte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des préférences, des habitudes culturelles et religieuses et des capacités individuelles,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en préservant le plaisir de s’alimenter.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La démarche de soin diététique apporte un cadre à la consultation diététique et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comporte des spécificités en termes d’outils, de stratégies et d’évaluation, selon les</w:t>
      </w:r>
    </w:p>
    <w:p w:rsidR="00DD709E" w:rsidRDefault="00DD709E" w:rsidP="00DD7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orientations (thérapeutique, éducative, de prévention) de la consultation.</w:t>
      </w:r>
    </w:p>
    <w:p w:rsidR="00DD709E" w:rsidRDefault="006C09EF" w:rsidP="00DD709E">
      <w:pPr>
        <w:ind w:firstLine="70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+++++++++++++++++++++++++++++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00"/>
          <w:sz w:val="20"/>
          <w:szCs w:val="20"/>
        </w:rPr>
      </w:pPr>
      <w:r>
        <w:rPr>
          <w:rFonts w:ascii="Arial" w:hAnsi="Arial" w:cs="Arial"/>
          <w:b/>
          <w:bCs/>
          <w:color w:val="008100"/>
          <w:sz w:val="20"/>
          <w:szCs w:val="20"/>
        </w:rPr>
        <w:t>Caractéristiques de la consultation diététique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Trois types de consultation complémentaire peuvent être proposés. Chaque consultation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diététique a un contenu précis.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L’information de la personne et l’approche éducative font partie intégrante de la démarche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 soin diététique.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La consultation initiale </w:t>
      </w:r>
      <w:r>
        <w:rPr>
          <w:rFonts w:ascii="Arial" w:hAnsi="Arial" w:cs="Arial"/>
          <w:color w:val="000000"/>
          <w:sz w:val="16"/>
          <w:szCs w:val="16"/>
        </w:rPr>
        <w:t>: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SymbolMT" w:eastAsia="SymbolMT" w:hAnsi="Arial" w:cs="SymbolMT" w:hint="eastAsia"/>
          <w:color w:val="000000"/>
          <w:sz w:val="20"/>
          <w:szCs w:val="20"/>
        </w:rPr>
        <w:t>⇒</w:t>
      </w:r>
      <w:r>
        <w:rPr>
          <w:rFonts w:ascii="SymbolMT" w:eastAsia="SymbolMT" w:hAnsi="Arial" w:cs="SymbolMT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Sur prescription médicale, elle permet d’élaborer :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SymbolMT" w:eastAsia="SymbolMT" w:hAnsi="Arial" w:cs="SymbolMT" w:hint="eastAsia"/>
          <w:color w:val="000000"/>
          <w:sz w:val="16"/>
          <w:szCs w:val="16"/>
        </w:rPr>
        <w:t>•</w:t>
      </w:r>
      <w:r>
        <w:rPr>
          <w:rFonts w:ascii="SymbolMT" w:eastAsia="SymbolMT" w:hAnsi="Arial" w:cs="SymbolMT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soit un diagnostic diététique seul, et éventuellement une orientation vers des consultations de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suivi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SymbolMT" w:eastAsia="SymbolMT" w:hAnsi="Arial" w:cs="SymbolMT" w:hint="eastAsia"/>
          <w:color w:val="000000"/>
          <w:sz w:val="16"/>
          <w:szCs w:val="16"/>
        </w:rPr>
        <w:t>•</w:t>
      </w:r>
      <w:r>
        <w:rPr>
          <w:rFonts w:ascii="SymbolMT" w:eastAsia="SymbolMT" w:hAnsi="Arial" w:cs="SymbolMT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soit un diagnostic diététique complété d’une action thérapeutique, éducative, ou de prévention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et une orientation vers des consultations de suivi.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SymbolMT" w:eastAsia="SymbolMT" w:hAnsi="Arial" w:cs="SymbolMT" w:hint="eastAsia"/>
          <w:color w:val="000000"/>
          <w:sz w:val="20"/>
          <w:szCs w:val="20"/>
        </w:rPr>
        <w:t>⇒</w:t>
      </w:r>
      <w:r>
        <w:rPr>
          <w:rFonts w:ascii="SymbolMT" w:eastAsia="SymbolMT" w:hAnsi="Arial" w:cs="SymbolMT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À la demande d’une personne, elle permet d’élaborer :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SymbolMT" w:eastAsia="SymbolMT" w:hAnsi="Arial" w:cs="SymbolMT" w:hint="eastAsia"/>
          <w:color w:val="000000"/>
          <w:sz w:val="16"/>
          <w:szCs w:val="16"/>
        </w:rPr>
        <w:t>•</w:t>
      </w:r>
      <w:r>
        <w:rPr>
          <w:rFonts w:ascii="SymbolMT" w:eastAsia="SymbolMT" w:hAnsi="Arial" w:cs="SymbolMT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soit un diagnostic diététique seul, et éventuellement une orientation vers des consultations de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suivi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SymbolMT" w:eastAsia="SymbolMT" w:hAnsi="Arial" w:cs="SymbolMT" w:hint="eastAsia"/>
          <w:color w:val="000000"/>
          <w:sz w:val="16"/>
          <w:szCs w:val="16"/>
        </w:rPr>
        <w:t>•</w:t>
      </w:r>
      <w:r>
        <w:rPr>
          <w:rFonts w:ascii="SymbolMT" w:eastAsia="SymbolMT" w:hAnsi="Arial" w:cs="SymbolMT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soit un diagnostic diététique complété d’une action de prévention et une orientation vers des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consultations de suivi.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SymbolMT" w:eastAsia="SymbolMT" w:hAnsi="Arial" w:cs="SymbolMT" w:hint="eastAsia"/>
          <w:color w:val="000000"/>
          <w:sz w:val="16"/>
          <w:szCs w:val="16"/>
        </w:rPr>
        <w:t>•</w:t>
      </w:r>
      <w:r>
        <w:rPr>
          <w:rFonts w:ascii="SymbolMT" w:eastAsia="SymbolMT" w:hAnsi="Arial" w:cs="SymbolMT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Si la demande de la personne est liée à un problème de santé identifié par le diététicien, les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informations recueillies sont transmises au médecin désigné par cette personne et avec son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accord.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La(es) consultation(s) de suivi permet(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tent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) </w:t>
      </w:r>
      <w:r>
        <w:rPr>
          <w:rFonts w:ascii="Arial" w:hAnsi="Arial" w:cs="Arial"/>
          <w:color w:val="000000"/>
          <w:sz w:val="16"/>
          <w:szCs w:val="16"/>
        </w:rPr>
        <w:t>: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SymbolMT" w:eastAsia="SymbolMT" w:hAnsi="Arial" w:cs="SymbolMT" w:hint="eastAsia"/>
          <w:color w:val="000000"/>
          <w:sz w:val="16"/>
          <w:szCs w:val="16"/>
        </w:rPr>
        <w:t>•</w:t>
      </w:r>
      <w:r>
        <w:rPr>
          <w:rFonts w:ascii="SymbolMT" w:eastAsia="SymbolMT" w:hAnsi="Arial" w:cs="SymbolMT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soit de compléter le bilan diététique pour l’élaboration d’un diagnostic final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SymbolMT" w:eastAsia="SymbolMT" w:hAnsi="Arial" w:cs="SymbolMT" w:hint="eastAsia"/>
          <w:color w:val="000000"/>
          <w:sz w:val="16"/>
          <w:szCs w:val="16"/>
        </w:rPr>
        <w:t>•</w:t>
      </w:r>
      <w:r>
        <w:rPr>
          <w:rFonts w:ascii="SymbolMT" w:eastAsia="SymbolMT" w:hAnsi="Arial" w:cs="SymbolMT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soit d’évaluer les objectifs de soin diététique fixés lors de la consultation initiale et de mettre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en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oeuvre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une action de prévention, un traitement nutritionnel et/ou une éducation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thérapeutique, et/ou un suivi de l’état nutritionnel.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La consultation finale permet </w:t>
      </w:r>
      <w:r>
        <w:rPr>
          <w:rFonts w:ascii="Arial" w:hAnsi="Arial" w:cs="Arial"/>
          <w:color w:val="000000"/>
          <w:sz w:val="16"/>
          <w:szCs w:val="16"/>
        </w:rPr>
        <w:t>: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SymbolMT" w:eastAsia="SymbolMT" w:hAnsi="Arial" w:cs="SymbolMT" w:hint="eastAsia"/>
          <w:color w:val="000000"/>
          <w:sz w:val="16"/>
          <w:szCs w:val="16"/>
        </w:rPr>
        <w:t>•</w:t>
      </w:r>
      <w:r>
        <w:rPr>
          <w:rFonts w:ascii="SymbolMT" w:eastAsia="SymbolMT" w:hAnsi="Arial" w:cs="SymbolMT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d’évaluer globalement les objectifs de soin diététique fixés lors des consultations préalables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SymbolMT" w:eastAsia="SymbolMT" w:hAnsi="Arial" w:cs="SymbolMT" w:hint="eastAsia"/>
          <w:color w:val="000000"/>
          <w:sz w:val="16"/>
          <w:szCs w:val="16"/>
        </w:rPr>
        <w:t>•</w:t>
      </w:r>
      <w:r>
        <w:rPr>
          <w:rFonts w:ascii="SymbolMT" w:eastAsia="SymbolMT" w:hAnsi="Arial" w:cs="SymbolMT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de proposer un nouveau cycle de consultations de suivi en accord avec le médecin ou de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clore la démarche.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00"/>
          <w:sz w:val="20"/>
          <w:szCs w:val="20"/>
        </w:rPr>
      </w:pPr>
      <w:r>
        <w:rPr>
          <w:rFonts w:ascii="Arial" w:hAnsi="Arial" w:cs="Arial"/>
          <w:b/>
          <w:bCs/>
          <w:color w:val="008100"/>
          <w:sz w:val="20"/>
          <w:szCs w:val="20"/>
        </w:rPr>
        <w:t>Conduite de la consultation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20"/>
          <w:szCs w:val="20"/>
        </w:rPr>
        <w:t>⇒</w:t>
      </w:r>
      <w:r>
        <w:rPr>
          <w:rFonts w:ascii="SymbolMT" w:eastAsia="SymbolMT" w:hAnsi="Arial" w:cs="SymbolMT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</w:rPr>
        <w:t>Conditions et techniques de communication: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écoute active ;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utilisation pertinente de questions ouvertes et/ou fermées ;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reformulation ;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aptitude à donner à la personne le rôle de décideur ;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aptitude à faire face aux émotions : empathie et rétroaction.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20"/>
          <w:szCs w:val="20"/>
        </w:rPr>
        <w:t>⇒</w:t>
      </w:r>
      <w:r>
        <w:rPr>
          <w:rFonts w:ascii="SymbolMT" w:eastAsia="SymbolMT" w:hAnsi="Arial" w:cs="SymbolMT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</w:rPr>
        <w:t>Corps de la consultation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accueil ;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recueil de données, analyse, prise de décision, résolution de problèmes,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évaluation ;</w:t>
      </w:r>
    </w:p>
    <w:p w:rsidR="006C09EF" w:rsidRDefault="006C09EF" w:rsidP="006C0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SymbolMT" w:eastAsia="SymbolMT" w:hAnsi="Arial" w:cs="SymbolMT" w:hint="eastAsia"/>
          <w:color w:val="000000"/>
          <w:sz w:val="18"/>
          <w:szCs w:val="18"/>
        </w:rPr>
        <w:t>•</w:t>
      </w:r>
      <w:r>
        <w:rPr>
          <w:rFonts w:ascii="SymbolMT" w:eastAsia="SymbolMT" w:hAnsi="Arial" w:cs="SymbolMT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temps de synthèse : reprise des étapes, décisions retenues, clôture de</w:t>
      </w:r>
    </w:p>
    <w:p w:rsidR="006C09EF" w:rsidRPr="00087E79" w:rsidRDefault="006C09EF" w:rsidP="006C09EF">
      <w:pPr>
        <w:ind w:firstLine="708"/>
      </w:pPr>
      <w:r>
        <w:rPr>
          <w:rFonts w:ascii="Arial" w:hAnsi="Arial" w:cs="Arial"/>
          <w:color w:val="000000"/>
          <w:sz w:val="18"/>
          <w:szCs w:val="18"/>
        </w:rPr>
        <w:t>l’entretien sur une note positive.</w:t>
      </w:r>
    </w:p>
    <w:sectPr w:rsidR="006C09EF" w:rsidRPr="00087E79" w:rsidSect="00C50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savePreviewPicture/>
  <w:compat/>
  <w:rsids>
    <w:rsidRoot w:val="00F70FA0"/>
    <w:rsid w:val="00087E79"/>
    <w:rsid w:val="0020230E"/>
    <w:rsid w:val="006C09EF"/>
    <w:rsid w:val="007D2172"/>
    <w:rsid w:val="00C50218"/>
    <w:rsid w:val="00D6484B"/>
    <w:rsid w:val="00DD709E"/>
    <w:rsid w:val="00F7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2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2792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nr</cp:lastModifiedBy>
  <cp:revision>19</cp:revision>
  <dcterms:created xsi:type="dcterms:W3CDTF">2020-09-05T21:21:00Z</dcterms:created>
  <dcterms:modified xsi:type="dcterms:W3CDTF">2020-09-05T21:35:00Z</dcterms:modified>
</cp:coreProperties>
</file>