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b/>
          <w:bCs/>
        </w:rPr>
        <w:t>Rappels physiologiques et physiopathologiq</w:t>
      </w:r>
      <w:r w:rsidRPr="003865E5">
        <w:rPr>
          <w:b/>
          <w:bCs/>
        </w:rPr>
        <w:t>ues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b/>
          <w:bCs/>
          <w:i/>
          <w:iCs/>
        </w:rPr>
        <w:t>Besoins spécifiques liés à la grossesse et l’allaitement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Energétiques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trois composantes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besoins du </w:t>
      </w:r>
      <w:proofErr w:type="spellStart"/>
      <w:r w:rsidRPr="003865E5">
        <w:t>foetus</w:t>
      </w:r>
      <w:proofErr w:type="spellEnd"/>
      <w:r w:rsidRPr="003865E5">
        <w:t xml:space="preserve"> et de ses annexes (quasi nuls au 1er trimestre, 80 Kcal/j au 3ème)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constitution d’une réserve de lipides dans l’organisme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augmentati</w:t>
      </w:r>
      <w:r w:rsidRPr="003865E5">
        <w:t>on de la DER à partir du 2ème trimestre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besoins totaux théoriques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- 100 à 150 Kcal/j au 2ème trimestre, 200 à 300 Kcal/j au 3ème , 500 Kcal/j au cours de l’allaitement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probablement surestimés : apports énergétiques avant la grossesse souvent excéden</w:t>
      </w:r>
      <w:r w:rsidRPr="003865E5">
        <w:t>taires,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réserves adipeuses </w:t>
      </w:r>
      <w:proofErr w:type="spellStart"/>
      <w:r w:rsidRPr="003865E5">
        <w:t>pré-existantes</w:t>
      </w:r>
      <w:proofErr w:type="spellEnd"/>
      <w:r w:rsidRPr="003865E5">
        <w:t xml:space="preserve"> 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Protidiques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- 1 g/j pendant le 1er trimestre, 6 g/j pendant le 2ème ,10 g/j pendant le 3ème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couverts si alimentation non déficitaire (apports habituels supérieurs aux besoins)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Micronutriments et vitamines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impact dès la période péri-</w:t>
      </w:r>
      <w:proofErr w:type="spellStart"/>
      <w:r w:rsidRPr="003865E5">
        <w:t>conceptionnelle</w:t>
      </w:r>
      <w:proofErr w:type="spellEnd"/>
      <w:r w:rsidRPr="003865E5">
        <w:t xml:space="preserve"> et pendant la grossesse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besoins habituellement couverts par une alimentation équilibrée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attention particulière pour l’acide folique, le fer, le calcium et la vitamine D, l’iode.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b/>
          <w:bCs/>
          <w:i/>
          <w:iCs/>
        </w:rPr>
        <w:t xml:space="preserve">Conséquences d’apports </w:t>
      </w:r>
      <w:r w:rsidRPr="003865E5">
        <w:rPr>
          <w:b/>
          <w:bCs/>
          <w:i/>
          <w:iCs/>
        </w:rPr>
        <w:t>ou d’une prise de poids inadaptée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Apport énergétique &lt; 1500 Kcal/j et/ou prise de poids insuffisante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production de corps cétoniques (délétères pour le développement cérébral du </w:t>
      </w:r>
      <w:proofErr w:type="spellStart"/>
      <w:r w:rsidRPr="003865E5">
        <w:t>foetus</w:t>
      </w:r>
      <w:proofErr w:type="spellEnd"/>
      <w:r w:rsidRPr="003865E5">
        <w:t>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risque de RCIU et de faible poids de naissance (facteur de risqu</w:t>
      </w:r>
      <w:r w:rsidRPr="003865E5">
        <w:t>e d’obésité à l’âge adulte)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Obésité, prise de poids excessive, diabète gestationnel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risque accru de macrosomie (poids &gt; 4 kg) et de complications périnatales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Diabète gestationnel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risque accru de diabète ultérieur chez la mère et son enfant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b/>
          <w:bCs/>
          <w:i/>
          <w:iCs/>
        </w:rPr>
        <w:t>Prise d</w:t>
      </w:r>
      <w:r w:rsidRPr="003865E5">
        <w:rPr>
          <w:b/>
          <w:bCs/>
          <w:i/>
          <w:iCs/>
        </w:rPr>
        <w:t>e poids optimale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lastRenderedPageBreak/>
        <w:t>Femmes de corpulence normale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- 9 à 15 kg (1 kg/ mois les 2 premiers trimestres, 500 g/</w:t>
      </w:r>
      <w:proofErr w:type="spellStart"/>
      <w:r w:rsidRPr="003865E5">
        <w:t>sem</w:t>
      </w:r>
      <w:proofErr w:type="spellEnd"/>
      <w:r w:rsidRPr="003865E5">
        <w:t xml:space="preserve"> le 3ème)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une prise &gt; 15 kg augmente le risque de complications lors de l’accouchement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Femmes obèses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- 6 à 8 kg (risque accru de macrosomie et </w:t>
      </w:r>
      <w:r w:rsidRPr="003865E5">
        <w:t>de diabète gestationnel)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Femmes maigres ou grossesse gémellaire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supérieure à 12 kg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b/>
          <w:bCs/>
        </w:rPr>
        <w:t>Conseils nutritionnels spécifiques chez la femme enceinte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b/>
          <w:bCs/>
          <w:i/>
          <w:iCs/>
        </w:rPr>
        <w:t>Surveiller le poids et favoriser une prise de poids optimale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Le plus souvent pas d’augmentation des apports énergétiques au cours du premier trimestre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Augmentation de 100 à 200 Kcal/j au cours du 3ème trimestre en fonction de la prise de poids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Dépister les prises de poids insuffisantes et les anomalies du co</w:t>
      </w:r>
      <w:r w:rsidRPr="003865E5">
        <w:t>mportement alimentaire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- 3 repas par jour, arrêt des restrictions, correction des déséquilibres alimentaires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Minimum 1600 Kcal/j par jour et 1 g/kg/j protéines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Si maigreur, vomissements, prise de poids insuffisante : fractionnement des repas et</w:t>
      </w:r>
    </w:p>
    <w:p w:rsidR="00000000" w:rsidRPr="003865E5" w:rsidRDefault="003865E5" w:rsidP="003865E5">
      <w:pPr>
        <w:numPr>
          <w:ilvl w:val="0"/>
          <w:numId w:val="1"/>
        </w:numPr>
      </w:pPr>
      <w:proofErr w:type="spellStart"/>
      <w:r w:rsidRPr="003865E5">
        <w:t>sup</w:t>
      </w:r>
      <w:r w:rsidRPr="003865E5">
        <w:t>plémentations</w:t>
      </w:r>
      <w:proofErr w:type="spellEnd"/>
      <w:r w:rsidRPr="003865E5">
        <w:t xml:space="preserve"> 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Dépister les prises de poids excessives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Structurer les repas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Limiter les apports sans descendre en dessous de 1600 Kcal/jour 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b/>
          <w:bCs/>
          <w:i/>
          <w:iCs/>
        </w:rPr>
        <w:t>Prévenir les déficiences en minéraux et vitamines (acide folique, fer, calcium et vitamine D, iode)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Idéalement dès le projet de grossesse (alimentation équilibrée)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Situations à risque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facteurs individuels (maigreurs et troubles du comportement alimentaire, régime végétariens,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adolescentes, grossesses rapprochées ou gémellaires)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facteurs sociaux (</w:t>
      </w:r>
      <w:r w:rsidRPr="003865E5">
        <w:t>personnes défavorisées)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Prévenir les carences en acide folique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</w:t>
      </w:r>
      <w:proofErr w:type="spellStart"/>
      <w:r w:rsidRPr="003865E5">
        <w:t>spina</w:t>
      </w:r>
      <w:proofErr w:type="spellEnd"/>
      <w:r w:rsidRPr="003865E5">
        <w:t xml:space="preserve"> </w:t>
      </w:r>
      <w:proofErr w:type="spellStart"/>
      <w:r w:rsidRPr="003865E5">
        <w:t>bifida</w:t>
      </w:r>
      <w:proofErr w:type="spellEnd"/>
      <w:r w:rsidRPr="003865E5">
        <w:t xml:space="preserve"> (la fermeture du tube neural survient au cours des 3 premières semaines de gestation)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prématurité et RCIU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ANC: 400 </w:t>
      </w:r>
      <w:proofErr w:type="spellStart"/>
      <w:r w:rsidRPr="003865E5">
        <w:t>ug</w:t>
      </w:r>
      <w:proofErr w:type="spellEnd"/>
      <w:r w:rsidRPr="003865E5">
        <w:t>/j avant et pendant la grossesse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aliments riches e</w:t>
      </w:r>
      <w:r w:rsidRPr="003865E5">
        <w:t>n acide folique : levure, foie ; pâté de foie ; salade verte, châtaigne, noix, amandes ;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légumes verts, maïs, petits pois, pois chiche, melon, fromages fermentés, de façon moindre agrumes,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bananes, kiwis, céréales complètes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</w:t>
      </w:r>
      <w:proofErr w:type="spellStart"/>
      <w:r w:rsidRPr="003865E5">
        <w:t>supplémentation</w:t>
      </w:r>
      <w:proofErr w:type="spellEnd"/>
      <w:r w:rsidRPr="003865E5">
        <w:t xml:space="preserve"> </w:t>
      </w:r>
      <w:r w:rsidRPr="003865E5">
        <w:t xml:space="preserve">systématique en période </w:t>
      </w:r>
      <w:proofErr w:type="spellStart"/>
      <w:r w:rsidRPr="003865E5">
        <w:t>périconceptionnelle</w:t>
      </w:r>
      <w:proofErr w:type="spellEnd"/>
      <w:r w:rsidRPr="003865E5">
        <w:t xml:space="preserve"> et au cours de la grossesse (400 </w:t>
      </w:r>
      <w:proofErr w:type="spellStart"/>
      <w:r w:rsidRPr="003865E5">
        <w:t>ug</w:t>
      </w:r>
      <w:proofErr w:type="spellEnd"/>
      <w:r w:rsidRPr="003865E5">
        <w:t>/j ; 5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mg si antécédents de </w:t>
      </w:r>
      <w:proofErr w:type="spellStart"/>
      <w:r w:rsidRPr="003865E5">
        <w:t>spina</w:t>
      </w:r>
      <w:proofErr w:type="spellEnd"/>
      <w:r w:rsidRPr="003865E5">
        <w:t xml:space="preserve"> </w:t>
      </w:r>
      <w:proofErr w:type="spellStart"/>
      <w:r w:rsidRPr="003865E5">
        <w:t>bifida</w:t>
      </w:r>
      <w:proofErr w:type="spellEnd"/>
      <w:r w:rsidRPr="003865E5">
        <w:t>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Prévenir et traiter les carences martiales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asthénie et anémie chez la mère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prématurité et </w:t>
      </w:r>
      <w:proofErr w:type="spellStart"/>
      <w:r w:rsidRPr="003865E5">
        <w:t>hypothrophie</w:t>
      </w:r>
      <w:proofErr w:type="spellEnd"/>
      <w:r w:rsidRPr="003865E5">
        <w:t xml:space="preserve"> </w:t>
      </w:r>
      <w:proofErr w:type="spellStart"/>
      <w:r w:rsidRPr="003865E5">
        <w:t>foetale</w:t>
      </w:r>
      <w:proofErr w:type="spellEnd"/>
      <w:r w:rsidRPr="003865E5">
        <w:t xml:space="preserve"> 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en France, 1</w:t>
      </w:r>
      <w:r w:rsidRPr="003865E5">
        <w:t>/4 des femmes enceintes (4.5% avec anémies)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ANC : 25-30 mg/j du 4ème au 9ème mois de grossesse.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Identification des patientes à risque : grossesses rapprochées, faible consommation de viande,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antécédent de carence martiale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dépistage de la carence </w:t>
      </w:r>
      <w:r w:rsidRPr="003865E5">
        <w:t>(en tenant compte de l’hémodilution liée à la grossesse)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</w:t>
      </w:r>
      <w:proofErr w:type="spellStart"/>
      <w:r w:rsidRPr="003865E5">
        <w:t>supplémentation</w:t>
      </w:r>
      <w:proofErr w:type="spellEnd"/>
      <w:r w:rsidRPr="003865E5">
        <w:t xml:space="preserve"> si nécessaire (50mg de fer métal/j).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Prévenir la carence en calcium et en vitamine D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perte osseuse chez la mère et défaut d’accrétion chez le </w:t>
      </w:r>
      <w:proofErr w:type="spellStart"/>
      <w:r w:rsidRPr="003865E5">
        <w:t>foetus</w:t>
      </w:r>
      <w:proofErr w:type="spellEnd"/>
      <w:r w:rsidRPr="003865E5">
        <w:t xml:space="preserve"> 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carence en vitamine D q</w:t>
      </w:r>
      <w:r w:rsidRPr="003865E5">
        <w:t>uasi constante en fin de grossesse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pendant les 1ères semaines de vie, le nouveau-né ne peut synthétiser la vitamine D (augmentation du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risque d’hypocalcémie pendant les premiers jours de vie)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ANC Ca : &gt; 1000 mg/j pendant la grossesse et </w:t>
      </w:r>
      <w:r w:rsidRPr="003865E5">
        <w:t>l’allaitement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ANC Vitamine D : 10 </w:t>
      </w:r>
      <w:proofErr w:type="spellStart"/>
      <w:r w:rsidRPr="003865E5">
        <w:t>ug</w:t>
      </w:r>
      <w:proofErr w:type="spellEnd"/>
      <w:r w:rsidRPr="003865E5">
        <w:t xml:space="preserve"> (400 UI)/j dès le début de la </w:t>
      </w:r>
      <w:proofErr w:type="spellStart"/>
      <w:r w:rsidRPr="003865E5">
        <w:t>grossess</w:t>
      </w:r>
      <w:proofErr w:type="spellEnd"/>
      <w:r w:rsidRPr="003865E5">
        <w:t xml:space="preserve"> 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encourager la consommation de produits laitiers 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</w:t>
      </w:r>
      <w:proofErr w:type="spellStart"/>
      <w:r w:rsidRPr="003865E5">
        <w:t>supplémentation</w:t>
      </w:r>
      <w:proofErr w:type="spellEnd"/>
      <w:r w:rsidRPr="003865E5">
        <w:t xml:space="preserve"> systématique en vitamine D, notamment pendant les mois d’hiver (100 000 à 200 000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unités à la fin du 2èm</w:t>
      </w:r>
      <w:r w:rsidRPr="003865E5">
        <w:t>e trimestre per os en une fois)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Prévenir la carence en iode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avortements, prématurité, mortalité </w:t>
      </w:r>
      <w:proofErr w:type="spellStart"/>
      <w:r w:rsidRPr="003865E5">
        <w:t>péri-natale</w:t>
      </w:r>
      <w:proofErr w:type="spellEnd"/>
      <w:r w:rsidRPr="003865E5">
        <w:t>, hypothyroïdie, déficiences mentales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</w:t>
      </w:r>
      <w:proofErr w:type="spellStart"/>
      <w:r w:rsidRPr="003865E5">
        <w:t>supplémentation</w:t>
      </w:r>
      <w:proofErr w:type="spellEnd"/>
      <w:r w:rsidRPr="003865E5">
        <w:t xml:space="preserve"> en iode dans les zones de carence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Eviter un apport excessif en vitamine A (tératogène a</w:t>
      </w:r>
      <w:r w:rsidRPr="003865E5">
        <w:rPr>
          <w:i/>
          <w:iCs/>
        </w:rPr>
        <w:t>u-delà de 3000 UI/j)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déconseiller la consommation de foie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</w:t>
      </w:r>
      <w:proofErr w:type="spellStart"/>
      <w:r w:rsidRPr="003865E5">
        <w:t>supplémentation</w:t>
      </w:r>
      <w:proofErr w:type="spellEnd"/>
      <w:r w:rsidRPr="003865E5">
        <w:t xml:space="preserve"> contre-indiquée pendant la grossesse (attention aux poly-vitamines)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b/>
          <w:bCs/>
          <w:i/>
          <w:iCs/>
        </w:rPr>
        <w:t>Aider les femmes à interrompre les prises de toxiques (tabac, alcool, cannabis …) avant la grossesse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Le tabac altère le développement placentaire (RCIU, prématurité, mort subite)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L’alcool est toxique pour le cerveau du </w:t>
      </w:r>
      <w:proofErr w:type="spellStart"/>
      <w:r w:rsidRPr="003865E5">
        <w:t>foetus</w:t>
      </w:r>
      <w:proofErr w:type="spellEnd"/>
      <w:r w:rsidRPr="003865E5">
        <w:t xml:space="preserve"> (pas de seuil de risque).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b/>
          <w:bCs/>
          <w:i/>
          <w:iCs/>
        </w:rPr>
        <w:t>Limiter les risques sanitaires liés à la consommation de certains aliments (listériose, toxoplasmos</w:t>
      </w:r>
      <w:r w:rsidRPr="003865E5">
        <w:rPr>
          <w:b/>
          <w:bCs/>
          <w:i/>
          <w:iCs/>
        </w:rPr>
        <w:t>e)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Information orale, étayée par l’information écrite disponible dans le carnet de grossesse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l 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Listériose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éviter les fromages à pâte molle et au lait cru et la charcuterie à la coupe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éviter les viandes, coquillages, poissons crus et fumés.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i/>
          <w:iCs/>
        </w:rPr>
        <w:t>Toxop</w:t>
      </w:r>
      <w:r w:rsidRPr="003865E5">
        <w:rPr>
          <w:i/>
          <w:iCs/>
        </w:rPr>
        <w:t>lasmose (en cas de séronégativité)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consommer la viande cuite ; se laver les mains après avoir manipulé de la viande crue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éplucher et rincer les légumes et fruits consommés crus, ainsi que les herbes aromatiques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éviter le contact avec les chats (ou</w:t>
      </w:r>
      <w:r w:rsidRPr="003865E5">
        <w:t xml:space="preserve"> tout élément ayant pu être contaminé par leurs déjections)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ne jardiner qu’avec des gants et se laver les mains après.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b/>
          <w:bCs/>
          <w:i/>
          <w:iCs/>
        </w:rPr>
        <w:t>Encourager l’activité physique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Encourager l’activité physique d’intensité modérée (quotidien, loisirs)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Eviter les efforts inten</w:t>
      </w:r>
      <w:r w:rsidRPr="003865E5">
        <w:t>ses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rPr>
          <w:b/>
          <w:bCs/>
          <w:i/>
          <w:iCs/>
        </w:rPr>
        <w:t>Promouvoir l’allaitement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mode d’alimentation le plus adapté au développement harmonieux de l’enfant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>- limite le risque d’allergies</w:t>
      </w:r>
    </w:p>
    <w:p w:rsidR="00000000" w:rsidRPr="003865E5" w:rsidRDefault="003865E5" w:rsidP="003865E5">
      <w:pPr>
        <w:numPr>
          <w:ilvl w:val="0"/>
          <w:numId w:val="1"/>
        </w:numPr>
      </w:pPr>
      <w:r w:rsidRPr="003865E5">
        <w:t xml:space="preserve">- facilite la perte du poids acquis pendant la grossesse </w:t>
      </w:r>
    </w:p>
    <w:p w:rsidR="005A7386" w:rsidRDefault="003865E5"/>
    <w:sectPr w:rsidR="005A7386" w:rsidSect="00D92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64D"/>
    <w:multiLevelType w:val="hybridMultilevel"/>
    <w:tmpl w:val="36629E38"/>
    <w:lvl w:ilvl="0" w:tplc="7BAE66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C48A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887F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F809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567E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66D6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A654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B809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962C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865E5"/>
    <w:rsid w:val="00353E07"/>
    <w:rsid w:val="003865E5"/>
    <w:rsid w:val="00D9248E"/>
    <w:rsid w:val="00E5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48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110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54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98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90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26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432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76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14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8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4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76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59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582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99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65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05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42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06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601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609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81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238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815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08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73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54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3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17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02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85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92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58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21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395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66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47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00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047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79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538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18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2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428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74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517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959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07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04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745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34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24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294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67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46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59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09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4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90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66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933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0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99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75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86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74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49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47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12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68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292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76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5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78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44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31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15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36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38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296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67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816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27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256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63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95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89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84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986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0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59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22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86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2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65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68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1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93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78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70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29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536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443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10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108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540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15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nr</cp:lastModifiedBy>
  <cp:revision>1</cp:revision>
  <dcterms:created xsi:type="dcterms:W3CDTF">2020-09-08T00:33:00Z</dcterms:created>
  <dcterms:modified xsi:type="dcterms:W3CDTF">2020-09-08T00:34:00Z</dcterms:modified>
</cp:coreProperties>
</file>