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7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1454239</wp:posOffset>
                </wp:positionH>
                <wp:positionV relativeFrom="line">
                  <wp:posOffset>268059</wp:posOffset>
                </wp:positionV>
                <wp:extent cx="3826550" cy="944563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550" cy="94456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default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ance n</w:t>
                            </w:r>
                            <w:r>
                              <w:rPr>
                                <w:rFonts w:ascii="Times New Roman" w:hAnsi="Times New Roman" w:hint="default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 xml:space="preserve">9 :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  <w:rtl w:val="0"/>
                                <w:lang w:val="fr-FR"/>
                              </w:rPr>
                              <w:t>le groupe nominal et ses expansions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i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: la relative, l</w:t>
                            </w:r>
                            <w:r>
                              <w:rPr>
                                <w:rFonts w:ascii="Times New Roman" w:hAnsi="Times New Roman" w:hint="default"/>
                                <w:i w:val="1"/>
                                <w:i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i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pith</w:t>
                            </w:r>
                            <w:r>
                              <w:rPr>
                                <w:rFonts w:ascii="Times New Roman" w:hAnsi="Times New Roman" w:hint="default"/>
                                <w:i w:val="1"/>
                                <w:i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i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te, le compl</w:t>
                            </w:r>
                            <w:r>
                              <w:rPr>
                                <w:rFonts w:ascii="Times New Roman" w:hAnsi="Times New Roman" w:hint="default"/>
                                <w:i w:val="1"/>
                                <w:i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i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ment du nom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4.5pt;margin-top:21.1pt;width:301.3pt;height:74.4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center"/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  <w:rtl w:val="0"/>
                          <w:lang w:val="fr-FR"/>
                        </w:rPr>
                        <w:t>S</w:t>
                      </w:r>
                      <w:r>
                        <w:rPr>
                          <w:rFonts w:ascii="Times New Roman" w:hAnsi="Times New Roman" w:hint="default"/>
                          <w:sz w:val="36"/>
                          <w:szCs w:val="3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  <w:rtl w:val="0"/>
                          <w:lang w:val="fr-FR"/>
                        </w:rPr>
                        <w:t>ance n</w:t>
                      </w:r>
                      <w:r>
                        <w:rPr>
                          <w:rFonts w:ascii="Times New Roman" w:hAnsi="Times New Roman" w:hint="default"/>
                          <w:sz w:val="36"/>
                          <w:szCs w:val="36"/>
                          <w:rtl w:val="0"/>
                          <w:lang w:val="fr-FR"/>
                        </w:rPr>
                        <w:t>°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  <w:rtl w:val="0"/>
                          <w:lang w:val="fr-FR"/>
                        </w:rPr>
                        <w:t xml:space="preserve">9 :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6"/>
                          <w:szCs w:val="36"/>
                          <w:u w:val="single"/>
                          <w:rtl w:val="0"/>
                          <w:lang w:val="fr-FR"/>
                        </w:rPr>
                        <w:t>le groupe nominal et ses expansions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iCs w:val="1"/>
                          <w:sz w:val="36"/>
                          <w:szCs w:val="36"/>
                          <w:rtl w:val="0"/>
                          <w:lang w:val="fr-FR"/>
                        </w:rPr>
                        <w:t>: la relative, l</w:t>
                      </w:r>
                      <w:r>
                        <w:rPr>
                          <w:rFonts w:ascii="Times New Roman" w:hAnsi="Times New Roman" w:hint="default"/>
                          <w:i w:val="1"/>
                          <w:iCs w:val="1"/>
                          <w:sz w:val="36"/>
                          <w:szCs w:val="36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Fonts w:ascii="Times New Roman" w:hAnsi="Times New Roman"/>
                          <w:i w:val="1"/>
                          <w:iCs w:val="1"/>
                          <w:sz w:val="36"/>
                          <w:szCs w:val="36"/>
                          <w:rtl w:val="0"/>
                          <w:lang w:val="fr-FR"/>
                        </w:rPr>
                        <w:t>pith</w:t>
                      </w:r>
                      <w:r>
                        <w:rPr>
                          <w:rFonts w:ascii="Times New Roman" w:hAnsi="Times New Roman" w:hint="default"/>
                          <w:i w:val="1"/>
                          <w:iCs w:val="1"/>
                          <w:sz w:val="36"/>
                          <w:szCs w:val="36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i w:val="1"/>
                          <w:iCs w:val="1"/>
                          <w:sz w:val="36"/>
                          <w:szCs w:val="36"/>
                          <w:rtl w:val="0"/>
                          <w:lang w:val="fr-FR"/>
                        </w:rPr>
                        <w:t>te, le compl</w:t>
                      </w:r>
                      <w:r>
                        <w:rPr>
                          <w:rFonts w:ascii="Times New Roman" w:hAnsi="Times New Roman" w:hint="default"/>
                          <w:i w:val="1"/>
                          <w:iCs w:val="1"/>
                          <w:sz w:val="36"/>
                          <w:szCs w:val="3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i w:val="1"/>
                          <w:iCs w:val="1"/>
                          <w:sz w:val="36"/>
                          <w:szCs w:val="36"/>
                          <w:rtl w:val="0"/>
                          <w:lang w:val="fr-FR"/>
                        </w:rPr>
                        <w:t>ment du nom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single"/>
        </w:rPr>
      </w:pPr>
      <w:r>
        <w:rPr>
          <w:rFonts w:ascii="Times New Roman" w:hAnsi="Times New Roman"/>
          <w:b w:val="1"/>
          <w:bCs w:val="1"/>
          <w:sz w:val="26"/>
          <w:szCs w:val="26"/>
          <w:u w:val="single"/>
          <w:rtl w:val="0"/>
          <w:lang w:val="fr-FR"/>
        </w:rPr>
        <w:t>Objectifs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single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 xml:space="preserve">Identifier 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 xml:space="preserve">et distinguer 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les expansions du nom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 xml:space="preserve"> ainsi que leurs caract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ristiques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couvrir les compl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ments du nom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 xml:space="preserve">S'initier 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la proposition subordonn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e relative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conna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tre leur nature et leur fonction grammaticale</w:t>
      </w:r>
    </w:p>
    <w:p>
      <w:pPr>
        <w:pStyle w:val="Corps"/>
        <w:jc w:val="center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couvrir les expansions du nom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avoir lu les deux textes, quelles remarques pouvez-vous faire ? Quel texte est le plus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cis ? Pourquoi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2. Soulignez dans le texte 1 tous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ments qui 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supprim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dans le texte 2. Le texte 2 est-il grammaticalement correct ? Est-il aussi 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ressant pour le lecteur que le texte 1 ? Justifiez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3. Comparez les deux textes : quel est 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de tous ces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ments supprim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? A quoi servent-ils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4. Entourez les noms principaux (noms-noyaux) qui sont caract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chacun des mots / groupes de mots que vous avez soulign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s.</w: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313779</wp:posOffset>
                </wp:positionV>
                <wp:extent cx="1063874" cy="311746"/>
                <wp:effectExtent l="0" t="0" r="0" b="0"/>
                <wp:wrapThrough wrapText="bothSides" distL="152400" distR="152400">
                  <wp:wrapPolygon edited="1">
                    <wp:start x="5098" y="0"/>
                    <wp:lineTo x="5098" y="14256"/>
                    <wp:lineTo x="5098" y="21600"/>
                    <wp:lineTo x="21600" y="10800"/>
                    <wp:lineTo x="5098" y="0"/>
                    <wp:lineTo x="5098" y="7344"/>
                    <wp:lineTo x="0" y="7344"/>
                    <wp:lineTo x="0" y="14256"/>
                    <wp:lineTo x="5098" y="14256"/>
                    <wp:lineTo x="5098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874" cy="311746"/>
                        </a:xfrm>
                        <a:prstGeom prst="rightArrow">
                          <a:avLst>
                            <a:gd name="adj1" fmla="val 32000"/>
                            <a:gd name="adj2" fmla="val 260726"/>
                          </a:avLst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13" style="visibility:visible;position:absolute;margin-left:0.0pt;margin-top:0.0pt;width:83.8pt;height:24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5098,7344">
                <v:fill color="#00A2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GLE 1 :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On appelle ces mots / groupes de mots supprimables, qui permettent, de caract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riser le sens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un nom, des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expansions du nom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tableau, Classez-les mots soulign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selon la classe grammaticale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laquelle ils appartiennent : adjectif qualificatif, groupe nominal avec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position (groupe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positionnel),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relative.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722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NOMS NOYAUX (que vous avez entour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dans la question 4.)</w:t>
            </w:r>
          </w:p>
        </w:tc>
        <w:tc>
          <w:tcPr>
            <w:tcW w:type="dxa" w:w="722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NATURE DES EXPANSIONS</w:t>
            </w:r>
          </w:p>
        </w:tc>
      </w:tr>
      <w:tr>
        <w:tblPrEx>
          <w:shd w:val="clear" w:color="auto" w:fill="bdc0bf"/>
        </w:tblPrEx>
        <w:trPr>
          <w:trHeight w:val="442" w:hRule="atLeast"/>
          <w:tblHeader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Adjectifs qualificatifs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Groupes nominaux avec pr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position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Propositions subordonn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es relatives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Nombres">
    <w:name w:val="Nombres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