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3694" w:rsidRPr="002B3D77" w:rsidRDefault="00BB73AF" w:rsidP="00BB73AF">
      <w:pPr>
        <w:jc w:val="center"/>
        <w:rPr>
          <w:b/>
          <w:bCs/>
          <w:color w:val="FF0000"/>
          <w:sz w:val="40"/>
          <w:szCs w:val="40"/>
          <w:u w:val="single"/>
          <w:lang w:val="fr-FR"/>
        </w:rPr>
      </w:pPr>
      <w:r w:rsidRPr="002B3D77">
        <w:rPr>
          <w:b/>
          <w:bCs/>
          <w:color w:val="FF0000"/>
          <w:sz w:val="40"/>
          <w:szCs w:val="40"/>
          <w:u w:val="single"/>
          <w:lang w:val="fr-FR"/>
        </w:rPr>
        <w:t xml:space="preserve">Les territoires ultramarins </w:t>
      </w:r>
    </w:p>
    <w:p w:rsidR="00BB73AF" w:rsidRPr="002B3D77" w:rsidRDefault="00BB73AF" w:rsidP="00BB73AF">
      <w:pPr>
        <w:rPr>
          <w:b/>
          <w:bCs/>
          <w:color w:val="FF0000"/>
          <w:sz w:val="40"/>
          <w:szCs w:val="40"/>
          <w:u w:val="single"/>
          <w:lang w:val="fr-FR"/>
        </w:rPr>
      </w:pPr>
    </w:p>
    <w:p w:rsidR="00BB73AF" w:rsidRPr="002B3D77" w:rsidRDefault="00BB73AF" w:rsidP="00BB73AF">
      <w:pPr>
        <w:rPr>
          <w:color w:val="00B050"/>
          <w:sz w:val="36"/>
          <w:szCs w:val="36"/>
          <w:u w:val="single"/>
          <w:lang w:val="fr-FR"/>
        </w:rPr>
      </w:pPr>
      <w:r w:rsidRPr="002B3D77">
        <w:rPr>
          <w:color w:val="00B050"/>
          <w:sz w:val="36"/>
          <w:szCs w:val="36"/>
          <w:u w:val="single"/>
          <w:lang w:val="fr-FR"/>
        </w:rPr>
        <w:t xml:space="preserve">Exercice 1 page 328 : </w:t>
      </w:r>
    </w:p>
    <w:p w:rsidR="00BB73AF" w:rsidRDefault="005111CC" w:rsidP="005111CC">
      <w:pPr>
        <w:pStyle w:val="Paragraphedeliste"/>
        <w:numPr>
          <w:ilvl w:val="0"/>
          <w:numId w:val="2"/>
        </w:numPr>
        <w:rPr>
          <w:sz w:val="28"/>
          <w:szCs w:val="28"/>
          <w:lang w:val="fr-FR"/>
        </w:rPr>
      </w:pPr>
      <w:r w:rsidRPr="00AF0069">
        <w:rPr>
          <w:sz w:val="28"/>
          <w:szCs w:val="28"/>
          <w:lang w:val="fr-FR"/>
        </w:rPr>
        <w:t xml:space="preserve">Ce document est une carte mentale qui a pour titre « le contrat de plan Etat-Région 2015-2020en Guadeloupe ». </w:t>
      </w:r>
      <w:r w:rsidR="00560A31" w:rsidRPr="00AF0069">
        <w:rPr>
          <w:sz w:val="28"/>
          <w:szCs w:val="28"/>
          <w:lang w:val="fr-FR"/>
        </w:rPr>
        <w:t>Cette</w:t>
      </w:r>
      <w:r w:rsidRPr="00AF0069">
        <w:rPr>
          <w:sz w:val="28"/>
          <w:szCs w:val="28"/>
          <w:lang w:val="fr-FR"/>
        </w:rPr>
        <w:t xml:space="preserve"> carte mentale</w:t>
      </w:r>
      <w:r w:rsidR="00560A31" w:rsidRPr="00AF0069">
        <w:rPr>
          <w:sz w:val="28"/>
          <w:szCs w:val="28"/>
          <w:lang w:val="fr-FR"/>
        </w:rPr>
        <w:t xml:space="preserve"> est prise de chez Olivier </w:t>
      </w:r>
      <w:proofErr w:type="spellStart"/>
      <w:r w:rsidR="00560A31" w:rsidRPr="00AF0069">
        <w:rPr>
          <w:sz w:val="28"/>
          <w:szCs w:val="28"/>
          <w:lang w:val="fr-FR"/>
        </w:rPr>
        <w:t>Feyt</w:t>
      </w:r>
      <w:proofErr w:type="spellEnd"/>
      <w:r w:rsidRPr="00AF0069">
        <w:rPr>
          <w:sz w:val="28"/>
          <w:szCs w:val="28"/>
          <w:lang w:val="fr-FR"/>
        </w:rPr>
        <w:t>, le 6 août 2015.</w:t>
      </w:r>
    </w:p>
    <w:p w:rsidR="00AF0069" w:rsidRPr="00AF0069" w:rsidRDefault="00AF0069" w:rsidP="00AF0069">
      <w:pPr>
        <w:pStyle w:val="Paragraphedeliste"/>
        <w:rPr>
          <w:sz w:val="28"/>
          <w:szCs w:val="28"/>
          <w:lang w:val="fr-FR"/>
        </w:rPr>
      </w:pPr>
    </w:p>
    <w:p w:rsidR="005111CC" w:rsidRDefault="009F513C" w:rsidP="005111CC">
      <w:pPr>
        <w:pStyle w:val="Paragraphedeliste"/>
        <w:numPr>
          <w:ilvl w:val="0"/>
          <w:numId w:val="2"/>
        </w:numPr>
        <w:rPr>
          <w:sz w:val="28"/>
          <w:szCs w:val="28"/>
          <w:lang w:val="fr-FR"/>
        </w:rPr>
      </w:pPr>
      <w:r w:rsidRPr="00AF0069">
        <w:rPr>
          <w:sz w:val="28"/>
          <w:szCs w:val="28"/>
          <w:lang w:val="fr-FR"/>
        </w:rPr>
        <w:t>Les acteurs impliqués dans le contrat de plan de la Guadeloupe sont : les Régions (317 millions), l’Etat (190 millions) et le Département (83 millions).</w:t>
      </w:r>
    </w:p>
    <w:p w:rsidR="00AF0069" w:rsidRPr="00AF0069" w:rsidRDefault="00AF0069" w:rsidP="00AF0069">
      <w:pPr>
        <w:pStyle w:val="Paragraphedeliste"/>
        <w:rPr>
          <w:sz w:val="28"/>
          <w:szCs w:val="28"/>
          <w:lang w:val="fr-FR"/>
        </w:rPr>
      </w:pPr>
    </w:p>
    <w:p w:rsidR="00AF0069" w:rsidRPr="00AF0069" w:rsidRDefault="00AF0069" w:rsidP="00AF0069">
      <w:pPr>
        <w:pStyle w:val="Paragraphedeliste"/>
        <w:rPr>
          <w:sz w:val="28"/>
          <w:szCs w:val="28"/>
          <w:lang w:val="fr-FR"/>
        </w:rPr>
      </w:pPr>
    </w:p>
    <w:p w:rsidR="009F513C" w:rsidRDefault="009F513C" w:rsidP="005330D4">
      <w:pPr>
        <w:pStyle w:val="Paragraphedeliste"/>
        <w:numPr>
          <w:ilvl w:val="0"/>
          <w:numId w:val="2"/>
        </w:numPr>
        <w:rPr>
          <w:sz w:val="28"/>
          <w:szCs w:val="28"/>
          <w:lang w:val="fr-FR"/>
        </w:rPr>
      </w:pPr>
      <w:r w:rsidRPr="00AF0069">
        <w:rPr>
          <w:sz w:val="28"/>
          <w:szCs w:val="28"/>
          <w:lang w:val="fr-FR"/>
        </w:rPr>
        <w:t xml:space="preserve">Ce sont les aménagements des infrastructures et services collectifs (381millions d’euros) ainsi que l’aménagement urbain durable (102 millions d’euros) qui représentent les plus gros investissements car ce sont ceux qui ont coûté le plus cher. </w:t>
      </w:r>
    </w:p>
    <w:p w:rsidR="00AF0069" w:rsidRPr="00AF0069" w:rsidRDefault="00AF0069" w:rsidP="00AF0069">
      <w:pPr>
        <w:pStyle w:val="Paragraphedeliste"/>
        <w:rPr>
          <w:sz w:val="28"/>
          <w:szCs w:val="28"/>
          <w:lang w:val="fr-FR"/>
        </w:rPr>
      </w:pPr>
    </w:p>
    <w:p w:rsidR="00412BDF" w:rsidRDefault="00560A31" w:rsidP="00412BDF">
      <w:pPr>
        <w:pStyle w:val="Paragraphedeliste"/>
        <w:numPr>
          <w:ilvl w:val="0"/>
          <w:numId w:val="2"/>
        </w:numPr>
        <w:rPr>
          <w:sz w:val="28"/>
          <w:szCs w:val="28"/>
          <w:lang w:val="fr-FR"/>
        </w:rPr>
      </w:pPr>
      <w:r w:rsidRPr="00AF0069">
        <w:rPr>
          <w:sz w:val="28"/>
          <w:szCs w:val="28"/>
          <w:lang w:val="fr-FR"/>
        </w:rPr>
        <w:t xml:space="preserve">L’aménagement urbain durable ainsi que le projet de Grand Port maritime montrent que les projets d’aménagements prennent en compte les particularités du territoire ultramarin. </w:t>
      </w:r>
    </w:p>
    <w:p w:rsidR="00AF0069" w:rsidRPr="00AF0069" w:rsidRDefault="00AF0069" w:rsidP="00AF0069">
      <w:pPr>
        <w:pStyle w:val="Paragraphedeliste"/>
        <w:rPr>
          <w:sz w:val="28"/>
          <w:szCs w:val="28"/>
          <w:lang w:val="fr-FR"/>
        </w:rPr>
      </w:pPr>
    </w:p>
    <w:p w:rsidR="00AF0069" w:rsidRPr="00AF0069" w:rsidRDefault="00AF0069" w:rsidP="00AF0069">
      <w:pPr>
        <w:pStyle w:val="Paragraphedeliste"/>
        <w:rPr>
          <w:sz w:val="28"/>
          <w:szCs w:val="28"/>
          <w:lang w:val="fr-FR"/>
        </w:rPr>
      </w:pPr>
    </w:p>
    <w:p w:rsidR="00412BDF" w:rsidRPr="00AF0069" w:rsidRDefault="00412BDF" w:rsidP="00412BDF">
      <w:pPr>
        <w:pStyle w:val="Paragraphedeliste"/>
        <w:numPr>
          <w:ilvl w:val="0"/>
          <w:numId w:val="2"/>
        </w:numPr>
        <w:rPr>
          <w:sz w:val="28"/>
          <w:szCs w:val="28"/>
          <w:lang w:val="fr-FR"/>
        </w:rPr>
      </w:pPr>
      <w:r w:rsidRPr="00AF0069">
        <w:rPr>
          <w:sz w:val="28"/>
          <w:szCs w:val="28"/>
          <w:lang w:val="fr-FR"/>
        </w:rPr>
        <w:t xml:space="preserve">Les acteurs publics (Etat + collectivité+ l’UE) ont lancé de grands aménagements (route du littoral à la Réunion, agrandissement du port de Jarry en Guadeloupe, pont sur l’Oyapock en Guyane…) afin de réduire les inégalités territoriales. En Guadeloupe, 590 millions d’euros ont été investi </w:t>
      </w:r>
      <w:r w:rsidR="00AE02CE" w:rsidRPr="00AF0069">
        <w:rPr>
          <w:sz w:val="28"/>
          <w:szCs w:val="28"/>
          <w:lang w:val="fr-FR"/>
        </w:rPr>
        <w:t xml:space="preserve">pour financer le projet de développement du territoire. La Guadeloupe est une DROM éloignée de la métropole. </w:t>
      </w:r>
      <w:r w:rsidR="00B218B3" w:rsidRPr="00AF0069">
        <w:rPr>
          <w:sz w:val="28"/>
          <w:szCs w:val="28"/>
          <w:lang w:val="fr-FR"/>
        </w:rPr>
        <w:t xml:space="preserve">Les acteurs (Etat, région et le département) ont donc investi 590 millions pour rattraper l’hexagone (la France). </w:t>
      </w:r>
    </w:p>
    <w:p w:rsidR="00AF0069" w:rsidRDefault="00AF0069" w:rsidP="00B218B3">
      <w:pPr>
        <w:rPr>
          <w:color w:val="00B050"/>
          <w:sz w:val="36"/>
          <w:szCs w:val="36"/>
          <w:u w:val="single"/>
          <w:lang w:val="fr-FR"/>
        </w:rPr>
      </w:pPr>
    </w:p>
    <w:p w:rsidR="00AF0069" w:rsidRDefault="00AF0069" w:rsidP="00B218B3">
      <w:pPr>
        <w:rPr>
          <w:color w:val="00B050"/>
          <w:sz w:val="36"/>
          <w:szCs w:val="36"/>
          <w:u w:val="single"/>
          <w:lang w:val="fr-FR"/>
        </w:rPr>
      </w:pPr>
    </w:p>
    <w:p w:rsidR="00B218B3" w:rsidRDefault="00B218B3" w:rsidP="00B218B3">
      <w:pPr>
        <w:rPr>
          <w:color w:val="00B050"/>
          <w:sz w:val="36"/>
          <w:szCs w:val="36"/>
          <w:u w:val="single"/>
          <w:lang w:val="fr-FR"/>
        </w:rPr>
      </w:pPr>
      <w:r w:rsidRPr="00B218B3">
        <w:rPr>
          <w:color w:val="00B050"/>
          <w:sz w:val="36"/>
          <w:szCs w:val="36"/>
          <w:u w:val="single"/>
          <w:lang w:val="fr-FR"/>
        </w:rPr>
        <w:lastRenderedPageBreak/>
        <w:t xml:space="preserve">Exercice 2 page 329 : </w:t>
      </w:r>
    </w:p>
    <w:p w:rsidR="00B218B3" w:rsidRDefault="008C474F" w:rsidP="008C474F">
      <w:pPr>
        <w:rPr>
          <w:color w:val="0070C0"/>
          <w:sz w:val="36"/>
          <w:szCs w:val="36"/>
          <w:u w:val="single"/>
          <w:lang w:val="fr-FR"/>
        </w:rPr>
      </w:pPr>
      <w:r>
        <w:rPr>
          <w:color w:val="0070C0"/>
          <w:sz w:val="36"/>
          <w:szCs w:val="36"/>
          <w:u w:val="single"/>
          <w:lang w:val="fr-FR"/>
        </w:rPr>
        <w:t>Développement construit :</w:t>
      </w:r>
    </w:p>
    <w:p w:rsidR="00B55BFE" w:rsidRDefault="008C474F" w:rsidP="00D54FE8">
      <w:pPr>
        <w:ind w:right="-716"/>
        <w:rPr>
          <w:sz w:val="28"/>
          <w:szCs w:val="28"/>
          <w:lang w:val="fr-FR"/>
        </w:rPr>
      </w:pPr>
      <w:r w:rsidRPr="005954EA">
        <w:rPr>
          <w:sz w:val="28"/>
          <w:szCs w:val="28"/>
          <w:lang w:val="fr-FR"/>
        </w:rPr>
        <w:t xml:space="preserve">Un territoire ultramarin est un territoire français situé en dehors du continent européen. Dispersés sur l’ensemble du globe, issus de l’histoire coloniale du pays, les territoires ultramarins français couvrent près de 560 000 km2 et sont peuplés de près de 3 millions d’habitants. </w:t>
      </w:r>
      <w:r w:rsidR="00B55BFE" w:rsidRPr="005954EA">
        <w:rPr>
          <w:sz w:val="28"/>
          <w:szCs w:val="28"/>
          <w:lang w:val="fr-FR"/>
        </w:rPr>
        <w:t xml:space="preserve">Les territoires ultramarins sont aménagés afin de réduire les inégalités. </w:t>
      </w:r>
      <w:r w:rsidRPr="005954EA">
        <w:rPr>
          <w:sz w:val="28"/>
          <w:szCs w:val="28"/>
          <w:lang w:val="fr-FR"/>
        </w:rPr>
        <w:t xml:space="preserve">                                </w:t>
      </w:r>
      <w:r w:rsidR="00B55BFE" w:rsidRPr="005954EA">
        <w:rPr>
          <w:sz w:val="28"/>
          <w:szCs w:val="28"/>
          <w:lang w:val="fr-FR"/>
        </w:rPr>
        <w:t xml:space="preserve">      </w:t>
      </w:r>
      <w:r w:rsidRPr="005954EA">
        <w:rPr>
          <w:sz w:val="28"/>
          <w:szCs w:val="28"/>
          <w:lang w:val="fr-FR"/>
        </w:rPr>
        <w:t xml:space="preserve">      Pourquoi et comment aménager les territoires ultramarins ?</w:t>
      </w:r>
      <w:r w:rsidR="00B55BFE" w:rsidRPr="005954EA">
        <w:rPr>
          <w:sz w:val="28"/>
          <w:szCs w:val="28"/>
          <w:lang w:val="fr-FR"/>
        </w:rPr>
        <w:t xml:space="preserve"> </w:t>
      </w:r>
    </w:p>
    <w:p w:rsidR="00001121" w:rsidRPr="005954EA" w:rsidRDefault="00001121" w:rsidP="00D54FE8">
      <w:pPr>
        <w:ind w:right="-716"/>
        <w:rPr>
          <w:sz w:val="28"/>
          <w:szCs w:val="28"/>
          <w:lang w:val="fr-FR"/>
        </w:rPr>
      </w:pPr>
    </w:p>
    <w:p w:rsidR="008C474F" w:rsidRDefault="008C474F" w:rsidP="008C474F">
      <w:pPr>
        <w:ind w:right="-716"/>
        <w:rPr>
          <w:sz w:val="28"/>
          <w:szCs w:val="28"/>
          <w:lang w:val="fr-FR"/>
        </w:rPr>
      </w:pPr>
      <w:r w:rsidRPr="005954EA">
        <w:rPr>
          <w:sz w:val="28"/>
          <w:szCs w:val="28"/>
          <w:lang w:val="fr-FR"/>
        </w:rPr>
        <w:t xml:space="preserve">D’abord, </w:t>
      </w:r>
      <w:r w:rsidR="00B55BFE" w:rsidRPr="005954EA">
        <w:rPr>
          <w:sz w:val="28"/>
          <w:szCs w:val="28"/>
          <w:lang w:val="fr-FR"/>
        </w:rPr>
        <w:t xml:space="preserve">les territoires ultramarins concentrent des statuts variés : la Martinique, la Guadeloupe, la Réunion, la Guyane et la Mayotte sont des DROM (une collectivité territoriale dont le statut est le même que celui des départements et régions de métropole. Les lois et les règlements français y sont applicables). </w:t>
      </w:r>
      <w:r w:rsidR="00DC5C18">
        <w:rPr>
          <w:sz w:val="28"/>
          <w:szCs w:val="28"/>
          <w:lang w:val="fr-FR"/>
        </w:rPr>
        <w:t xml:space="preserve">Alors que </w:t>
      </w:r>
      <w:r w:rsidR="00B55BFE" w:rsidRPr="005954EA">
        <w:rPr>
          <w:sz w:val="28"/>
          <w:szCs w:val="28"/>
          <w:lang w:val="fr-FR"/>
        </w:rPr>
        <w:t>Saint-Barthélemy, Saint-Pierre-et-Miquelon, Saint-Martin, Wallis et Futuna ainsi que la Polynésie sont des COM (</w:t>
      </w:r>
      <w:r w:rsidR="00995D43" w:rsidRPr="005954EA">
        <w:rPr>
          <w:sz w:val="28"/>
          <w:szCs w:val="28"/>
          <w:lang w:val="fr-FR"/>
        </w:rPr>
        <w:t xml:space="preserve">un territoire de la République française disposant d’une autonomie vis-à-vis de la métropole dans plusieurs domaines). Les territoires ultramarins </w:t>
      </w:r>
      <w:r w:rsidR="005954EA" w:rsidRPr="005954EA">
        <w:rPr>
          <w:sz w:val="28"/>
          <w:szCs w:val="28"/>
          <w:lang w:val="fr-FR"/>
        </w:rPr>
        <w:t xml:space="preserve">présentent des caractéristiques communes : éloignement de la métropole mais attachement à la République, forte exposition aux aléas (cyclones, éruptions volcaniques), grande biodiversité (forêt amazonienne, récifs coralliens). </w:t>
      </w:r>
    </w:p>
    <w:p w:rsidR="005954EA" w:rsidRDefault="005954EA" w:rsidP="008C474F">
      <w:pPr>
        <w:ind w:right="-716"/>
        <w:rPr>
          <w:sz w:val="28"/>
          <w:szCs w:val="28"/>
          <w:lang w:val="fr-FR"/>
        </w:rPr>
      </w:pPr>
    </w:p>
    <w:p w:rsidR="00AF0069" w:rsidRDefault="005954EA" w:rsidP="00DC5C18">
      <w:pPr>
        <w:ind w:right="-716"/>
        <w:rPr>
          <w:sz w:val="28"/>
          <w:szCs w:val="28"/>
          <w:lang w:val="fr-FR"/>
        </w:rPr>
      </w:pPr>
      <w:r>
        <w:rPr>
          <w:sz w:val="28"/>
          <w:szCs w:val="28"/>
          <w:lang w:val="fr-FR"/>
        </w:rPr>
        <w:t xml:space="preserve">Ensuite, </w:t>
      </w:r>
      <w:r w:rsidR="00AF0069">
        <w:rPr>
          <w:sz w:val="28"/>
          <w:szCs w:val="28"/>
          <w:lang w:val="fr-FR"/>
        </w:rPr>
        <w:t xml:space="preserve">les territoires ultramarins connaissent une intégration régionale limitée. La population de ces territoires est très attachée à la République. Cette population connait plusieurs difficultés économiques et sociales : fortes inégalités, chômages…  L’économie se diversifie (tourisme, services) enfin après s’être reposé sur l’agriculture de plantation </w:t>
      </w:r>
      <w:r w:rsidR="00D54FE8">
        <w:rPr>
          <w:sz w:val="28"/>
          <w:szCs w:val="28"/>
          <w:lang w:val="fr-FR"/>
        </w:rPr>
        <w:t xml:space="preserve">(canne à sucre, bananes) </w:t>
      </w:r>
      <w:r w:rsidR="00AF0069">
        <w:rPr>
          <w:sz w:val="28"/>
          <w:szCs w:val="28"/>
          <w:lang w:val="fr-FR"/>
        </w:rPr>
        <w:t xml:space="preserve">durant un long moment. </w:t>
      </w:r>
      <w:r w:rsidR="00BA7CC6">
        <w:rPr>
          <w:sz w:val="28"/>
          <w:szCs w:val="28"/>
          <w:lang w:val="fr-FR"/>
        </w:rPr>
        <w:t>Les territoires ultramarins sont très dépendants de la métropole et de l’Union Européenne. En effet, ces territoires bénéficient de liaisons, d’échanges commerciaux</w:t>
      </w:r>
      <w:r w:rsidR="00D54FE8">
        <w:rPr>
          <w:sz w:val="28"/>
          <w:szCs w:val="28"/>
          <w:lang w:val="fr-FR"/>
        </w:rPr>
        <w:t xml:space="preserve"> de la métropole et de l’UE ainsi que</w:t>
      </w:r>
      <w:r w:rsidR="00BA7CC6">
        <w:rPr>
          <w:sz w:val="28"/>
          <w:szCs w:val="28"/>
          <w:lang w:val="fr-FR"/>
        </w:rPr>
        <w:t xml:space="preserve"> des aides </w:t>
      </w:r>
      <w:r w:rsidR="00DC5C18">
        <w:rPr>
          <w:sz w:val="28"/>
          <w:szCs w:val="28"/>
          <w:lang w:val="fr-FR"/>
        </w:rPr>
        <w:t xml:space="preserve">financières </w:t>
      </w:r>
      <w:bookmarkStart w:id="0" w:name="_GoBack"/>
      <w:bookmarkEnd w:id="0"/>
      <w:r w:rsidR="00BA7CC6">
        <w:rPr>
          <w:sz w:val="28"/>
          <w:szCs w:val="28"/>
          <w:lang w:val="fr-FR"/>
        </w:rPr>
        <w:t>pour compenser leurs handicaps et v</w:t>
      </w:r>
      <w:r w:rsidR="00D54FE8">
        <w:rPr>
          <w:sz w:val="28"/>
          <w:szCs w:val="28"/>
          <w:lang w:val="fr-FR"/>
        </w:rPr>
        <w:t>aloriser leurs atouts.</w:t>
      </w:r>
    </w:p>
    <w:p w:rsidR="00D54FE8" w:rsidRDefault="00D54FE8" w:rsidP="00D54FE8">
      <w:pPr>
        <w:ind w:right="-716"/>
        <w:rPr>
          <w:sz w:val="28"/>
          <w:szCs w:val="28"/>
          <w:lang w:val="fr-FR"/>
        </w:rPr>
      </w:pPr>
    </w:p>
    <w:p w:rsidR="00D54FE8" w:rsidRDefault="00D54FE8" w:rsidP="00D54FE8">
      <w:pPr>
        <w:ind w:right="-716"/>
        <w:rPr>
          <w:sz w:val="28"/>
          <w:szCs w:val="28"/>
          <w:lang w:val="fr-FR"/>
        </w:rPr>
      </w:pPr>
      <w:r>
        <w:rPr>
          <w:sz w:val="28"/>
          <w:szCs w:val="28"/>
          <w:lang w:val="fr-FR"/>
        </w:rPr>
        <w:t>Enfin, les territoires ultramarins nécessitent des aménagements spécifiques afin de répondre aux besoins des habitants, de réduire les inégalités</w:t>
      </w:r>
      <w:r w:rsidR="00001121">
        <w:rPr>
          <w:sz w:val="28"/>
          <w:szCs w:val="28"/>
          <w:lang w:val="fr-FR"/>
        </w:rPr>
        <w:t xml:space="preserve"> (installation de programmes d’aménagements urbain)</w:t>
      </w:r>
      <w:r>
        <w:rPr>
          <w:sz w:val="28"/>
          <w:szCs w:val="28"/>
          <w:lang w:val="fr-FR"/>
        </w:rPr>
        <w:t xml:space="preserve"> et de favoriser l’intégration régionale. Ces </w:t>
      </w:r>
      <w:r>
        <w:rPr>
          <w:sz w:val="28"/>
          <w:szCs w:val="28"/>
          <w:lang w:val="fr-FR"/>
        </w:rPr>
        <w:lastRenderedPageBreak/>
        <w:t>aménagements sont également installés dans ces territoires pour réduir</w:t>
      </w:r>
      <w:r w:rsidR="00001121">
        <w:rPr>
          <w:sz w:val="28"/>
          <w:szCs w:val="28"/>
          <w:lang w:val="fr-FR"/>
        </w:rPr>
        <w:t xml:space="preserve">e la discontinuité géographique, d’où la construction d’infrastructures de transports (aéroports, ports, ponts) mais aussi pour développer les activités économiques, d’où les aménagements liés au tourisme (stations balnéaires…). Les territoires ultramarins sont soumis à d’importants défis environnementaux. Il s’agit donc de favoriser les aménagements tout en préservant des espaces fragiles marqués par une importante biodiversité (forêt en Guyane). </w:t>
      </w:r>
    </w:p>
    <w:p w:rsidR="00001121" w:rsidRDefault="00001121" w:rsidP="00D54FE8">
      <w:pPr>
        <w:ind w:right="-716"/>
        <w:rPr>
          <w:sz w:val="28"/>
          <w:szCs w:val="28"/>
          <w:lang w:val="fr-FR"/>
        </w:rPr>
      </w:pPr>
    </w:p>
    <w:p w:rsidR="00001121" w:rsidRDefault="00001121" w:rsidP="000D28D6">
      <w:pPr>
        <w:ind w:right="-716"/>
        <w:rPr>
          <w:sz w:val="28"/>
          <w:szCs w:val="28"/>
          <w:lang w:val="fr-FR"/>
        </w:rPr>
      </w:pPr>
      <w:r>
        <w:rPr>
          <w:sz w:val="28"/>
          <w:szCs w:val="28"/>
          <w:lang w:val="fr-FR"/>
        </w:rPr>
        <w:t xml:space="preserve">Pour conclure, les territoires ultramarins </w:t>
      </w:r>
      <w:r w:rsidR="000D28D6">
        <w:rPr>
          <w:sz w:val="28"/>
          <w:szCs w:val="28"/>
          <w:lang w:val="fr-FR"/>
        </w:rPr>
        <w:t xml:space="preserve">concentrent des aménagements pour diverses raisons : réduire les inégalités, favoriser l’intégration régionale, réduire les déséquilibres… </w:t>
      </w:r>
    </w:p>
    <w:p w:rsidR="000D28D6" w:rsidRDefault="000D28D6" w:rsidP="000D28D6">
      <w:pPr>
        <w:ind w:right="-716"/>
        <w:rPr>
          <w:sz w:val="28"/>
          <w:szCs w:val="28"/>
          <w:lang w:val="fr-FR"/>
        </w:rPr>
      </w:pPr>
    </w:p>
    <w:p w:rsidR="00CF1012" w:rsidRDefault="000D28D6" w:rsidP="00CF1012">
      <w:pPr>
        <w:ind w:right="-716"/>
        <w:rPr>
          <w:color w:val="0070C0"/>
          <w:sz w:val="36"/>
          <w:szCs w:val="36"/>
          <w:u w:val="single"/>
          <w:lang w:val="fr-FR"/>
        </w:rPr>
      </w:pPr>
      <w:r w:rsidRPr="000D28D6">
        <w:rPr>
          <w:color w:val="0070C0"/>
          <w:sz w:val="36"/>
          <w:szCs w:val="36"/>
          <w:u w:val="single"/>
          <w:lang w:val="fr-FR"/>
        </w:rPr>
        <w:t xml:space="preserve">Repérage </w:t>
      </w:r>
      <w:r>
        <w:rPr>
          <w:color w:val="0070C0"/>
          <w:sz w:val="36"/>
          <w:szCs w:val="36"/>
          <w:u w:val="single"/>
          <w:lang w:val="fr-FR"/>
        </w:rPr>
        <w:t xml:space="preserve">spatial : </w:t>
      </w:r>
    </w:p>
    <w:p w:rsidR="00950AC8" w:rsidRPr="00CF1012" w:rsidRDefault="00950AC8" w:rsidP="00CF1012">
      <w:pPr>
        <w:pStyle w:val="Paragraphedeliste"/>
        <w:numPr>
          <w:ilvl w:val="0"/>
          <w:numId w:val="4"/>
        </w:numPr>
        <w:ind w:right="-716"/>
        <w:rPr>
          <w:sz w:val="32"/>
          <w:szCs w:val="32"/>
          <w:lang w:val="fr-FR"/>
        </w:rPr>
      </w:pPr>
      <w:r w:rsidRPr="00CF1012">
        <w:rPr>
          <w:sz w:val="32"/>
          <w:szCs w:val="32"/>
          <w:lang w:val="fr-FR"/>
        </w:rPr>
        <w:t xml:space="preserve">Saint-Pierre-Et-Miquelon </w:t>
      </w:r>
    </w:p>
    <w:p w:rsidR="00950AC8" w:rsidRPr="00CF1012" w:rsidRDefault="00950AC8" w:rsidP="00CF1012">
      <w:pPr>
        <w:pStyle w:val="Paragraphedeliste"/>
        <w:numPr>
          <w:ilvl w:val="0"/>
          <w:numId w:val="4"/>
        </w:numPr>
        <w:ind w:right="-716"/>
        <w:rPr>
          <w:sz w:val="32"/>
          <w:szCs w:val="32"/>
          <w:lang w:val="fr-FR"/>
        </w:rPr>
      </w:pPr>
      <w:r w:rsidRPr="00CF1012">
        <w:rPr>
          <w:sz w:val="32"/>
          <w:szCs w:val="32"/>
          <w:lang w:val="fr-FR"/>
        </w:rPr>
        <w:t xml:space="preserve">La </w:t>
      </w:r>
      <w:r w:rsidR="00CF1012" w:rsidRPr="00CF1012">
        <w:rPr>
          <w:sz w:val="32"/>
          <w:szCs w:val="32"/>
          <w:lang w:val="fr-FR"/>
        </w:rPr>
        <w:t>Guyane</w:t>
      </w:r>
    </w:p>
    <w:p w:rsidR="00950AC8" w:rsidRPr="00CF1012" w:rsidRDefault="00950AC8" w:rsidP="00CF1012">
      <w:pPr>
        <w:pStyle w:val="Paragraphedeliste"/>
        <w:numPr>
          <w:ilvl w:val="0"/>
          <w:numId w:val="4"/>
        </w:numPr>
        <w:ind w:right="-716"/>
        <w:rPr>
          <w:sz w:val="32"/>
          <w:szCs w:val="32"/>
          <w:lang w:val="fr-FR"/>
        </w:rPr>
      </w:pPr>
      <w:r w:rsidRPr="00CF1012">
        <w:rPr>
          <w:sz w:val="32"/>
          <w:szCs w:val="32"/>
          <w:lang w:val="fr-FR"/>
        </w:rPr>
        <w:t xml:space="preserve">La Réunion </w:t>
      </w:r>
    </w:p>
    <w:p w:rsidR="00950AC8" w:rsidRPr="00CF1012" w:rsidRDefault="00950AC8" w:rsidP="00950AC8">
      <w:pPr>
        <w:pStyle w:val="Paragraphedeliste"/>
        <w:numPr>
          <w:ilvl w:val="0"/>
          <w:numId w:val="4"/>
        </w:numPr>
        <w:ind w:right="-716"/>
        <w:rPr>
          <w:sz w:val="32"/>
          <w:szCs w:val="32"/>
          <w:lang w:val="fr-FR"/>
        </w:rPr>
      </w:pPr>
      <w:r w:rsidRPr="00CF1012">
        <w:rPr>
          <w:sz w:val="32"/>
          <w:szCs w:val="32"/>
          <w:lang w:val="fr-FR"/>
        </w:rPr>
        <w:t xml:space="preserve">Wallis-et-Futuna </w:t>
      </w:r>
    </w:p>
    <w:sectPr w:rsidR="00950AC8" w:rsidRPr="00CF1012">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D812FD"/>
    <w:multiLevelType w:val="hybridMultilevel"/>
    <w:tmpl w:val="62D4E7F2"/>
    <w:lvl w:ilvl="0" w:tplc="CF56A48E">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3012F6"/>
    <w:multiLevelType w:val="hybridMultilevel"/>
    <w:tmpl w:val="DC0657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BC5FB6"/>
    <w:multiLevelType w:val="hybridMultilevel"/>
    <w:tmpl w:val="D952CE9E"/>
    <w:lvl w:ilvl="0" w:tplc="3426F1E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224747"/>
    <w:multiLevelType w:val="hybridMultilevel"/>
    <w:tmpl w:val="3A6821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3AF"/>
    <w:rsid w:val="00001121"/>
    <w:rsid w:val="000D28D6"/>
    <w:rsid w:val="001A09BD"/>
    <w:rsid w:val="002B3D77"/>
    <w:rsid w:val="00412BDF"/>
    <w:rsid w:val="005111CC"/>
    <w:rsid w:val="00560A31"/>
    <w:rsid w:val="005954EA"/>
    <w:rsid w:val="008C474F"/>
    <w:rsid w:val="00950AC8"/>
    <w:rsid w:val="00953694"/>
    <w:rsid w:val="00995D43"/>
    <w:rsid w:val="009F513C"/>
    <w:rsid w:val="00AE02CE"/>
    <w:rsid w:val="00AF0069"/>
    <w:rsid w:val="00B218B3"/>
    <w:rsid w:val="00B55BFE"/>
    <w:rsid w:val="00BA7CC6"/>
    <w:rsid w:val="00BB73AF"/>
    <w:rsid w:val="00CF1012"/>
    <w:rsid w:val="00D54FE8"/>
    <w:rsid w:val="00DC5C18"/>
    <w:rsid w:val="00E614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C9E06"/>
  <w15:chartTrackingRefBased/>
  <w15:docId w15:val="{C9F36162-42FA-4D0C-BC8D-EF9DBA275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61466"/>
    <w:pPr>
      <w:ind w:left="720"/>
      <w:contextualSpacing/>
    </w:pPr>
  </w:style>
  <w:style w:type="paragraph" w:styleId="NormalWeb">
    <w:name w:val="Normal (Web)"/>
    <w:basedOn w:val="Normal"/>
    <w:uiPriority w:val="99"/>
    <w:unhideWhenUsed/>
    <w:rsid w:val="00412BDF"/>
    <w:pPr>
      <w:spacing w:before="100" w:beforeAutospacing="1" w:after="100" w:afterAutospacing="1" w:line="240" w:lineRule="auto"/>
    </w:pPr>
    <w:rPr>
      <w:rFonts w:ascii="Times" w:eastAsiaTheme="minorEastAsia" w:hAnsi="Times"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TotalTime>
  <Pages>3</Pages>
  <Words>653</Words>
  <Characters>3726</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BIAT</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4</cp:revision>
  <dcterms:created xsi:type="dcterms:W3CDTF">2020-03-17T11:06:00Z</dcterms:created>
  <dcterms:modified xsi:type="dcterms:W3CDTF">2020-03-17T16:15:00Z</dcterms:modified>
</cp:coreProperties>
</file>