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2"/>
        <w:rPr>
          <w:sz w:val="29"/>
        </w:rPr>
      </w:pPr>
    </w:p>
    <w:p w:rsidR="001E2BFD" w:rsidRDefault="000D319E">
      <w:pPr>
        <w:pStyle w:val="Corpsdetexte"/>
        <w:ind w:left="634"/>
        <w:rPr>
          <w:sz w:val="20"/>
        </w:rPr>
      </w:pPr>
      <w:r>
        <w:rPr>
          <w:noProof/>
          <w:sz w:val="20"/>
        </w:rPr>
        <w:drawing>
          <wp:inline distT="0" distB="0" distL="0" distR="0">
            <wp:extent cx="5133528" cy="16102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133528" cy="1610296"/>
                    </a:xfrm>
                    <a:prstGeom prst="rect">
                      <a:avLst/>
                    </a:prstGeom>
                  </pic:spPr>
                </pic:pic>
              </a:graphicData>
            </a:graphic>
          </wp:inline>
        </w:drawing>
      </w: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7"/>
        <w:rPr>
          <w:sz w:val="27"/>
        </w:rPr>
      </w:pPr>
    </w:p>
    <w:p w:rsidR="001E2BFD" w:rsidRDefault="000D319E">
      <w:pPr>
        <w:spacing w:before="79"/>
        <w:ind w:left="3681" w:right="3681"/>
        <w:jc w:val="center"/>
        <w:rPr>
          <w:sz w:val="52"/>
        </w:rPr>
      </w:pPr>
      <w:r>
        <w:rPr>
          <w:sz w:val="52"/>
          <w:u w:val="thick"/>
        </w:rPr>
        <w:t>Mémoire</w:t>
      </w: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8"/>
      </w:pPr>
    </w:p>
    <w:p w:rsidR="001E2BFD" w:rsidRDefault="000D319E">
      <w:pPr>
        <w:spacing w:before="84"/>
        <w:ind w:left="3097"/>
        <w:rPr>
          <w:sz w:val="40"/>
        </w:rPr>
      </w:pPr>
      <w:r>
        <w:rPr>
          <w:sz w:val="40"/>
          <w:u w:val="single"/>
        </w:rPr>
        <w:t>UFR02 : Économie</w:t>
      </w: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18"/>
        </w:rPr>
      </w:pPr>
    </w:p>
    <w:p w:rsidR="001E2BFD" w:rsidRDefault="000D319E">
      <w:pPr>
        <w:pStyle w:val="Corpsdetexte"/>
        <w:spacing w:before="90"/>
        <w:ind w:left="116"/>
      </w:pPr>
      <w:r>
        <w:rPr>
          <w:u w:val="single"/>
        </w:rPr>
        <w:t>Sujet</w:t>
      </w:r>
      <w:r>
        <w:t xml:space="preserve"> : L’évolution du marché de l’immobilier de bureaux en Ile de France entre 1990 et</w:t>
      </w:r>
      <w:r>
        <w:rPr>
          <w:spacing w:val="-20"/>
        </w:rPr>
        <w:t xml:space="preserve"> </w:t>
      </w:r>
      <w:r>
        <w:t>2014</w:t>
      </w: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1"/>
        <w:rPr>
          <w:sz w:val="18"/>
        </w:rPr>
      </w:pPr>
    </w:p>
    <w:p w:rsidR="001E2BFD" w:rsidRDefault="000D319E">
      <w:pPr>
        <w:pStyle w:val="Corpsdetexte"/>
        <w:spacing w:before="90" w:line="499" w:lineRule="auto"/>
        <w:ind w:left="7610" w:right="114" w:firstLine="480"/>
        <w:jc w:val="both"/>
      </w:pPr>
      <w:r>
        <w:t xml:space="preserve">Asta Diallo </w:t>
      </w:r>
    </w:p>
    <w:p w:rsidR="001E2BFD" w:rsidRDefault="001E2BFD">
      <w:pPr>
        <w:pStyle w:val="Corpsdetexte"/>
        <w:rPr>
          <w:sz w:val="20"/>
        </w:rPr>
      </w:pPr>
    </w:p>
    <w:p w:rsidR="001E2BFD" w:rsidRDefault="001E2BFD">
      <w:pPr>
        <w:pStyle w:val="Corpsdetexte"/>
        <w:spacing w:before="10"/>
        <w:rPr>
          <w:sz w:val="21"/>
        </w:rPr>
      </w:pPr>
    </w:p>
    <w:p w:rsidR="001E2BFD" w:rsidRDefault="000D319E">
      <w:pPr>
        <w:pStyle w:val="Corpsdetexte"/>
        <w:spacing w:before="90"/>
        <w:ind w:left="116"/>
      </w:pPr>
      <w:r>
        <w:t>Sous la direction de Mme Catherine Bruneau</w:t>
      </w:r>
    </w:p>
    <w:p w:rsidR="001E2BFD" w:rsidRDefault="001E2BFD">
      <w:pPr>
        <w:sectPr w:rsidR="001E2BFD">
          <w:footerReference w:type="default" r:id="rId8"/>
          <w:type w:val="continuous"/>
          <w:pgSz w:w="11910" w:h="16840"/>
          <w:pgMar w:top="1580" w:right="1300" w:bottom="1200" w:left="1300" w:header="720" w:footer="1003" w:gutter="0"/>
          <w:pgNumType w:start="1"/>
          <w:cols w:space="720"/>
        </w:sect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3"/>
        <w:rPr>
          <w:sz w:val="16"/>
        </w:rPr>
      </w:pPr>
    </w:p>
    <w:p w:rsidR="001E2BFD" w:rsidRDefault="000D319E">
      <w:pPr>
        <w:spacing w:before="84"/>
        <w:ind w:left="116"/>
        <w:rPr>
          <w:sz w:val="40"/>
        </w:rPr>
      </w:pPr>
      <w:r>
        <w:rPr>
          <w:sz w:val="40"/>
          <w:u w:val="single"/>
        </w:rPr>
        <w:t>SOMMAIRE</w:t>
      </w:r>
    </w:p>
    <w:p w:rsidR="001E2BFD" w:rsidRDefault="001E2BFD">
      <w:pPr>
        <w:pStyle w:val="Corpsdetexte"/>
        <w:spacing w:before="1"/>
        <w:rPr>
          <w:sz w:val="26"/>
        </w:rPr>
      </w:pPr>
    </w:p>
    <w:p w:rsidR="001E2BFD" w:rsidRDefault="000D319E">
      <w:pPr>
        <w:pStyle w:val="Corpsdetexte"/>
        <w:spacing w:before="90"/>
        <w:ind w:left="1198"/>
      </w:pPr>
      <w:r>
        <w:t>Introduction-----------------------------------------------------------Page 3</w:t>
      </w:r>
    </w:p>
    <w:p w:rsidR="001E2BFD" w:rsidRDefault="001E2BFD">
      <w:pPr>
        <w:pStyle w:val="Corpsdetexte"/>
        <w:rPr>
          <w:sz w:val="26"/>
        </w:rPr>
      </w:pPr>
    </w:p>
    <w:p w:rsidR="001E2BFD" w:rsidRDefault="001E2BFD">
      <w:pPr>
        <w:pStyle w:val="Corpsdetexte"/>
        <w:rPr>
          <w:sz w:val="26"/>
        </w:rPr>
      </w:pPr>
    </w:p>
    <w:p w:rsidR="001E2BFD" w:rsidRDefault="001E2BFD">
      <w:pPr>
        <w:pStyle w:val="Corpsdetexte"/>
        <w:spacing w:before="9"/>
        <w:rPr>
          <w:sz w:val="23"/>
        </w:rPr>
      </w:pPr>
    </w:p>
    <w:p w:rsidR="001E2BFD" w:rsidRDefault="000D319E">
      <w:pPr>
        <w:pStyle w:val="Paragraphedeliste"/>
        <w:numPr>
          <w:ilvl w:val="0"/>
          <w:numId w:val="2"/>
        </w:numPr>
        <w:tabs>
          <w:tab w:val="left" w:pos="1196"/>
          <w:tab w:val="left" w:pos="1197"/>
        </w:tabs>
        <w:rPr>
          <w:sz w:val="24"/>
        </w:rPr>
      </w:pPr>
      <w:r>
        <w:rPr>
          <w:sz w:val="24"/>
          <w:u w:val="single"/>
        </w:rPr>
        <w:t>Modélisation et</w:t>
      </w:r>
      <w:r>
        <w:rPr>
          <w:spacing w:val="-1"/>
          <w:sz w:val="24"/>
          <w:u w:val="single"/>
        </w:rPr>
        <w:t xml:space="preserve"> </w:t>
      </w:r>
      <w:r>
        <w:rPr>
          <w:sz w:val="24"/>
          <w:u w:val="single"/>
        </w:rPr>
        <w:t>mesures</w:t>
      </w:r>
    </w:p>
    <w:p w:rsidR="001E2BFD" w:rsidRDefault="001E2BFD">
      <w:pPr>
        <w:pStyle w:val="Corpsdetexte"/>
        <w:rPr>
          <w:sz w:val="20"/>
        </w:rPr>
      </w:pPr>
    </w:p>
    <w:p w:rsidR="001E2BFD" w:rsidRDefault="001E2BFD">
      <w:pPr>
        <w:pStyle w:val="Corpsdetexte"/>
        <w:spacing w:before="3"/>
        <w:rPr>
          <w:sz w:val="20"/>
        </w:rPr>
      </w:pPr>
    </w:p>
    <w:p w:rsidR="001E2BFD" w:rsidRDefault="000D319E">
      <w:pPr>
        <w:pStyle w:val="Corpsdetexte"/>
        <w:spacing w:before="90"/>
        <w:ind w:left="1196"/>
      </w:pPr>
      <w:r>
        <w:t>A</w:t>
      </w:r>
      <w:proofErr w:type="gramStart"/>
      <w:r>
        <w:t>-  Modélisation</w:t>
      </w:r>
      <w:proofErr w:type="gramEnd"/>
      <w:r>
        <w:t xml:space="preserve"> économétrique du marché----------------------Page</w:t>
      </w:r>
      <w:r>
        <w:rPr>
          <w:spacing w:val="-29"/>
        </w:rPr>
        <w:t xml:space="preserve"> </w:t>
      </w:r>
      <w:r>
        <w:t>5</w:t>
      </w:r>
    </w:p>
    <w:p w:rsidR="001E2BFD" w:rsidRDefault="001E2BFD">
      <w:pPr>
        <w:pStyle w:val="Corpsdetexte"/>
        <w:rPr>
          <w:sz w:val="26"/>
        </w:rPr>
      </w:pPr>
    </w:p>
    <w:p w:rsidR="001E2BFD" w:rsidRDefault="001E2BFD">
      <w:pPr>
        <w:pStyle w:val="Corpsdetexte"/>
        <w:rPr>
          <w:sz w:val="26"/>
        </w:rPr>
      </w:pPr>
    </w:p>
    <w:p w:rsidR="001E2BFD" w:rsidRDefault="001E2BFD">
      <w:pPr>
        <w:pStyle w:val="Corpsdetexte"/>
        <w:spacing w:before="8"/>
        <w:rPr>
          <w:sz w:val="23"/>
        </w:rPr>
      </w:pPr>
    </w:p>
    <w:p w:rsidR="001E2BFD" w:rsidRDefault="000D319E">
      <w:pPr>
        <w:pStyle w:val="Corpsdetexte"/>
        <w:spacing w:before="1"/>
        <w:ind w:left="1196"/>
      </w:pPr>
      <w:r>
        <w:t>B</w:t>
      </w:r>
      <w:proofErr w:type="gramStart"/>
      <w:r>
        <w:t>-  Mesures</w:t>
      </w:r>
      <w:proofErr w:type="gramEnd"/>
      <w:r>
        <w:t>------------------------------------------------------------Page</w:t>
      </w:r>
      <w:r>
        <w:rPr>
          <w:spacing w:val="-27"/>
        </w:rPr>
        <w:t xml:space="preserve"> </w:t>
      </w:r>
      <w:r>
        <w:t>9</w:t>
      </w:r>
    </w:p>
    <w:p w:rsidR="001E2BFD" w:rsidRDefault="001E2BFD">
      <w:pPr>
        <w:pStyle w:val="Corpsdetexte"/>
        <w:rPr>
          <w:sz w:val="26"/>
        </w:rPr>
      </w:pPr>
    </w:p>
    <w:p w:rsidR="001E2BFD" w:rsidRDefault="001E2BFD">
      <w:pPr>
        <w:pStyle w:val="Corpsdetexte"/>
        <w:spacing w:before="9"/>
        <w:rPr>
          <w:sz w:val="37"/>
        </w:rPr>
      </w:pPr>
    </w:p>
    <w:p w:rsidR="001E2BFD" w:rsidRDefault="000D319E">
      <w:pPr>
        <w:pStyle w:val="Paragraphedeliste"/>
        <w:numPr>
          <w:ilvl w:val="0"/>
          <w:numId w:val="2"/>
        </w:numPr>
        <w:tabs>
          <w:tab w:val="left" w:pos="1256"/>
          <w:tab w:val="left" w:pos="1257"/>
        </w:tabs>
        <w:spacing w:before="1"/>
        <w:ind w:left="1256" w:hanging="780"/>
        <w:rPr>
          <w:sz w:val="24"/>
        </w:rPr>
      </w:pPr>
      <w:r>
        <w:rPr>
          <w:sz w:val="24"/>
          <w:u w:val="single"/>
        </w:rPr>
        <w:t>Evolutions et Transformations</w:t>
      </w:r>
    </w:p>
    <w:p w:rsidR="001E2BFD" w:rsidRDefault="001E2BFD">
      <w:pPr>
        <w:pStyle w:val="Corpsdetexte"/>
        <w:rPr>
          <w:sz w:val="20"/>
        </w:rPr>
      </w:pPr>
    </w:p>
    <w:p w:rsidR="001E2BFD" w:rsidRDefault="001E2BFD">
      <w:pPr>
        <w:pStyle w:val="Corpsdetexte"/>
        <w:spacing w:before="2"/>
        <w:rPr>
          <w:sz w:val="20"/>
        </w:rPr>
      </w:pPr>
    </w:p>
    <w:p w:rsidR="001E2BFD" w:rsidRDefault="000D319E">
      <w:pPr>
        <w:pStyle w:val="Corpsdetexte"/>
        <w:spacing w:before="90" w:line="362" w:lineRule="auto"/>
        <w:ind w:left="1496" w:right="1302" w:hanging="360"/>
      </w:pPr>
      <w:r>
        <w:t>A- Les transformations sur le marché de l’immobilier----------Page 11 De bureaux en Ile de France</w:t>
      </w:r>
    </w:p>
    <w:p w:rsidR="001E2BFD" w:rsidRDefault="001E2BFD">
      <w:pPr>
        <w:pStyle w:val="Corpsdetexte"/>
        <w:rPr>
          <w:sz w:val="26"/>
        </w:rPr>
      </w:pPr>
    </w:p>
    <w:p w:rsidR="001E2BFD" w:rsidRDefault="001E2BFD">
      <w:pPr>
        <w:pStyle w:val="Corpsdetexte"/>
        <w:spacing w:before="4"/>
        <w:rPr>
          <w:sz w:val="37"/>
        </w:rPr>
      </w:pPr>
    </w:p>
    <w:p w:rsidR="001E2BFD" w:rsidRDefault="000D319E">
      <w:pPr>
        <w:pStyle w:val="Corpsdetexte"/>
        <w:spacing w:before="1"/>
        <w:ind w:left="1136"/>
      </w:pPr>
      <w:proofErr w:type="spellStart"/>
      <w:r>
        <w:t>B-Les</w:t>
      </w:r>
      <w:proofErr w:type="spellEnd"/>
      <w:r>
        <w:t xml:space="preserve"> acteurs du marché--------------------------------------------Page 15</w:t>
      </w:r>
    </w:p>
    <w:p w:rsidR="001E2BFD" w:rsidRDefault="001E2BFD">
      <w:pPr>
        <w:pStyle w:val="Corpsdetexte"/>
        <w:rPr>
          <w:sz w:val="26"/>
        </w:rPr>
      </w:pPr>
    </w:p>
    <w:p w:rsidR="001E2BFD" w:rsidRDefault="001E2BFD">
      <w:pPr>
        <w:pStyle w:val="Corpsdetexte"/>
        <w:rPr>
          <w:sz w:val="26"/>
        </w:rPr>
      </w:pPr>
    </w:p>
    <w:p w:rsidR="001E2BFD" w:rsidRDefault="001E2BFD">
      <w:pPr>
        <w:pStyle w:val="Corpsdetexte"/>
        <w:spacing w:before="8"/>
        <w:rPr>
          <w:sz w:val="23"/>
        </w:rPr>
      </w:pPr>
    </w:p>
    <w:p w:rsidR="001E2BFD" w:rsidRDefault="000D319E">
      <w:pPr>
        <w:pStyle w:val="Corpsdetexte"/>
        <w:ind w:left="1136"/>
      </w:pPr>
      <w:r>
        <w:t>Annexes----------------------------------------------------------------Page</w:t>
      </w:r>
      <w:r>
        <w:rPr>
          <w:spacing w:val="-24"/>
        </w:rPr>
        <w:t xml:space="preserve"> </w:t>
      </w:r>
      <w:r>
        <w:t>20</w:t>
      </w:r>
    </w:p>
    <w:p w:rsidR="001E2BFD" w:rsidRDefault="001E2BFD">
      <w:pPr>
        <w:pStyle w:val="Corpsdetexte"/>
        <w:rPr>
          <w:sz w:val="26"/>
        </w:rPr>
      </w:pPr>
    </w:p>
    <w:p w:rsidR="001E2BFD" w:rsidRDefault="001E2BFD">
      <w:pPr>
        <w:pStyle w:val="Corpsdetexte"/>
        <w:rPr>
          <w:sz w:val="26"/>
        </w:rPr>
      </w:pPr>
    </w:p>
    <w:p w:rsidR="001E2BFD" w:rsidRDefault="001E2BFD">
      <w:pPr>
        <w:pStyle w:val="Corpsdetexte"/>
        <w:spacing w:before="9"/>
        <w:rPr>
          <w:sz w:val="23"/>
        </w:rPr>
      </w:pPr>
    </w:p>
    <w:p w:rsidR="001E2BFD" w:rsidRDefault="000D319E">
      <w:pPr>
        <w:pStyle w:val="Corpsdetexte"/>
        <w:ind w:left="1136"/>
      </w:pPr>
      <w:r>
        <w:t>Bibliographie----------------------------------------------------------Page</w:t>
      </w:r>
      <w:r>
        <w:rPr>
          <w:spacing w:val="-24"/>
        </w:rPr>
        <w:t xml:space="preserve"> </w:t>
      </w:r>
      <w:r>
        <w:t>24</w:t>
      </w:r>
    </w:p>
    <w:p w:rsidR="001E2BFD" w:rsidRDefault="001E2BFD">
      <w:pPr>
        <w:sectPr w:rsidR="001E2BFD">
          <w:pgSz w:w="11910" w:h="16840"/>
          <w:pgMar w:top="1580" w:right="1300" w:bottom="1200" w:left="1300" w:header="0" w:footer="1003" w:gutter="0"/>
          <w:cols w:space="720"/>
        </w:sect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0D319E">
      <w:pPr>
        <w:pStyle w:val="Titre2"/>
        <w:spacing w:before="268"/>
      </w:pPr>
      <w:r>
        <w:rPr>
          <w:u w:val="single"/>
        </w:rPr>
        <w:t>Introduction</w:t>
      </w:r>
    </w:p>
    <w:p w:rsidR="001E2BFD" w:rsidRDefault="001E2BFD">
      <w:pPr>
        <w:pStyle w:val="Corpsdetexte"/>
        <w:spacing w:before="5"/>
        <w:rPr>
          <w:i/>
          <w:sz w:val="20"/>
        </w:rPr>
      </w:pPr>
    </w:p>
    <w:p w:rsidR="001E2BFD" w:rsidRDefault="000D319E">
      <w:pPr>
        <w:pStyle w:val="Corpsdetexte"/>
        <w:spacing w:before="90" w:line="360" w:lineRule="auto"/>
        <w:ind w:left="116" w:right="111"/>
      </w:pPr>
      <w:r>
        <w:t>L’immobilier d’entreprise en France en 2014 représentait 55 millions de m² soit 23% du parc immobilier total selon l’Observatoire Régional d’Immobilier d’Entreprise (ORIE). Le marché de l’immobilier d’entreprise représente les achats, ventes et locations d</w:t>
      </w:r>
      <w:r>
        <w:t>e locaux commerciaux, entrepôts et de bureaux entre autres. Le marché de l’immobilier de bureaux de la région parisienne est le plus grand marché de l’Europe en Stocks devant celui de Londres et le deuxième en investissement. Il est aussi le second plus gr</w:t>
      </w:r>
      <w:r>
        <w:t>and marché du monde. L’immobilier d’entreprise représente une dépense conséquente pour les entreprises et un investissement lucratif. L’immobilier de bureaux peut être lié à la croissance économique, en effet une hausse de la croissance et de la création d</w:t>
      </w:r>
      <w:r>
        <w:t xml:space="preserve">’entreprises </w:t>
      </w:r>
      <w:r w:rsidR="00D15EAE">
        <w:t>entraine</w:t>
      </w:r>
      <w:r>
        <w:t xml:space="preserve"> un accroissement des embauches et par la même occasion la hausse de la demande immobilière de bureaux.</w:t>
      </w:r>
    </w:p>
    <w:p w:rsidR="001E2BFD" w:rsidRDefault="000D319E">
      <w:pPr>
        <w:pStyle w:val="Corpsdetexte"/>
        <w:spacing w:before="159" w:line="357" w:lineRule="auto"/>
        <w:ind w:left="116" w:right="134"/>
      </w:pPr>
      <w:r>
        <w:t>La densité de la population parisienne et la forte concentration d’entreprises dans la capitale font de la région parisienne un e</w:t>
      </w:r>
      <w:r>
        <w:t>ndroit privilégié des entreprises. Le marché recouvre Paris intra-muros et sa banlieue périphérique. Le cœur de l’activité se trouve dans le Quartier Centrale des affaires qui représente 20% du stock d’Ile de France. Il recouvre selon la Chambre de commerc</w:t>
      </w:r>
      <w:r>
        <w:t>e et de l’industrie de Paris les 8</w:t>
      </w:r>
      <w:proofErr w:type="spellStart"/>
      <w:r>
        <w:rPr>
          <w:position w:val="9"/>
          <w:sz w:val="16"/>
        </w:rPr>
        <w:t>ème</w:t>
      </w:r>
      <w:proofErr w:type="spellEnd"/>
      <w:r>
        <w:t>, une partie du 1</w:t>
      </w:r>
      <w:r>
        <w:rPr>
          <w:position w:val="9"/>
          <w:sz w:val="16"/>
        </w:rPr>
        <w:t>er</w:t>
      </w:r>
      <w:r>
        <w:t>, 16</w:t>
      </w:r>
      <w:proofErr w:type="spellStart"/>
      <w:r>
        <w:rPr>
          <w:position w:val="9"/>
          <w:sz w:val="16"/>
        </w:rPr>
        <w:t>ème</w:t>
      </w:r>
      <w:proofErr w:type="spellEnd"/>
      <w:r>
        <w:rPr>
          <w:position w:val="9"/>
          <w:sz w:val="16"/>
        </w:rPr>
        <w:t xml:space="preserve"> </w:t>
      </w:r>
      <w:r>
        <w:t>,</w:t>
      </w:r>
      <w:r w:rsidR="00D15EAE">
        <w:t>9</w:t>
      </w:r>
      <w:proofErr w:type="spellStart"/>
      <w:r w:rsidR="00D15EAE">
        <w:rPr>
          <w:position w:val="9"/>
          <w:sz w:val="16"/>
        </w:rPr>
        <w:t>èmes</w:t>
      </w:r>
      <w:proofErr w:type="spellEnd"/>
      <w:r w:rsidR="00D15EAE">
        <w:rPr>
          <w:position w:val="9"/>
          <w:sz w:val="16"/>
        </w:rPr>
        <w:t xml:space="preserve"> et 17èmes arrondissements parisiens</w:t>
      </w:r>
      <w:r>
        <w:t xml:space="preserve">. Le QCA constitue le pôle d’emplois le plus dense de la région avec environ 450000 salariés selon l’étude de L’ORIE en 2014. Les loyers les plus chers </w:t>
      </w:r>
      <w:r>
        <w:t>y sont observés, et la demande sur le QCA est inférieure à l’offre, car les biens à savoir les bureaux vacants sont rares.</w:t>
      </w:r>
    </w:p>
    <w:p w:rsidR="001E2BFD" w:rsidRDefault="000D319E">
      <w:pPr>
        <w:pStyle w:val="Corpsdetexte"/>
        <w:spacing w:before="170" w:line="360" w:lineRule="auto"/>
        <w:ind w:left="116" w:right="132"/>
      </w:pPr>
      <w:r>
        <w:t>La banlieue proche de Paris est aussi un lieu privilégié par les promoteurs immobiliers pour la construction de bureaux. Le croissant</w:t>
      </w:r>
      <w:r>
        <w:t xml:space="preserve"> Ouest se compose des villes de Levallois-Perret, Clichy, Boulogne avec le siège de TF1 notamment et Neuilly sur Seine, la première couronne des villes de Saint-Ouen, Aubervilliers, Pantin, Malakoff, Montrouge et la Plaine Saint Denis qui accueillent plusi</w:t>
      </w:r>
      <w:r>
        <w:t>eurs studios télévisuels. Le quartier de La Défense érigé dans les années 1960, représente un autre pôle d’activité important de la région Parisienne avec une superficie de 14km², 3 millions de m² de bureaux et plus de 2500</w:t>
      </w:r>
      <w:r>
        <w:rPr>
          <w:spacing w:val="-4"/>
        </w:rPr>
        <w:t xml:space="preserve"> </w:t>
      </w:r>
      <w:r>
        <w:t>entreprises.</w:t>
      </w:r>
    </w:p>
    <w:p w:rsidR="001E2BFD" w:rsidRDefault="001E2BFD">
      <w:pPr>
        <w:spacing w:line="360" w:lineRule="auto"/>
        <w:sectPr w:rsidR="001E2BFD">
          <w:pgSz w:w="11910" w:h="16840"/>
          <w:pgMar w:top="1580" w:right="1300" w:bottom="1200" w:left="1300" w:header="0" w:footer="1003" w:gutter="0"/>
          <w:cols w:space="720"/>
        </w:sectPr>
      </w:pPr>
    </w:p>
    <w:p w:rsidR="001E2BFD" w:rsidRDefault="000D319E">
      <w:pPr>
        <w:pStyle w:val="Corpsdetexte"/>
        <w:spacing w:before="72" w:line="360" w:lineRule="auto"/>
        <w:ind w:left="116" w:right="249"/>
      </w:pPr>
      <w:r>
        <w:lastRenderedPageBreak/>
        <w:t>L</w:t>
      </w:r>
      <w:r>
        <w:t>e marché se décompose en un marché de services locatifs de bureaux et un marché d’actifs d’immobilier de bureaux. Les biens immobiliers sont particuliers, ce sont des biens, localisés hétérogènes et durables</w:t>
      </w:r>
    </w:p>
    <w:p w:rsidR="001E2BFD" w:rsidRDefault="000D319E">
      <w:pPr>
        <w:pStyle w:val="Corpsdetexte"/>
        <w:spacing w:before="162" w:line="360" w:lineRule="auto"/>
        <w:ind w:left="116" w:right="203"/>
      </w:pPr>
      <w:r>
        <w:t>L’immobilier doit être considéré d’une part comm</w:t>
      </w:r>
      <w:r>
        <w:t>e un espace que l’on occupe et d’autre part comme un actif réel distinct des actifs financiers mais dont les règles de gestion sont proches.</w:t>
      </w:r>
    </w:p>
    <w:p w:rsidR="001E2BFD" w:rsidRDefault="000D319E">
      <w:pPr>
        <w:pStyle w:val="Corpsdetexte"/>
        <w:spacing w:before="159" w:line="360" w:lineRule="auto"/>
        <w:ind w:left="116" w:right="149"/>
      </w:pPr>
      <w:r>
        <w:t>L’immobilier à un double usage, il n’existe pas un marché de l’immobilier mais un marché de l’actif immobilier et u</w:t>
      </w:r>
      <w:r>
        <w:t>n marché du service rendu par l’actif qui diffère par rapport à leurs caractéristiques (localisation, âge, qualité, taille) il y a une multitude de sous marchés de l’immobilier.</w:t>
      </w:r>
    </w:p>
    <w:p w:rsidR="001E2BFD" w:rsidRDefault="000D319E">
      <w:pPr>
        <w:pStyle w:val="Corpsdetexte"/>
        <w:spacing w:before="161" w:line="360" w:lineRule="auto"/>
        <w:ind w:left="116" w:right="762"/>
      </w:pPr>
      <w:r>
        <w:t>Le marché de l’immobilier doit donc être considéré d’une part en tant que bien</w:t>
      </w:r>
      <w:r>
        <w:t xml:space="preserve"> de consommation mais aussi comme un marché de biens d’investissement et d’actifs réels.</w:t>
      </w:r>
    </w:p>
    <w:p w:rsidR="001E2BFD" w:rsidRDefault="001E2BFD">
      <w:pPr>
        <w:pStyle w:val="Corpsdetexte"/>
        <w:rPr>
          <w:sz w:val="26"/>
        </w:rPr>
      </w:pPr>
    </w:p>
    <w:p w:rsidR="001E2BFD" w:rsidRDefault="001E2BFD">
      <w:pPr>
        <w:pStyle w:val="Corpsdetexte"/>
        <w:spacing w:before="10"/>
        <w:rPr>
          <w:sz w:val="37"/>
        </w:rPr>
      </w:pPr>
    </w:p>
    <w:p w:rsidR="001E2BFD" w:rsidRDefault="000D319E">
      <w:pPr>
        <w:pStyle w:val="Corpsdetexte"/>
        <w:spacing w:line="360" w:lineRule="auto"/>
        <w:ind w:left="116" w:right="129"/>
      </w:pPr>
      <w:r>
        <w:t>La région a vu croître la demande d’actifs en immobilier spécialement de bureaux ces dernières années. La région a attiré des investisseurs depuis les années 1980, et ce qui a entrainé la construction sur le parc parisien de plus de 28 millions de m² de bu</w:t>
      </w:r>
      <w:r>
        <w:t>reaux au cours de ces dernières années. Le marché a connu des modifications structurelles et économiques, il s’est fortement développé et s’est financiarisé au début des années 2000, attirant ainsi des investisseurs internationaux. Ces nouveaux acteurs ont</w:t>
      </w:r>
      <w:r>
        <w:t xml:space="preserve"> contribué à l’essor du marché et à la hausse de la demande placée et des prix, faisant du marché parisien l’un des plus attrayants et lucratifs. Plusieurs chercheurs se sont intéressés à la modélisation du marché de l’immobilier de bureaux dans les grande</w:t>
      </w:r>
      <w:r>
        <w:t>s villes du monde comme Paris, New York ou encore Londres. Ces modélisations permettent de comprendre les variations de l’offre et de la demande sur le marché. Les caractéristiques prises en compte dans la détermination du prix de vente et de location, ain</w:t>
      </w:r>
      <w:r>
        <w:t>si que les variables qui influencent la demande sont étudiées et estimées.</w:t>
      </w:r>
    </w:p>
    <w:p w:rsidR="001E2BFD" w:rsidRDefault="000D319E">
      <w:pPr>
        <w:pStyle w:val="Corpsdetexte"/>
        <w:spacing w:before="160" w:line="360" w:lineRule="auto"/>
        <w:ind w:left="116" w:right="383"/>
      </w:pPr>
      <w:r>
        <w:t>Quelles sont les transformations économiques et structurelles du marché de l’immobilier de bureaux dans la région parisienne entre 1990 et 2014 ?</w:t>
      </w:r>
    </w:p>
    <w:p w:rsidR="001E2BFD" w:rsidRDefault="001E2BFD">
      <w:pPr>
        <w:pStyle w:val="Corpsdetexte"/>
        <w:rPr>
          <w:sz w:val="26"/>
        </w:rPr>
      </w:pPr>
    </w:p>
    <w:p w:rsidR="001E2BFD" w:rsidRDefault="001E2BFD">
      <w:pPr>
        <w:pStyle w:val="Corpsdetexte"/>
        <w:spacing w:before="10"/>
        <w:rPr>
          <w:sz w:val="37"/>
        </w:rPr>
      </w:pPr>
    </w:p>
    <w:p w:rsidR="001E2BFD" w:rsidRDefault="000D319E">
      <w:pPr>
        <w:pStyle w:val="Corpsdetexte"/>
        <w:spacing w:line="360" w:lineRule="auto"/>
        <w:ind w:left="116" w:right="216"/>
      </w:pPr>
      <w:r>
        <w:t>Après avoir présenté les spécificités du marché de l’immobilier de bureaux en Ile de France, nous nous intér</w:t>
      </w:r>
      <w:r>
        <w:t>esserons aux modélisations économétriques faites pour expliquer les variables du marché de l’immobilier de bureau en utilisant la régression hédonique. Nous expliquerons ensuite ces modèles et effectuerons une analyse des résultats des études empiriques fa</w:t>
      </w:r>
      <w:r>
        <w:t>ites sur</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2" w:lineRule="auto"/>
        <w:ind w:left="116" w:right="371"/>
      </w:pPr>
      <w:proofErr w:type="gramStart"/>
      <w:r>
        <w:lastRenderedPageBreak/>
        <w:t>le</w:t>
      </w:r>
      <w:proofErr w:type="gramEnd"/>
      <w:r>
        <w:t xml:space="preserve"> marché francilien ainsi que celui de Londres. Cette étape permettra de pouvoir justifier et vérifier les modèles présentés.</w:t>
      </w:r>
    </w:p>
    <w:p w:rsidR="001E2BFD" w:rsidRDefault="000D319E">
      <w:pPr>
        <w:pStyle w:val="Corpsdetexte"/>
        <w:spacing w:before="155" w:line="360" w:lineRule="auto"/>
        <w:ind w:left="116" w:right="188"/>
      </w:pPr>
      <w:r>
        <w:t>Les transformations structurelles et économiques seront aussi abordées. En effet, le marché est souven</w:t>
      </w:r>
      <w:r>
        <w:t>t victime des fluctuations de la croissance économique, et a connu sa première crise majeure dans les années 1990 qui s’est caractérisée par une baisse de la demande placée obligeant les propriétaires à baisser leurs prix. L’immobilier de bureau souffre de</w:t>
      </w:r>
      <w:r>
        <w:t xml:space="preserve"> la modification des standards en matière d’espace de travail, le parc est moins adapté à la demande des entreprises qui sollicitent de plus en plus d’espaces ouverts qui permettent, une plus grande flexibilité et un certain dynamisme. Les changements écol</w:t>
      </w:r>
      <w:r>
        <w:t>ogiques, affectent aussi sensiblement le marché, qui ne répond pas toujours aux nouvelles exigences de développement durable et de soutenabilité. Les acteurs qui régissent le marché de l’immobilier de bureaux dans la région comme les promoteurs immobiliers</w:t>
      </w:r>
      <w:r>
        <w:t xml:space="preserve"> et les banques d’investissement comme BNP Paribas Real </w:t>
      </w:r>
      <w:proofErr w:type="spellStart"/>
      <w:r>
        <w:t>Estate</w:t>
      </w:r>
      <w:proofErr w:type="spellEnd"/>
      <w:r>
        <w:t xml:space="preserve"> seront aussi</w:t>
      </w:r>
      <w:r>
        <w:rPr>
          <w:spacing w:val="-5"/>
        </w:rPr>
        <w:t xml:space="preserve"> </w:t>
      </w:r>
      <w:r>
        <w:t>mobilisés.</w:t>
      </w:r>
    </w:p>
    <w:p w:rsidR="001E2BFD" w:rsidRDefault="001E2BFD">
      <w:pPr>
        <w:pStyle w:val="Corpsdetexte"/>
        <w:rPr>
          <w:sz w:val="26"/>
        </w:rPr>
      </w:pPr>
    </w:p>
    <w:p w:rsidR="001E2BFD" w:rsidRDefault="001E2BFD">
      <w:pPr>
        <w:pStyle w:val="Corpsdetexte"/>
        <w:rPr>
          <w:sz w:val="26"/>
        </w:rPr>
      </w:pPr>
    </w:p>
    <w:p w:rsidR="001E2BFD" w:rsidRDefault="001E2BFD">
      <w:pPr>
        <w:pStyle w:val="Corpsdetexte"/>
        <w:rPr>
          <w:sz w:val="26"/>
        </w:rPr>
      </w:pPr>
    </w:p>
    <w:p w:rsidR="001E2BFD" w:rsidRDefault="001E2BFD">
      <w:pPr>
        <w:pStyle w:val="Corpsdetexte"/>
        <w:rPr>
          <w:sz w:val="26"/>
        </w:rPr>
      </w:pPr>
    </w:p>
    <w:p w:rsidR="001E2BFD" w:rsidRDefault="000D319E">
      <w:pPr>
        <w:pStyle w:val="Titre1"/>
        <w:numPr>
          <w:ilvl w:val="0"/>
          <w:numId w:val="1"/>
        </w:numPr>
        <w:tabs>
          <w:tab w:val="left" w:pos="305"/>
        </w:tabs>
        <w:spacing w:before="190"/>
        <w:ind w:hanging="188"/>
        <w:rPr>
          <w:color w:val="2D74B5"/>
          <w:sz w:val="26"/>
        </w:rPr>
      </w:pPr>
      <w:r>
        <w:rPr>
          <w:color w:val="2D74B5"/>
          <w:u w:val="single" w:color="2D74B5"/>
        </w:rPr>
        <w:t>La modélisation et les mesures du marché de l’immobilier de</w:t>
      </w:r>
      <w:r>
        <w:rPr>
          <w:color w:val="2D74B5"/>
          <w:spacing w:val="-8"/>
          <w:u w:val="single" w:color="2D74B5"/>
        </w:rPr>
        <w:t xml:space="preserve"> </w:t>
      </w:r>
      <w:r>
        <w:rPr>
          <w:color w:val="2D74B5"/>
          <w:u w:val="single" w:color="2D74B5"/>
        </w:rPr>
        <w:t>bureaux</w:t>
      </w:r>
    </w:p>
    <w:p w:rsidR="001E2BFD" w:rsidRDefault="001E2BFD">
      <w:pPr>
        <w:pStyle w:val="Corpsdetexte"/>
        <w:rPr>
          <w:sz w:val="20"/>
        </w:rPr>
      </w:pPr>
    </w:p>
    <w:p w:rsidR="001E2BFD" w:rsidRDefault="000D319E">
      <w:pPr>
        <w:pStyle w:val="Titre2"/>
        <w:spacing w:before="245"/>
        <w:ind w:left="1016"/>
      </w:pPr>
      <w:r>
        <w:t>A- Modélisations</w:t>
      </w:r>
    </w:p>
    <w:p w:rsidR="001E2BFD" w:rsidRDefault="000D319E">
      <w:pPr>
        <w:pStyle w:val="Corpsdetexte"/>
        <w:spacing w:before="268" w:line="360" w:lineRule="auto"/>
        <w:ind w:left="116" w:right="119" w:firstLine="134"/>
      </w:pPr>
      <w:r>
        <w:t>L’immobilier est une des principales composantes du patrimoine dans presque tou</w:t>
      </w:r>
      <w:r>
        <w:t xml:space="preserve">s les pays. Modéliser le marché de l’immobilier de bureaux requière la connaissance de certaines variables comme le taux de vacance qui est le nombre de bureaux vides, la taille en m² du bien, la demande placée sur le marché ainsi que l’offre de bureaux. </w:t>
      </w:r>
      <w:r>
        <w:rPr>
          <w:spacing w:val="-3"/>
        </w:rPr>
        <w:t>L</w:t>
      </w:r>
      <w:r>
        <w:rPr>
          <w:spacing w:val="-3"/>
        </w:rPr>
        <w:t xml:space="preserve">e </w:t>
      </w:r>
      <w:r>
        <w:t xml:space="preserve">marché de l’immobilier de bureaux parisien nous l’avons vu est le plus grand d’Europe </w:t>
      </w:r>
      <w:r w:rsidR="00D15EAE">
        <w:t>en termes de</w:t>
      </w:r>
      <w:r>
        <w:t xml:space="preserve"> Stock et deuxième </w:t>
      </w:r>
      <w:r w:rsidR="00D15EAE">
        <w:t>en termes</w:t>
      </w:r>
      <w:r>
        <w:t xml:space="preserve"> d’investissement derrière le marché Londonien. L’immobilier de bureaux a été modélisé par plusieurs auteurs comme Gravel en 1997,</w:t>
      </w:r>
      <w:r>
        <w:t xml:space="preserve"> Maurer en 2004 et </w:t>
      </w:r>
      <w:proofErr w:type="spellStart"/>
      <w:r>
        <w:t>Nappi-Choulet</w:t>
      </w:r>
      <w:proofErr w:type="spellEnd"/>
      <w:r>
        <w:t xml:space="preserve"> en 2007 en France dans tous les grands pays industrialisés où les bureaux représentent une part considérable dans le parc immobilier en général. La méthode hédonique d’évaluation des biens est utilisée dans l’analyse économ</w:t>
      </w:r>
      <w:r>
        <w:t>ique depuis plus de 20</w:t>
      </w:r>
      <w:r>
        <w:rPr>
          <w:spacing w:val="-7"/>
        </w:rPr>
        <w:t xml:space="preserve"> </w:t>
      </w:r>
      <w:r>
        <w:t>ans.</w:t>
      </w:r>
    </w:p>
    <w:p w:rsidR="001E2BFD" w:rsidRDefault="001E2BFD">
      <w:pPr>
        <w:pStyle w:val="Corpsdetexte"/>
        <w:rPr>
          <w:sz w:val="26"/>
        </w:rPr>
      </w:pPr>
    </w:p>
    <w:p w:rsidR="001E2BFD" w:rsidRDefault="000D319E">
      <w:pPr>
        <w:pStyle w:val="Corpsdetexte"/>
        <w:spacing w:before="153" w:line="360" w:lineRule="auto"/>
        <w:ind w:left="116" w:right="216"/>
      </w:pPr>
      <w:r>
        <w:t>L’approche hédonique part d’un constat ou d’une hypothèse et décompose la variable analysée en ses constituants caractéristiques pour fournir une estimation de la contribution de</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0" w:lineRule="auto"/>
        <w:ind w:left="116" w:right="143"/>
      </w:pPr>
      <w:proofErr w:type="gramStart"/>
      <w:r>
        <w:lastRenderedPageBreak/>
        <w:t>chaque</w:t>
      </w:r>
      <w:proofErr w:type="gramEnd"/>
      <w:r>
        <w:t xml:space="preserve"> composante sur la valeur de la variable. La méthode </w:t>
      </w:r>
      <w:r>
        <w:t>a pour but de savoir quel montant les individus sont prêts à payer pour les caractéristiques du bien. Les travaux sur la méthode de régression hédonique sont dû aux études de l’économiste australien du XXIème siècle, Kelvin Lancaster, mais aussi à l’articl</w:t>
      </w:r>
      <w:r>
        <w:t xml:space="preserve">e et aux recherches de l’économiste américain </w:t>
      </w:r>
      <w:proofErr w:type="spellStart"/>
      <w:r>
        <w:t>Sherwin</w:t>
      </w:r>
      <w:proofErr w:type="spellEnd"/>
      <w:r>
        <w:t xml:space="preserve"> </w:t>
      </w:r>
      <w:proofErr w:type="spellStart"/>
      <w:r>
        <w:t>Rosen</w:t>
      </w:r>
      <w:proofErr w:type="spellEnd"/>
      <w:r>
        <w:t xml:space="preserve"> en 1974. Les travaux des chercheurs comme Brennan, Kong (1984) et </w:t>
      </w:r>
      <w:proofErr w:type="spellStart"/>
      <w:r>
        <w:t>Nappi-Choulet</w:t>
      </w:r>
      <w:proofErr w:type="spellEnd"/>
      <w:r>
        <w:t xml:space="preserve"> en 2007 estiment le prix du loyer par rapport aux spécificités intrinsèques et extrinsèques du bien et présentent un</w:t>
      </w:r>
      <w:r>
        <w:t>e corrélation positive en taille, location et prix des loyers de l’immobilier de bureaux. On modélise la régression hédonique comme suit :</w:t>
      </w:r>
    </w:p>
    <w:p w:rsidR="001E2BFD" w:rsidRDefault="000D319E">
      <w:pPr>
        <w:pStyle w:val="Corpsdetexte"/>
        <w:spacing w:before="12" w:line="466" w:lineRule="exact"/>
        <w:ind w:left="116" w:right="280"/>
      </w:pPr>
      <w:r>
        <w:t xml:space="preserve">Soit N bien distincts, tous les bureaux </w:t>
      </w:r>
      <w:r>
        <w:rPr>
          <w:i/>
        </w:rPr>
        <w:t xml:space="preserve">j </w:t>
      </w:r>
      <w:r>
        <w:t>(j=</w:t>
      </w:r>
      <w:proofErr w:type="gramStart"/>
      <w:r>
        <w:t>1….</w:t>
      </w:r>
      <w:proofErr w:type="gramEnd"/>
      <w:r>
        <w:t>N) sont considérés comme une liste ordonnée (</w:t>
      </w:r>
      <w:r>
        <w:rPr>
          <w:rFonts w:ascii="DejaVu Serif" w:eastAsia="DejaVu Serif" w:hAnsi="DejaVu Serif"/>
        </w:rPr>
        <w:t>𝑥</w:t>
      </w:r>
      <w:r>
        <w:rPr>
          <w:rFonts w:ascii="DejaVu Serif" w:eastAsia="DejaVu Serif" w:hAnsi="DejaVu Serif"/>
          <w:vertAlign w:val="superscript"/>
        </w:rPr>
        <w:t>𝑗</w:t>
      </w:r>
      <w:r>
        <w:t>,…</w:t>
      </w:r>
      <w:r>
        <w:rPr>
          <w:rFonts w:ascii="DejaVu Serif" w:eastAsia="DejaVu Serif" w:hAnsi="DejaVu Serif"/>
        </w:rPr>
        <w:t>𝑥</w:t>
      </w:r>
      <w:r>
        <w:rPr>
          <w:rFonts w:ascii="DejaVu Serif" w:eastAsia="DejaVu Serif" w:hAnsi="DejaVu Serif"/>
          <w:vertAlign w:val="superscript"/>
        </w:rPr>
        <w:t>𝑗</w:t>
      </w:r>
      <w:r>
        <w:rPr>
          <w:rFonts w:ascii="DejaVu Serif" w:eastAsia="DejaVu Serif" w:hAnsi="DejaVu Serif"/>
        </w:rPr>
        <w:t xml:space="preserve"> </w:t>
      </w:r>
      <w:r>
        <w:t>) de quantité</w:t>
      </w:r>
      <w:r>
        <w:t>s de ces K caractéristiques selon le modèle hédonique. La notation</w:t>
      </w:r>
    </w:p>
    <w:p w:rsidR="001E2BFD" w:rsidRDefault="000D319E">
      <w:pPr>
        <w:tabs>
          <w:tab w:val="left" w:pos="862"/>
        </w:tabs>
        <w:spacing w:line="17" w:lineRule="exact"/>
        <w:ind w:left="315"/>
        <w:rPr>
          <w:rFonts w:ascii="DejaVu Serif" w:eastAsia="DejaVu Serif"/>
          <w:sz w:val="17"/>
        </w:rPr>
      </w:pPr>
      <w:r>
        <w:rPr>
          <w:rFonts w:ascii="DejaVu Serif" w:eastAsia="DejaVu Serif"/>
          <w:w w:val="105"/>
          <w:sz w:val="17"/>
        </w:rPr>
        <w:t>1</w:t>
      </w:r>
      <w:r>
        <w:rPr>
          <w:rFonts w:ascii="DejaVu Serif" w:eastAsia="DejaVu Serif"/>
          <w:w w:val="105"/>
          <w:sz w:val="17"/>
        </w:rPr>
        <w:tab/>
      </w:r>
      <w:r>
        <w:rPr>
          <w:rFonts w:ascii="DejaVu Serif" w:eastAsia="DejaVu Serif"/>
          <w:w w:val="105"/>
          <w:sz w:val="17"/>
        </w:rPr>
        <w:t>𝐾</w:t>
      </w:r>
    </w:p>
    <w:p w:rsidR="001E2BFD" w:rsidRDefault="000D319E">
      <w:pPr>
        <w:pStyle w:val="Corpsdetexte"/>
        <w:spacing w:before="98" w:line="360" w:lineRule="auto"/>
        <w:ind w:left="116" w:right="311"/>
      </w:pPr>
      <w:proofErr w:type="gramStart"/>
      <w:r>
        <w:t>désigne</w:t>
      </w:r>
      <w:proofErr w:type="gramEnd"/>
      <w:r>
        <w:t xml:space="preserve"> la quantité de la caractéristique i contenue dans le bien j. Pour que l’étude soit possible il faut que trois conditions soit respectées. La première, chaque caractéristique do</w:t>
      </w:r>
      <w:r>
        <w:t>it être mesurable quantitativement, en second tous les agents du marché connaissent les quantités de ces caractéristiques que contient le bien et enfin les caractéristiques considérées doivent être assez large pour pouvoir prendre en compte toutes les cons</w:t>
      </w:r>
      <w:r>
        <w:t>idérations qui entre dans le choix du bien par les agents ici sur le marché de l’immobilier les acheteurs, et les locataires.</w:t>
      </w:r>
    </w:p>
    <w:p w:rsidR="001E2BFD" w:rsidRDefault="000D319E">
      <w:pPr>
        <w:pStyle w:val="Corpsdetexte"/>
        <w:spacing w:before="160" w:line="360" w:lineRule="auto"/>
        <w:ind w:left="116" w:right="376"/>
        <w:rPr>
          <w:b/>
          <w:i/>
        </w:rPr>
      </w:pPr>
      <w:r>
        <w:t xml:space="preserve">En premier nous présenterons la modélisation empirique du marché de l’immobilier de bureaux parisien faite par </w:t>
      </w:r>
      <w:proofErr w:type="spellStart"/>
      <w:r>
        <w:t>Nappi-Choulet</w:t>
      </w:r>
      <w:proofErr w:type="spellEnd"/>
      <w:r>
        <w:t xml:space="preserve"> et Ma</w:t>
      </w:r>
      <w:r>
        <w:t>ury en 2008. La modélisation du marché par ces auteurs s’est basée sur les données statistiques du marché et a pour but de faire une modélisation spatio-temporelle auto régressive (STAR). Cette modélisation permet d’expliquer les variations du prix de l’im</w:t>
      </w:r>
      <w:r>
        <w:t xml:space="preserve">mobilier de bureaux dans la région parisienne et spécialement dans le Quartier Centrale d’Affaires et la Défense. Ils commencent par présenter le modèle de régression hédonique simple qui permet d’étudier le marché, qu’ils notent </w:t>
      </w:r>
      <w:r>
        <w:rPr>
          <w:b/>
          <w:i/>
        </w:rPr>
        <w:t>MODEL I :</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177" w:line="153" w:lineRule="exact"/>
        <w:ind w:left="116"/>
        <w:rPr>
          <w:rFonts w:ascii="DejaVu Serif" w:hAnsi="DejaVu Serif"/>
        </w:rPr>
      </w:pPr>
      <w:r>
        <w:t>Ln (</w:t>
      </w:r>
      <w:r>
        <w:rPr>
          <w:rFonts w:ascii="DejaVu Serif" w:hAnsi="DejaVu Serif"/>
        </w:rPr>
        <w:t>P</w:t>
      </w:r>
      <w:r>
        <w:rPr>
          <w:rFonts w:ascii="DejaVu Serif" w:hAnsi="DejaVu Serif"/>
          <w:vertAlign w:val="superscript"/>
        </w:rPr>
        <w:t>t</w:t>
      </w:r>
      <w:r>
        <w:t xml:space="preserve">) = α + </w:t>
      </w:r>
      <w:r>
        <w:rPr>
          <w:rFonts w:ascii="DejaVu Serif" w:hAnsi="DejaVu Serif"/>
          <w:position w:val="1"/>
        </w:rPr>
        <w:t>∑</w:t>
      </w:r>
      <w:r>
        <w:rPr>
          <w:rFonts w:ascii="DejaVu Serif" w:hAnsi="DejaVu Serif"/>
          <w:position w:val="1"/>
          <w:vertAlign w:val="superscript"/>
        </w:rPr>
        <w:t>K</w:t>
      </w:r>
    </w:p>
    <w:p w:rsidR="001E2BFD" w:rsidRDefault="000D319E">
      <w:pPr>
        <w:pStyle w:val="Corpsdetexte"/>
        <w:spacing w:before="177" w:line="153" w:lineRule="exact"/>
        <w:ind w:left="116"/>
        <w:rPr>
          <w:rFonts w:ascii="DejaVu Serif" w:hAnsi="DejaVu Serif"/>
        </w:rPr>
      </w:pPr>
      <w:r>
        <w:br w:type="column"/>
      </w:r>
      <w:proofErr w:type="gramStart"/>
      <w:r>
        <w:rPr>
          <w:rFonts w:ascii="DejaVu Serif" w:hAnsi="DejaVu Serif"/>
        </w:rPr>
        <w:t>β</w:t>
      </w:r>
      <w:proofErr w:type="gramEnd"/>
      <w:r>
        <w:rPr>
          <w:rFonts w:ascii="DejaVu Serif" w:hAnsi="DejaVu Serif"/>
          <w:vertAlign w:val="subscript"/>
        </w:rPr>
        <w:t>k</w:t>
      </w:r>
      <w:r>
        <w:rPr>
          <w:rFonts w:ascii="DejaVu Serif" w:hAnsi="DejaVu Serif"/>
        </w:rPr>
        <w:t xml:space="preserve"> </w:t>
      </w:r>
      <w:proofErr w:type="spellStart"/>
      <w:r>
        <w:rPr>
          <w:rFonts w:ascii="DejaVu Serif" w:hAnsi="DejaVu Serif"/>
        </w:rPr>
        <w:t>z</w:t>
      </w:r>
      <w:r>
        <w:rPr>
          <w:rFonts w:ascii="DejaVu Serif" w:hAnsi="DejaVu Serif"/>
          <w:vertAlign w:val="superscript"/>
        </w:rPr>
        <w:t>t</w:t>
      </w:r>
      <w:proofErr w:type="spellEnd"/>
      <w:r>
        <w:rPr>
          <w:rFonts w:ascii="DejaVu Serif" w:hAnsi="DejaVu Serif"/>
        </w:rPr>
        <w:t xml:space="preserve"> </w:t>
      </w:r>
      <w:r>
        <w:t xml:space="preserve">+ </w:t>
      </w:r>
      <w:r>
        <w:rPr>
          <w:rFonts w:ascii="DejaVu Serif" w:hAnsi="DejaVu Serif"/>
          <w:position w:val="1"/>
        </w:rPr>
        <w:t>∑</w:t>
      </w:r>
      <w:r>
        <w:rPr>
          <w:rFonts w:ascii="DejaVu Serif" w:hAnsi="DejaVu Serif"/>
          <w:position w:val="1"/>
          <w:vertAlign w:val="superscript"/>
        </w:rPr>
        <w:t>L</w:t>
      </w:r>
    </w:p>
    <w:p w:rsidR="001E2BFD" w:rsidRDefault="000D319E">
      <w:pPr>
        <w:spacing w:before="160" w:line="170" w:lineRule="exact"/>
        <w:ind w:left="116"/>
        <w:rPr>
          <w:rFonts w:ascii="DejaVu Serif" w:hAnsi="DejaVu Serif"/>
          <w:sz w:val="17"/>
        </w:rPr>
      </w:pPr>
      <w:r>
        <w:br w:type="column"/>
      </w:r>
      <w:r>
        <w:rPr>
          <w:rFonts w:ascii="DejaVu Serif" w:hAnsi="DejaVu Serif"/>
          <w:position w:val="5"/>
          <w:sz w:val="24"/>
        </w:rPr>
        <w:t>Ɣ</w:t>
      </w:r>
      <w:r>
        <w:rPr>
          <w:rFonts w:ascii="DejaVu Serif" w:hAnsi="DejaVu Serif"/>
          <w:sz w:val="17"/>
        </w:rPr>
        <w:t xml:space="preserve">J </w:t>
      </w:r>
      <w:proofErr w:type="gramStart"/>
      <w:r>
        <w:rPr>
          <w:rFonts w:ascii="DejaVu Serif" w:hAnsi="DejaVu Serif"/>
          <w:position w:val="5"/>
          <w:sz w:val="24"/>
        </w:rPr>
        <w:t>l</w:t>
      </w:r>
      <w:proofErr w:type="spellStart"/>
      <w:r>
        <w:rPr>
          <w:rFonts w:ascii="DejaVu Serif" w:hAnsi="DejaVu Serif"/>
          <w:sz w:val="17"/>
        </w:rPr>
        <w:t>i,j</w:t>
      </w:r>
      <w:proofErr w:type="spellEnd"/>
      <w:proofErr w:type="gramEnd"/>
      <w:r>
        <w:rPr>
          <w:rFonts w:ascii="DejaVu Serif" w:hAnsi="DejaVu Serif"/>
          <w:sz w:val="17"/>
        </w:rPr>
        <w:t xml:space="preserve"> </w:t>
      </w:r>
      <w:r>
        <w:rPr>
          <w:position w:val="5"/>
          <w:sz w:val="24"/>
        </w:rPr>
        <w:t xml:space="preserve">+ </w:t>
      </w:r>
      <w:r>
        <w:rPr>
          <w:rFonts w:ascii="DejaVu Serif" w:hAnsi="DejaVu Serif"/>
          <w:position w:val="6"/>
          <w:sz w:val="24"/>
        </w:rPr>
        <w:t>∑</w:t>
      </w:r>
      <w:r>
        <w:rPr>
          <w:rFonts w:ascii="DejaVu Serif" w:hAnsi="DejaVu Serif"/>
          <w:position w:val="14"/>
          <w:sz w:val="17"/>
        </w:rPr>
        <w:t>T</w:t>
      </w:r>
    </w:p>
    <w:p w:rsidR="001E2BFD" w:rsidRDefault="000D319E">
      <w:pPr>
        <w:spacing w:before="184" w:line="146" w:lineRule="exact"/>
        <w:ind w:left="116"/>
        <w:rPr>
          <w:rFonts w:ascii="DejaVu Serif" w:hAnsi="DejaVu Serif"/>
          <w:sz w:val="17"/>
        </w:rPr>
      </w:pPr>
      <w:r>
        <w:br w:type="column"/>
      </w:r>
      <w:proofErr w:type="gramStart"/>
      <w:r>
        <w:rPr>
          <w:rFonts w:ascii="DejaVu Serif" w:hAnsi="DejaVu Serif"/>
          <w:position w:val="5"/>
          <w:sz w:val="24"/>
        </w:rPr>
        <w:t>δ</w:t>
      </w:r>
      <w:proofErr w:type="gramEnd"/>
      <w:r>
        <w:rPr>
          <w:rFonts w:ascii="DejaVu Serif" w:hAnsi="DejaVu Serif"/>
          <w:sz w:val="17"/>
        </w:rPr>
        <w:t xml:space="preserve">r </w:t>
      </w:r>
      <w:r>
        <w:rPr>
          <w:rFonts w:ascii="DejaVu Serif" w:hAnsi="DejaVu Serif"/>
          <w:position w:val="5"/>
          <w:sz w:val="24"/>
        </w:rPr>
        <w:t>d</w:t>
      </w:r>
      <w:proofErr w:type="spellStart"/>
      <w:r>
        <w:rPr>
          <w:rFonts w:ascii="DejaVu Serif" w:hAnsi="DejaVu Serif"/>
          <w:sz w:val="17"/>
        </w:rPr>
        <w:t>i,t</w:t>
      </w:r>
      <w:proofErr w:type="spellEnd"/>
      <w:r>
        <w:rPr>
          <w:position w:val="5"/>
          <w:sz w:val="24"/>
        </w:rPr>
        <w:t xml:space="preserve">+ </w:t>
      </w:r>
      <w:r>
        <w:rPr>
          <w:rFonts w:ascii="DejaVu Serif" w:hAnsi="DejaVu Serif"/>
          <w:position w:val="5"/>
          <w:sz w:val="24"/>
        </w:rPr>
        <w:t>ɛ</w:t>
      </w:r>
      <w:r>
        <w:rPr>
          <w:rFonts w:ascii="DejaVu Serif" w:hAnsi="DejaVu Serif"/>
          <w:sz w:val="17"/>
        </w:rPr>
        <w:t>i</w:t>
      </w:r>
    </w:p>
    <w:p w:rsidR="001E2BFD" w:rsidRDefault="001E2BFD">
      <w:pPr>
        <w:spacing w:line="146" w:lineRule="exact"/>
        <w:rPr>
          <w:rFonts w:ascii="DejaVu Serif" w:hAnsi="DejaVu Serif"/>
          <w:sz w:val="17"/>
        </w:rPr>
        <w:sectPr w:rsidR="001E2BFD">
          <w:type w:val="continuous"/>
          <w:pgSz w:w="11910" w:h="16840"/>
          <w:pgMar w:top="1580" w:right="1300" w:bottom="1200" w:left="1300" w:header="720" w:footer="720" w:gutter="0"/>
          <w:cols w:num="4" w:space="720" w:equalWidth="0">
            <w:col w:w="1851" w:space="84"/>
            <w:col w:w="1396" w:space="59"/>
            <w:col w:w="1230" w:space="72"/>
            <w:col w:w="4618"/>
          </w:cols>
        </w:sectPr>
      </w:pPr>
    </w:p>
    <w:p w:rsidR="001E2BFD" w:rsidRDefault="000D319E">
      <w:pPr>
        <w:tabs>
          <w:tab w:val="left" w:pos="1690"/>
        </w:tabs>
        <w:spacing w:line="178" w:lineRule="exact"/>
        <w:ind w:left="627"/>
        <w:rPr>
          <w:rFonts w:ascii="DejaVu Serif"/>
          <w:sz w:val="17"/>
        </w:rPr>
      </w:pPr>
      <w:proofErr w:type="gramStart"/>
      <w:r>
        <w:rPr>
          <w:rFonts w:ascii="DejaVu Serif"/>
          <w:sz w:val="17"/>
        </w:rPr>
        <w:t>i</w:t>
      </w:r>
      <w:proofErr w:type="gramEnd"/>
      <w:r>
        <w:rPr>
          <w:rFonts w:ascii="DejaVu Serif"/>
          <w:sz w:val="17"/>
        </w:rPr>
        <w:tab/>
      </w:r>
      <w:r>
        <w:rPr>
          <w:rFonts w:ascii="DejaVu Serif"/>
          <w:w w:val="90"/>
          <w:sz w:val="17"/>
        </w:rPr>
        <w:t>k=1</w:t>
      </w:r>
    </w:p>
    <w:p w:rsidR="001E2BFD" w:rsidRDefault="000D319E">
      <w:pPr>
        <w:spacing w:line="180" w:lineRule="exact"/>
        <w:ind w:left="387"/>
        <w:rPr>
          <w:rFonts w:ascii="DejaVu Serif"/>
          <w:sz w:val="17"/>
        </w:rPr>
      </w:pPr>
      <w:r>
        <w:br w:type="column"/>
      </w:r>
      <w:proofErr w:type="spellStart"/>
      <w:proofErr w:type="gramStart"/>
      <w:r>
        <w:rPr>
          <w:rFonts w:ascii="DejaVu Serif"/>
          <w:w w:val="90"/>
          <w:sz w:val="17"/>
        </w:rPr>
        <w:t>i,k</w:t>
      </w:r>
      <w:proofErr w:type="spellEnd"/>
      <w:proofErr w:type="gramEnd"/>
    </w:p>
    <w:p w:rsidR="001E2BFD" w:rsidRDefault="000D319E">
      <w:pPr>
        <w:spacing w:line="178" w:lineRule="exact"/>
        <w:ind w:left="512"/>
        <w:rPr>
          <w:rFonts w:ascii="DejaVu Serif"/>
          <w:sz w:val="17"/>
        </w:rPr>
      </w:pPr>
      <w:r>
        <w:br w:type="column"/>
      </w:r>
      <w:proofErr w:type="gramStart"/>
      <w:r>
        <w:rPr>
          <w:rFonts w:ascii="DejaVu Serif"/>
          <w:w w:val="95"/>
          <w:sz w:val="17"/>
        </w:rPr>
        <w:t>j</w:t>
      </w:r>
      <w:proofErr w:type="gramEnd"/>
      <w:r>
        <w:rPr>
          <w:rFonts w:ascii="DejaVu Serif"/>
          <w:w w:val="95"/>
          <w:sz w:val="17"/>
        </w:rPr>
        <w:t>=2</w:t>
      </w:r>
    </w:p>
    <w:p w:rsidR="001E2BFD" w:rsidRDefault="000D319E">
      <w:pPr>
        <w:spacing w:line="173" w:lineRule="exact"/>
        <w:ind w:left="627"/>
        <w:rPr>
          <w:rFonts w:ascii="DejaVu Serif"/>
          <w:sz w:val="17"/>
        </w:rPr>
      </w:pPr>
      <w:r>
        <w:br w:type="column"/>
      </w:r>
      <w:proofErr w:type="gramStart"/>
      <w:r>
        <w:rPr>
          <w:rFonts w:ascii="DejaVu Serif"/>
          <w:sz w:val="17"/>
        </w:rPr>
        <w:t>r</w:t>
      </w:r>
      <w:proofErr w:type="gramEnd"/>
      <w:r>
        <w:rPr>
          <w:rFonts w:ascii="DejaVu Serif"/>
          <w:sz w:val="17"/>
        </w:rPr>
        <w:t>=2</w:t>
      </w:r>
    </w:p>
    <w:p w:rsidR="001E2BFD" w:rsidRDefault="001E2BFD">
      <w:pPr>
        <w:spacing w:line="173" w:lineRule="exact"/>
        <w:rPr>
          <w:rFonts w:ascii="DejaVu Serif"/>
          <w:sz w:val="17"/>
        </w:rPr>
        <w:sectPr w:rsidR="001E2BFD">
          <w:type w:val="continuous"/>
          <w:pgSz w:w="11910" w:h="16840"/>
          <w:pgMar w:top="1580" w:right="1300" w:bottom="1200" w:left="1300" w:header="720" w:footer="720" w:gutter="0"/>
          <w:cols w:num="4" w:space="720" w:equalWidth="0">
            <w:col w:w="2016" w:space="40"/>
            <w:col w:w="581" w:space="39"/>
            <w:col w:w="829" w:space="336"/>
            <w:col w:w="5469"/>
          </w:cols>
        </w:sectPr>
      </w:pPr>
    </w:p>
    <w:p w:rsidR="001E2BFD" w:rsidRDefault="001E2BFD">
      <w:pPr>
        <w:pStyle w:val="Corpsdetexte"/>
        <w:spacing w:before="4"/>
        <w:rPr>
          <w:rFonts w:ascii="DejaVu Serif"/>
          <w:sz w:val="17"/>
        </w:rPr>
      </w:pPr>
    </w:p>
    <w:p w:rsidR="001E2BFD" w:rsidRDefault="000D319E">
      <w:pPr>
        <w:pStyle w:val="Corpsdetexte"/>
        <w:spacing w:before="90" w:line="372" w:lineRule="auto"/>
        <w:ind w:left="116" w:right="177"/>
      </w:pPr>
      <w:r>
        <w:pict>
          <v:shapetype id="_x0000_t202" coordsize="21600,21600" o:spt="202" path="m,l,21600r21600,l21600,xe">
            <v:stroke joinstyle="miter"/>
            <v:path gradientshapeok="t" o:connecttype="rect"/>
          </v:shapetype>
          <v:shape id="_x0000_s1031" type="#_x0000_t202" style="position:absolute;left:0;text-align:left;margin-left:198.55pt;margin-top:54.2pt;width:9.6pt;height:8.55pt;z-index:-11680;mso-position-horizontal-relative:page" filled="f" stroked="f">
            <v:textbox inset="0,0,0,0">
              <w:txbxContent>
                <w:p w:rsidR="001E2BFD" w:rsidRDefault="000D319E">
                  <w:pPr>
                    <w:spacing w:line="171" w:lineRule="exact"/>
                    <w:rPr>
                      <w:rFonts w:ascii="DejaVu Serif"/>
                      <w:sz w:val="17"/>
                    </w:rPr>
                  </w:pPr>
                  <w:proofErr w:type="spellStart"/>
                  <w:proofErr w:type="gramStart"/>
                  <w:r>
                    <w:rPr>
                      <w:rFonts w:ascii="DejaVu Serif"/>
                      <w:w w:val="90"/>
                      <w:sz w:val="17"/>
                    </w:rPr>
                    <w:t>i,k</w:t>
                  </w:r>
                  <w:proofErr w:type="spellEnd"/>
                  <w:proofErr w:type="gramEnd"/>
                </w:p>
              </w:txbxContent>
            </v:textbox>
            <w10:wrap anchorx="page"/>
          </v:shape>
        </w:pict>
      </w:r>
      <w:r>
        <w:t xml:space="preserve">Le nombre d’observations est donné </w:t>
      </w:r>
      <w:r w:rsidR="00D15EAE">
        <w:t>par i</w:t>
      </w:r>
      <w:r>
        <w:t xml:space="preserve">= 1,2…. N avec N l’ensemble des observations, T le nombre d’années, L est le nombre de sous marché temporel. </w:t>
      </w:r>
      <w:proofErr w:type="gramStart"/>
      <w:r>
        <w:t>Ln(</w:t>
      </w:r>
      <w:proofErr w:type="gramEnd"/>
      <w:r>
        <w:t xml:space="preserve">Pt) est le prix de l’immobilier de bureaux, </w:t>
      </w:r>
      <w:proofErr w:type="spellStart"/>
      <w:r>
        <w:rPr>
          <w:rFonts w:ascii="DejaVu Serif" w:eastAsia="DejaVu Serif" w:hAnsi="DejaVu Serif"/>
          <w:spacing w:val="4"/>
        </w:rPr>
        <w:t>z</w:t>
      </w:r>
      <w:r>
        <w:rPr>
          <w:rFonts w:ascii="DejaVu Serif" w:eastAsia="DejaVu Serif" w:hAnsi="DejaVu Serif"/>
          <w:spacing w:val="4"/>
          <w:vertAlign w:val="superscript"/>
        </w:rPr>
        <w:t>t</w:t>
      </w:r>
      <w:proofErr w:type="spellEnd"/>
      <w:r>
        <w:rPr>
          <w:rFonts w:ascii="DejaVu Serif" w:eastAsia="DejaVu Serif" w:hAnsi="DejaVu Serif"/>
          <w:spacing w:val="-4"/>
        </w:rPr>
        <w:t xml:space="preserve"> </w:t>
      </w:r>
      <w:r>
        <w:t xml:space="preserve">correspond aux k composantes de propriété i, </w:t>
      </w:r>
      <w:r>
        <w:rPr>
          <w:rFonts w:ascii="DejaVu Serif" w:eastAsia="DejaVu Serif" w:hAnsi="DejaVu Serif"/>
        </w:rPr>
        <w:t>𝐷</w:t>
      </w:r>
      <w:r>
        <w:rPr>
          <w:rFonts w:ascii="DejaVu Serif" w:eastAsia="DejaVu Serif" w:hAnsi="DejaVu Serif"/>
          <w:vertAlign w:val="subscript"/>
        </w:rPr>
        <w:t>𝑖</w:t>
      </w:r>
      <w:r>
        <w:rPr>
          <w:rFonts w:ascii="DejaVu Serif" w:eastAsia="DejaVu Serif" w:hAnsi="DejaVu Serif"/>
          <w:vertAlign w:val="subscript"/>
        </w:rPr>
        <w:t>,</w:t>
      </w:r>
      <w:r>
        <w:rPr>
          <w:rFonts w:ascii="DejaVu Serif" w:eastAsia="DejaVu Serif" w:hAnsi="DejaVu Serif"/>
          <w:vertAlign w:val="subscript"/>
        </w:rPr>
        <w:t>𝑡</w:t>
      </w:r>
      <w:r>
        <w:rPr>
          <w:rFonts w:ascii="DejaVu Serif" w:eastAsia="DejaVu Serif" w:hAnsi="DejaVu Serif"/>
        </w:rPr>
        <w:t xml:space="preserve"> </w:t>
      </w:r>
      <w:r>
        <w:t>c’e</w:t>
      </w:r>
      <w:r>
        <w:t>st si le bien a</w:t>
      </w:r>
      <w:r>
        <w:rPr>
          <w:spacing w:val="-8"/>
        </w:rPr>
        <w:t xml:space="preserve"> </w:t>
      </w:r>
      <w:r>
        <w:t>été</w:t>
      </w:r>
      <w:r>
        <w:rPr>
          <w:spacing w:val="-6"/>
        </w:rPr>
        <w:t xml:space="preserve"> </w:t>
      </w:r>
      <w:r>
        <w:t>vendu</w:t>
      </w:r>
      <w:r>
        <w:rPr>
          <w:spacing w:val="-6"/>
        </w:rPr>
        <w:t xml:space="preserve"> </w:t>
      </w:r>
      <w:r>
        <w:t>sur</w:t>
      </w:r>
      <w:r>
        <w:rPr>
          <w:spacing w:val="-6"/>
        </w:rPr>
        <w:t xml:space="preserve"> </w:t>
      </w:r>
      <w:r>
        <w:t>le</w:t>
      </w:r>
      <w:r>
        <w:rPr>
          <w:spacing w:val="-8"/>
        </w:rPr>
        <w:t xml:space="preserve"> </w:t>
      </w:r>
      <w:r>
        <w:t>marché</w:t>
      </w:r>
      <w:r>
        <w:rPr>
          <w:spacing w:val="-4"/>
        </w:rPr>
        <w:t xml:space="preserve"> </w:t>
      </w:r>
      <w:r>
        <w:t>à</w:t>
      </w:r>
      <w:r>
        <w:rPr>
          <w:spacing w:val="-8"/>
        </w:rPr>
        <w:t xml:space="preserve"> </w:t>
      </w:r>
      <w:r>
        <w:t>la</w:t>
      </w:r>
      <w:r>
        <w:rPr>
          <w:spacing w:val="-6"/>
        </w:rPr>
        <w:t xml:space="preserve"> </w:t>
      </w:r>
      <w:r>
        <w:t>date</w:t>
      </w:r>
      <w:r>
        <w:rPr>
          <w:spacing w:val="-6"/>
        </w:rPr>
        <w:t xml:space="preserve"> </w:t>
      </w:r>
      <w:r>
        <w:t>t</w:t>
      </w:r>
      <w:r>
        <w:rPr>
          <w:spacing w:val="-6"/>
        </w:rPr>
        <w:t xml:space="preserve"> </w:t>
      </w:r>
      <w:r>
        <w:t>et</w:t>
      </w:r>
      <w:r>
        <w:rPr>
          <w:spacing w:val="-4"/>
        </w:rPr>
        <w:t xml:space="preserve"> </w:t>
      </w:r>
      <w:r>
        <w:rPr>
          <w:rFonts w:ascii="DejaVu Serif" w:eastAsia="DejaVu Serif" w:hAnsi="DejaVu Serif"/>
          <w:spacing w:val="-3"/>
        </w:rPr>
        <w:t>𝐼</w:t>
      </w:r>
      <w:r>
        <w:rPr>
          <w:rFonts w:ascii="DejaVu Serif" w:eastAsia="DejaVu Serif" w:hAnsi="DejaVu Serif"/>
          <w:spacing w:val="-3"/>
          <w:vertAlign w:val="subscript"/>
        </w:rPr>
        <w:t>𝑖</w:t>
      </w:r>
      <w:r>
        <w:rPr>
          <w:rFonts w:ascii="DejaVu Serif" w:eastAsia="DejaVu Serif" w:hAnsi="DejaVu Serif"/>
          <w:spacing w:val="-3"/>
          <w:vertAlign w:val="subscript"/>
        </w:rPr>
        <w:t>,</w:t>
      </w:r>
      <w:r>
        <w:rPr>
          <w:rFonts w:ascii="DejaVu Serif" w:eastAsia="DejaVu Serif" w:hAnsi="DejaVu Serif"/>
          <w:spacing w:val="-3"/>
          <w:vertAlign w:val="subscript"/>
        </w:rPr>
        <w:t>𝑗</w:t>
      </w:r>
      <w:r>
        <w:rPr>
          <w:rFonts w:ascii="DejaVu Serif" w:eastAsia="DejaVu Serif" w:hAnsi="DejaVu Serif"/>
          <w:spacing w:val="-8"/>
        </w:rPr>
        <w:t xml:space="preserve"> </w:t>
      </w:r>
      <w:r>
        <w:t>veut</w:t>
      </w:r>
      <w:r>
        <w:rPr>
          <w:spacing w:val="-6"/>
        </w:rPr>
        <w:t xml:space="preserve"> </w:t>
      </w:r>
      <w:r>
        <w:t>dire</w:t>
      </w:r>
      <w:r>
        <w:rPr>
          <w:spacing w:val="-8"/>
        </w:rPr>
        <w:t xml:space="preserve"> </w:t>
      </w:r>
      <w:r>
        <w:t>que</w:t>
      </w:r>
      <w:r>
        <w:rPr>
          <w:spacing w:val="-8"/>
        </w:rPr>
        <w:t xml:space="preserve"> </w:t>
      </w:r>
      <w:r>
        <w:t>le</w:t>
      </w:r>
      <w:r>
        <w:rPr>
          <w:spacing w:val="-6"/>
        </w:rPr>
        <w:t xml:space="preserve"> </w:t>
      </w:r>
      <w:r>
        <w:t>bien</w:t>
      </w:r>
      <w:r>
        <w:rPr>
          <w:spacing w:val="-6"/>
        </w:rPr>
        <w:t xml:space="preserve"> </w:t>
      </w:r>
      <w:r>
        <w:t>a</w:t>
      </w:r>
      <w:r>
        <w:rPr>
          <w:spacing w:val="-5"/>
        </w:rPr>
        <w:t xml:space="preserve"> </w:t>
      </w:r>
      <w:r>
        <w:t>été</w:t>
      </w:r>
      <w:r>
        <w:rPr>
          <w:spacing w:val="-6"/>
        </w:rPr>
        <w:t xml:space="preserve"> </w:t>
      </w:r>
      <w:r>
        <w:t>vendu</w:t>
      </w:r>
      <w:r>
        <w:rPr>
          <w:spacing w:val="-7"/>
        </w:rPr>
        <w:t xml:space="preserve"> </w:t>
      </w:r>
      <w:r>
        <w:t>sur</w:t>
      </w:r>
      <w:r>
        <w:rPr>
          <w:spacing w:val="-5"/>
        </w:rPr>
        <w:t xml:space="preserve"> </w:t>
      </w:r>
      <w:r>
        <w:t>le</w:t>
      </w:r>
      <w:r>
        <w:rPr>
          <w:spacing w:val="-6"/>
        </w:rPr>
        <w:t xml:space="preserve"> </w:t>
      </w:r>
      <w:r>
        <w:t>sous</w:t>
      </w:r>
      <w:r>
        <w:rPr>
          <w:spacing w:val="-6"/>
        </w:rPr>
        <w:t xml:space="preserve"> </w:t>
      </w:r>
      <w:r>
        <w:t xml:space="preserve">marché de l’immobilier de bureaux parisien (j), ici les sous marchés correspondent au marché du Quartier Centrale d’Affaires et celui de La Défense, </w:t>
      </w:r>
      <w:proofErr w:type="spellStart"/>
      <w:r>
        <w:rPr>
          <w:rFonts w:ascii="DejaVu Serif" w:eastAsia="DejaVu Serif" w:hAnsi="DejaVu Serif"/>
        </w:rPr>
        <w:t>ɛ</w:t>
      </w:r>
      <w:r>
        <w:rPr>
          <w:rFonts w:ascii="DejaVu Serif" w:eastAsia="DejaVu Serif" w:hAnsi="DejaVu Serif"/>
          <w:vertAlign w:val="subscript"/>
        </w:rPr>
        <w:t>i</w:t>
      </w:r>
      <w:proofErr w:type="spellEnd"/>
      <w:r>
        <w:rPr>
          <w:rFonts w:ascii="DejaVu Serif" w:eastAsia="DejaVu Serif" w:hAnsi="DejaVu Serif"/>
        </w:rPr>
        <w:t xml:space="preserve"> </w:t>
      </w:r>
      <w:r>
        <w:t>est le résidu de l’estimation.</w:t>
      </w:r>
      <w:r>
        <w:rPr>
          <w:spacing w:val="-25"/>
        </w:rPr>
        <w:t xml:space="preserve"> </w:t>
      </w:r>
      <w:r>
        <w:t>Ils</w:t>
      </w:r>
    </w:p>
    <w:p w:rsidR="001E2BFD" w:rsidRDefault="001E2BFD">
      <w:pPr>
        <w:spacing w:line="372" w:lineRule="auto"/>
        <w:sectPr w:rsidR="001E2BFD">
          <w:type w:val="continuous"/>
          <w:pgSz w:w="11910" w:h="16840"/>
          <w:pgMar w:top="1580" w:right="1300" w:bottom="1200" w:left="1300" w:header="720" w:footer="720" w:gutter="0"/>
          <w:cols w:space="720"/>
        </w:sectPr>
      </w:pPr>
    </w:p>
    <w:p w:rsidR="001E2BFD" w:rsidRDefault="000D319E">
      <w:pPr>
        <w:pStyle w:val="Corpsdetexte"/>
        <w:spacing w:before="72" w:line="360" w:lineRule="auto"/>
        <w:ind w:left="116" w:right="136"/>
      </w:pPr>
      <w:proofErr w:type="gramStart"/>
      <w:r>
        <w:lastRenderedPageBreak/>
        <w:t>estiment</w:t>
      </w:r>
      <w:proofErr w:type="gramEnd"/>
      <w:r>
        <w:t xml:space="preserve"> de manière endogène la fonction du prix de v</w:t>
      </w:r>
      <w:r>
        <w:t>ente et ces variables explicatives en utilisant la méthode du Box-Cox, si la méthode est vérifiée la variation du prix sera uniquement expliquée par les exponentielles des variations temporelles et non par les caractéristiques choisies. Cela pose un problè</w:t>
      </w:r>
      <w:r>
        <w:t xml:space="preserve">me, la corrélation spatio-temporelle est négligée dans ce modèle alors que la variable spatio-temporelle affecte les prix, le deuxième problème vient du fait que l’hétérogénéité spatio-temporelle n’est pas non plus </w:t>
      </w:r>
      <w:r w:rsidR="00D15EAE">
        <w:t>prise</w:t>
      </w:r>
      <w:r>
        <w:t xml:space="preserve"> en compte ce qui peut fortement </w:t>
      </w:r>
      <w:proofErr w:type="gramStart"/>
      <w:r>
        <w:t>biai</w:t>
      </w:r>
      <w:r>
        <w:t>sé</w:t>
      </w:r>
      <w:proofErr w:type="gramEnd"/>
      <w:r>
        <w:t xml:space="preserve"> les résultats et les estimations. Les auteurs décident donc d’utiliser la méthode du STAR pour modéliser le marché de l’immobilier de bureau francilien. Ils ajoutent à l’équation simple hédonique une variable spatio-temporelle en se basant sur la méthod</w:t>
      </w:r>
      <w:r>
        <w:t>e utilisée au préalable par Barry, Clap et Rodriguez en 1998 pour réduire les problèmes liés à la dépendance spatio-temporelle des prix de loyers.</w:t>
      </w:r>
    </w:p>
    <w:p w:rsidR="001E2BFD" w:rsidRDefault="000D319E">
      <w:pPr>
        <w:pStyle w:val="Corpsdetexte"/>
        <w:spacing w:before="161" w:line="360" w:lineRule="auto"/>
        <w:ind w:left="116" w:right="242"/>
      </w:pPr>
      <w:r>
        <w:t>(I-</w:t>
      </w:r>
      <w:proofErr w:type="gramStart"/>
      <w:r>
        <w:t>W)P</w:t>
      </w:r>
      <w:proofErr w:type="gramEnd"/>
      <w:r>
        <w:t>=</w:t>
      </w:r>
      <w:r>
        <w:rPr>
          <w:spacing w:val="-8"/>
        </w:rPr>
        <w:t xml:space="preserve"> </w:t>
      </w:r>
      <w:r>
        <w:t>(I-W)</w:t>
      </w:r>
      <w:r>
        <w:rPr>
          <w:spacing w:val="-7"/>
        </w:rPr>
        <w:t xml:space="preserve"> </w:t>
      </w:r>
      <w:r>
        <w:t>Xβ+ɛ</w:t>
      </w:r>
      <w:r>
        <w:rPr>
          <w:spacing w:val="-6"/>
        </w:rPr>
        <w:t xml:space="preserve"> </w:t>
      </w:r>
      <w:r>
        <w:t>avec</w:t>
      </w:r>
      <w:r>
        <w:rPr>
          <w:spacing w:val="-8"/>
        </w:rPr>
        <w:t xml:space="preserve"> </w:t>
      </w:r>
      <w:r>
        <w:t>P</w:t>
      </w:r>
      <w:r>
        <w:rPr>
          <w:spacing w:val="-7"/>
        </w:rPr>
        <w:t xml:space="preserve"> </w:t>
      </w:r>
      <w:r>
        <w:t>le</w:t>
      </w:r>
      <w:r>
        <w:rPr>
          <w:spacing w:val="-6"/>
        </w:rPr>
        <w:t xml:space="preserve"> </w:t>
      </w:r>
      <w:r>
        <w:t>logarithme</w:t>
      </w:r>
      <w:r>
        <w:rPr>
          <w:spacing w:val="-8"/>
        </w:rPr>
        <w:t xml:space="preserve"> </w:t>
      </w:r>
      <w:r>
        <w:t>du</w:t>
      </w:r>
      <w:r>
        <w:rPr>
          <w:spacing w:val="-7"/>
        </w:rPr>
        <w:t xml:space="preserve"> </w:t>
      </w:r>
      <w:r>
        <w:t>prix</w:t>
      </w:r>
      <w:r>
        <w:rPr>
          <w:spacing w:val="-4"/>
        </w:rPr>
        <w:t xml:space="preserve"> </w:t>
      </w:r>
      <w:r>
        <w:t>de</w:t>
      </w:r>
      <w:r>
        <w:rPr>
          <w:spacing w:val="-8"/>
        </w:rPr>
        <w:t xml:space="preserve"> </w:t>
      </w:r>
      <w:r>
        <w:t>vente,</w:t>
      </w:r>
      <w:r>
        <w:rPr>
          <w:spacing w:val="-7"/>
        </w:rPr>
        <w:t xml:space="preserve"> </w:t>
      </w:r>
      <w:r>
        <w:t>X</w:t>
      </w:r>
      <w:r>
        <w:rPr>
          <w:spacing w:val="-5"/>
        </w:rPr>
        <w:t xml:space="preserve"> </w:t>
      </w:r>
      <w:r>
        <w:t>est</w:t>
      </w:r>
      <w:r>
        <w:rPr>
          <w:spacing w:val="-7"/>
        </w:rPr>
        <w:t xml:space="preserve"> </w:t>
      </w:r>
      <w:r>
        <w:t>la</w:t>
      </w:r>
      <w:r>
        <w:rPr>
          <w:spacing w:val="-8"/>
        </w:rPr>
        <w:t xml:space="preserve"> </w:t>
      </w:r>
      <w:r>
        <w:t>matrice</w:t>
      </w:r>
      <w:r>
        <w:rPr>
          <w:spacing w:val="-6"/>
        </w:rPr>
        <w:t xml:space="preserve"> </w:t>
      </w:r>
      <w:r>
        <w:t>des</w:t>
      </w:r>
      <w:r>
        <w:rPr>
          <w:spacing w:val="-7"/>
        </w:rPr>
        <w:t xml:space="preserve"> </w:t>
      </w:r>
      <w:r>
        <w:rPr>
          <w:spacing w:val="-3"/>
        </w:rPr>
        <w:t xml:space="preserve">observations </w:t>
      </w:r>
      <w:r>
        <w:t>des variables ind</w:t>
      </w:r>
      <w:r>
        <w:t>épendantes</w:t>
      </w:r>
      <w:r>
        <w:rPr>
          <w:spacing w:val="-1"/>
        </w:rPr>
        <w:t xml:space="preserve"> </w:t>
      </w:r>
      <w:r>
        <w:t>considérées</w:t>
      </w:r>
    </w:p>
    <w:p w:rsidR="001E2BFD" w:rsidRDefault="000D319E">
      <w:pPr>
        <w:pStyle w:val="Corpsdetexte"/>
        <w:tabs>
          <w:tab w:val="left" w:pos="2900"/>
        </w:tabs>
        <w:spacing w:before="160" w:line="360" w:lineRule="auto"/>
        <w:ind w:left="116" w:right="214"/>
      </w:pPr>
      <w:r>
        <w:t xml:space="preserve">W est une matrice qui prend en compte les variables spatiales et temporelles S la matrice spatiale, T la matrice temporelle, </w:t>
      </w:r>
      <w:r>
        <w:rPr>
          <w:rFonts w:ascii="DejaVu Serif" w:eastAsia="DejaVu Serif" w:hAnsi="DejaVu Serif"/>
        </w:rPr>
        <w:t>ɸ</w:t>
      </w:r>
      <w:r>
        <w:rPr>
          <w:rFonts w:ascii="DejaVu Serif" w:eastAsia="DejaVu Serif" w:hAnsi="DejaVu Serif"/>
          <w:vertAlign w:val="subscript"/>
        </w:rPr>
        <w:t>𝑆</w:t>
      </w:r>
      <w:r>
        <w:rPr>
          <w:rFonts w:ascii="DejaVu Serif" w:eastAsia="DejaVu Serif" w:hAnsi="DejaVu Serif"/>
        </w:rPr>
        <w:t xml:space="preserve"> </w:t>
      </w:r>
      <w:r>
        <w:t xml:space="preserve">le paramètre de dépendance spatiale et </w:t>
      </w:r>
      <w:r>
        <w:rPr>
          <w:rFonts w:ascii="DejaVu Serif" w:eastAsia="DejaVu Serif" w:hAnsi="DejaVu Serif"/>
          <w:spacing w:val="3"/>
        </w:rPr>
        <w:t>ɸ</w:t>
      </w:r>
      <w:r>
        <w:rPr>
          <w:rFonts w:ascii="DejaVu Serif" w:eastAsia="DejaVu Serif" w:hAnsi="DejaVu Serif"/>
          <w:spacing w:val="3"/>
          <w:vertAlign w:val="subscript"/>
        </w:rPr>
        <w:t>𝑇</w:t>
      </w:r>
      <w:r>
        <w:rPr>
          <w:rFonts w:ascii="DejaVu Serif" w:eastAsia="DejaVu Serif" w:hAnsi="DejaVu Serif"/>
          <w:spacing w:val="3"/>
        </w:rPr>
        <w:t xml:space="preserve"> </w:t>
      </w:r>
      <w:r>
        <w:t>le paramètre de</w:t>
      </w:r>
      <w:r>
        <w:rPr>
          <w:spacing w:val="-2"/>
        </w:rPr>
        <w:t xml:space="preserve"> </w:t>
      </w:r>
      <w:r>
        <w:t>dépendance</w:t>
      </w:r>
      <w:r>
        <w:rPr>
          <w:spacing w:val="-1"/>
        </w:rPr>
        <w:t xml:space="preserve"> </w:t>
      </w:r>
      <w:r>
        <w:t>temporelle,</w:t>
      </w:r>
      <w:r>
        <w:tab/>
      </w:r>
      <w:r>
        <w:rPr>
          <w:rFonts w:ascii="DejaVu Serif" w:eastAsia="DejaVu Serif" w:hAnsi="DejaVu Serif"/>
        </w:rPr>
        <w:t>ɸ</w:t>
      </w:r>
      <w:r>
        <w:rPr>
          <w:rFonts w:ascii="DejaVu Serif" w:eastAsia="DejaVu Serif" w:hAnsi="DejaVu Serif"/>
          <w:vertAlign w:val="subscript"/>
        </w:rPr>
        <w:t>𝑆𝑇</w:t>
      </w:r>
      <w:r>
        <w:rPr>
          <w:rFonts w:ascii="DejaVu Serif" w:eastAsia="DejaVu Serif" w:hAnsi="DejaVu Serif"/>
        </w:rPr>
        <w:t xml:space="preserve"> </w:t>
      </w:r>
      <w:r>
        <w:t xml:space="preserve">et </w:t>
      </w:r>
      <w:r>
        <w:rPr>
          <w:rFonts w:ascii="DejaVu Serif" w:eastAsia="DejaVu Serif" w:hAnsi="DejaVu Serif"/>
        </w:rPr>
        <w:t>ɸ</w:t>
      </w:r>
      <w:r>
        <w:rPr>
          <w:rFonts w:ascii="DejaVu Serif" w:eastAsia="DejaVu Serif" w:hAnsi="DejaVu Serif"/>
          <w:vertAlign w:val="subscript"/>
        </w:rPr>
        <w:t>𝑇𝑆</w:t>
      </w:r>
      <w:r>
        <w:rPr>
          <w:rFonts w:ascii="DejaVu Serif" w:eastAsia="DejaVu Serif" w:hAnsi="DejaVu Serif"/>
        </w:rPr>
        <w:t xml:space="preserve"> </w:t>
      </w:r>
      <w:r>
        <w:t>sont les paramètres combinés des dépendances spatio-temporelles.</w:t>
      </w:r>
    </w:p>
    <w:p w:rsidR="001E2BFD" w:rsidRDefault="000D319E">
      <w:pPr>
        <w:pStyle w:val="Corpsdetexte"/>
        <w:tabs>
          <w:tab w:val="left" w:pos="1306"/>
        </w:tabs>
        <w:spacing w:before="166"/>
        <w:ind w:left="116"/>
      </w:pPr>
      <w:r>
        <w:t>W=</w:t>
      </w:r>
      <w:r>
        <w:rPr>
          <w:spacing w:val="-2"/>
        </w:rPr>
        <w:t xml:space="preserve"> </w:t>
      </w:r>
      <w:r>
        <w:rPr>
          <w:rFonts w:ascii="DejaVu Serif" w:eastAsia="DejaVu Serif" w:hAnsi="DejaVu Serif"/>
          <w:spacing w:val="3"/>
        </w:rPr>
        <w:t>ɸ</w:t>
      </w:r>
      <w:r>
        <w:rPr>
          <w:rFonts w:ascii="DejaVu Serif" w:eastAsia="DejaVu Serif" w:hAnsi="DejaVu Serif"/>
          <w:spacing w:val="3"/>
          <w:vertAlign w:val="subscript"/>
        </w:rPr>
        <w:t>𝑆</w:t>
      </w:r>
      <w:r>
        <w:rPr>
          <w:spacing w:val="3"/>
        </w:rPr>
        <w:t>S+</w:t>
      </w:r>
      <w:r>
        <w:rPr>
          <w:spacing w:val="3"/>
        </w:rPr>
        <w:tab/>
      </w:r>
      <w:r>
        <w:rPr>
          <w:rFonts w:ascii="DejaVu Serif" w:eastAsia="DejaVu Serif" w:hAnsi="DejaVu Serif"/>
          <w:spacing w:val="7"/>
        </w:rPr>
        <w:t>ɸ</w:t>
      </w:r>
      <w:r>
        <w:rPr>
          <w:rFonts w:ascii="DejaVu Serif" w:eastAsia="DejaVu Serif" w:hAnsi="DejaVu Serif"/>
          <w:spacing w:val="7"/>
          <w:vertAlign w:val="subscript"/>
        </w:rPr>
        <w:t>𝑇</w:t>
      </w:r>
      <w:r>
        <w:rPr>
          <w:spacing w:val="7"/>
        </w:rPr>
        <w:t xml:space="preserve">T </w:t>
      </w:r>
      <w:r>
        <w:t xml:space="preserve">+ </w:t>
      </w:r>
      <w:r>
        <w:rPr>
          <w:rFonts w:ascii="DejaVu Serif" w:eastAsia="DejaVu Serif" w:hAnsi="DejaVu Serif"/>
          <w:spacing w:val="2"/>
        </w:rPr>
        <w:t>ɸ</w:t>
      </w:r>
      <w:r>
        <w:rPr>
          <w:rFonts w:ascii="DejaVu Serif" w:eastAsia="DejaVu Serif" w:hAnsi="DejaVu Serif"/>
          <w:spacing w:val="2"/>
          <w:vertAlign w:val="subscript"/>
        </w:rPr>
        <w:t>𝑆𝑇</w:t>
      </w:r>
      <w:r>
        <w:rPr>
          <w:spacing w:val="2"/>
        </w:rPr>
        <w:t xml:space="preserve">ST </w:t>
      </w:r>
      <w:r>
        <w:t>+</w:t>
      </w:r>
      <w:r>
        <w:rPr>
          <w:spacing w:val="12"/>
        </w:rPr>
        <w:t xml:space="preserve"> </w:t>
      </w:r>
      <w:r>
        <w:rPr>
          <w:rFonts w:ascii="DejaVu Serif" w:eastAsia="DejaVu Serif" w:hAnsi="DejaVu Serif"/>
          <w:spacing w:val="3"/>
        </w:rPr>
        <w:t>ɸ</w:t>
      </w:r>
      <w:r>
        <w:rPr>
          <w:rFonts w:ascii="DejaVu Serif" w:eastAsia="DejaVu Serif" w:hAnsi="DejaVu Serif"/>
          <w:spacing w:val="3"/>
          <w:vertAlign w:val="subscript"/>
        </w:rPr>
        <w:t>𝑇𝑆</w:t>
      </w:r>
      <w:r>
        <w:rPr>
          <w:spacing w:val="3"/>
        </w:rPr>
        <w:t>TS</w:t>
      </w:r>
    </w:p>
    <w:p w:rsidR="001E2BFD" w:rsidRDefault="001E2BFD">
      <w:pPr>
        <w:pStyle w:val="Corpsdetexte"/>
        <w:spacing w:before="3"/>
        <w:rPr>
          <w:sz w:val="26"/>
        </w:rPr>
      </w:pPr>
    </w:p>
    <w:p w:rsidR="001E2BFD" w:rsidRDefault="000D319E">
      <w:pPr>
        <w:pStyle w:val="Corpsdetexte"/>
        <w:tabs>
          <w:tab w:val="left" w:pos="625"/>
        </w:tabs>
        <w:ind w:left="116"/>
      </w:pPr>
      <w:r>
        <w:t>P=</w:t>
      </w:r>
      <w:r>
        <w:tab/>
      </w:r>
      <w:r>
        <w:rPr>
          <w:rFonts w:ascii="DejaVu Serif" w:eastAsia="DejaVu Serif" w:hAnsi="DejaVu Serif"/>
          <w:spacing w:val="-4"/>
        </w:rPr>
        <w:t>𝛽</w:t>
      </w:r>
      <w:r>
        <w:rPr>
          <w:rFonts w:ascii="DejaVu Serif" w:eastAsia="DejaVu Serif" w:hAnsi="DejaVu Serif"/>
          <w:spacing w:val="-4"/>
          <w:vertAlign w:val="subscript"/>
        </w:rPr>
        <w:t>1</w:t>
      </w:r>
      <w:r>
        <w:rPr>
          <w:spacing w:val="-4"/>
        </w:rPr>
        <w:t>+</w:t>
      </w:r>
      <w:r>
        <w:rPr>
          <w:spacing w:val="52"/>
        </w:rPr>
        <w:t xml:space="preserve"> </w:t>
      </w:r>
      <w:r>
        <w:t>TX</w:t>
      </w:r>
      <w:r>
        <w:rPr>
          <w:rFonts w:ascii="DejaVu Serif" w:eastAsia="DejaVu Serif" w:hAnsi="DejaVu Serif"/>
        </w:rPr>
        <w:t>𝛽</w:t>
      </w:r>
      <w:r>
        <w:rPr>
          <w:rFonts w:ascii="DejaVu Serif" w:eastAsia="DejaVu Serif" w:hAnsi="DejaVu Serif"/>
          <w:vertAlign w:val="subscript"/>
        </w:rPr>
        <w:t>2</w:t>
      </w:r>
      <w:r>
        <w:t>+ SX</w:t>
      </w:r>
      <w:r>
        <w:rPr>
          <w:rFonts w:ascii="DejaVu Serif" w:eastAsia="DejaVu Serif" w:hAnsi="DejaVu Serif"/>
        </w:rPr>
        <w:t>𝛽</w:t>
      </w:r>
      <w:r>
        <w:rPr>
          <w:rFonts w:ascii="DejaVu Serif" w:eastAsia="DejaVu Serif" w:hAnsi="DejaVu Serif"/>
          <w:vertAlign w:val="subscript"/>
        </w:rPr>
        <w:t>3</w:t>
      </w:r>
      <w:r>
        <w:t xml:space="preserve">+ </w:t>
      </w:r>
      <w:r>
        <w:rPr>
          <w:spacing w:val="-3"/>
        </w:rPr>
        <w:t>STX</w:t>
      </w:r>
      <w:r>
        <w:rPr>
          <w:rFonts w:ascii="DejaVu Serif" w:eastAsia="DejaVu Serif" w:hAnsi="DejaVu Serif"/>
          <w:spacing w:val="-3"/>
        </w:rPr>
        <w:t>𝛽</w:t>
      </w:r>
      <w:r>
        <w:rPr>
          <w:rFonts w:ascii="DejaVu Serif" w:eastAsia="DejaVu Serif" w:hAnsi="DejaVu Serif"/>
          <w:spacing w:val="-3"/>
          <w:vertAlign w:val="subscript"/>
        </w:rPr>
        <w:t>4</w:t>
      </w:r>
      <w:r>
        <w:rPr>
          <w:spacing w:val="-3"/>
        </w:rPr>
        <w:t xml:space="preserve">+ </w:t>
      </w:r>
      <w:r>
        <w:t>TX</w:t>
      </w:r>
      <w:r>
        <w:rPr>
          <w:rFonts w:ascii="DejaVu Serif" w:eastAsia="DejaVu Serif" w:hAnsi="DejaVu Serif"/>
        </w:rPr>
        <w:t>𝛽</w:t>
      </w:r>
      <w:r>
        <w:rPr>
          <w:rFonts w:ascii="DejaVu Serif" w:eastAsia="DejaVu Serif" w:hAnsi="DejaVu Serif"/>
          <w:vertAlign w:val="subscript"/>
        </w:rPr>
        <w:t>5</w:t>
      </w:r>
      <w:r>
        <w:t xml:space="preserve">+ </w:t>
      </w:r>
      <w:r>
        <w:rPr>
          <w:rFonts w:ascii="DejaVu Serif" w:eastAsia="DejaVu Serif" w:hAnsi="DejaVu Serif"/>
          <w:spacing w:val="3"/>
        </w:rPr>
        <w:t>ɸ</w:t>
      </w:r>
      <w:r>
        <w:rPr>
          <w:rFonts w:ascii="DejaVu Serif" w:eastAsia="DejaVu Serif" w:hAnsi="DejaVu Serif"/>
          <w:spacing w:val="3"/>
          <w:vertAlign w:val="subscript"/>
        </w:rPr>
        <w:t>𝑆</w:t>
      </w:r>
      <w:r>
        <w:rPr>
          <w:rFonts w:ascii="DejaVu Serif" w:eastAsia="DejaVu Serif" w:hAnsi="DejaVu Serif"/>
          <w:spacing w:val="3"/>
        </w:rPr>
        <w:t>𝑆𝑃</w:t>
      </w:r>
      <w:r>
        <w:rPr>
          <w:spacing w:val="3"/>
        </w:rPr>
        <w:t xml:space="preserve">+ </w:t>
      </w:r>
      <w:r>
        <w:rPr>
          <w:rFonts w:ascii="DejaVu Serif" w:eastAsia="DejaVu Serif" w:hAnsi="DejaVu Serif"/>
          <w:spacing w:val="5"/>
        </w:rPr>
        <w:t>ɸ</w:t>
      </w:r>
      <w:r>
        <w:rPr>
          <w:rFonts w:ascii="DejaVu Serif" w:eastAsia="DejaVu Serif" w:hAnsi="DejaVu Serif"/>
          <w:spacing w:val="5"/>
          <w:vertAlign w:val="subscript"/>
        </w:rPr>
        <w:t>𝑇</w:t>
      </w:r>
      <w:r>
        <w:rPr>
          <w:rFonts w:ascii="DejaVu Serif" w:eastAsia="DejaVu Serif" w:hAnsi="DejaVu Serif"/>
          <w:spacing w:val="5"/>
        </w:rPr>
        <w:t>𝑃𝑇</w:t>
      </w:r>
      <w:r>
        <w:rPr>
          <w:spacing w:val="5"/>
        </w:rPr>
        <w:t xml:space="preserve">+ </w:t>
      </w:r>
      <w:r>
        <w:rPr>
          <w:rFonts w:ascii="DejaVu Serif" w:eastAsia="DejaVu Serif" w:hAnsi="DejaVu Serif"/>
          <w:spacing w:val="2"/>
        </w:rPr>
        <w:t>ɸ</w:t>
      </w:r>
      <w:r>
        <w:rPr>
          <w:rFonts w:ascii="DejaVu Serif" w:eastAsia="DejaVu Serif" w:hAnsi="DejaVu Serif"/>
          <w:spacing w:val="2"/>
          <w:vertAlign w:val="subscript"/>
        </w:rPr>
        <w:t>𝑆𝑇</w:t>
      </w:r>
      <w:proofErr w:type="spellStart"/>
      <w:r>
        <w:rPr>
          <w:spacing w:val="2"/>
        </w:rPr>
        <w:t>STP+</w:t>
      </w:r>
      <w:r>
        <w:rPr>
          <w:rFonts w:ascii="DejaVu Serif" w:eastAsia="DejaVu Serif" w:hAnsi="DejaVu Serif"/>
          <w:spacing w:val="2"/>
        </w:rPr>
        <w:t>ɸ</w:t>
      </w:r>
      <w:proofErr w:type="spellEnd"/>
      <w:r>
        <w:rPr>
          <w:rFonts w:ascii="DejaVu Serif" w:eastAsia="DejaVu Serif" w:hAnsi="DejaVu Serif"/>
          <w:spacing w:val="2"/>
          <w:vertAlign w:val="subscript"/>
        </w:rPr>
        <w:t>𝑇𝑆</w:t>
      </w:r>
      <w:r>
        <w:rPr>
          <w:rFonts w:ascii="DejaVu Serif" w:eastAsia="DejaVu Serif" w:hAnsi="DejaVu Serif"/>
          <w:spacing w:val="2"/>
        </w:rPr>
        <w:t>𝑇𝑆𝑃</w:t>
      </w:r>
      <w:r>
        <w:rPr>
          <w:rFonts w:ascii="DejaVu Serif" w:eastAsia="DejaVu Serif" w:hAnsi="DejaVu Serif"/>
          <w:spacing w:val="2"/>
        </w:rPr>
        <w:t xml:space="preserve"> </w:t>
      </w:r>
      <w:r>
        <w:rPr>
          <w:rFonts w:ascii="DejaVu Serif" w:eastAsia="DejaVu Serif" w:hAnsi="DejaVu Serif"/>
        </w:rPr>
        <w:t>+</w:t>
      </w:r>
      <w:r>
        <w:rPr>
          <w:rFonts w:ascii="DejaVu Serif" w:eastAsia="DejaVu Serif" w:hAnsi="DejaVu Serif"/>
          <w:spacing w:val="28"/>
        </w:rPr>
        <w:t xml:space="preserve"> </w:t>
      </w:r>
      <w:r>
        <w:rPr>
          <w:w w:val="95"/>
        </w:rPr>
        <w:t>ɛ</w:t>
      </w:r>
    </w:p>
    <w:p w:rsidR="001E2BFD" w:rsidRDefault="001E2BFD">
      <w:pPr>
        <w:pStyle w:val="Corpsdetexte"/>
        <w:spacing w:before="1"/>
        <w:rPr>
          <w:sz w:val="26"/>
        </w:rPr>
      </w:pPr>
    </w:p>
    <w:p w:rsidR="001E2BFD" w:rsidRDefault="000D319E">
      <w:pPr>
        <w:pStyle w:val="Corpsdetexte"/>
        <w:spacing w:before="1"/>
        <w:ind w:left="116"/>
      </w:pPr>
      <w:proofErr w:type="gramStart"/>
      <w:r>
        <w:rPr>
          <w:rFonts w:ascii="DejaVu Serif" w:eastAsia="DejaVu Serif" w:hAnsi="DejaVu Serif"/>
        </w:rPr>
        <w:t>𝐴𝑣𝑒𝑐</w:t>
      </w:r>
      <w:proofErr w:type="gramEnd"/>
      <w:r>
        <w:rPr>
          <w:rFonts w:ascii="DejaVu Serif" w:eastAsia="DejaVu Serif" w:hAnsi="DejaVu Serif"/>
        </w:rPr>
        <w:t xml:space="preserve"> </w:t>
      </w:r>
      <w:r>
        <w:rPr>
          <w:rFonts w:ascii="DejaVu Serif" w:eastAsia="DejaVu Serif" w:hAnsi="DejaVu Serif"/>
          <w:spacing w:val="-10"/>
        </w:rPr>
        <w:t>𝛽</w:t>
      </w:r>
      <w:r>
        <w:rPr>
          <w:rFonts w:ascii="DejaVu Serif" w:eastAsia="DejaVu Serif" w:hAnsi="DejaVu Serif"/>
          <w:spacing w:val="-10"/>
          <w:vertAlign w:val="subscript"/>
        </w:rPr>
        <w:t>1</w:t>
      </w:r>
      <w:r>
        <w:rPr>
          <w:rFonts w:ascii="DejaVu Serif" w:eastAsia="DejaVu Serif" w:hAnsi="DejaVu Serif"/>
          <w:spacing w:val="-10"/>
        </w:rPr>
        <w:t xml:space="preserve"> </w:t>
      </w:r>
      <w:r>
        <w:rPr>
          <w:rFonts w:ascii="DejaVu Serif" w:eastAsia="DejaVu Serif" w:hAnsi="DejaVu Serif"/>
        </w:rPr>
        <w:t>à</w:t>
      </w:r>
      <w:r>
        <w:rPr>
          <w:rFonts w:ascii="DejaVu Serif" w:eastAsia="DejaVu Serif" w:hAnsi="DejaVu Serif"/>
          <w:spacing w:val="-52"/>
        </w:rPr>
        <w:t xml:space="preserve"> </w:t>
      </w:r>
      <w:r>
        <w:rPr>
          <w:rFonts w:ascii="DejaVu Serif" w:eastAsia="DejaVu Serif" w:hAnsi="DejaVu Serif"/>
          <w:spacing w:val="-7"/>
        </w:rPr>
        <w:t>𝛽</w:t>
      </w:r>
      <w:r>
        <w:rPr>
          <w:rFonts w:ascii="DejaVu Serif" w:eastAsia="DejaVu Serif" w:hAnsi="DejaVu Serif"/>
          <w:spacing w:val="-7"/>
          <w:vertAlign w:val="subscript"/>
        </w:rPr>
        <w:t>5</w:t>
      </w:r>
      <w:r>
        <w:rPr>
          <w:rFonts w:ascii="DejaVu Serif" w:eastAsia="DejaVu Serif" w:hAnsi="DejaVu Serif"/>
          <w:spacing w:val="-7"/>
        </w:rPr>
        <w:t xml:space="preserve"> </w:t>
      </w:r>
      <w:r>
        <w:t>des vecteurs de paramètres.</w:t>
      </w:r>
    </w:p>
    <w:p w:rsidR="001E2BFD" w:rsidRDefault="001E2BFD">
      <w:pPr>
        <w:pStyle w:val="Corpsdetexte"/>
        <w:spacing w:before="1"/>
        <w:rPr>
          <w:sz w:val="26"/>
        </w:rPr>
      </w:pPr>
    </w:p>
    <w:p w:rsidR="001E2BFD" w:rsidRDefault="000D319E">
      <w:pPr>
        <w:pStyle w:val="Corpsdetexte"/>
        <w:spacing w:line="360" w:lineRule="auto"/>
        <w:ind w:left="116" w:right="388"/>
      </w:pPr>
      <w:r>
        <w:t xml:space="preserve">Ils aboutissent à un modèle ou le prix de </w:t>
      </w:r>
      <w:r w:rsidR="00D15EAE">
        <w:t>vente (</w:t>
      </w:r>
      <w:r>
        <w:t>le log prix de vente) dépend des vecteurs de paramètres, des matrices de dépendance spatio-temporelles, des paramètres de dépendances spatio-temporelles, du prix et des variables spatiales des sous marché. Le</w:t>
      </w:r>
      <w:r>
        <w:t xml:space="preserve"> marché de l’immobilier de bureaux parisien est donc corrélé aux variables spatio-temporelles des sous marché en plus de ses caractéristiques intrinsèques.</w:t>
      </w:r>
    </w:p>
    <w:p w:rsidR="001E2BFD" w:rsidRDefault="000D319E">
      <w:pPr>
        <w:pStyle w:val="Corpsdetexte"/>
        <w:spacing w:before="160" w:line="360" w:lineRule="auto"/>
        <w:ind w:left="116" w:right="228"/>
      </w:pPr>
      <w:r>
        <w:t>Faisons une estimation hédonique simple, qui utilise une régression multiple pour déterminer le prix</w:t>
      </w:r>
      <w:r>
        <w:t xml:space="preserve"> des loyers de bureaux en Ile de France. En ce qui concerne le prix des locations de bureaux dans la région, l’étude se basera sur un modèle de régression multiple du prix de loyers sur un ensemble d’attributs qui caractérisent l’immobilier de bureaux. La </w:t>
      </w:r>
      <w:r>
        <w:t>localisation géographique du bien sera pris en compte, nous l’avons vu précédemment le Quartier Centrale D’Affaires parisien avait un loyer sensiblement plus élevé que le reste de la région.</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0" w:lineRule="auto"/>
        <w:ind w:left="116" w:right="243"/>
      </w:pPr>
      <w:r>
        <w:lastRenderedPageBreak/>
        <w:t>La taille en m² de la location, l’aspect c’est-</w:t>
      </w:r>
      <w:r>
        <w:t>à-dire si le bien est neuf ou non et si les équipements sont adaptés et fonctionnels et la durée du bail sont les constituantes de l’immobilier de bureaux retenues ici pour expliquer le prix de la location. Nous arrivons à un modèle hédonique présentant la</w:t>
      </w:r>
      <w:r>
        <w:t xml:space="preserve"> variable expliquée ici le prix de la location en fonction des composantes énoncées auparavant.</w:t>
      </w:r>
    </w:p>
    <w:p w:rsidR="001E2BFD" w:rsidRDefault="000D319E">
      <w:pPr>
        <w:pStyle w:val="Corpsdetexte"/>
        <w:spacing w:before="162"/>
        <w:ind w:left="116"/>
      </w:pPr>
      <w:r>
        <w:t>Nous obtenons la modélisation hédonique suivante :</w:t>
      </w:r>
    </w:p>
    <w:p w:rsidR="001E2BFD" w:rsidRDefault="001E2BFD">
      <w:pPr>
        <w:pStyle w:val="Corpsdetexte"/>
        <w:rPr>
          <w:sz w:val="26"/>
        </w:rPr>
      </w:pPr>
    </w:p>
    <w:p w:rsidR="001E2BFD" w:rsidRDefault="000D319E">
      <w:pPr>
        <w:pStyle w:val="Corpsdetexte"/>
        <w:spacing w:before="162" w:line="499" w:lineRule="auto"/>
        <w:ind w:left="116" w:right="3765"/>
      </w:pPr>
      <w:r>
        <w:t>Log(R)=</w:t>
      </w:r>
      <w:r>
        <w:rPr>
          <w:spacing w:val="-35"/>
        </w:rPr>
        <w:t xml:space="preserve"> </w:t>
      </w:r>
      <w:r>
        <w:t>α0</w:t>
      </w:r>
      <w:r>
        <w:rPr>
          <w:spacing w:val="-32"/>
        </w:rPr>
        <w:t xml:space="preserve"> </w:t>
      </w:r>
      <w:r>
        <w:t>+</w:t>
      </w:r>
      <w:r>
        <w:rPr>
          <w:spacing w:val="-34"/>
        </w:rPr>
        <w:t xml:space="preserve"> </w:t>
      </w:r>
      <w:r>
        <w:t>α1Durée</w:t>
      </w:r>
      <w:r>
        <w:rPr>
          <w:spacing w:val="-33"/>
        </w:rPr>
        <w:t xml:space="preserve"> </w:t>
      </w:r>
      <w:r>
        <w:rPr>
          <w:spacing w:val="-4"/>
        </w:rPr>
        <w:t xml:space="preserve">+α2Place+α3Taille+α4Etat+ɛ+ɸ </w:t>
      </w:r>
      <w:r>
        <w:t>Avec R = le prix de la</w:t>
      </w:r>
      <w:r>
        <w:rPr>
          <w:spacing w:val="-3"/>
        </w:rPr>
        <w:t xml:space="preserve"> </w:t>
      </w:r>
      <w:r>
        <w:t>location</w:t>
      </w:r>
    </w:p>
    <w:p w:rsidR="001E2BFD" w:rsidRDefault="000D319E">
      <w:pPr>
        <w:pStyle w:val="Corpsdetexte"/>
        <w:spacing w:line="276" w:lineRule="exact"/>
        <w:ind w:left="116"/>
      </w:pPr>
      <w:r>
        <w:t>Durée= la durée de la</w:t>
      </w:r>
      <w:r>
        <w:rPr>
          <w:spacing w:val="-6"/>
        </w:rPr>
        <w:t xml:space="preserve"> </w:t>
      </w:r>
      <w:r>
        <w:t>loca</w:t>
      </w:r>
      <w:r>
        <w:t>tion</w:t>
      </w:r>
    </w:p>
    <w:p w:rsidR="001E2BFD" w:rsidRDefault="001E2BFD">
      <w:pPr>
        <w:pStyle w:val="Corpsdetexte"/>
        <w:spacing w:before="10"/>
        <w:rPr>
          <w:sz w:val="25"/>
        </w:rPr>
      </w:pPr>
    </w:p>
    <w:p w:rsidR="001E2BFD" w:rsidRDefault="000D319E">
      <w:pPr>
        <w:pStyle w:val="Corpsdetexte"/>
        <w:spacing w:line="501" w:lineRule="auto"/>
        <w:ind w:left="116" w:right="4893"/>
      </w:pPr>
      <w:r>
        <w:t>Place= l’emplacement géographique du bien Taille= la taille en M² du</w:t>
      </w:r>
      <w:r>
        <w:rPr>
          <w:spacing w:val="-2"/>
        </w:rPr>
        <w:t xml:space="preserve"> </w:t>
      </w:r>
      <w:r>
        <w:t>bien</w:t>
      </w:r>
    </w:p>
    <w:p w:rsidR="001E2BFD" w:rsidRDefault="000D319E">
      <w:pPr>
        <w:pStyle w:val="Corpsdetexte"/>
        <w:tabs>
          <w:tab w:val="left" w:pos="577"/>
        </w:tabs>
        <w:spacing w:line="499" w:lineRule="auto"/>
        <w:ind w:left="116" w:right="4863"/>
      </w:pPr>
      <w:r>
        <w:t xml:space="preserve">Etat= l’état général du bien et son ancienneté </w:t>
      </w:r>
      <w:r>
        <w:rPr>
          <w:w w:val="90"/>
        </w:rPr>
        <w:t>ɛ</w:t>
      </w:r>
      <w:r>
        <w:rPr>
          <w:w w:val="90"/>
        </w:rPr>
        <w:tab/>
      </w:r>
      <w:r>
        <w:t>=</w:t>
      </w:r>
      <w:r>
        <w:rPr>
          <w:spacing w:val="-2"/>
        </w:rPr>
        <w:t xml:space="preserve"> </w:t>
      </w:r>
      <w:r>
        <w:t>l’erreur</w:t>
      </w:r>
    </w:p>
    <w:p w:rsidR="001E2BFD" w:rsidRDefault="000D319E">
      <w:pPr>
        <w:pStyle w:val="Corpsdetexte"/>
        <w:tabs>
          <w:tab w:val="left" w:pos="548"/>
        </w:tabs>
        <w:spacing w:line="275" w:lineRule="exact"/>
        <w:ind w:left="116"/>
      </w:pPr>
      <w:proofErr w:type="gramStart"/>
      <w:r>
        <w:t>ɸ</w:t>
      </w:r>
      <w:proofErr w:type="gramEnd"/>
      <w:r>
        <w:tab/>
        <w:t>= les autres composantes</w:t>
      </w:r>
      <w:r>
        <w:rPr>
          <w:spacing w:val="-3"/>
        </w:rPr>
        <w:t xml:space="preserve"> </w:t>
      </w:r>
      <w:r>
        <w:t>explicatives</w:t>
      </w:r>
    </w:p>
    <w:p w:rsidR="001E2BFD" w:rsidRDefault="001E2BFD">
      <w:pPr>
        <w:pStyle w:val="Corpsdetexte"/>
        <w:spacing w:before="7"/>
        <w:rPr>
          <w:sz w:val="25"/>
        </w:rPr>
      </w:pPr>
    </w:p>
    <w:p w:rsidR="001E2BFD" w:rsidRDefault="000D319E">
      <w:pPr>
        <w:pStyle w:val="Corpsdetexte"/>
        <w:tabs>
          <w:tab w:val="left" w:pos="541"/>
        </w:tabs>
        <w:ind w:left="116"/>
      </w:pPr>
      <w:proofErr w:type="gramStart"/>
      <w:r>
        <w:t>α</w:t>
      </w:r>
      <w:proofErr w:type="gramEnd"/>
      <w:r>
        <w:tab/>
        <w:t>= les paramètres statistiques</w:t>
      </w:r>
      <w:r>
        <w:rPr>
          <w:spacing w:val="-4"/>
        </w:rPr>
        <w:t xml:space="preserve"> </w:t>
      </w:r>
      <w:r>
        <w:t>explicatives</w:t>
      </w:r>
    </w:p>
    <w:p w:rsidR="001E2BFD" w:rsidRDefault="001E2BFD">
      <w:pPr>
        <w:pStyle w:val="Corpsdetexte"/>
        <w:spacing w:before="10"/>
        <w:rPr>
          <w:sz w:val="25"/>
        </w:rPr>
      </w:pPr>
    </w:p>
    <w:p w:rsidR="001E2BFD" w:rsidRDefault="000D319E">
      <w:pPr>
        <w:pStyle w:val="Corpsdetexte"/>
        <w:spacing w:line="360" w:lineRule="auto"/>
        <w:ind w:left="116" w:right="204"/>
      </w:pPr>
      <w:r>
        <w:t xml:space="preserve">Ce modèle nous permettra de pouvoir étudier l’impact de la durée du bail, de l’emplacement, de la taille et de l’état du bien sur le prix de la location de ce même bien. Avant de mesurer le modèle et de voir les résultats empiriques, nous pouvons supposer </w:t>
      </w:r>
      <w:r>
        <w:t>une relation positive entre la taille et l’emplacement du bien sur le prix. En effet un bureau relativement grand, se localisant dans le Quartier centrale des affaires de Paris, se louera relativement plus cher qu’un bureau plus petit situé dans la deuxièm</w:t>
      </w:r>
      <w:r>
        <w:t>e couronne parisienne.</w:t>
      </w:r>
    </w:p>
    <w:p w:rsidR="001E2BFD" w:rsidRDefault="000D319E">
      <w:pPr>
        <w:pStyle w:val="Corpsdetexte"/>
        <w:spacing w:before="161" w:line="360" w:lineRule="auto"/>
        <w:ind w:left="116" w:right="210"/>
      </w:pPr>
      <w:r>
        <w:t>La demande en immobilier de bureaux a aussi fait l’objet de modélisation économétrique de la part des chercheurs. Le modèle ci-dessus est celui élaboré par McDonald en 2002, il inclue la demande pour les biens vacants et la demande p</w:t>
      </w:r>
      <w:r>
        <w:t>our des bureaux occupés.</w:t>
      </w:r>
    </w:p>
    <w:p w:rsidR="001E2BFD" w:rsidRDefault="000D319E">
      <w:pPr>
        <w:pStyle w:val="Corpsdetexte"/>
        <w:spacing w:before="163"/>
        <w:ind w:left="116"/>
        <w:rPr>
          <w:rFonts w:ascii="DejaVu Serif" w:eastAsia="DejaVu Serif"/>
        </w:rPr>
      </w:pPr>
      <w:proofErr w:type="gramStart"/>
      <w:r>
        <w:rPr>
          <w:rFonts w:ascii="DejaVu Serif" w:eastAsia="DejaVu Serif"/>
        </w:rPr>
        <w:t>𝑄</w:t>
      </w:r>
      <w:r>
        <w:rPr>
          <w:rFonts w:ascii="DejaVu Serif" w:eastAsia="DejaVu Serif"/>
          <w:vertAlign w:val="subscript"/>
        </w:rPr>
        <w:t>𝑡</w:t>
      </w:r>
      <w:proofErr w:type="gramEnd"/>
      <w:r>
        <w:t xml:space="preserve">= </w:t>
      </w:r>
      <w:r>
        <w:rPr>
          <w:rFonts w:ascii="DejaVu Serif" w:eastAsia="DejaVu Serif"/>
        </w:rPr>
        <w:t>𝑄</w:t>
      </w:r>
      <w:r>
        <w:rPr>
          <w:rFonts w:ascii="DejaVu Serif" w:eastAsia="DejaVu Serif"/>
          <w:vertAlign w:val="subscript"/>
        </w:rPr>
        <w:t>0</w:t>
      </w:r>
      <w:r>
        <w:rPr>
          <w:rFonts w:ascii="DejaVu Serif" w:eastAsia="DejaVu Serif"/>
        </w:rPr>
        <w:t xml:space="preserve"> </w:t>
      </w:r>
      <w:r>
        <w:t xml:space="preserve">- </w:t>
      </w:r>
      <w:r>
        <w:rPr>
          <w:rFonts w:ascii="DejaVu Serif" w:eastAsia="DejaVu Serif"/>
        </w:rPr>
        <w:t>𝑏</w:t>
      </w:r>
      <w:r>
        <w:rPr>
          <w:rFonts w:ascii="DejaVu Serif" w:eastAsia="DejaVu Serif"/>
          <w:vertAlign w:val="subscript"/>
        </w:rPr>
        <w:t>1</w:t>
      </w:r>
      <w:r>
        <w:rPr>
          <w:rFonts w:ascii="DejaVu Serif" w:eastAsia="DejaVu Serif"/>
        </w:rPr>
        <w:t>𝑅</w:t>
      </w:r>
      <w:r>
        <w:rPr>
          <w:rFonts w:ascii="DejaVu Serif" w:eastAsia="DejaVu Serif"/>
          <w:vertAlign w:val="subscript"/>
        </w:rPr>
        <w:t>𝑡</w:t>
      </w:r>
      <w:r>
        <w:rPr>
          <w:rFonts w:ascii="DejaVu Serif" w:eastAsia="DejaVu Serif"/>
        </w:rPr>
        <w:t xml:space="preserve"> </w:t>
      </w:r>
      <w:r>
        <w:t xml:space="preserve">+ </w:t>
      </w:r>
      <w:r>
        <w:rPr>
          <w:rFonts w:ascii="DejaVu Serif" w:eastAsia="DejaVu Serif"/>
        </w:rPr>
        <w:t>𝑏</w:t>
      </w:r>
      <w:r>
        <w:rPr>
          <w:rFonts w:ascii="DejaVu Serif" w:eastAsia="DejaVu Serif"/>
          <w:vertAlign w:val="subscript"/>
        </w:rPr>
        <w:t>2</w:t>
      </w:r>
      <w:r>
        <w:rPr>
          <w:rFonts w:ascii="DejaVu Serif" w:eastAsia="DejaVu Serif"/>
        </w:rPr>
        <w:t>𝐸</w:t>
      </w:r>
      <w:r>
        <w:rPr>
          <w:rFonts w:ascii="DejaVu Serif" w:eastAsia="DejaVu Serif"/>
          <w:vertAlign w:val="subscript"/>
        </w:rPr>
        <w:t>𝑡</w:t>
      </w:r>
    </w:p>
    <w:p w:rsidR="001E2BFD" w:rsidRDefault="001E2BFD">
      <w:pPr>
        <w:pStyle w:val="Corpsdetexte"/>
        <w:spacing w:before="9"/>
        <w:rPr>
          <w:rFonts w:ascii="DejaVu Serif"/>
          <w:sz w:val="25"/>
        </w:rPr>
      </w:pPr>
    </w:p>
    <w:p w:rsidR="001E2BFD" w:rsidRDefault="000D319E">
      <w:pPr>
        <w:pStyle w:val="Corpsdetexte"/>
        <w:spacing w:line="360" w:lineRule="auto"/>
        <w:ind w:left="116" w:right="284"/>
      </w:pPr>
      <w:r>
        <w:t>Avec Q la demande en bureaux occupés, R le loyer par m² et E le taux d’emploi dans Les activités qui requiert l’occupation d’un bureau. Il en vient au fait que la demande en bureaux occupés dépend positivement du taux d’emploi, et négativement du loyer par</w:t>
      </w:r>
      <w:r>
        <w:t xml:space="preserve"> m².</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tabs>
          <w:tab w:val="left" w:pos="1203"/>
        </w:tabs>
        <w:spacing w:before="74"/>
        <w:ind w:left="116"/>
        <w:rPr>
          <w:rFonts w:ascii="DejaVu Serif" w:eastAsia="DejaVu Serif"/>
        </w:rPr>
      </w:pPr>
      <w:r>
        <w:rPr>
          <w:rFonts w:ascii="DejaVu Serif" w:eastAsia="DejaVu Serif"/>
          <w:spacing w:val="-6"/>
        </w:rPr>
        <w:lastRenderedPageBreak/>
        <w:t>𝑉</w:t>
      </w:r>
      <w:r>
        <w:rPr>
          <w:rFonts w:ascii="DejaVu Serif" w:eastAsia="DejaVu Serif"/>
          <w:spacing w:val="-6"/>
          <w:vertAlign w:val="subscript"/>
        </w:rPr>
        <w:t>𝑡</w:t>
      </w:r>
      <w:proofErr w:type="gramStart"/>
      <w:r>
        <w:rPr>
          <w:spacing w:val="-6"/>
        </w:rPr>
        <w:t xml:space="preserve">= </w:t>
      </w:r>
      <w:r>
        <w:rPr>
          <w:spacing w:val="32"/>
        </w:rPr>
        <w:t xml:space="preserve"> </w:t>
      </w:r>
      <w:r>
        <w:rPr>
          <w:rFonts w:ascii="DejaVu Serif" w:eastAsia="DejaVu Serif"/>
          <w:spacing w:val="-16"/>
        </w:rPr>
        <w:t>𝑉</w:t>
      </w:r>
      <w:proofErr w:type="gramEnd"/>
      <w:r>
        <w:rPr>
          <w:rFonts w:ascii="DejaVu Serif" w:eastAsia="DejaVu Serif"/>
          <w:spacing w:val="-16"/>
          <w:vertAlign w:val="subscript"/>
        </w:rPr>
        <w:t>0</w:t>
      </w:r>
      <w:r>
        <w:rPr>
          <w:rFonts w:ascii="DejaVu Serif" w:eastAsia="DejaVu Serif"/>
          <w:spacing w:val="-15"/>
        </w:rPr>
        <w:t xml:space="preserve"> </w:t>
      </w:r>
      <w:r>
        <w:t>-</w:t>
      </w:r>
      <w:r>
        <w:tab/>
      </w:r>
      <w:r>
        <w:rPr>
          <w:rFonts w:ascii="DejaVu Serif" w:eastAsia="DejaVu Serif"/>
        </w:rPr>
        <w:t>𝛽𝑅</w:t>
      </w:r>
      <w:r>
        <w:rPr>
          <w:rFonts w:ascii="DejaVu Serif" w:eastAsia="DejaVu Serif"/>
          <w:vertAlign w:val="subscript"/>
        </w:rPr>
        <w:t>𝑡</w:t>
      </w:r>
    </w:p>
    <w:p w:rsidR="001E2BFD" w:rsidRDefault="001E2BFD">
      <w:pPr>
        <w:pStyle w:val="Corpsdetexte"/>
        <w:rPr>
          <w:rFonts w:ascii="DejaVu Serif"/>
          <w:sz w:val="26"/>
        </w:rPr>
      </w:pPr>
    </w:p>
    <w:p w:rsidR="001E2BFD" w:rsidRDefault="000D319E">
      <w:pPr>
        <w:pStyle w:val="Corpsdetexte"/>
        <w:spacing w:line="360" w:lineRule="auto"/>
        <w:ind w:left="116" w:right="417"/>
      </w:pPr>
      <w:r>
        <w:t xml:space="preserve">Avec </w:t>
      </w:r>
      <w:r>
        <w:rPr>
          <w:rFonts w:ascii="DejaVu Serif" w:eastAsia="DejaVu Serif" w:hAnsi="DejaVu Serif"/>
          <w:spacing w:val="-16"/>
        </w:rPr>
        <w:t>𝑉</w:t>
      </w:r>
      <w:r>
        <w:rPr>
          <w:rFonts w:ascii="DejaVu Serif" w:eastAsia="DejaVu Serif" w:hAnsi="DejaVu Serif"/>
          <w:spacing w:val="-16"/>
          <w:vertAlign w:val="subscript"/>
        </w:rPr>
        <w:t>𝑡</w:t>
      </w:r>
      <w:r>
        <w:rPr>
          <w:rFonts w:ascii="DejaVu Serif" w:eastAsia="DejaVu Serif" w:hAnsi="DejaVu Serif"/>
          <w:spacing w:val="-16"/>
        </w:rPr>
        <w:t xml:space="preserve"> </w:t>
      </w:r>
      <w:r>
        <w:t xml:space="preserve">la demande en bureaux vacants à la date t, </w:t>
      </w:r>
      <w:r>
        <w:rPr>
          <w:rFonts w:ascii="DejaVu Serif" w:eastAsia="DejaVu Serif" w:hAnsi="DejaVu Serif"/>
          <w:spacing w:val="-7"/>
        </w:rPr>
        <w:t>𝑉</w:t>
      </w:r>
      <w:r>
        <w:rPr>
          <w:rFonts w:ascii="DejaVu Serif" w:eastAsia="DejaVu Serif" w:hAnsi="DejaVu Serif"/>
          <w:spacing w:val="-7"/>
          <w:vertAlign w:val="subscript"/>
        </w:rPr>
        <w:t>0</w:t>
      </w:r>
      <w:r>
        <w:rPr>
          <w:spacing w:val="-7"/>
        </w:rPr>
        <w:t xml:space="preserve">la </w:t>
      </w:r>
      <w:r>
        <w:t xml:space="preserve">demande à la date 0, </w:t>
      </w:r>
      <w:r>
        <w:rPr>
          <w:rFonts w:ascii="DejaVu Serif" w:eastAsia="DejaVu Serif" w:hAnsi="DejaVu Serif"/>
        </w:rPr>
        <w:t>𝑅</w:t>
      </w:r>
      <w:r>
        <w:rPr>
          <w:rFonts w:ascii="DejaVu Serif" w:eastAsia="DejaVu Serif" w:hAnsi="DejaVu Serif"/>
          <w:vertAlign w:val="subscript"/>
        </w:rPr>
        <w:t>𝑡</w:t>
      </w:r>
      <w:r>
        <w:t>le loyer par m² à la date t et β l’élasticité de la demande par rapport au loyer par m²</w:t>
      </w:r>
    </w:p>
    <w:p w:rsidR="001E2BFD" w:rsidRDefault="000D319E">
      <w:pPr>
        <w:pStyle w:val="Corpsdetexte"/>
        <w:spacing w:before="160" w:line="360" w:lineRule="auto"/>
        <w:ind w:left="116" w:right="397"/>
      </w:pPr>
      <w:r>
        <w:t>La demande en bureaux vacants est une variable qui dépend négativement du loyer par m² dans le secteur car on suppose que les investisseurs préfèrent pour un espace vac</w:t>
      </w:r>
      <w:r>
        <w:t xml:space="preserve">ant un prix du m² moins élevé car ils veulent pouvoir louer facilement l’espace plus tard. De ces trois équations </w:t>
      </w:r>
      <w:proofErr w:type="spellStart"/>
      <w:r>
        <w:t>Mcdonald</w:t>
      </w:r>
      <w:proofErr w:type="spellEnd"/>
      <w:r>
        <w:t xml:space="preserve"> arrive une équation du loyer par m² d’équilibre définit comme :</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tabs>
          <w:tab w:val="left" w:pos="1729"/>
        </w:tabs>
        <w:spacing w:before="209" w:line="67" w:lineRule="auto"/>
        <w:ind w:left="116"/>
        <w:rPr>
          <w:rFonts w:ascii="DejaVu Serif" w:eastAsia="DejaVu Serif"/>
          <w:sz w:val="14"/>
        </w:rPr>
      </w:pPr>
      <w:r>
        <w:pict>
          <v:line id="_x0000_s1030" style="position:absolute;left:0;text-align:left;z-index:1096;mso-position-horizontal-relative:page" from="145.35pt,19.05pt" to="166.85pt,19.05pt" strokeweight=".84pt">
            <w10:wrap anchorx="page"/>
          </v:line>
        </w:pict>
      </w:r>
      <w:proofErr w:type="gramStart"/>
      <w:r>
        <w:rPr>
          <w:rFonts w:ascii="DejaVu Serif" w:eastAsia="DejaVu Serif"/>
          <w:position w:val="-13"/>
          <w:sz w:val="24"/>
        </w:rPr>
        <w:t>𝑅</w:t>
      </w:r>
      <w:proofErr w:type="gramEnd"/>
      <w:r>
        <w:rPr>
          <w:rFonts w:ascii="DejaVu Serif" w:eastAsia="DejaVu Serif"/>
          <w:position w:val="-13"/>
          <w:sz w:val="24"/>
        </w:rPr>
        <w:t xml:space="preserve"> </w:t>
      </w:r>
      <w:r>
        <w:rPr>
          <w:position w:val="-13"/>
          <w:sz w:val="24"/>
        </w:rPr>
        <w:t xml:space="preserve">=  </w:t>
      </w:r>
      <w:r>
        <w:rPr>
          <w:spacing w:val="12"/>
          <w:position w:val="-13"/>
          <w:sz w:val="24"/>
        </w:rPr>
        <w:t xml:space="preserve"> </w:t>
      </w:r>
      <w:r>
        <w:rPr>
          <w:rFonts w:ascii="DejaVu Serif" w:eastAsia="DejaVu Serif"/>
          <w:sz w:val="17"/>
        </w:rPr>
        <w:t>𝑄𝑜</w:t>
      </w:r>
      <w:r>
        <w:rPr>
          <w:rFonts w:ascii="DejaVu Serif" w:eastAsia="DejaVu Serif"/>
          <w:sz w:val="17"/>
        </w:rPr>
        <w:t>+</w:t>
      </w:r>
      <w:r>
        <w:rPr>
          <w:rFonts w:ascii="DejaVu Serif" w:eastAsia="DejaVu Serif"/>
          <w:sz w:val="17"/>
        </w:rPr>
        <w:t>𝑉𝑜</w:t>
      </w:r>
      <w:r>
        <w:rPr>
          <w:rFonts w:ascii="DejaVu Serif" w:eastAsia="DejaVu Serif"/>
          <w:spacing w:val="13"/>
          <w:sz w:val="17"/>
        </w:rPr>
        <w:t xml:space="preserve"> </w:t>
      </w:r>
      <w:r>
        <w:rPr>
          <w:position w:val="-13"/>
          <w:sz w:val="24"/>
        </w:rPr>
        <w:t>+</w:t>
      </w:r>
      <w:r>
        <w:rPr>
          <w:position w:val="-13"/>
          <w:sz w:val="24"/>
        </w:rPr>
        <w:tab/>
      </w:r>
      <w:r>
        <w:rPr>
          <w:rFonts w:ascii="DejaVu Serif" w:eastAsia="DejaVu Serif"/>
          <w:spacing w:val="-3"/>
          <w:w w:val="95"/>
          <w:sz w:val="17"/>
        </w:rPr>
        <w:t>𝑏</w:t>
      </w:r>
      <w:r>
        <w:rPr>
          <w:rFonts w:ascii="DejaVu Serif" w:eastAsia="DejaVu Serif"/>
          <w:spacing w:val="-3"/>
          <w:w w:val="95"/>
          <w:position w:val="-2"/>
          <w:sz w:val="14"/>
        </w:rPr>
        <w:t>2</w:t>
      </w:r>
    </w:p>
    <w:p w:rsidR="001E2BFD" w:rsidRDefault="000D319E">
      <w:pPr>
        <w:pStyle w:val="Corpsdetexte"/>
        <w:spacing w:line="20" w:lineRule="exact"/>
        <w:ind w:left="659"/>
        <w:rPr>
          <w:rFonts w:ascii="DejaVu Serif"/>
          <w:sz w:val="2"/>
        </w:rPr>
      </w:pPr>
      <w:r>
        <w:rPr>
          <w:rFonts w:ascii="DejaVu Serif"/>
          <w:sz w:val="2"/>
        </w:rPr>
      </w:r>
      <w:r>
        <w:rPr>
          <w:rFonts w:ascii="DejaVu Serif"/>
          <w:sz w:val="2"/>
        </w:rPr>
        <w:pict>
          <v:group id="_x0000_s1028" style="width:28.1pt;height:.85pt;mso-position-horizontal-relative:char;mso-position-vertical-relative:line" coordsize="562,17">
            <v:line id="_x0000_s1029" style="position:absolute" from="0,8" to="562,8" strokeweight=".84pt"/>
            <w10:anchorlock/>
          </v:group>
        </w:pict>
      </w:r>
    </w:p>
    <w:p w:rsidR="001E2BFD" w:rsidRDefault="000D319E">
      <w:pPr>
        <w:pStyle w:val="Corpsdetexte"/>
        <w:tabs>
          <w:tab w:val="left" w:pos="790"/>
          <w:tab w:val="left" w:pos="1095"/>
        </w:tabs>
        <w:spacing w:before="225" w:line="139" w:lineRule="exact"/>
        <w:ind w:left="116"/>
        <w:rPr>
          <w:rFonts w:ascii="DejaVu Serif" w:eastAsia="DejaVu Serif"/>
        </w:rPr>
      </w:pPr>
      <w:r>
        <w:br w:type="column"/>
      </w:r>
      <w:proofErr w:type="gramStart"/>
      <w:r>
        <w:rPr>
          <w:rFonts w:ascii="DejaVu Serif" w:eastAsia="DejaVu Serif"/>
        </w:rPr>
        <w:t>𝐸</w:t>
      </w:r>
      <w:proofErr w:type="gramEnd"/>
      <w:r>
        <w:rPr>
          <w:rFonts w:ascii="DejaVu Serif" w:eastAsia="DejaVu Serif"/>
          <w:spacing w:val="39"/>
        </w:rPr>
        <w:t xml:space="preserve"> </w:t>
      </w:r>
      <w:r>
        <w:t>-</w:t>
      </w:r>
      <w:r>
        <w:tab/>
      </w:r>
      <w:r>
        <w:rPr>
          <w:rFonts w:ascii="DejaVu Serif" w:eastAsia="DejaVu Serif"/>
          <w:vertAlign w:val="superscript"/>
        </w:rPr>
        <w:t>1</w:t>
      </w:r>
      <w:r>
        <w:rPr>
          <w:rFonts w:ascii="DejaVu Serif" w:eastAsia="DejaVu Serif"/>
        </w:rPr>
        <w:tab/>
      </w:r>
      <w:r>
        <w:rPr>
          <w:rFonts w:ascii="DejaVu Serif" w:eastAsia="DejaVu Serif"/>
        </w:rPr>
        <w:t>𝑆</w:t>
      </w:r>
    </w:p>
    <w:p w:rsidR="001E2BFD" w:rsidRDefault="000D319E">
      <w:pPr>
        <w:pStyle w:val="Corpsdetexte"/>
        <w:spacing w:line="20" w:lineRule="exact"/>
        <w:ind w:left="616"/>
        <w:rPr>
          <w:rFonts w:ascii="DejaVu Serif"/>
          <w:sz w:val="2"/>
        </w:rPr>
      </w:pPr>
      <w:r>
        <w:rPr>
          <w:rFonts w:ascii="DejaVu Serif"/>
          <w:sz w:val="2"/>
        </w:rPr>
      </w:r>
      <w:r>
        <w:rPr>
          <w:rFonts w:ascii="DejaVu Serif"/>
          <w:sz w:val="2"/>
        </w:rPr>
        <w:pict>
          <v:group id="_x0000_s1026" style="width:21.5pt;height:.85pt;mso-position-horizontal-relative:char;mso-position-vertical-relative:line" coordsize="430,17">
            <v:line id="_x0000_s1027" style="position:absolute" from="0,8" to="430,8" strokeweight=".84pt"/>
            <w10:anchorlock/>
          </v:group>
        </w:pict>
      </w:r>
    </w:p>
    <w:p w:rsidR="001E2BFD" w:rsidRDefault="001E2BFD">
      <w:pPr>
        <w:spacing w:line="20" w:lineRule="exact"/>
        <w:rPr>
          <w:rFonts w:ascii="DejaVu Serif"/>
          <w:sz w:val="2"/>
        </w:rPr>
        <w:sectPr w:rsidR="001E2BFD">
          <w:type w:val="continuous"/>
          <w:pgSz w:w="11910" w:h="16840"/>
          <w:pgMar w:top="1580" w:right="1300" w:bottom="1200" w:left="1300" w:header="720" w:footer="720" w:gutter="0"/>
          <w:cols w:num="2" w:space="720" w:equalWidth="0">
            <w:col w:w="1908" w:space="53"/>
            <w:col w:w="7349"/>
          </w:cols>
        </w:sectPr>
      </w:pPr>
    </w:p>
    <w:p w:rsidR="001E2BFD" w:rsidRDefault="000D319E">
      <w:pPr>
        <w:tabs>
          <w:tab w:val="left" w:pos="725"/>
        </w:tabs>
        <w:spacing w:line="245" w:lineRule="exact"/>
        <w:ind w:left="265"/>
        <w:rPr>
          <w:rFonts w:ascii="DejaVu Serif" w:eastAsia="DejaVu Serif"/>
          <w:sz w:val="17"/>
        </w:rPr>
      </w:pPr>
      <w:proofErr w:type="gramStart"/>
      <w:r>
        <w:rPr>
          <w:rFonts w:ascii="DejaVu Serif" w:eastAsia="DejaVu Serif"/>
          <w:position w:val="7"/>
          <w:sz w:val="17"/>
        </w:rPr>
        <w:t>𝑡</w:t>
      </w:r>
      <w:proofErr w:type="gramEnd"/>
      <w:r>
        <w:rPr>
          <w:rFonts w:ascii="DejaVu Serif" w:eastAsia="DejaVu Serif"/>
          <w:position w:val="7"/>
          <w:sz w:val="17"/>
        </w:rPr>
        <w:tab/>
      </w:r>
      <w:r>
        <w:rPr>
          <w:rFonts w:ascii="DejaVu Serif" w:eastAsia="DejaVu Serif"/>
          <w:sz w:val="17"/>
        </w:rPr>
        <w:t>𝛽</w:t>
      </w:r>
      <w:r>
        <w:rPr>
          <w:rFonts w:ascii="DejaVu Serif" w:eastAsia="DejaVu Serif"/>
          <w:sz w:val="17"/>
        </w:rPr>
        <w:t>+</w:t>
      </w:r>
      <w:r>
        <w:rPr>
          <w:rFonts w:ascii="DejaVu Serif" w:eastAsia="DejaVu Serif"/>
          <w:sz w:val="17"/>
        </w:rPr>
        <w:t>𝑏</w:t>
      </w:r>
      <w:r>
        <w:rPr>
          <w:rFonts w:ascii="DejaVu Serif" w:eastAsia="DejaVu Serif"/>
          <w:sz w:val="17"/>
        </w:rPr>
        <w:t>1</w:t>
      </w:r>
    </w:p>
    <w:p w:rsidR="001E2BFD" w:rsidRDefault="000D319E">
      <w:pPr>
        <w:spacing w:line="268" w:lineRule="exact"/>
        <w:ind w:left="265"/>
        <w:rPr>
          <w:rFonts w:ascii="DejaVu Serif" w:eastAsia="DejaVu Serif"/>
          <w:sz w:val="17"/>
        </w:rPr>
      </w:pPr>
      <w:r>
        <w:br w:type="column"/>
      </w:r>
      <w:proofErr w:type="gramStart"/>
      <w:r>
        <w:rPr>
          <w:rFonts w:ascii="DejaVu Serif" w:eastAsia="DejaVu Serif"/>
          <w:sz w:val="17"/>
        </w:rPr>
        <w:t>𝛽</w:t>
      </w:r>
      <w:proofErr w:type="gramEnd"/>
      <w:r>
        <w:rPr>
          <w:rFonts w:ascii="DejaVu Serif" w:eastAsia="DejaVu Serif"/>
          <w:sz w:val="17"/>
        </w:rPr>
        <w:t>+</w:t>
      </w:r>
      <w:r>
        <w:rPr>
          <w:rFonts w:ascii="DejaVu Serif" w:eastAsia="DejaVu Serif"/>
          <w:sz w:val="17"/>
        </w:rPr>
        <w:t>𝑏</w:t>
      </w:r>
      <w:r>
        <w:rPr>
          <w:rFonts w:ascii="DejaVu Serif" w:eastAsia="DejaVu Serif"/>
          <w:position w:val="-2"/>
          <w:sz w:val="14"/>
        </w:rPr>
        <w:t xml:space="preserve">1 </w:t>
      </w:r>
      <w:r>
        <w:rPr>
          <w:rFonts w:ascii="DejaVu Serif" w:eastAsia="DejaVu Serif"/>
          <w:position w:val="7"/>
          <w:sz w:val="17"/>
        </w:rPr>
        <w:t>𝑡</w:t>
      </w:r>
    </w:p>
    <w:p w:rsidR="001E2BFD" w:rsidRDefault="000D319E">
      <w:pPr>
        <w:spacing w:line="268" w:lineRule="exact"/>
        <w:ind w:left="256"/>
        <w:rPr>
          <w:rFonts w:ascii="DejaVu Serif" w:eastAsia="DejaVu Serif"/>
          <w:sz w:val="17"/>
        </w:rPr>
      </w:pPr>
      <w:r>
        <w:br w:type="column"/>
      </w:r>
      <w:proofErr w:type="gramStart"/>
      <w:r>
        <w:rPr>
          <w:rFonts w:ascii="DejaVu Serif" w:eastAsia="DejaVu Serif"/>
          <w:sz w:val="17"/>
        </w:rPr>
        <w:t>𝛽</w:t>
      </w:r>
      <w:proofErr w:type="gramEnd"/>
      <w:r>
        <w:rPr>
          <w:rFonts w:ascii="DejaVu Serif" w:eastAsia="DejaVu Serif"/>
          <w:sz w:val="17"/>
        </w:rPr>
        <w:t>+</w:t>
      </w:r>
      <w:r>
        <w:rPr>
          <w:rFonts w:ascii="DejaVu Serif" w:eastAsia="DejaVu Serif"/>
          <w:sz w:val="17"/>
        </w:rPr>
        <w:t>𝑏</w:t>
      </w:r>
      <w:r>
        <w:rPr>
          <w:rFonts w:ascii="DejaVu Serif" w:eastAsia="DejaVu Serif"/>
          <w:position w:val="-2"/>
          <w:sz w:val="14"/>
        </w:rPr>
        <w:t xml:space="preserve">1 </w:t>
      </w:r>
      <w:r>
        <w:rPr>
          <w:rFonts w:ascii="DejaVu Serif" w:eastAsia="DejaVu Serif"/>
          <w:position w:val="7"/>
          <w:sz w:val="17"/>
        </w:rPr>
        <w:t>𝑡</w:t>
      </w:r>
    </w:p>
    <w:p w:rsidR="001E2BFD" w:rsidRDefault="001E2BFD">
      <w:pPr>
        <w:spacing w:line="268" w:lineRule="exact"/>
        <w:rPr>
          <w:rFonts w:ascii="DejaVu Serif" w:eastAsia="DejaVu Serif"/>
          <w:sz w:val="17"/>
        </w:rPr>
        <w:sectPr w:rsidR="001E2BFD">
          <w:type w:val="continuous"/>
          <w:pgSz w:w="11910" w:h="16840"/>
          <w:pgMar w:top="1580" w:right="1300" w:bottom="1200" w:left="1300" w:header="720" w:footer="720" w:gutter="0"/>
          <w:cols w:num="3" w:space="720" w:equalWidth="0">
            <w:col w:w="1213" w:space="128"/>
            <w:col w:w="949" w:space="40"/>
            <w:col w:w="6980"/>
          </w:cols>
        </w:sectPr>
      </w:pPr>
    </w:p>
    <w:p w:rsidR="001E2BFD" w:rsidRDefault="001E2BFD">
      <w:pPr>
        <w:pStyle w:val="Corpsdetexte"/>
        <w:spacing w:before="10"/>
        <w:rPr>
          <w:rFonts w:ascii="DejaVu Serif"/>
          <w:sz w:val="15"/>
        </w:rPr>
      </w:pPr>
    </w:p>
    <w:p w:rsidR="001E2BFD" w:rsidRDefault="000D319E">
      <w:pPr>
        <w:pStyle w:val="Corpsdetexte"/>
        <w:spacing w:before="90" w:line="360" w:lineRule="auto"/>
        <w:ind w:left="116" w:right="111"/>
      </w:pPr>
      <w:r>
        <w:t xml:space="preserve">Le loyer par m² d’équilibre dépend du taux d’emploi </w:t>
      </w:r>
      <w:r>
        <w:rPr>
          <w:rFonts w:ascii="DejaVu Serif" w:eastAsia="DejaVu Serif" w:hAnsi="DejaVu Serif"/>
          <w:spacing w:val="-7"/>
        </w:rPr>
        <w:t>𝐸</w:t>
      </w:r>
      <w:r>
        <w:rPr>
          <w:rFonts w:ascii="DejaVu Serif" w:eastAsia="DejaVu Serif" w:hAnsi="DejaVu Serif"/>
          <w:spacing w:val="-7"/>
          <w:vertAlign w:val="subscript"/>
        </w:rPr>
        <w:t>𝑡</w:t>
      </w:r>
      <w:r>
        <w:rPr>
          <w:rFonts w:ascii="DejaVu Serif" w:eastAsia="DejaVu Serif" w:hAnsi="DejaVu Serif"/>
          <w:spacing w:val="-7"/>
        </w:rPr>
        <w:t xml:space="preserve"> </w:t>
      </w:r>
      <w:r>
        <w:t xml:space="preserve">du stock total de m² disponible </w:t>
      </w:r>
      <w:r>
        <w:rPr>
          <w:rFonts w:ascii="DejaVu Serif" w:eastAsia="DejaVu Serif" w:hAnsi="DejaVu Serif"/>
        </w:rPr>
        <w:t>𝑆</w:t>
      </w:r>
      <w:r>
        <w:rPr>
          <w:rFonts w:ascii="DejaVu Serif" w:eastAsia="DejaVu Serif" w:hAnsi="DejaVu Serif"/>
          <w:vertAlign w:val="subscript"/>
        </w:rPr>
        <w:t>𝑡</w:t>
      </w:r>
      <w:r>
        <w:t>, ainsi</w:t>
      </w:r>
      <w:r>
        <w:rPr>
          <w:spacing w:val="-6"/>
        </w:rPr>
        <w:t xml:space="preserve"> </w:t>
      </w:r>
      <w:r>
        <w:t>que</w:t>
      </w:r>
      <w:r>
        <w:rPr>
          <w:spacing w:val="-6"/>
        </w:rPr>
        <w:t xml:space="preserve"> </w:t>
      </w:r>
      <w:r>
        <w:t>des</w:t>
      </w:r>
      <w:r>
        <w:rPr>
          <w:spacing w:val="-5"/>
        </w:rPr>
        <w:t xml:space="preserve"> </w:t>
      </w:r>
      <w:r>
        <w:t>variables</w:t>
      </w:r>
      <w:r>
        <w:rPr>
          <w:spacing w:val="53"/>
        </w:rPr>
        <w:t xml:space="preserve"> </w:t>
      </w:r>
      <w:r>
        <w:rPr>
          <w:rFonts w:ascii="DejaVu Serif" w:eastAsia="DejaVu Serif" w:hAnsi="DejaVu Serif"/>
        </w:rPr>
        <w:t>𝑄𝑜</w:t>
      </w:r>
      <w:r>
        <w:rPr>
          <w:rFonts w:ascii="DejaVu Serif" w:eastAsia="DejaVu Serif" w:hAnsi="DejaVu Serif"/>
        </w:rPr>
        <w:t>,</w:t>
      </w:r>
      <w:r>
        <w:rPr>
          <w:rFonts w:ascii="DejaVu Serif" w:eastAsia="DejaVu Serif" w:hAnsi="DejaVu Serif"/>
          <w:spacing w:val="-41"/>
        </w:rPr>
        <w:t xml:space="preserve"> </w:t>
      </w:r>
      <w:proofErr w:type="gramStart"/>
      <w:r>
        <w:rPr>
          <w:rFonts w:ascii="DejaVu Serif" w:eastAsia="DejaVu Serif" w:hAnsi="DejaVu Serif"/>
        </w:rPr>
        <w:t>𝑉𝑜</w:t>
      </w:r>
      <w:r>
        <w:t>,β</w:t>
      </w:r>
      <w:proofErr w:type="gramEnd"/>
      <w:r>
        <w:t>,</w:t>
      </w:r>
      <w:r>
        <w:rPr>
          <w:spacing w:val="-12"/>
        </w:rPr>
        <w:t xml:space="preserve"> </w:t>
      </w:r>
      <w:r>
        <w:rPr>
          <w:rFonts w:ascii="DejaVu Serif" w:eastAsia="DejaVu Serif" w:hAnsi="DejaVu Serif"/>
          <w:spacing w:val="-4"/>
        </w:rPr>
        <w:t>𝑏</w:t>
      </w:r>
      <w:r>
        <w:rPr>
          <w:rFonts w:ascii="DejaVu Serif" w:eastAsia="DejaVu Serif" w:hAnsi="DejaVu Serif"/>
          <w:spacing w:val="-4"/>
          <w:vertAlign w:val="subscript"/>
        </w:rPr>
        <w:t>2</w:t>
      </w:r>
      <w:r>
        <w:rPr>
          <w:rFonts w:ascii="DejaVu Serif" w:eastAsia="DejaVu Serif" w:hAnsi="DejaVu Serif"/>
          <w:spacing w:val="-13"/>
        </w:rPr>
        <w:t xml:space="preserve"> </w:t>
      </w:r>
      <w:r>
        <w:t>et</w:t>
      </w:r>
      <w:r>
        <w:rPr>
          <w:spacing w:val="-5"/>
        </w:rPr>
        <w:t xml:space="preserve"> </w:t>
      </w:r>
      <w:r>
        <w:rPr>
          <w:rFonts w:ascii="DejaVu Serif" w:eastAsia="DejaVu Serif" w:hAnsi="DejaVu Serif"/>
        </w:rPr>
        <w:t>𝑏</w:t>
      </w:r>
      <w:r>
        <w:rPr>
          <w:rFonts w:ascii="DejaVu Serif" w:eastAsia="DejaVu Serif" w:hAnsi="DejaVu Serif"/>
          <w:vertAlign w:val="subscript"/>
        </w:rPr>
        <w:t>1</w:t>
      </w:r>
      <w:r>
        <w:t>.</w:t>
      </w:r>
      <w:r>
        <w:rPr>
          <w:spacing w:val="-5"/>
        </w:rPr>
        <w:t xml:space="preserve"> </w:t>
      </w:r>
      <w:proofErr w:type="spellStart"/>
      <w:r>
        <w:t>Mcdonald</w:t>
      </w:r>
      <w:proofErr w:type="spellEnd"/>
      <w:r>
        <w:rPr>
          <w:spacing w:val="-6"/>
        </w:rPr>
        <w:t xml:space="preserve"> </w:t>
      </w:r>
      <w:r>
        <w:t>conclue</w:t>
      </w:r>
      <w:r>
        <w:rPr>
          <w:spacing w:val="-4"/>
        </w:rPr>
        <w:t xml:space="preserve"> </w:t>
      </w:r>
      <w:r>
        <w:t>que</w:t>
      </w:r>
      <w:r>
        <w:rPr>
          <w:spacing w:val="-6"/>
        </w:rPr>
        <w:t xml:space="preserve"> </w:t>
      </w:r>
      <w:r>
        <w:t>le</w:t>
      </w:r>
      <w:r>
        <w:rPr>
          <w:spacing w:val="-5"/>
        </w:rPr>
        <w:t xml:space="preserve"> </w:t>
      </w:r>
      <w:r>
        <w:t>loyer</w:t>
      </w:r>
      <w:r>
        <w:rPr>
          <w:spacing w:val="-5"/>
        </w:rPr>
        <w:t xml:space="preserve"> </w:t>
      </w:r>
      <w:r>
        <w:t>par</w:t>
      </w:r>
      <w:r>
        <w:rPr>
          <w:spacing w:val="-5"/>
        </w:rPr>
        <w:t xml:space="preserve"> </w:t>
      </w:r>
      <w:r>
        <w:t>m²</w:t>
      </w:r>
      <w:r>
        <w:rPr>
          <w:spacing w:val="-5"/>
        </w:rPr>
        <w:t xml:space="preserve"> </w:t>
      </w:r>
      <w:r>
        <w:t>d’équilibre dépend négativement du total de m² disponible, positivement du taux d’emploi dans les activités qui nécessitent l’occupation d’un</w:t>
      </w:r>
      <w:r>
        <w:rPr>
          <w:spacing w:val="-2"/>
        </w:rPr>
        <w:t xml:space="preserve"> </w:t>
      </w:r>
      <w:r>
        <w:t>bureau.</w:t>
      </w:r>
    </w:p>
    <w:p w:rsidR="001E2BFD" w:rsidRDefault="000D319E">
      <w:pPr>
        <w:pStyle w:val="Titre2"/>
        <w:spacing w:before="172"/>
        <w:ind w:left="1016"/>
        <w:rPr>
          <w:rFonts w:ascii="Trebuchet MS"/>
        </w:rPr>
      </w:pPr>
      <w:r>
        <w:rPr>
          <w:rFonts w:ascii="Trebuchet MS"/>
        </w:rPr>
        <w:t>B- Mesures</w:t>
      </w:r>
    </w:p>
    <w:p w:rsidR="001E2BFD" w:rsidRDefault="000D319E">
      <w:pPr>
        <w:pStyle w:val="Corpsdetexte"/>
        <w:spacing w:before="194" w:line="360" w:lineRule="auto"/>
        <w:ind w:left="116" w:right="117"/>
      </w:pPr>
      <w:r>
        <w:t>Les études sur la modélisation d</w:t>
      </w:r>
      <w:r>
        <w:t xml:space="preserve">u marché de l’immobilier de bureaux ont donné naissance à des mesures empiriques. </w:t>
      </w:r>
      <w:proofErr w:type="gramStart"/>
      <w:r>
        <w:t>Suite à</w:t>
      </w:r>
      <w:proofErr w:type="gramEnd"/>
      <w:r>
        <w:t xml:space="preserve"> l’énonciation des modèles, les auteurs ont fait des estimations pour vérifier empiriquement leurs recherches. Nous allons ici exposer les résultats des mesures empiri</w:t>
      </w:r>
      <w:r>
        <w:t xml:space="preserve">ques faites par </w:t>
      </w:r>
      <w:proofErr w:type="spellStart"/>
      <w:r>
        <w:t>Nappi-Choulet</w:t>
      </w:r>
      <w:proofErr w:type="spellEnd"/>
      <w:r>
        <w:t xml:space="preserve"> et Maurer en 2008 dans le cadre de leurs études sur la modélisation des prix du marché de l’immobilier en Ile de France. Ils ont commencé par mesurer le modèle I simple hédonique, entre 1991 et 2000, le coefficient estimé des </w:t>
      </w:r>
      <w:r>
        <w:t>variables caractéristiques du bien sur le prix de vente des bureaux à Paris et sa banlieue proche est</w:t>
      </w:r>
      <w:r>
        <w:rPr>
          <w:spacing w:val="-9"/>
        </w:rPr>
        <w:t xml:space="preserve"> </w:t>
      </w:r>
      <w:r>
        <w:t>de</w:t>
      </w:r>
    </w:p>
    <w:p w:rsidR="001E2BFD" w:rsidRDefault="000D319E">
      <w:pPr>
        <w:pStyle w:val="Corpsdetexte"/>
        <w:spacing w:line="360" w:lineRule="auto"/>
        <w:ind w:left="116" w:right="125"/>
      </w:pPr>
      <w:r>
        <w:t xml:space="preserve">0.07. </w:t>
      </w:r>
      <w:r>
        <w:rPr>
          <w:spacing w:val="-3"/>
        </w:rPr>
        <w:t xml:space="preserve">Les </w:t>
      </w:r>
      <w:r>
        <w:t>variables caractéristiques du bien prises en compte dans le modèle, sont corrélées positivement au prix de vente du bien, c’est-à-dire la var</w:t>
      </w:r>
      <w:r>
        <w:t>iation de ces caractéristiques fait varier le prix de vente dans le même sens. Le taux d’autocorrélation entre les variables caractéristiques et le prix de vente est de 0.4517. On a aussi un coefficient de détermination(R²) très élevé 0.8875 ce qui veut di</w:t>
      </w:r>
      <w:r>
        <w:t>re que les variables expliquent bien le modèle. Sur les autres périodes à savoir de 1850 à 1991, l’impact de ces variables sur le prix de vente était négatif on avait une relation négative, mais cette tendance s’est inversée dans les années 1990 et perdure</w:t>
      </w:r>
      <w:r>
        <w:t xml:space="preserve"> (Tableau 8). Si l’on prend seulement le QCA de Paris et la Défense on a un plus fort coefficient de détermination R², les variables explicatives sont plus importantes sur ce sous marché et expliquent mieux le modèle. </w:t>
      </w:r>
      <w:r>
        <w:rPr>
          <w:spacing w:val="-3"/>
        </w:rPr>
        <w:t xml:space="preserve">Le </w:t>
      </w:r>
      <w:r>
        <w:t>coefficient d’autocorrélation est à</w:t>
      </w:r>
      <w:r>
        <w:t xml:space="preserve"> peu près égal à 0.4418 sur tous les sous marchés de la région</w:t>
      </w:r>
      <w:r>
        <w:rPr>
          <w:spacing w:val="-10"/>
        </w:rPr>
        <w:t xml:space="preserve"> </w:t>
      </w:r>
      <w:r>
        <w:t>(Tableau</w:t>
      </w:r>
    </w:p>
    <w:p w:rsidR="001E2BFD" w:rsidRDefault="001E2BFD">
      <w:pPr>
        <w:spacing w:line="360" w:lineRule="auto"/>
        <w:sectPr w:rsidR="001E2BFD">
          <w:type w:val="continuous"/>
          <w:pgSz w:w="11910" w:h="16840"/>
          <w:pgMar w:top="1580" w:right="1300" w:bottom="1200" w:left="1300" w:header="720" w:footer="720" w:gutter="0"/>
          <w:cols w:space="720"/>
        </w:sectPr>
      </w:pPr>
    </w:p>
    <w:p w:rsidR="001E2BFD" w:rsidRDefault="000D319E">
      <w:pPr>
        <w:pStyle w:val="Corpsdetexte"/>
        <w:spacing w:before="72" w:line="360" w:lineRule="auto"/>
        <w:ind w:left="116" w:right="363"/>
      </w:pPr>
      <w:r>
        <w:lastRenderedPageBreak/>
        <w:t>8). Cette estimation a permis de montrer que la date de construction de l’immeuble n’a pas grand impact sur les résultats, cependant l’état des bureaux c’est-à-dire s’i</w:t>
      </w:r>
      <w:r>
        <w:t>ls sont anciens ou nouveaux, influence le prix.</w:t>
      </w:r>
    </w:p>
    <w:p w:rsidR="001E2BFD" w:rsidRDefault="000D319E">
      <w:pPr>
        <w:pStyle w:val="Corpsdetexte"/>
        <w:spacing w:before="162" w:line="360" w:lineRule="auto"/>
        <w:ind w:left="116" w:right="127"/>
      </w:pPr>
      <w:r>
        <w:t>Les résultats de l’estimation du modèle B-star qui prend les variables spatio-temporelles entre 1992 et 2002 sont : le coefficient de la régression est de 0.06, il est négatif alors que sur le reste des pério</w:t>
      </w:r>
      <w:r>
        <w:t>des estimées il était négatif. Le fait qu’un bureau soit nouveau entre en compte avec un coefficient de 0.49 au seuil de 1% et la localisation de l’immeuble a un coefficient de 0,94 au seuil de 1%. La variable spatiale S a un coefficient 0,32 au seuil de 1</w:t>
      </w:r>
      <w:r>
        <w:t xml:space="preserve">% et la variable temporelle T au seuil de 1% </w:t>
      </w:r>
      <w:proofErr w:type="spellStart"/>
      <w:r>
        <w:t>a</w:t>
      </w:r>
      <w:proofErr w:type="spellEnd"/>
      <w:r>
        <w:t xml:space="preserve"> un coefficient de 0.06. </w:t>
      </w:r>
      <w:r>
        <w:rPr>
          <w:spacing w:val="-3"/>
        </w:rPr>
        <w:t xml:space="preserve">Les </w:t>
      </w:r>
      <w:r>
        <w:t>paramètres combinés de dépendance spatio-temporelle S* T ont un coefficient de 0.02 et celui de dépendance tempo-spatiale T*S a un coefficient de 0 il n’explique pas le modèle. Le R</w:t>
      </w:r>
      <w:r>
        <w:t>² ou coefficient de détermination est assez élevé pour ce modèle, il est de 0.9177, supérieur à celui du modèle I de régression simple. Si l’on prend la période Décembre 1997 avant les modifications faites sur le marché, la construction de nouveaux bureaux</w:t>
      </w:r>
      <w:r>
        <w:t xml:space="preserve"> </w:t>
      </w:r>
      <w:proofErr w:type="gramStart"/>
      <w:r>
        <w:t>a</w:t>
      </w:r>
      <w:proofErr w:type="gramEnd"/>
      <w:r>
        <w:t xml:space="preserve"> un coefficient de 0.45 au seuil de 5%. La localisation du bien, au seuil de 5% </w:t>
      </w:r>
      <w:proofErr w:type="spellStart"/>
      <w:r>
        <w:t>a</w:t>
      </w:r>
      <w:proofErr w:type="spellEnd"/>
      <w:r>
        <w:t xml:space="preserve"> un coefficient de 0.92 sur l’estimation. La variable spatiale a un coefficient de 0.11 au seuil de 5% sur la période alors que la variable temporelle T, au seuil de 5% </w:t>
      </w:r>
      <w:proofErr w:type="spellStart"/>
      <w:r>
        <w:t>a</w:t>
      </w:r>
      <w:proofErr w:type="spellEnd"/>
      <w:r>
        <w:t xml:space="preserve"> un</w:t>
      </w:r>
      <w:r>
        <w:t xml:space="preserve"> coefficient négatif de -0.06 et la variable de dépendance spatio-temporelle S*T a un coefficient de 0.09. Lorsqu’on se place en décembre 1997, après les modifications faites sur le marché, on remarque des changements dans les </w:t>
      </w:r>
      <w:r w:rsidR="00D15EAE">
        <w:t>résultats. La</w:t>
      </w:r>
      <w:r>
        <w:t xml:space="preserve"> construction de</w:t>
      </w:r>
      <w:r>
        <w:t xml:space="preserve"> nouveaux bureaux </w:t>
      </w:r>
      <w:proofErr w:type="gramStart"/>
      <w:r>
        <w:t>a</w:t>
      </w:r>
      <w:proofErr w:type="gramEnd"/>
      <w:r>
        <w:t xml:space="preserve"> un coefficient de 0.46 au seuil de 1%, la localisation du bien un coefficient de 0.98. La variable spatiale S, a un coefficient beaucoup plus élevé ici, il est de 0.75 au seuil de 1%, la variable temporelle T aussi voit son coefficient </w:t>
      </w:r>
      <w:r>
        <w:t>augmenter et atteindre 0.26 au seuil de 1%. On remarque qu’après les modifications structurelles que le marché a connues en 1997, les variables spatiales et temporelles expliquent beaucoup plus le modèle. Le coefficient de détermination R² est de 0.9411, i</w:t>
      </w:r>
      <w:r>
        <w:t xml:space="preserve">l est très proche de 1, les variables prises en compte expliquent très bien le modèle. Les paramètres sont plus précis sur la deuxième période, car les auteurs disposaient de données plus larges et complètes qui facilitent la modélisation. </w:t>
      </w:r>
      <w:r>
        <w:rPr>
          <w:spacing w:val="-3"/>
        </w:rPr>
        <w:t xml:space="preserve">La </w:t>
      </w:r>
      <w:r>
        <w:t xml:space="preserve">précision et </w:t>
      </w:r>
      <w:r>
        <w:t>l’exhaustivité sont les raisons pour lesquelles, les auteurs ont menés leurs études en se basant sur le modèle B-star avec les variables spatio-temporelles. Pour les modèles qui estiment la demande et l’offre de bureaux, il n’y a pas eu de mesures empiriqu</w:t>
      </w:r>
      <w:r>
        <w:t>es sur le marché</w:t>
      </w:r>
      <w:r>
        <w:rPr>
          <w:spacing w:val="-2"/>
        </w:rPr>
        <w:t xml:space="preserve"> </w:t>
      </w:r>
      <w:r>
        <w:t>parisien</w:t>
      </w:r>
    </w:p>
    <w:p w:rsidR="001E2BFD" w:rsidRDefault="000D319E">
      <w:pPr>
        <w:pStyle w:val="Titre1"/>
        <w:numPr>
          <w:ilvl w:val="0"/>
          <w:numId w:val="1"/>
        </w:numPr>
        <w:tabs>
          <w:tab w:val="left" w:pos="399"/>
        </w:tabs>
        <w:ind w:left="398" w:hanging="282"/>
        <w:rPr>
          <w:color w:val="2D75B6"/>
          <w:sz w:val="26"/>
        </w:rPr>
      </w:pPr>
      <w:r>
        <w:rPr>
          <w:color w:val="2D75B6"/>
        </w:rPr>
        <w:t>Tr</w:t>
      </w:r>
      <w:r>
        <w:rPr>
          <w:color w:val="2D75B6"/>
          <w:u w:val="single" w:color="2D75B5"/>
        </w:rPr>
        <w:t>ansformations et évolutions du marché de l’immobilier de</w:t>
      </w:r>
      <w:r>
        <w:rPr>
          <w:color w:val="2D75B6"/>
          <w:spacing w:val="-8"/>
          <w:u w:val="single" w:color="2D75B5"/>
        </w:rPr>
        <w:t xml:space="preserve"> </w:t>
      </w:r>
      <w:r>
        <w:rPr>
          <w:color w:val="2D75B6"/>
          <w:u w:val="single" w:color="2D75B5"/>
        </w:rPr>
        <w:t>bureaux</w:t>
      </w:r>
    </w:p>
    <w:p w:rsidR="001E2BFD" w:rsidRDefault="001E2BFD">
      <w:pPr>
        <w:rPr>
          <w:sz w:val="26"/>
        </w:rPr>
        <w:sectPr w:rsidR="001E2BFD">
          <w:pgSz w:w="11910" w:h="16840"/>
          <w:pgMar w:top="1320" w:right="1300" w:bottom="1200" w:left="1300" w:header="0" w:footer="1003" w:gutter="0"/>
          <w:cols w:space="720"/>
        </w:sectPr>
      </w:pPr>
    </w:p>
    <w:p w:rsidR="001E2BFD" w:rsidRDefault="000D319E">
      <w:pPr>
        <w:pStyle w:val="Titre2"/>
        <w:spacing w:before="70"/>
      </w:pPr>
      <w:proofErr w:type="spellStart"/>
      <w:r>
        <w:lastRenderedPageBreak/>
        <w:t>A-Les</w:t>
      </w:r>
      <w:proofErr w:type="spellEnd"/>
      <w:r>
        <w:t xml:space="preserve"> transformations et évolution du marché</w:t>
      </w:r>
    </w:p>
    <w:p w:rsidR="001E2BFD" w:rsidRDefault="000D319E">
      <w:pPr>
        <w:pStyle w:val="Corpsdetexte"/>
        <w:spacing w:before="165" w:line="360" w:lineRule="auto"/>
        <w:ind w:left="116" w:right="206"/>
      </w:pPr>
      <w:r>
        <w:t xml:space="preserve">Le marché de l'immobilier de bureaux comme de l'immobilier en général est de nature cyclique : il est traversé par des crises sévères. Les plus importantes </w:t>
      </w:r>
      <w:proofErr w:type="spellStart"/>
      <w:r>
        <w:t>ﬂuctuations</w:t>
      </w:r>
      <w:proofErr w:type="spellEnd"/>
      <w:r>
        <w:t xml:space="preserve"> concernent l'immobilier de bureaux, secteur où la </w:t>
      </w:r>
      <w:proofErr w:type="spellStart"/>
      <w:r>
        <w:t>ﬁnance</w:t>
      </w:r>
      <w:proofErr w:type="spellEnd"/>
      <w:r>
        <w:t xml:space="preserve"> s’est imposée très rapidement e</w:t>
      </w:r>
      <w:r>
        <w:t>t où la volatilité des prix est la plus forte. Barras et Ferguson ont travaillé sur le sujet et mettent en relation le cycle des affaires, le cycle de crédit et cycle immobilier. Il y a des cycles de périodicité et nature différents : les cycles de court t</w:t>
      </w:r>
      <w:r>
        <w:t>erme, de 4 à 5 ans observable sur le marché locatif en parallèle au cycle des affaires et s’associe à la variation de la demande. On a les cycles de longue période 9 à 10 ans, générés par la durée de production dans l'immobilier et les cycles de très longu</w:t>
      </w:r>
      <w:r>
        <w:t>e période (plus de 20 ans) dû à la spéculation et correspondant à une augmentation du développement urbain et de la croissance démographique.</w:t>
      </w:r>
    </w:p>
    <w:p w:rsidR="001E2BFD" w:rsidRDefault="000D319E">
      <w:pPr>
        <w:pStyle w:val="Corpsdetexte"/>
        <w:spacing w:before="1"/>
        <w:ind w:left="116"/>
      </w:pPr>
      <w:r>
        <w:t>L</w:t>
      </w:r>
    </w:p>
    <w:p w:rsidR="001E2BFD" w:rsidRDefault="000D319E">
      <w:pPr>
        <w:pStyle w:val="Corpsdetexte"/>
        <w:spacing w:before="137" w:line="360" w:lineRule="auto"/>
        <w:ind w:left="116" w:right="141"/>
      </w:pPr>
      <w:r>
        <w:t xml:space="preserve">Les cycles de plus de 50 ans de type Kondratiev, sont dus au développement technique. Il existe deux types de théorie pour expliquer le cycle </w:t>
      </w:r>
      <w:r w:rsidR="00D15EAE">
        <w:t>immobilier :</w:t>
      </w:r>
      <w:r>
        <w:t xml:space="preserve"> une des théories montre que les facteurs et chocs sont exogènes sur les marchés immobiliers, les </w:t>
      </w:r>
      <w:proofErr w:type="spellStart"/>
      <w:r>
        <w:t>ﬂuctu</w:t>
      </w:r>
      <w:r>
        <w:t>ations</w:t>
      </w:r>
      <w:proofErr w:type="spellEnd"/>
      <w:r>
        <w:t xml:space="preserve"> sont dues à des événements extérieur et le marché s'y adapte. La demande d'espace immobilier étant une fonction de la demande qui dépend essentiellement des autres secteurs économiques. </w:t>
      </w:r>
      <w:r>
        <w:rPr>
          <w:spacing w:val="-3"/>
        </w:rPr>
        <w:t xml:space="preserve">Les </w:t>
      </w:r>
      <w:r>
        <w:t>principaux modèles liés à cette théorie mettent en évidence</w:t>
      </w:r>
      <w:r>
        <w:t xml:space="preserve"> un lien entre marché immobilier et marché d'affaires. Les variables pouvant expliquer ce lien sont les facteurs démographiques, le niveau de l’emploi, et certains facteurs économiques ou </w:t>
      </w:r>
      <w:proofErr w:type="spellStart"/>
      <w:r>
        <w:t>ﬁnanciers</w:t>
      </w:r>
      <w:proofErr w:type="spellEnd"/>
      <w:r>
        <w:t xml:space="preserve"> (revenu national, </w:t>
      </w:r>
      <w:proofErr w:type="spellStart"/>
      <w:r>
        <w:t>inﬂation</w:t>
      </w:r>
      <w:proofErr w:type="spellEnd"/>
      <w:r>
        <w:t>, taux d’intérêt). Cette théorie</w:t>
      </w:r>
      <w:r>
        <w:t xml:space="preserve"> est essentiellement accordée au cycle de court terme de 4 à 5</w:t>
      </w:r>
      <w:r>
        <w:rPr>
          <w:spacing w:val="-2"/>
        </w:rPr>
        <w:t xml:space="preserve"> </w:t>
      </w:r>
      <w:r>
        <w:t>ans.</w:t>
      </w:r>
    </w:p>
    <w:p w:rsidR="001E2BFD" w:rsidRDefault="000D319E">
      <w:pPr>
        <w:pStyle w:val="Corpsdetexte"/>
        <w:spacing w:line="360" w:lineRule="auto"/>
        <w:ind w:left="116" w:right="177"/>
      </w:pPr>
      <w:r>
        <w:t>Les cycles observés des loyers et prix immobiliers répondent donc au choc de variable exogène vue plus haut qui importent l’offre et la demande d’espace immobilier. Ces variables impactent</w:t>
      </w:r>
      <w:r>
        <w:t xml:space="preserve"> d'abord le loyer puis le taux vacance naturel et le cycle immobilier. Une autre approche outre celle des cycles immobiliers, correspond aux cycles de loyer liés au taux de vacance. D'après Smith (1974), les processus d'ajustement des loyers se font par va</w:t>
      </w:r>
      <w:r>
        <w:t xml:space="preserve">riation du taux de vacance. En effet, le taux de vacance d’équilibre varie selon la structure et la taille de l’immobilier. Le taux de vacance correspond au rapport entre la surface disponible et la surface totale du parc immobilier. Si le taux de vacance </w:t>
      </w:r>
      <w:r>
        <w:t>observé est égal au taux de vacance naturel, les loyers stagnent. Si le taux de vacance observé est inférieur au taux de vacance naturel, les loyers auront tendance à augmenter et s’il est supérieur alors les loyers diminueront. Les taux de vacances affect</w:t>
      </w:r>
      <w:r>
        <w:t>ent les loyers de façon non linéaire comme suit, les</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0" w:lineRule="auto"/>
        <w:ind w:left="116" w:right="128"/>
      </w:pPr>
      <w:proofErr w:type="gramStart"/>
      <w:r>
        <w:lastRenderedPageBreak/>
        <w:t>loyers</w:t>
      </w:r>
      <w:proofErr w:type="gramEnd"/>
      <w:r>
        <w:t xml:space="preserve"> varient de plus en plus rapidement que le taux de vacance s'éloigne du taux de vacance naturel. On peut écrire le modèle d'ajustement comme suit : var </w:t>
      </w:r>
      <w:proofErr w:type="gramStart"/>
      <w:r>
        <w:t>( L</w:t>
      </w:r>
      <w:proofErr w:type="gramEnd"/>
      <w:r>
        <w:t>(t)/L(t-1)) =ʎ(V*-V(t-1)</w:t>
      </w:r>
      <w:r>
        <w:t xml:space="preserve"> L(t)=loyer</w:t>
      </w:r>
      <w:r>
        <w:rPr>
          <w:spacing w:val="-7"/>
        </w:rPr>
        <w:t xml:space="preserve"> </w:t>
      </w:r>
      <w:r>
        <w:t>net</w:t>
      </w:r>
      <w:r>
        <w:rPr>
          <w:spacing w:val="-7"/>
        </w:rPr>
        <w:t xml:space="preserve"> </w:t>
      </w:r>
      <w:r>
        <w:t>année</w:t>
      </w:r>
      <w:r>
        <w:rPr>
          <w:spacing w:val="-7"/>
        </w:rPr>
        <w:t xml:space="preserve"> </w:t>
      </w:r>
      <w:r>
        <w:t>t</w:t>
      </w:r>
      <w:r>
        <w:rPr>
          <w:spacing w:val="-7"/>
        </w:rPr>
        <w:t xml:space="preserve"> </w:t>
      </w:r>
      <w:r>
        <w:t>V*:taux</w:t>
      </w:r>
      <w:r>
        <w:rPr>
          <w:spacing w:val="-5"/>
        </w:rPr>
        <w:t xml:space="preserve"> </w:t>
      </w:r>
      <w:r>
        <w:t>de</w:t>
      </w:r>
      <w:r>
        <w:rPr>
          <w:spacing w:val="-7"/>
        </w:rPr>
        <w:t xml:space="preserve"> </w:t>
      </w:r>
      <w:r>
        <w:t>vacance</w:t>
      </w:r>
      <w:r>
        <w:rPr>
          <w:spacing w:val="-8"/>
        </w:rPr>
        <w:t xml:space="preserve"> </w:t>
      </w:r>
      <w:r>
        <w:t>naturel</w:t>
      </w:r>
      <w:r>
        <w:rPr>
          <w:spacing w:val="-4"/>
        </w:rPr>
        <w:t xml:space="preserve"> </w:t>
      </w:r>
      <w:r>
        <w:t>V(t-1):taux</w:t>
      </w:r>
      <w:r>
        <w:rPr>
          <w:spacing w:val="-5"/>
        </w:rPr>
        <w:t xml:space="preserve"> </w:t>
      </w:r>
      <w:r>
        <w:t>de</w:t>
      </w:r>
      <w:r>
        <w:rPr>
          <w:spacing w:val="-8"/>
        </w:rPr>
        <w:t xml:space="preserve"> </w:t>
      </w:r>
      <w:r>
        <w:t>vacance</w:t>
      </w:r>
      <w:r>
        <w:rPr>
          <w:spacing w:val="-5"/>
        </w:rPr>
        <w:t xml:space="preserve"> </w:t>
      </w:r>
      <w:r>
        <w:t>année</w:t>
      </w:r>
      <w:r>
        <w:rPr>
          <w:spacing w:val="-8"/>
        </w:rPr>
        <w:t xml:space="preserve"> </w:t>
      </w:r>
      <w:r>
        <w:t>(t-1)</w:t>
      </w:r>
      <w:r>
        <w:rPr>
          <w:spacing w:val="-6"/>
        </w:rPr>
        <w:t xml:space="preserve"> </w:t>
      </w:r>
      <w:r>
        <w:rPr>
          <w:spacing w:val="-4"/>
        </w:rPr>
        <w:t xml:space="preserve">ʎ:facteur </w:t>
      </w:r>
      <w:r>
        <w:t>d’ajustement. Le taux de vacance optimal est déterminé surtout par des variables comme la variation de la demande, les loyers attendus, les taux d’intérêt, le n</w:t>
      </w:r>
      <w:r>
        <w:t>iveau de l’</w:t>
      </w:r>
      <w:proofErr w:type="spellStart"/>
      <w:r>
        <w:t>inﬂation</w:t>
      </w:r>
      <w:proofErr w:type="spellEnd"/>
      <w:r>
        <w:t xml:space="preserve">, la </w:t>
      </w:r>
      <w:proofErr w:type="spellStart"/>
      <w:r>
        <w:t>ﬁscalité</w:t>
      </w:r>
      <w:proofErr w:type="spellEnd"/>
      <w:r>
        <w:t xml:space="preserve">. En effet une hausse du coût de l’espace vacant a une </w:t>
      </w:r>
      <w:proofErr w:type="spellStart"/>
      <w:r>
        <w:t>inﬂuence</w:t>
      </w:r>
      <w:proofErr w:type="spellEnd"/>
      <w:r>
        <w:t xml:space="preserve"> sur le niveau de vacance admissible pour le propriétaire. Pour que ce dernier accepte, il faut qu’il y’ait soit une baisse des taux d’intérêt ou de la </w:t>
      </w:r>
      <w:proofErr w:type="spellStart"/>
      <w:r>
        <w:t>ﬁscalité</w:t>
      </w:r>
      <w:proofErr w:type="spellEnd"/>
      <w:r>
        <w:t xml:space="preserve"> </w:t>
      </w:r>
      <w:r>
        <w:t>immobilière (ou les deux). De même, une hausse de la demande et donc du loyer peut permettre au propriétaire d’accepter une hausse du niveau du taux de</w:t>
      </w:r>
      <w:r>
        <w:rPr>
          <w:spacing w:val="-1"/>
        </w:rPr>
        <w:t xml:space="preserve"> </w:t>
      </w:r>
      <w:r>
        <w:t>vacance.</w:t>
      </w:r>
    </w:p>
    <w:p w:rsidR="001E2BFD" w:rsidRDefault="000D319E">
      <w:pPr>
        <w:pStyle w:val="Corpsdetexte"/>
        <w:spacing w:before="1" w:line="360" w:lineRule="auto"/>
        <w:ind w:left="116" w:right="134"/>
      </w:pPr>
      <w:r>
        <w:t>Avant 1970 le marché de l'immobilier d'entreprise et donc de bureaux n'existait pas, les immeub</w:t>
      </w:r>
      <w:r>
        <w:t xml:space="preserve">les étaient directement occupés par les entreprises. Le marché de l'immobilier est récent et s’est répandu dans le cours des années 1970. Il a connu une énorme expansion grâce à l'entrée de capitaux étrangers et la </w:t>
      </w:r>
      <w:proofErr w:type="spellStart"/>
      <w:r>
        <w:t>ﬁnanciarisation</w:t>
      </w:r>
      <w:proofErr w:type="spellEnd"/>
      <w:r>
        <w:t xml:space="preserve"> du secteur par les promot</w:t>
      </w:r>
      <w:r>
        <w:t xml:space="preserve">eurs et investisseurs immobiliers. Entre 1983 et 1987 le montant de stock de bureaux en location en île de France est inférieur au volume de transaction de bureaux. C’est le début d'une pénurie d'immeuble de bureaux. En 1985 les pouvoirs publics européens </w:t>
      </w:r>
      <w:r>
        <w:t xml:space="preserve">comprennent qu'ils doivent développer une offre de bureaux aux standards internationaux </w:t>
      </w:r>
      <w:proofErr w:type="spellStart"/>
      <w:r>
        <w:t>aﬁn</w:t>
      </w:r>
      <w:proofErr w:type="spellEnd"/>
      <w:r>
        <w:t xml:space="preserve"> d'attirer les sièges des plus grands groupes internationaux. La France cherche à promouvoir alors la région Ile de France. La loi sur la décentralisation de 1982 va</w:t>
      </w:r>
      <w:r>
        <w:t xml:space="preserve"> permettre le développement et la multiplication de projets immobiliers (et donc de bureaux) dans les communes de la région parisienne. On assiste à la construction de la plus grande zone d'aménagement concertée (ZAC) en Europe en 1987, Front de Seine avec</w:t>
      </w:r>
      <w:r>
        <w:t xml:space="preserve"> notamment 500 000 m² de bureaux.</w:t>
      </w:r>
    </w:p>
    <w:p w:rsidR="001E2BFD" w:rsidRDefault="000D319E">
      <w:pPr>
        <w:pStyle w:val="Corpsdetexte"/>
        <w:spacing w:before="2" w:line="360" w:lineRule="auto"/>
        <w:ind w:left="116" w:right="290"/>
      </w:pPr>
      <w:r>
        <w:t xml:space="preserve">En parallèle la déréglementation du crédit et la libéralisation </w:t>
      </w:r>
      <w:proofErr w:type="spellStart"/>
      <w:r>
        <w:t>ﬁnancière</w:t>
      </w:r>
      <w:proofErr w:type="spellEnd"/>
      <w:r>
        <w:t xml:space="preserve"> dans les années 1980 ont contribué à la hausse de la </w:t>
      </w:r>
      <w:r w:rsidR="00D15EAE">
        <w:t>concurrence ;</w:t>
      </w:r>
      <w:r>
        <w:t xml:space="preserve"> cela a eu pour conséquences de stimuler la construction de bureaux. En 1989 plus d</w:t>
      </w:r>
      <w:r>
        <w:t>e 3 millions de mètres carrés sont mis en chantier.</w:t>
      </w:r>
    </w:p>
    <w:p w:rsidR="001E2BFD" w:rsidRDefault="000D319E">
      <w:pPr>
        <w:pStyle w:val="Corpsdetexte"/>
        <w:spacing w:line="360" w:lineRule="auto"/>
        <w:ind w:left="116" w:right="322"/>
      </w:pPr>
      <w:r>
        <w:t xml:space="preserve">Plus de 17 millions de mètres carrés de bureaux sont construits entre 1970 et 1990 en région parisienne dont plus d'un tiers à paris et en Hauts-de-Seine. A la </w:t>
      </w:r>
      <w:proofErr w:type="spellStart"/>
      <w:r>
        <w:t>ﬁn</w:t>
      </w:r>
      <w:proofErr w:type="spellEnd"/>
      <w:r>
        <w:t xml:space="preserve"> des années 1980 l'Ile de France devient a</w:t>
      </w:r>
      <w:r>
        <w:t>lors le plus important marché de bureaux en Europe avec 33millions de mètres carrés construits, devant celui de Londres avec 30 millions de mètres carrés.</w:t>
      </w:r>
    </w:p>
    <w:p w:rsidR="001E2BFD" w:rsidRDefault="000D319E">
      <w:pPr>
        <w:pStyle w:val="Corpsdetexte"/>
        <w:spacing w:line="360" w:lineRule="auto"/>
        <w:ind w:left="116" w:right="203"/>
      </w:pPr>
      <w:r>
        <w:t>À la même période les bureaux en blanc (ceux qui sont construits ou en cours de construction et qui n</w:t>
      </w:r>
      <w:r>
        <w:t>on pas encore été vendus), représentent 70% du parc.</w:t>
      </w:r>
    </w:p>
    <w:p w:rsidR="001E2BFD" w:rsidRDefault="000D319E">
      <w:pPr>
        <w:pStyle w:val="Corpsdetexte"/>
        <w:spacing w:line="360" w:lineRule="auto"/>
        <w:ind w:left="116" w:right="587"/>
      </w:pPr>
      <w:r>
        <w:t>Les grands investisseurs institutionnels français comme le GAN ou L'UAP qui sont des compagnies d'assurance représentent 60% de la valeur des engagements qui entre 1987 et</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0" w:lineRule="auto"/>
        <w:ind w:left="116" w:right="216"/>
      </w:pPr>
      <w:r>
        <w:lastRenderedPageBreak/>
        <w:t>1990 valait d</w:t>
      </w:r>
      <w:r>
        <w:t xml:space="preserve">e 3,8 milliards d’euros. Le loyer locatif a augmenté de 14% à Paris, et 20% dans le quartier central des affaires de Paris. Les prix de vente croissent eux davantage, plus du double de leur prix dans certains quartiers de Paris en 1990 par rapport à 1985. </w:t>
      </w:r>
      <w:r>
        <w:t>En 1993 le parc de l’immobilier de bureaux représente 41 millions de mètres carrés en Ile de France.</w:t>
      </w:r>
    </w:p>
    <w:p w:rsidR="001E2BFD" w:rsidRDefault="000D319E">
      <w:pPr>
        <w:pStyle w:val="Corpsdetexte"/>
        <w:spacing w:line="360" w:lineRule="auto"/>
        <w:ind w:left="116" w:right="363"/>
      </w:pPr>
      <w:r>
        <w:t>L'année 1991 marque le retournement de la tendance, la bulle immobilière éclate. Avec la crise, le volume annuel de la demande placée de bureaux est réduit</w:t>
      </w:r>
      <w:r>
        <w:t xml:space="preserve"> et tombe à un million de mètres carrés en 1992 en Ile de France.</w:t>
      </w:r>
    </w:p>
    <w:p w:rsidR="001E2BFD" w:rsidRDefault="000D319E">
      <w:pPr>
        <w:pStyle w:val="Corpsdetexte"/>
        <w:spacing w:before="1" w:line="360" w:lineRule="auto"/>
        <w:ind w:left="116" w:right="240"/>
      </w:pPr>
      <w:r>
        <w:t>À l'inverse de la période d'euphorie où le marché de bureaux a vu ses loyers et ses prix de vente augmenter très fortement, la crise induit une baisse des prix et le loyer des immeubles de bureaux. Dans les quartiers d'affaires les plus chers et les plus d</w:t>
      </w:r>
      <w:r>
        <w:t>enses, les prix chutent en moyenne de 60 % entre 1991 et 1996. En 1993 il y a plus de 4,5 millions de m² de bureaux vides, les engagements en immobilier d'entreprise et de bureaux chutent de 28 milliards de francs à 3 milliards de francs entre 1990 et 1995</w:t>
      </w:r>
      <w:r>
        <w:t>. Parmi ses données les encours de dettes mettent aussi en évidence la crise du marché, l'encours total de crédit immobilier est estimé à 50 milliards d'euros.</w:t>
      </w:r>
    </w:p>
    <w:p w:rsidR="001E2BFD" w:rsidRDefault="000D319E">
      <w:pPr>
        <w:pStyle w:val="Corpsdetexte"/>
        <w:spacing w:before="1" w:line="360" w:lineRule="auto"/>
        <w:ind w:left="116" w:right="109"/>
      </w:pPr>
      <w:r>
        <w:t>Les investisseurs perdent gros notamment par exemple du Crédit Lyonnais qui a perdu près de 17 m</w:t>
      </w:r>
      <w:r>
        <w:t xml:space="preserve">illiards d'euros en 1995. L'accroissement des taux de vacance des bureaux et l’alourdissement des frais </w:t>
      </w:r>
      <w:proofErr w:type="spellStart"/>
      <w:r>
        <w:t>ﬁnanciers</w:t>
      </w:r>
      <w:proofErr w:type="spellEnd"/>
      <w:r>
        <w:t xml:space="preserve"> empêchent les promoteurs de dégager des marges, beaucoup d’entre eux sont en difficulté et doivent déposer leur bilan, ce qui accroît le taux </w:t>
      </w:r>
      <w:r>
        <w:t xml:space="preserve">de vacance des immeubles de bureaux. Cette crise immobilière d'entreprise va alors entrainer une </w:t>
      </w:r>
      <w:proofErr w:type="spellStart"/>
      <w:r>
        <w:t>ﬁnanciarisation</w:t>
      </w:r>
      <w:proofErr w:type="spellEnd"/>
      <w:r>
        <w:t xml:space="preserve"> de l'immobilier. Cette crise fut une crise immobilière globale, elle débuta aux Etats unis et trouve son origine dans les prêts hypothécaires à</w:t>
      </w:r>
      <w:r>
        <w:t xml:space="preserve"> haut risque, que des banques et des société </w:t>
      </w:r>
      <w:proofErr w:type="spellStart"/>
      <w:r>
        <w:t>ﬁnancières</w:t>
      </w:r>
      <w:proofErr w:type="spellEnd"/>
      <w:r>
        <w:t xml:space="preserve"> américaines ont attribué aux ménages et entreprises qui étaient jusque- là interdits de prêts bancaire.</w:t>
      </w:r>
    </w:p>
    <w:p w:rsidR="001E2BFD" w:rsidRDefault="000D319E">
      <w:pPr>
        <w:pStyle w:val="Corpsdetexte"/>
        <w:spacing w:line="360" w:lineRule="auto"/>
        <w:ind w:left="116" w:right="323"/>
      </w:pPr>
      <w:r>
        <w:t>Le volume de ces prêts atteignait 3800 milliards de dollars. Ces derniers accordés à des taux pl</w:t>
      </w:r>
      <w:r>
        <w:t>us élevés que d’ordinaires étaient gagés sur la valeur du bien immobilier acquis pas l’emprunteur. Ils étaient jugés risqués mais rentables tant que le cours de l’immobilier américain augmentait rapidement. Les agences de notations ont joué un rôle incitat</w:t>
      </w:r>
      <w:r>
        <w:t>eur dans cette crise. Elles accordaient des notes surestimées à ces crédits, qui séduisent les ménages.</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4" w:line="360" w:lineRule="auto"/>
        <w:ind w:left="116" w:right="204" w:firstLine="62"/>
      </w:pPr>
      <w:r>
        <w:lastRenderedPageBreak/>
        <w:t xml:space="preserve">La crise </w:t>
      </w:r>
      <w:proofErr w:type="spellStart"/>
      <w:r>
        <w:t>ﬁnancière</w:t>
      </w:r>
      <w:proofErr w:type="spellEnd"/>
      <w:r>
        <w:t xml:space="preserve"> amorcée en 2007 se traduit par une abondance de liquidité à partir des années 2000 à cause de la politique monétair</w:t>
      </w:r>
      <w:r>
        <w:t>e accommodante initié par Alan Greenspan et de l’essor et des excédents commerciaux des pays émergents tels que la Chine ou de l’Inde.</w:t>
      </w:r>
    </w:p>
    <w:p w:rsidR="001E2BFD" w:rsidRDefault="000D319E">
      <w:pPr>
        <w:pStyle w:val="Corpsdetexte"/>
        <w:spacing w:line="360" w:lineRule="auto"/>
        <w:ind w:left="116" w:right="131"/>
      </w:pPr>
      <w:r>
        <w:t xml:space="preserve">Comme toute crise, la crise des </w:t>
      </w:r>
      <w:proofErr w:type="spellStart"/>
      <w:r>
        <w:t>subprimes</w:t>
      </w:r>
      <w:proofErr w:type="spellEnd"/>
      <w:r>
        <w:t xml:space="preserve"> a entrainé un relâchement de la demande de bureaux. Les transactions au dernier trimestre de l’année 2007 étaient de 567</w:t>
      </w:r>
      <w:r w:rsidR="00D15EAE">
        <w:t xml:space="preserve"> </w:t>
      </w:r>
      <w:r>
        <w:t>000m² tandis que les transactions au troisième trimestre 2008 ne représentaient plus que 389</w:t>
      </w:r>
      <w:r w:rsidR="00D15EAE">
        <w:t xml:space="preserve"> </w:t>
      </w:r>
      <w:r>
        <w:t>00</w:t>
      </w:r>
      <w:r>
        <w:t>0m² dans le Quartier Centrale d’Affaires.</w:t>
      </w:r>
    </w:p>
    <w:p w:rsidR="001E2BFD" w:rsidRDefault="001E2BFD">
      <w:pPr>
        <w:pStyle w:val="Corpsdetexte"/>
        <w:spacing w:before="4"/>
      </w:pPr>
    </w:p>
    <w:p w:rsidR="001E2BFD" w:rsidRDefault="000D319E">
      <w:pPr>
        <w:pStyle w:val="Corpsdetexte"/>
        <w:spacing w:line="360" w:lineRule="auto"/>
        <w:ind w:left="116" w:right="218"/>
      </w:pPr>
      <w:r>
        <w:t xml:space="preserve">Concernant le taux de vacance, il est au quatrième trimestre 2007 de 4.9% et au quatrième trimestre 2008 il augmente à 5.5%. Le loyer subit une légère hausse avec la </w:t>
      </w:r>
      <w:r w:rsidR="00D15EAE">
        <w:t>crise ;</w:t>
      </w:r>
      <w:r>
        <w:t xml:space="preserve"> à Paris le loyer au quatrième trimestre </w:t>
      </w:r>
      <w:r>
        <w:t>2007 était de 825 euros alors qu’au 4e trimestre 2008 il passe à 830 euros. Au troisième trimestre 2008, l’évolution de la demande place était de 800</w:t>
      </w:r>
      <w:r w:rsidR="00D15EAE">
        <w:t xml:space="preserve"> </w:t>
      </w:r>
      <w:r>
        <w:t>000m² mètres carrés et au 3e trimestre 2009, elle n'est plus que de 600</w:t>
      </w:r>
      <w:r w:rsidR="00D15EAE">
        <w:t xml:space="preserve"> </w:t>
      </w:r>
      <w:r>
        <w:t>000m² (Cf. tableau 3</w:t>
      </w:r>
      <w:proofErr w:type="gramStart"/>
      <w:r>
        <w:t>).Les</w:t>
      </w:r>
      <w:proofErr w:type="gramEnd"/>
      <w:r>
        <w:t xml:space="preserve"> transactio</w:t>
      </w:r>
      <w:r>
        <w:t>ns en mètres carrés au dernier trimestre de l’année 2007 étaient de 567</w:t>
      </w:r>
      <w:r w:rsidR="00D15EAE">
        <w:t xml:space="preserve"> </w:t>
      </w:r>
      <w:r>
        <w:t>000m² tandis que les transactions troisième trimestre 2008 ne représentaient plus que 389</w:t>
      </w:r>
      <w:r w:rsidR="00D15EAE">
        <w:t xml:space="preserve"> </w:t>
      </w:r>
      <w:r>
        <w:t>000m² dans le QCA.</w:t>
      </w:r>
    </w:p>
    <w:p w:rsidR="001E2BFD" w:rsidRDefault="000D319E">
      <w:pPr>
        <w:pStyle w:val="Corpsdetexte"/>
        <w:spacing w:line="360" w:lineRule="auto"/>
        <w:ind w:left="116" w:right="176"/>
      </w:pPr>
      <w:r>
        <w:t>En Ile de France au troisième semestre 2007, l’investissement en bureaux étai</w:t>
      </w:r>
      <w:r>
        <w:t>t de 644</w:t>
      </w:r>
      <w:r w:rsidR="00D15EAE">
        <w:t xml:space="preserve"> </w:t>
      </w:r>
      <w:r>
        <w:t>400</w:t>
      </w:r>
      <w:r w:rsidR="00D15EAE">
        <w:t xml:space="preserve"> </w:t>
      </w:r>
      <w:r>
        <w:t>000 euros, il a beaucoup diminué pour atteindre 191</w:t>
      </w:r>
      <w:r w:rsidR="00D15EAE">
        <w:t xml:space="preserve"> </w:t>
      </w:r>
      <w:r>
        <w:t>900</w:t>
      </w:r>
      <w:r w:rsidR="00D15EAE">
        <w:t xml:space="preserve"> </w:t>
      </w:r>
      <w:r>
        <w:t>000 euros, il stagne pendant toute la durée de la crise et fini par remonter à partir de 2013 passant de 17</w:t>
      </w:r>
      <w:r w:rsidR="00D15EAE">
        <w:t xml:space="preserve"> </w:t>
      </w:r>
      <w:r>
        <w:t>580</w:t>
      </w:r>
      <w:r w:rsidR="00D15EAE">
        <w:t xml:space="preserve"> </w:t>
      </w:r>
      <w:r>
        <w:t>000 euros au premier semestre à 648</w:t>
      </w:r>
      <w:r w:rsidR="00D15EAE">
        <w:t xml:space="preserve"> </w:t>
      </w:r>
      <w:r>
        <w:t>900</w:t>
      </w:r>
      <w:r w:rsidR="00D15EAE">
        <w:t xml:space="preserve"> </w:t>
      </w:r>
      <w:r>
        <w:t>000 euros au deuxième semestre 2014.</w:t>
      </w:r>
    </w:p>
    <w:p w:rsidR="001E2BFD" w:rsidRDefault="001E2BFD">
      <w:pPr>
        <w:pStyle w:val="Corpsdetexte"/>
        <w:spacing w:before="4"/>
      </w:pPr>
    </w:p>
    <w:p w:rsidR="001E2BFD" w:rsidRDefault="000D319E">
      <w:pPr>
        <w:pStyle w:val="Corpsdetexte"/>
        <w:spacing w:line="360" w:lineRule="auto"/>
        <w:ind w:left="116" w:right="304"/>
      </w:pPr>
      <w:r>
        <w:t>Le lo</w:t>
      </w:r>
      <w:r>
        <w:t xml:space="preserve">yer était de 304 (en HT /HC/M²/AN) à stagner entre 2007 et 2014 </w:t>
      </w:r>
      <w:r w:rsidR="00D15EAE">
        <w:t>et d’</w:t>
      </w:r>
      <w:r>
        <w:t>à peu près à 310 euros en fin 2014. L’offre elle, à augmenter de manière régulière entre 2007 et 2014 passant de 2 495 000m² au premier semestre de 2007 à 321</w:t>
      </w:r>
      <w:r w:rsidR="00D15EAE">
        <w:t xml:space="preserve"> </w:t>
      </w:r>
      <w:r>
        <w:t>6000 m² au troisième seme</w:t>
      </w:r>
      <w:r>
        <w:t>stre 2009 (</w:t>
      </w:r>
      <w:proofErr w:type="spellStart"/>
      <w:r>
        <w:t>immostat</w:t>
      </w:r>
      <w:proofErr w:type="spellEnd"/>
      <w:r>
        <w:t>)</w:t>
      </w:r>
    </w:p>
    <w:p w:rsidR="001E2BFD" w:rsidRDefault="001E2BFD">
      <w:pPr>
        <w:spacing w:line="360" w:lineRule="auto"/>
        <w:sectPr w:rsidR="001E2BFD">
          <w:pgSz w:w="11910" w:h="16840"/>
          <w:pgMar w:top="1320" w:right="1300" w:bottom="1200" w:left="1300" w:header="0" w:footer="1003" w:gutter="0"/>
          <w:cols w:space="720"/>
        </w:sect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rPr>
          <w:sz w:val="20"/>
        </w:rPr>
      </w:pPr>
    </w:p>
    <w:p w:rsidR="001E2BFD" w:rsidRDefault="001E2BFD">
      <w:pPr>
        <w:pStyle w:val="Corpsdetexte"/>
        <w:spacing w:before="5"/>
        <w:rPr>
          <w:sz w:val="16"/>
        </w:rPr>
      </w:pPr>
    </w:p>
    <w:p w:rsidR="001E2BFD" w:rsidRDefault="000D319E">
      <w:pPr>
        <w:pStyle w:val="Titre2"/>
        <w:spacing w:before="89"/>
      </w:pPr>
      <w:proofErr w:type="spellStart"/>
      <w:r>
        <w:t>B-Les</w:t>
      </w:r>
      <w:proofErr w:type="spellEnd"/>
      <w:r>
        <w:t xml:space="preserve"> acteurs</w:t>
      </w:r>
    </w:p>
    <w:p w:rsidR="001E2BFD" w:rsidRDefault="001E2BFD">
      <w:pPr>
        <w:pStyle w:val="Corpsdetexte"/>
        <w:spacing w:before="8"/>
        <w:rPr>
          <w:i/>
          <w:sz w:val="38"/>
        </w:rPr>
      </w:pPr>
    </w:p>
    <w:p w:rsidR="001E2BFD" w:rsidRDefault="000D319E">
      <w:pPr>
        <w:pStyle w:val="Corpsdetexte"/>
        <w:spacing w:line="360" w:lineRule="auto"/>
        <w:ind w:left="116" w:right="122"/>
      </w:pPr>
      <w:r>
        <w:t xml:space="preserve">Le désengagement de nombreux investisseurs est dû aux taux de vacances d’immeubles élevés qu'ils ont, les compagnies d'assurance et les banques cèdent au plus offrant leurs actifs immobiliers. Ce sont </w:t>
      </w:r>
      <w:proofErr w:type="spellStart"/>
      <w:r>
        <w:t>ﬁnalement</w:t>
      </w:r>
      <w:proofErr w:type="spellEnd"/>
      <w:r>
        <w:t xml:space="preserve"> les grandes banques d'affaires telles que Gol</w:t>
      </w:r>
      <w:r>
        <w:t xml:space="preserve">dman Sachs, JP Morgan, Morgan Stanley qui rachètent ces actifs ainsi que les créances douteuses et les immeubles vides dont la valeur faciale a </w:t>
      </w:r>
      <w:r w:rsidR="00D15EAE">
        <w:t>chuté</w:t>
      </w:r>
      <w:r>
        <w:t xml:space="preserve"> entre 20 et 30 %. Ces Banques américaines, principalement, profitent de la baisse des taux intérêts et du</w:t>
      </w:r>
      <w:r>
        <w:t xml:space="preserve"> renforcement du dollar sur le marché des changes. Par exemple la banque Goldman Sachs rachète la banque française spécialisée en immobilier UIC </w:t>
      </w:r>
      <w:proofErr w:type="spellStart"/>
      <w:r>
        <w:t>Sofal</w:t>
      </w:r>
      <w:proofErr w:type="spellEnd"/>
      <w:r>
        <w:t>. Ces nouveaux investisseurs s'endettent de façon importante pour racheter les immeubles parisiens, et jou</w:t>
      </w:r>
      <w:r>
        <w:t xml:space="preserve">ent sur l’effet de levier </w:t>
      </w:r>
      <w:proofErr w:type="spellStart"/>
      <w:r>
        <w:t>ﬁnancier</w:t>
      </w:r>
      <w:proofErr w:type="spellEnd"/>
      <w:r>
        <w:t xml:space="preserve"> pour optimiser la rentabilité de leurs fonds propres. On assistera plus tard à la relance grâce à ces nouveaux investisseurs, le marché de l'immobilier de bureaux émergera de nouveau à partir de 1997. </w:t>
      </w:r>
      <w:r>
        <w:rPr>
          <w:spacing w:val="-3"/>
        </w:rPr>
        <w:t xml:space="preserve">Les </w:t>
      </w:r>
      <w:r>
        <w:t xml:space="preserve">investissements </w:t>
      </w:r>
      <w:r>
        <w:t xml:space="preserve">annuels dans les produits de l'immobilier d'entreprise passent de moins de 2 milliards d'euros en 1996 à 10 milliards en 2002. Les volumes investis augmentent au </w:t>
      </w:r>
      <w:proofErr w:type="spellStart"/>
      <w:r>
        <w:t>ﬁl</w:t>
      </w:r>
      <w:proofErr w:type="spellEnd"/>
      <w:r>
        <w:t xml:space="preserve"> du temps grâce notamment à des capitaux étrangers en particulier Allemands à partir de 2001</w:t>
      </w:r>
      <w:r>
        <w:t xml:space="preserve">. Entre 2001 et 2002 ces derniers représentaient plus de deux tiers de l'investissement en immobilier d’entreprise. L'évolution continuera jusqu'à un pic avant la crise des </w:t>
      </w:r>
      <w:proofErr w:type="spellStart"/>
      <w:r>
        <w:t>subprimes</w:t>
      </w:r>
      <w:proofErr w:type="spellEnd"/>
      <w:r>
        <w:t xml:space="preserve"> en 2007 à 30 milliards</w:t>
      </w:r>
      <w:r>
        <w:rPr>
          <w:spacing w:val="-2"/>
        </w:rPr>
        <w:t xml:space="preserve"> </w:t>
      </w:r>
      <w:r>
        <w:t>d’euros</w:t>
      </w:r>
    </w:p>
    <w:p w:rsidR="001E2BFD" w:rsidRDefault="001E2BFD">
      <w:pPr>
        <w:pStyle w:val="Corpsdetexte"/>
        <w:spacing w:before="5"/>
      </w:pPr>
    </w:p>
    <w:p w:rsidR="001E2BFD" w:rsidRDefault="000D319E">
      <w:pPr>
        <w:pStyle w:val="Corpsdetexte"/>
        <w:spacing w:line="360" w:lineRule="auto"/>
        <w:ind w:left="116" w:right="170" w:firstLine="60"/>
      </w:pPr>
      <w:r>
        <w:t xml:space="preserve">BNP Paribas Real </w:t>
      </w:r>
      <w:proofErr w:type="spellStart"/>
      <w:r>
        <w:t>estate</w:t>
      </w:r>
      <w:proofErr w:type="spellEnd"/>
      <w:r>
        <w:t xml:space="preserve"> une société spéci</w:t>
      </w:r>
      <w:r>
        <w:t xml:space="preserve">alisée qui fait partie du groupe </w:t>
      </w:r>
      <w:proofErr w:type="spellStart"/>
      <w:r>
        <w:t>ﬁnancier</w:t>
      </w:r>
      <w:proofErr w:type="spellEnd"/>
      <w:r>
        <w:t xml:space="preserve"> BNP Paribas. Elle fournit des services immobiliers et commerciaux dans l’immobilier de bureaux. Elle fut mise en place en février 2001, après la fusion de BNP et de Paribas en Mai 2000. Elle est pour </w:t>
      </w:r>
      <w:r w:rsidR="00D15EAE">
        <w:t>un début centré</w:t>
      </w:r>
      <w:r>
        <w:t xml:space="preserve"> sur l’Ile de France puis s’est lentement répandu et est devenu ainsi un important acteur du marché. Son objectif est de satisfaire les besoins immobiliers des ménages en passant par le conseil, la transaction, l'expertise, l’administration des biens, l’</w:t>
      </w:r>
      <w:r>
        <w:t>investissement management et la promotion qui représentent 25% de son honoraire. Elle est présente dans 26 pays du monde. La moitié du chiffre d’affaires est réalisé en France, où elle est le principal acteur en termes de transactions en immobilier de bure</w:t>
      </w:r>
      <w:r>
        <w:t xml:space="preserve">aux. BNP Paribas Real </w:t>
      </w:r>
      <w:proofErr w:type="spellStart"/>
      <w:r>
        <w:t>Estate</w:t>
      </w:r>
      <w:proofErr w:type="spellEnd"/>
      <w:r>
        <w:t xml:space="preserve"> est le premier dans les services immobiliers aux entreprises en Europe continentale. En immobilier d’entreprise, elle accompagne ses clients dans 40 pays du monde à travers des</w:t>
      </w:r>
    </w:p>
    <w:p w:rsidR="001E2BFD" w:rsidRDefault="001E2BFD">
      <w:pPr>
        <w:spacing w:line="360" w:lineRule="auto"/>
        <w:sectPr w:rsidR="001E2BFD">
          <w:pgSz w:w="11910" w:h="16840"/>
          <w:pgMar w:top="1580" w:right="1300" w:bottom="1200" w:left="1300" w:header="0" w:footer="1003" w:gutter="0"/>
          <w:cols w:space="720"/>
        </w:sectPr>
      </w:pPr>
    </w:p>
    <w:p w:rsidR="001E2BFD" w:rsidRDefault="000D319E">
      <w:pPr>
        <w:pStyle w:val="Corpsdetexte"/>
        <w:spacing w:before="72" w:line="360" w:lineRule="auto"/>
        <w:ind w:left="116" w:right="153"/>
      </w:pPr>
      <w:proofErr w:type="gramStart"/>
      <w:r>
        <w:lastRenderedPageBreak/>
        <w:t>implantations</w:t>
      </w:r>
      <w:proofErr w:type="gramEnd"/>
      <w:r>
        <w:t xml:space="preserve"> directs dont trois</w:t>
      </w:r>
      <w:r>
        <w:t xml:space="preserve"> plates formes à Hong Kong, Singapour et Dubaï et quinze pays en Europe, mais aussi à travers ses alliances avec des partenaires locaux et elle est surtout présente en Ile de France et dans quelques grandes agglomérations déclenchement de Après la crise de</w:t>
      </w:r>
      <w:r>
        <w:t xml:space="preserve"> 1991 sur le marché de l’immobilier de bureaux, BPRE a été la seule à conserver son objectif grâce à la </w:t>
      </w:r>
      <w:proofErr w:type="spellStart"/>
      <w:r>
        <w:t>conﬁance</w:t>
      </w:r>
      <w:proofErr w:type="spellEnd"/>
      <w:r>
        <w:t xml:space="preserve"> émise par BNP et a ainsi développer ses activités immobilières. Contrairement à que l’on pourrait croire, ce modèle n'est pas le fruit de la </w:t>
      </w:r>
      <w:proofErr w:type="spellStart"/>
      <w:r>
        <w:t>ﬁn</w:t>
      </w:r>
      <w:r>
        <w:t>anciarisation</w:t>
      </w:r>
      <w:proofErr w:type="spellEnd"/>
      <w:r>
        <w:t xml:space="preserve"> immobilière des années 1990. L’intervention d’une banque ne doit donc pas toujours être confondue avec la </w:t>
      </w:r>
      <w:proofErr w:type="spellStart"/>
      <w:r>
        <w:t>ﬁnanciarisation</w:t>
      </w:r>
      <w:proofErr w:type="spellEnd"/>
      <w:r>
        <w:t xml:space="preserve">. L’émergence de ce modèle est dû </w:t>
      </w:r>
      <w:r w:rsidR="00D15EAE">
        <w:t>aux soucis</w:t>
      </w:r>
      <w:r>
        <w:t xml:space="preserve"> de répondre aux besoins des agents en matière d’immobilier de bureaux. Ce mod</w:t>
      </w:r>
      <w:r>
        <w:t>èle présente une force : la synergie créée entre la banque et ses clients mais aussi ce qui concerne les activités immobilières fournies. Cela contribue à la stabilisation des activités entreprises par BPRE en périodes de difficulté. Ce fait est fondé selo</w:t>
      </w:r>
      <w:r>
        <w:t xml:space="preserve">n la logique </w:t>
      </w:r>
      <w:proofErr w:type="gramStart"/>
      <w:r>
        <w:t>suivante:</w:t>
      </w:r>
      <w:proofErr w:type="gramEnd"/>
      <w:r>
        <w:t xml:space="preserve"> Lorsque le marché se détériore, la promotion se réduit lentement, cependant, il prend du temps à démarrer lorsque les conditions du marché s’améliorent. La transaction, en revanche, est très sensible à la conjoncture, c’est à dire qu</w:t>
      </w:r>
      <w:r>
        <w:t>’elle diminue fortement en cas de perturbations et de façon similaire, redémarre aussitôt lorsqu'il y a reprise.</w:t>
      </w:r>
    </w:p>
    <w:p w:rsidR="001E2BFD" w:rsidRDefault="001E2BFD">
      <w:pPr>
        <w:pStyle w:val="Corpsdetexte"/>
        <w:rPr>
          <w:sz w:val="26"/>
        </w:rPr>
      </w:pPr>
    </w:p>
    <w:p w:rsidR="001E2BFD" w:rsidRDefault="001E2BFD">
      <w:pPr>
        <w:pStyle w:val="Corpsdetexte"/>
        <w:rPr>
          <w:sz w:val="26"/>
        </w:rPr>
      </w:pPr>
    </w:p>
    <w:p w:rsidR="001E2BFD" w:rsidRDefault="001E2BFD">
      <w:pPr>
        <w:pStyle w:val="Corpsdetexte"/>
        <w:spacing w:before="10"/>
        <w:rPr>
          <w:sz w:val="32"/>
        </w:rPr>
      </w:pPr>
    </w:p>
    <w:p w:rsidR="001E2BFD" w:rsidRDefault="000D319E">
      <w:pPr>
        <w:pStyle w:val="Corpsdetexte"/>
        <w:spacing w:line="360" w:lineRule="auto"/>
        <w:ind w:left="116" w:right="184" w:firstLine="60"/>
      </w:pPr>
      <w:r>
        <w:t>De nos jours, la question du développement durable est inévitable c’est à dire un développement qui répond aux besoins du présent sans compr</w:t>
      </w:r>
      <w:r>
        <w:t>omettre la capacité des générations futures à répondre aux leurs. C’est une forme de développement économique ayant pour objectif principal de concilier le progrès économique et social avec la préservation de l'environnement, ce dernier étant considéré com</w:t>
      </w:r>
      <w:r>
        <w:t>me un patrimoine devant être transmis aux générations futures. BPRE œuvre dans ce sens en s’engagent en faveur du développement durable. Il a été le premier promoteur français à obtenir à partir de 2006 les labels environnementaux pour des immeubles de bur</w:t>
      </w:r>
      <w:r>
        <w:t>eaux et les logements. Il préconise une haute qualité environnementale, une très forte performance énergétique et dispose d’autres labels européens, comme le BREEAM, label anglais. Des chercheurs mandatés par le groupe imaginent ce que pourrait être les bu</w:t>
      </w:r>
      <w:r>
        <w:t xml:space="preserve">reaux du futur. Des projets </w:t>
      </w:r>
      <w:r w:rsidR="00D15EAE">
        <w:t>comme «</w:t>
      </w:r>
      <w:r>
        <w:t xml:space="preserve"> objectifs carbone</w:t>
      </w:r>
    </w:p>
    <w:p w:rsidR="001E2BFD" w:rsidRDefault="000D319E">
      <w:pPr>
        <w:pStyle w:val="Corpsdetexte"/>
        <w:spacing w:line="360" w:lineRule="auto"/>
        <w:ind w:left="116" w:right="335"/>
      </w:pPr>
      <w:r>
        <w:t xml:space="preserve">O », « si les murs se mettent à penser », « dis-moi comment tu travailles, je te dessinerai ton bureau… » Ont été réalisés. De plus, une charte, Eco </w:t>
      </w:r>
      <w:proofErr w:type="spellStart"/>
      <w:r>
        <w:t>Property</w:t>
      </w:r>
      <w:proofErr w:type="spellEnd"/>
      <w:r>
        <w:t xml:space="preserve"> Management, est également créée en 2007 et vi</w:t>
      </w:r>
      <w:r>
        <w:t>se à gérer les immeubles des clients suivant les règles du développement durable. Par ailleurs, il fait partie de la Haute Qualité Environnementale (HQE) exploitation</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line="360" w:lineRule="auto"/>
        <w:ind w:left="116" w:right="196"/>
      </w:pPr>
      <w:proofErr w:type="gramStart"/>
      <w:r>
        <w:lastRenderedPageBreak/>
        <w:t>testée</w:t>
      </w:r>
      <w:proofErr w:type="gramEnd"/>
      <w:r>
        <w:t xml:space="preserve"> actuellement sur trois grands immeubles situés à La Défense et à</w:t>
      </w:r>
      <w:r>
        <w:t xml:space="preserve"> Porte d’Asnières. Des actions de mécénat sont menées en faveur de l’architecture et de la formation des jeunes dans l’immobilier. Elles sont concrétisées par le soutien exclusif de la chaine ESSEC depuis 2007 et par la création depuis 2008 du prix BNP Par</w:t>
      </w:r>
      <w:r>
        <w:t xml:space="preserve">ibas Real </w:t>
      </w:r>
      <w:proofErr w:type="spellStart"/>
      <w:r>
        <w:t>Estate</w:t>
      </w:r>
      <w:proofErr w:type="spellEnd"/>
      <w:r>
        <w:t>.</w:t>
      </w:r>
    </w:p>
    <w:p w:rsidR="001E2BFD" w:rsidRDefault="000D319E">
      <w:pPr>
        <w:pStyle w:val="Corpsdetexte"/>
        <w:spacing w:line="360" w:lineRule="auto"/>
        <w:ind w:left="116" w:right="257"/>
      </w:pPr>
      <w:r>
        <w:t xml:space="preserve">Ceci fait de la chaine BNP un acteur majeur, du marché de l’immobilier de bureaux en Ile de France, impliqué et innovant avec comme slogan, « l’immobilier d’un monde qui change </w:t>
      </w:r>
      <w:proofErr w:type="gramStart"/>
      <w:r>
        <w:t>tout»</w:t>
      </w:r>
      <w:proofErr w:type="gramEnd"/>
      <w:r>
        <w:t>.</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Titre2"/>
      </w:pPr>
      <w:r>
        <w:rPr>
          <w:u w:val="single"/>
        </w:rPr>
        <w:lastRenderedPageBreak/>
        <w:t>Conclusion</w:t>
      </w:r>
    </w:p>
    <w:p w:rsidR="001E2BFD" w:rsidRDefault="001E2BFD">
      <w:pPr>
        <w:pStyle w:val="Corpsdetexte"/>
        <w:spacing w:before="5"/>
        <w:rPr>
          <w:i/>
          <w:sz w:val="20"/>
        </w:rPr>
      </w:pPr>
    </w:p>
    <w:p w:rsidR="001E2BFD" w:rsidRDefault="000D319E">
      <w:pPr>
        <w:pStyle w:val="Corpsdetexte"/>
        <w:spacing w:before="90" w:line="360" w:lineRule="auto"/>
        <w:ind w:left="116" w:right="236"/>
      </w:pPr>
      <w:r>
        <w:t>Les modélisations faites sur le marché per</w:t>
      </w:r>
      <w:r>
        <w:t>mettent de voir que les prix sur le march</w:t>
      </w:r>
      <w:bookmarkStart w:id="0" w:name="_GoBack"/>
      <w:bookmarkEnd w:id="0"/>
      <w:r>
        <w:t xml:space="preserve">é parisiens dépendent de la demande, de l’état du bien, de sa localisation et des variables </w:t>
      </w:r>
      <w:proofErr w:type="spellStart"/>
      <w:r>
        <w:t>spatio</w:t>
      </w:r>
      <w:proofErr w:type="spellEnd"/>
      <w:r>
        <w:t>- temporelles. La demande elle dépend du taux de vacance et du temps d’emploi dans les secteurs qui utilisent des uti</w:t>
      </w:r>
      <w:r>
        <w:t>lisent des bureaux, cela nous a permis de voir comment évolue le marché et quelles variables interviennent.</w:t>
      </w:r>
    </w:p>
    <w:p w:rsidR="001E2BFD" w:rsidRDefault="000D319E">
      <w:pPr>
        <w:pStyle w:val="Corpsdetexte"/>
        <w:spacing w:before="160" w:line="360" w:lineRule="auto"/>
        <w:ind w:left="116" w:right="131"/>
      </w:pPr>
      <w:r>
        <w:t>Le marché fait face à des changements structurels, il a connu une expansion du centre de paris vers sa couronne proche et sa banlieue plus éloignée.</w:t>
      </w:r>
      <w:r>
        <w:t xml:space="preserve"> Les défis environnementaux ont aussi </w:t>
      </w:r>
      <w:r w:rsidR="00D15EAE">
        <w:t>impacté</w:t>
      </w:r>
      <w:r>
        <w:t xml:space="preserve"> le marché qui a dû s’adapter aux nouvelles normes en matière de construction durable.</w:t>
      </w:r>
    </w:p>
    <w:p w:rsidR="001E2BFD" w:rsidRDefault="000D319E">
      <w:pPr>
        <w:pStyle w:val="Corpsdetexte"/>
        <w:spacing w:before="162" w:line="360" w:lineRule="auto"/>
        <w:ind w:left="116" w:right="202"/>
      </w:pPr>
      <w:r>
        <w:t>Le marché de l’immobilier parisien a connu plusieurs crises, celle 1991 et celle de 2008. En temps de crise, on a une baiss</w:t>
      </w:r>
      <w:r>
        <w:t>e de la demande placée sur le marché de l’immobilier de bureaux parisiens, les prix de l’immobilier de bureaux lorsqu’on est en crise sont constants, il n’y a pas une baisse fulgurante des prix en temps de crise comme l’on pourrait l’imaginer.</w:t>
      </w:r>
    </w:p>
    <w:p w:rsidR="001E2BFD" w:rsidRDefault="000D319E">
      <w:pPr>
        <w:pStyle w:val="Corpsdetexte"/>
        <w:spacing w:line="360" w:lineRule="auto"/>
        <w:ind w:left="116" w:right="161"/>
      </w:pPr>
      <w:r>
        <w:t>Même en temp</w:t>
      </w:r>
      <w:r>
        <w:t>s de crise on remarque que le marché s’équilibre sur le plan de la location. On a observé une dualité entre le Quartier Centrale des Affaires et les autres pôles de la région, sur le QCA l’impact de la crise se fait moins sentir et les changements structur</w:t>
      </w:r>
      <w:r>
        <w:t xml:space="preserve">els ont permis la rénovation des immeubles haussmanniens. Alors que pour les autres pôles de la région comme la Défense la crise a eu un plus grand impact, faisant très fortement </w:t>
      </w:r>
      <w:proofErr w:type="gramStart"/>
      <w:r>
        <w:t>baissé</w:t>
      </w:r>
      <w:proofErr w:type="gramEnd"/>
      <w:r>
        <w:t xml:space="preserve"> la demande placée et le taux de</w:t>
      </w:r>
      <w:r>
        <w:rPr>
          <w:spacing w:val="-1"/>
        </w:rPr>
        <w:t xml:space="preserve"> </w:t>
      </w:r>
      <w:r>
        <w:t>vacance.</w:t>
      </w:r>
    </w:p>
    <w:p w:rsidR="001E2BFD" w:rsidRDefault="000D319E">
      <w:pPr>
        <w:pStyle w:val="Corpsdetexte"/>
        <w:spacing w:before="161" w:line="360" w:lineRule="auto"/>
        <w:ind w:left="116" w:right="176"/>
      </w:pPr>
      <w:r>
        <w:t>Pour l’investissement, en tem</w:t>
      </w:r>
      <w:r>
        <w:t xml:space="preserve">ps de crise les fonds investis sur le marché baissent, </w:t>
      </w:r>
      <w:proofErr w:type="gramStart"/>
      <w:r>
        <w:t>suite à une</w:t>
      </w:r>
      <w:proofErr w:type="gramEnd"/>
      <w:r>
        <w:t xml:space="preserve"> baisse générale de l’investissement sur tous les marchés et le marché de l’immobilier de bureaux du coup n’est pas épargné. Néanmoins le marché Parisien tend à se stabiliser sur le long ter</w:t>
      </w:r>
      <w:r>
        <w:t>me, l’importance et le poids du marché font que les déséquilibres ne persistent pas car les acteurs agissent pour maintenir un marché constant et éviter une chute du marché de l’immobilier de bureaux parisien.</w:t>
      </w:r>
    </w:p>
    <w:p w:rsidR="001E2BFD" w:rsidRDefault="000D319E">
      <w:pPr>
        <w:pStyle w:val="Corpsdetexte"/>
        <w:spacing w:before="159" w:line="360" w:lineRule="auto"/>
        <w:ind w:left="116" w:right="163"/>
      </w:pPr>
      <w:r>
        <w:t>Le marché de l’immobilier de bureaux comme les</w:t>
      </w:r>
      <w:r>
        <w:t xml:space="preserve"> autres marchés et l’économie en générale est cyclique. Même si on tend vers une reprise des investissements au 1èr trimestre de l’année 2015.</w:t>
      </w:r>
    </w:p>
    <w:p w:rsidR="001E2BFD" w:rsidRDefault="001E2BFD">
      <w:pPr>
        <w:spacing w:line="360" w:lineRule="auto"/>
        <w:sectPr w:rsidR="001E2BFD">
          <w:pgSz w:w="11910" w:h="16840"/>
          <w:pgMar w:top="1320" w:right="1300" w:bottom="1200" w:left="1300" w:header="0" w:footer="1003" w:gutter="0"/>
          <w:cols w:space="720"/>
        </w:sectPr>
      </w:pPr>
    </w:p>
    <w:p w:rsidR="001E2BFD" w:rsidRDefault="000D319E">
      <w:pPr>
        <w:pStyle w:val="Corpsdetexte"/>
        <w:spacing w:before="72"/>
        <w:ind w:left="116"/>
      </w:pPr>
      <w:r>
        <w:rPr>
          <w:u w:val="single"/>
        </w:rPr>
        <w:lastRenderedPageBreak/>
        <w:t>ANNEXES</w:t>
      </w:r>
    </w:p>
    <w:p w:rsidR="001E2BFD" w:rsidRDefault="001E2BFD">
      <w:pPr>
        <w:pStyle w:val="Corpsdetexte"/>
        <w:spacing w:before="5"/>
        <w:rPr>
          <w:sz w:val="12"/>
        </w:rPr>
      </w:pPr>
    </w:p>
    <w:p w:rsidR="001E2BFD" w:rsidRDefault="000D319E">
      <w:pPr>
        <w:spacing w:before="66"/>
        <w:ind w:left="116"/>
        <w:rPr>
          <w:rFonts w:ascii="Trebuchet MS"/>
          <w:i/>
          <w:sz w:val="18"/>
        </w:rPr>
      </w:pPr>
      <w:r>
        <w:rPr>
          <w:rFonts w:ascii="Trebuchet MS"/>
          <w:i/>
          <w:color w:val="44536A"/>
          <w:w w:val="90"/>
          <w:sz w:val="18"/>
        </w:rPr>
        <w:t>Tableau</w:t>
      </w:r>
      <w:r>
        <w:rPr>
          <w:rFonts w:ascii="Trebuchet MS"/>
          <w:i/>
          <w:color w:val="44536A"/>
          <w:spacing w:val="-2"/>
          <w:w w:val="90"/>
          <w:sz w:val="18"/>
        </w:rPr>
        <w:t xml:space="preserve"> </w:t>
      </w:r>
      <w:r>
        <w:rPr>
          <w:rFonts w:ascii="Trebuchet MS"/>
          <w:i/>
          <w:color w:val="44536A"/>
          <w:w w:val="90"/>
          <w:sz w:val="18"/>
        </w:rPr>
        <w:t>1</w:t>
      </w:r>
    </w:p>
    <w:p w:rsidR="001E2BFD" w:rsidRDefault="000D319E">
      <w:pPr>
        <w:pStyle w:val="Corpsdetexte"/>
        <w:spacing w:before="7"/>
        <w:rPr>
          <w:rFonts w:ascii="Trebuchet MS"/>
          <w:i/>
          <w:sz w:val="14"/>
        </w:rPr>
      </w:pPr>
      <w:r>
        <w:rPr>
          <w:noProof/>
        </w:rPr>
        <w:drawing>
          <wp:anchor distT="0" distB="0" distL="0" distR="0" simplePos="0" relativeHeight="268434527" behindDoc="1" locked="0" layoutInCell="1" allowOverlap="1">
            <wp:simplePos x="0" y="0"/>
            <wp:positionH relativeFrom="page">
              <wp:posOffset>899160</wp:posOffset>
            </wp:positionH>
            <wp:positionV relativeFrom="paragraph">
              <wp:posOffset>132861</wp:posOffset>
            </wp:positionV>
            <wp:extent cx="3938477" cy="226494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938477" cy="2264949"/>
                    </a:xfrm>
                    <a:prstGeom prst="rect">
                      <a:avLst/>
                    </a:prstGeom>
                  </pic:spPr>
                </pic:pic>
              </a:graphicData>
            </a:graphic>
          </wp:anchor>
        </w:drawing>
      </w:r>
    </w:p>
    <w:p w:rsidR="001E2BFD" w:rsidRDefault="001E2BFD">
      <w:pPr>
        <w:pStyle w:val="Corpsdetexte"/>
        <w:spacing w:before="6"/>
        <w:rPr>
          <w:rFonts w:ascii="Trebuchet MS"/>
          <w:i/>
        </w:rPr>
      </w:pPr>
    </w:p>
    <w:p w:rsidR="001E2BFD" w:rsidRDefault="000D319E">
      <w:pPr>
        <w:ind w:left="116"/>
        <w:rPr>
          <w:rFonts w:ascii="Trebuchet MS"/>
          <w:i/>
          <w:sz w:val="18"/>
        </w:rPr>
      </w:pPr>
      <w:r>
        <w:rPr>
          <w:rFonts w:ascii="Trebuchet MS"/>
          <w:i/>
          <w:color w:val="44536A"/>
          <w:w w:val="90"/>
          <w:sz w:val="18"/>
        </w:rPr>
        <w:t>Tableau</w:t>
      </w:r>
      <w:r>
        <w:rPr>
          <w:rFonts w:ascii="Trebuchet MS"/>
          <w:i/>
          <w:color w:val="44536A"/>
          <w:spacing w:val="-2"/>
          <w:w w:val="90"/>
          <w:sz w:val="18"/>
        </w:rPr>
        <w:t xml:space="preserve"> </w:t>
      </w:r>
      <w:r>
        <w:rPr>
          <w:rFonts w:ascii="Trebuchet MS"/>
          <w:i/>
          <w:color w:val="44536A"/>
          <w:w w:val="90"/>
          <w:sz w:val="18"/>
        </w:rPr>
        <w:t>2</w:t>
      </w:r>
    </w:p>
    <w:p w:rsidR="001E2BFD" w:rsidRDefault="000D319E">
      <w:pPr>
        <w:pStyle w:val="Corpsdetexte"/>
        <w:spacing w:before="5"/>
        <w:rPr>
          <w:rFonts w:ascii="Trebuchet MS"/>
          <w:i/>
          <w:sz w:val="28"/>
        </w:rPr>
      </w:pPr>
      <w:r>
        <w:rPr>
          <w:noProof/>
        </w:rPr>
        <w:drawing>
          <wp:anchor distT="0" distB="0" distL="0" distR="0" simplePos="0" relativeHeight="268434551" behindDoc="1" locked="0" layoutInCell="1" allowOverlap="1">
            <wp:simplePos x="0" y="0"/>
            <wp:positionH relativeFrom="page">
              <wp:posOffset>899160</wp:posOffset>
            </wp:positionH>
            <wp:positionV relativeFrom="paragraph">
              <wp:posOffset>234684</wp:posOffset>
            </wp:positionV>
            <wp:extent cx="4445819" cy="288988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445819" cy="2889885"/>
                    </a:xfrm>
                    <a:prstGeom prst="rect">
                      <a:avLst/>
                    </a:prstGeom>
                  </pic:spPr>
                </pic:pic>
              </a:graphicData>
            </a:graphic>
          </wp:anchor>
        </w:drawing>
      </w:r>
    </w:p>
    <w:p w:rsidR="001E2BFD" w:rsidRDefault="001E2BFD">
      <w:pPr>
        <w:rPr>
          <w:rFonts w:ascii="Trebuchet MS"/>
          <w:sz w:val="28"/>
        </w:rPr>
        <w:sectPr w:rsidR="001E2BFD">
          <w:pgSz w:w="11910" w:h="16840"/>
          <w:pgMar w:top="1320" w:right="1300" w:bottom="1200" w:left="1300" w:header="0" w:footer="1003" w:gutter="0"/>
          <w:cols w:space="720"/>
        </w:sectPr>
      </w:pPr>
    </w:p>
    <w:p w:rsidR="001E2BFD" w:rsidRDefault="000D319E">
      <w:pPr>
        <w:spacing w:before="39"/>
        <w:ind w:left="116"/>
        <w:rPr>
          <w:rFonts w:ascii="Trebuchet MS"/>
          <w:i/>
          <w:sz w:val="18"/>
        </w:rPr>
      </w:pPr>
      <w:r>
        <w:rPr>
          <w:rFonts w:ascii="Trebuchet MS"/>
          <w:i/>
          <w:color w:val="44536A"/>
          <w:w w:val="90"/>
          <w:sz w:val="18"/>
        </w:rPr>
        <w:lastRenderedPageBreak/>
        <w:t>Tableau</w:t>
      </w:r>
      <w:r>
        <w:rPr>
          <w:rFonts w:ascii="Trebuchet MS"/>
          <w:i/>
          <w:color w:val="44536A"/>
          <w:spacing w:val="-2"/>
          <w:w w:val="90"/>
          <w:sz w:val="18"/>
        </w:rPr>
        <w:t xml:space="preserve"> </w:t>
      </w:r>
      <w:r>
        <w:rPr>
          <w:rFonts w:ascii="Trebuchet MS"/>
          <w:i/>
          <w:color w:val="44536A"/>
          <w:w w:val="90"/>
          <w:sz w:val="18"/>
        </w:rPr>
        <w:t>3</w:t>
      </w:r>
    </w:p>
    <w:p w:rsidR="001E2BFD" w:rsidRDefault="001E2BFD">
      <w:pPr>
        <w:pStyle w:val="Corpsdetexte"/>
        <w:rPr>
          <w:rFonts w:ascii="Trebuchet MS"/>
          <w:i/>
          <w:sz w:val="20"/>
        </w:rPr>
      </w:pPr>
    </w:p>
    <w:p w:rsidR="001E2BFD" w:rsidRDefault="000D319E">
      <w:pPr>
        <w:pStyle w:val="Corpsdetexte"/>
        <w:spacing w:before="3"/>
        <w:rPr>
          <w:rFonts w:ascii="Trebuchet MS"/>
          <w:i/>
          <w:sz w:val="12"/>
        </w:rPr>
      </w:pPr>
      <w:r>
        <w:rPr>
          <w:noProof/>
        </w:rPr>
        <w:drawing>
          <wp:anchor distT="0" distB="0" distL="0" distR="0" simplePos="0" relativeHeight="268434575" behindDoc="1" locked="0" layoutInCell="1" allowOverlap="1">
            <wp:simplePos x="0" y="0"/>
            <wp:positionH relativeFrom="page">
              <wp:posOffset>956326</wp:posOffset>
            </wp:positionH>
            <wp:positionV relativeFrom="paragraph">
              <wp:posOffset>115709</wp:posOffset>
            </wp:positionV>
            <wp:extent cx="2333158" cy="216693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333158" cy="2166937"/>
                    </a:xfrm>
                    <a:prstGeom prst="rect">
                      <a:avLst/>
                    </a:prstGeom>
                  </pic:spPr>
                </pic:pic>
              </a:graphicData>
            </a:graphic>
          </wp:anchor>
        </w:drawing>
      </w:r>
    </w:p>
    <w:p w:rsidR="001E2BFD" w:rsidRDefault="001E2BFD">
      <w:pPr>
        <w:pStyle w:val="Corpsdetexte"/>
        <w:spacing w:before="9"/>
        <w:rPr>
          <w:rFonts w:ascii="Trebuchet MS"/>
          <w:i/>
          <w:sz w:val="26"/>
        </w:rPr>
      </w:pPr>
    </w:p>
    <w:p w:rsidR="001E2BFD" w:rsidRDefault="000D319E">
      <w:pPr>
        <w:ind w:left="116"/>
        <w:rPr>
          <w:rFonts w:ascii="Trebuchet MS"/>
          <w:i/>
          <w:sz w:val="18"/>
        </w:rPr>
      </w:pPr>
      <w:r>
        <w:rPr>
          <w:rFonts w:ascii="Trebuchet MS"/>
          <w:i/>
          <w:color w:val="44536A"/>
          <w:w w:val="90"/>
          <w:sz w:val="18"/>
        </w:rPr>
        <w:t>Tableau</w:t>
      </w:r>
      <w:r>
        <w:rPr>
          <w:rFonts w:ascii="Trebuchet MS"/>
          <w:i/>
          <w:color w:val="44536A"/>
          <w:spacing w:val="-2"/>
          <w:w w:val="90"/>
          <w:sz w:val="18"/>
        </w:rPr>
        <w:t xml:space="preserve"> </w:t>
      </w:r>
      <w:r>
        <w:rPr>
          <w:rFonts w:ascii="Trebuchet MS"/>
          <w:i/>
          <w:color w:val="44536A"/>
          <w:w w:val="90"/>
          <w:sz w:val="18"/>
        </w:rPr>
        <w:t>4</w:t>
      </w:r>
    </w:p>
    <w:p w:rsidR="001E2BFD" w:rsidRDefault="000D319E">
      <w:pPr>
        <w:pStyle w:val="Corpsdetexte"/>
        <w:spacing w:before="4"/>
        <w:rPr>
          <w:rFonts w:ascii="Trebuchet MS"/>
          <w:i/>
          <w:sz w:val="22"/>
        </w:rPr>
      </w:pPr>
      <w:r>
        <w:rPr>
          <w:noProof/>
        </w:rPr>
        <w:drawing>
          <wp:anchor distT="0" distB="0" distL="0" distR="0" simplePos="0" relativeHeight="268434599" behindDoc="1" locked="0" layoutInCell="1" allowOverlap="1">
            <wp:simplePos x="0" y="0"/>
            <wp:positionH relativeFrom="page">
              <wp:posOffset>994436</wp:posOffset>
            </wp:positionH>
            <wp:positionV relativeFrom="paragraph">
              <wp:posOffset>189833</wp:posOffset>
            </wp:positionV>
            <wp:extent cx="2334268" cy="53149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334268" cy="5314950"/>
                    </a:xfrm>
                    <a:prstGeom prst="rect">
                      <a:avLst/>
                    </a:prstGeom>
                  </pic:spPr>
                </pic:pic>
              </a:graphicData>
            </a:graphic>
          </wp:anchor>
        </w:drawing>
      </w:r>
    </w:p>
    <w:p w:rsidR="001E2BFD" w:rsidRDefault="001E2BFD">
      <w:pPr>
        <w:rPr>
          <w:rFonts w:ascii="Trebuchet MS"/>
        </w:rPr>
        <w:sectPr w:rsidR="001E2BFD">
          <w:pgSz w:w="11910" w:h="16840"/>
          <w:pgMar w:top="1360" w:right="1300" w:bottom="1200" w:left="1300" w:header="0" w:footer="1003" w:gutter="0"/>
          <w:cols w:space="720"/>
        </w:sectPr>
      </w:pPr>
    </w:p>
    <w:p w:rsidR="001E2BFD" w:rsidRDefault="000D319E">
      <w:pPr>
        <w:spacing w:before="39"/>
        <w:ind w:left="116"/>
        <w:rPr>
          <w:rFonts w:ascii="Trebuchet MS"/>
          <w:i/>
          <w:sz w:val="18"/>
        </w:rPr>
      </w:pPr>
      <w:r>
        <w:rPr>
          <w:rFonts w:ascii="Trebuchet MS"/>
          <w:i/>
          <w:color w:val="44536A"/>
          <w:w w:val="90"/>
          <w:sz w:val="18"/>
        </w:rPr>
        <w:lastRenderedPageBreak/>
        <w:t>Tableau</w:t>
      </w:r>
      <w:r>
        <w:rPr>
          <w:rFonts w:ascii="Trebuchet MS"/>
          <w:i/>
          <w:color w:val="44536A"/>
          <w:spacing w:val="-2"/>
          <w:w w:val="90"/>
          <w:sz w:val="18"/>
        </w:rPr>
        <w:t xml:space="preserve"> </w:t>
      </w:r>
      <w:r>
        <w:rPr>
          <w:rFonts w:ascii="Trebuchet MS"/>
          <w:i/>
          <w:color w:val="44536A"/>
          <w:w w:val="90"/>
          <w:sz w:val="18"/>
        </w:rPr>
        <w:t>5</w:t>
      </w:r>
    </w:p>
    <w:p w:rsidR="001E2BFD" w:rsidRDefault="000D319E">
      <w:pPr>
        <w:pStyle w:val="Corpsdetexte"/>
        <w:spacing w:before="3"/>
        <w:rPr>
          <w:rFonts w:ascii="Trebuchet MS"/>
          <w:i/>
          <w:sz w:val="17"/>
        </w:rPr>
      </w:pPr>
      <w:r>
        <w:rPr>
          <w:noProof/>
        </w:rPr>
        <w:drawing>
          <wp:anchor distT="0" distB="0" distL="0" distR="0" simplePos="0" relativeHeight="268434623" behindDoc="1" locked="0" layoutInCell="1" allowOverlap="1">
            <wp:simplePos x="0" y="0"/>
            <wp:positionH relativeFrom="page">
              <wp:posOffset>1003966</wp:posOffset>
            </wp:positionH>
            <wp:positionV relativeFrom="paragraph">
              <wp:posOffset>152150</wp:posOffset>
            </wp:positionV>
            <wp:extent cx="2333490" cy="2095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333490" cy="2095500"/>
                    </a:xfrm>
                    <a:prstGeom prst="rect">
                      <a:avLst/>
                    </a:prstGeom>
                  </pic:spPr>
                </pic:pic>
              </a:graphicData>
            </a:graphic>
          </wp:anchor>
        </w:drawing>
      </w:r>
    </w:p>
    <w:p w:rsidR="001E2BFD" w:rsidRDefault="001E2BFD">
      <w:pPr>
        <w:pStyle w:val="Corpsdetexte"/>
        <w:rPr>
          <w:rFonts w:ascii="Trebuchet MS"/>
          <w:i/>
          <w:sz w:val="18"/>
        </w:rPr>
      </w:pPr>
    </w:p>
    <w:p w:rsidR="001E2BFD" w:rsidRDefault="000D319E">
      <w:pPr>
        <w:spacing w:before="118"/>
        <w:ind w:left="116"/>
        <w:rPr>
          <w:rFonts w:ascii="Trebuchet MS"/>
          <w:i/>
          <w:sz w:val="18"/>
        </w:rPr>
      </w:pPr>
      <w:r>
        <w:rPr>
          <w:rFonts w:ascii="Trebuchet MS"/>
          <w:i/>
          <w:color w:val="44536A"/>
          <w:w w:val="90"/>
          <w:sz w:val="18"/>
        </w:rPr>
        <w:t>Tableau</w:t>
      </w:r>
      <w:r>
        <w:rPr>
          <w:rFonts w:ascii="Trebuchet MS"/>
          <w:i/>
          <w:color w:val="44536A"/>
          <w:spacing w:val="-2"/>
          <w:w w:val="90"/>
          <w:sz w:val="18"/>
        </w:rPr>
        <w:t xml:space="preserve"> </w:t>
      </w:r>
      <w:r>
        <w:rPr>
          <w:rFonts w:ascii="Trebuchet MS"/>
          <w:i/>
          <w:color w:val="44536A"/>
          <w:w w:val="90"/>
          <w:sz w:val="18"/>
        </w:rPr>
        <w:t>6</w:t>
      </w:r>
    </w:p>
    <w:p w:rsidR="001E2BFD" w:rsidRDefault="000D319E">
      <w:pPr>
        <w:pStyle w:val="Corpsdetexte"/>
        <w:spacing w:before="7"/>
        <w:rPr>
          <w:rFonts w:ascii="Trebuchet MS"/>
          <w:i/>
          <w:sz w:val="14"/>
        </w:rPr>
      </w:pPr>
      <w:r>
        <w:rPr>
          <w:noProof/>
        </w:rPr>
        <w:drawing>
          <wp:anchor distT="0" distB="0" distL="0" distR="0" simplePos="0" relativeHeight="268434647" behindDoc="1" locked="0" layoutInCell="1" allowOverlap="1">
            <wp:simplePos x="0" y="0"/>
            <wp:positionH relativeFrom="page">
              <wp:posOffset>899160</wp:posOffset>
            </wp:positionH>
            <wp:positionV relativeFrom="paragraph">
              <wp:posOffset>132703</wp:posOffset>
            </wp:positionV>
            <wp:extent cx="5050388" cy="2067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5050388" cy="2067687"/>
                    </a:xfrm>
                    <a:prstGeom prst="rect">
                      <a:avLst/>
                    </a:prstGeom>
                  </pic:spPr>
                </pic:pic>
              </a:graphicData>
            </a:graphic>
          </wp:anchor>
        </w:drawing>
      </w:r>
    </w:p>
    <w:p w:rsidR="001E2BFD" w:rsidRDefault="001E2BFD">
      <w:pPr>
        <w:pStyle w:val="Corpsdetexte"/>
        <w:spacing w:before="10"/>
        <w:rPr>
          <w:rFonts w:ascii="Trebuchet MS"/>
          <w:i/>
          <w:sz w:val="26"/>
        </w:rPr>
      </w:pPr>
    </w:p>
    <w:p w:rsidR="001E2BFD" w:rsidRDefault="000D319E">
      <w:pPr>
        <w:spacing w:before="1"/>
        <w:ind w:left="116"/>
        <w:rPr>
          <w:rFonts w:ascii="Trebuchet MS"/>
          <w:i/>
          <w:sz w:val="18"/>
        </w:rPr>
      </w:pPr>
      <w:r>
        <w:rPr>
          <w:rFonts w:ascii="Trebuchet MS"/>
          <w:i/>
          <w:color w:val="44536A"/>
          <w:w w:val="90"/>
          <w:sz w:val="18"/>
        </w:rPr>
        <w:t>Tableau</w:t>
      </w:r>
      <w:r>
        <w:rPr>
          <w:rFonts w:ascii="Trebuchet MS"/>
          <w:i/>
          <w:color w:val="44536A"/>
          <w:spacing w:val="-2"/>
          <w:w w:val="90"/>
          <w:sz w:val="18"/>
        </w:rPr>
        <w:t xml:space="preserve"> </w:t>
      </w:r>
      <w:r>
        <w:rPr>
          <w:rFonts w:ascii="Trebuchet MS"/>
          <w:i/>
          <w:color w:val="44536A"/>
          <w:w w:val="90"/>
          <w:sz w:val="18"/>
        </w:rPr>
        <w:t>7</w:t>
      </w:r>
    </w:p>
    <w:p w:rsidR="001E2BFD" w:rsidRDefault="000D319E">
      <w:pPr>
        <w:pStyle w:val="Corpsdetexte"/>
        <w:spacing w:before="9"/>
        <w:rPr>
          <w:rFonts w:ascii="Trebuchet MS"/>
          <w:i/>
          <w:sz w:val="17"/>
        </w:rPr>
      </w:pPr>
      <w:r>
        <w:rPr>
          <w:noProof/>
        </w:rPr>
        <w:drawing>
          <wp:anchor distT="0" distB="0" distL="0" distR="0" simplePos="0" relativeHeight="268434671" behindDoc="1" locked="0" layoutInCell="1" allowOverlap="1">
            <wp:simplePos x="0" y="0"/>
            <wp:positionH relativeFrom="page">
              <wp:posOffset>1015810</wp:posOffset>
            </wp:positionH>
            <wp:positionV relativeFrom="paragraph">
              <wp:posOffset>156081</wp:posOffset>
            </wp:positionV>
            <wp:extent cx="5583253" cy="242706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5583253" cy="2427065"/>
                    </a:xfrm>
                    <a:prstGeom prst="rect">
                      <a:avLst/>
                    </a:prstGeom>
                  </pic:spPr>
                </pic:pic>
              </a:graphicData>
            </a:graphic>
          </wp:anchor>
        </w:drawing>
      </w:r>
    </w:p>
    <w:p w:rsidR="001E2BFD" w:rsidRDefault="001E2BFD">
      <w:pPr>
        <w:rPr>
          <w:rFonts w:ascii="Trebuchet MS"/>
          <w:sz w:val="17"/>
        </w:rPr>
        <w:sectPr w:rsidR="001E2BFD">
          <w:pgSz w:w="11910" w:h="16840"/>
          <w:pgMar w:top="1360" w:right="1300" w:bottom="1200" w:left="1300" w:header="0" w:footer="1003" w:gutter="0"/>
          <w:cols w:space="720"/>
        </w:sectPr>
      </w:pPr>
    </w:p>
    <w:p w:rsidR="001E2BFD" w:rsidRDefault="000D319E">
      <w:pPr>
        <w:spacing w:before="39"/>
        <w:ind w:left="116"/>
        <w:rPr>
          <w:rFonts w:ascii="Trebuchet MS"/>
          <w:i/>
          <w:sz w:val="18"/>
        </w:rPr>
      </w:pPr>
      <w:r>
        <w:rPr>
          <w:rFonts w:ascii="Trebuchet MS"/>
          <w:i/>
          <w:color w:val="44536A"/>
          <w:sz w:val="18"/>
        </w:rPr>
        <w:lastRenderedPageBreak/>
        <w:t>Tableau 8</w:t>
      </w:r>
    </w:p>
    <w:p w:rsidR="001E2BFD" w:rsidRDefault="000D319E">
      <w:pPr>
        <w:pStyle w:val="Corpsdetexte"/>
        <w:spacing w:before="9"/>
        <w:rPr>
          <w:rFonts w:ascii="Trebuchet MS"/>
          <w:i/>
          <w:sz w:val="20"/>
        </w:rPr>
      </w:pPr>
      <w:r>
        <w:rPr>
          <w:noProof/>
        </w:rPr>
        <w:drawing>
          <wp:anchor distT="0" distB="0" distL="0" distR="0" simplePos="0" relativeHeight="268434695" behindDoc="1" locked="0" layoutInCell="1" allowOverlap="1">
            <wp:simplePos x="0" y="0"/>
            <wp:positionH relativeFrom="page">
              <wp:posOffset>1010140</wp:posOffset>
            </wp:positionH>
            <wp:positionV relativeFrom="paragraph">
              <wp:posOffset>177941</wp:posOffset>
            </wp:positionV>
            <wp:extent cx="4315847" cy="3439858"/>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4315847" cy="3439858"/>
                    </a:xfrm>
                    <a:prstGeom prst="rect">
                      <a:avLst/>
                    </a:prstGeom>
                  </pic:spPr>
                </pic:pic>
              </a:graphicData>
            </a:graphic>
          </wp:anchor>
        </w:drawing>
      </w:r>
      <w:r>
        <w:rPr>
          <w:noProof/>
        </w:rPr>
        <w:drawing>
          <wp:anchor distT="0" distB="0" distL="0" distR="0" simplePos="0" relativeHeight="268434719" behindDoc="1" locked="0" layoutInCell="1" allowOverlap="1">
            <wp:simplePos x="0" y="0"/>
            <wp:positionH relativeFrom="page">
              <wp:posOffset>1004796</wp:posOffset>
            </wp:positionH>
            <wp:positionV relativeFrom="paragraph">
              <wp:posOffset>3848605</wp:posOffset>
            </wp:positionV>
            <wp:extent cx="4667414" cy="4583049"/>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4667414" cy="4583049"/>
                    </a:xfrm>
                    <a:prstGeom prst="rect">
                      <a:avLst/>
                    </a:prstGeom>
                  </pic:spPr>
                </pic:pic>
              </a:graphicData>
            </a:graphic>
          </wp:anchor>
        </w:drawing>
      </w:r>
    </w:p>
    <w:p w:rsidR="001E2BFD" w:rsidRDefault="001E2BFD">
      <w:pPr>
        <w:pStyle w:val="Corpsdetexte"/>
        <w:spacing w:before="5"/>
        <w:rPr>
          <w:rFonts w:ascii="Trebuchet MS"/>
          <w:i/>
          <w:sz w:val="25"/>
        </w:rPr>
      </w:pPr>
    </w:p>
    <w:p w:rsidR="001E2BFD" w:rsidRDefault="001E2BFD">
      <w:pPr>
        <w:rPr>
          <w:rFonts w:ascii="Trebuchet MS"/>
          <w:sz w:val="25"/>
        </w:rPr>
        <w:sectPr w:rsidR="001E2BFD">
          <w:pgSz w:w="11910" w:h="16840"/>
          <w:pgMar w:top="1360" w:right="1300" w:bottom="1200" w:left="1300" w:header="0" w:footer="1003" w:gutter="0"/>
          <w:cols w:space="720"/>
        </w:sectPr>
      </w:pPr>
    </w:p>
    <w:p w:rsidR="001E2BFD" w:rsidRDefault="001E2BFD">
      <w:pPr>
        <w:pStyle w:val="Corpsdetexte"/>
        <w:rPr>
          <w:rFonts w:ascii="Trebuchet MS"/>
          <w:i/>
          <w:sz w:val="20"/>
        </w:rPr>
      </w:pPr>
    </w:p>
    <w:p w:rsidR="001E2BFD" w:rsidRDefault="001E2BFD">
      <w:pPr>
        <w:pStyle w:val="Corpsdetexte"/>
        <w:spacing w:before="9"/>
        <w:rPr>
          <w:rFonts w:ascii="Trebuchet MS"/>
          <w:i/>
          <w:sz w:val="15"/>
        </w:rPr>
      </w:pPr>
    </w:p>
    <w:p w:rsidR="001E2BFD" w:rsidRDefault="000D319E">
      <w:pPr>
        <w:pStyle w:val="Corpsdetexte"/>
        <w:spacing w:before="90"/>
        <w:ind w:left="116"/>
      </w:pPr>
      <w:r>
        <w:t>BIBLIOGRAPHIE</w:t>
      </w:r>
    </w:p>
    <w:p w:rsidR="001E2BFD" w:rsidRDefault="001E2BFD">
      <w:pPr>
        <w:pStyle w:val="Corpsdetexte"/>
        <w:spacing w:before="2"/>
      </w:pPr>
    </w:p>
    <w:p w:rsidR="001E2BFD" w:rsidRDefault="000D319E">
      <w:pPr>
        <w:pStyle w:val="Corpsdetexte"/>
        <w:spacing w:before="1"/>
        <w:ind w:left="116" w:right="122"/>
      </w:pPr>
      <w:r>
        <w:t xml:space="preserve">Adam, Z. and </w:t>
      </w:r>
      <w:proofErr w:type="spellStart"/>
      <w:r>
        <w:t>Füss</w:t>
      </w:r>
      <w:proofErr w:type="spellEnd"/>
      <w:r>
        <w:t xml:space="preserve">, R. 2012. </w:t>
      </w:r>
      <w:proofErr w:type="spellStart"/>
      <w:r>
        <w:t>Disentangling</w:t>
      </w:r>
      <w:proofErr w:type="spellEnd"/>
      <w:r>
        <w:t xml:space="preserve"> the short and long-run </w:t>
      </w:r>
      <w:proofErr w:type="spellStart"/>
      <w:r>
        <w:t>effects</w:t>
      </w:r>
      <w:proofErr w:type="spellEnd"/>
      <w:r>
        <w:t xml:space="preserve"> of </w:t>
      </w:r>
      <w:proofErr w:type="spellStart"/>
      <w:r>
        <w:t>occupied</w:t>
      </w:r>
      <w:proofErr w:type="spellEnd"/>
      <w:r>
        <w:t xml:space="preserve"> stock in the </w:t>
      </w:r>
      <w:proofErr w:type="spellStart"/>
      <w:r>
        <w:t>rental</w:t>
      </w:r>
      <w:proofErr w:type="spellEnd"/>
      <w:r>
        <w:t xml:space="preserve"> </w:t>
      </w:r>
      <w:proofErr w:type="spellStart"/>
      <w:r>
        <w:t>adjustment</w:t>
      </w:r>
      <w:proofErr w:type="spellEnd"/>
      <w:r>
        <w:t xml:space="preserve"> process. Journal of Real </w:t>
      </w:r>
      <w:proofErr w:type="spellStart"/>
      <w:r>
        <w:t>Estate</w:t>
      </w:r>
      <w:proofErr w:type="spellEnd"/>
      <w:r>
        <w:t xml:space="preserve"> Finance and </w:t>
      </w:r>
      <w:proofErr w:type="spellStart"/>
      <w:r>
        <w:t>Economics</w:t>
      </w:r>
      <w:proofErr w:type="spellEnd"/>
      <w:r>
        <w:t xml:space="preserve"> </w:t>
      </w:r>
      <w:proofErr w:type="gramStart"/>
      <w:r>
        <w:t>44:</w:t>
      </w:r>
      <w:proofErr w:type="gramEnd"/>
      <w:r>
        <w:t xml:space="preserve"> 570-590.</w:t>
      </w:r>
    </w:p>
    <w:p w:rsidR="001E2BFD" w:rsidRDefault="001E2BFD">
      <w:pPr>
        <w:pStyle w:val="Corpsdetexte"/>
        <w:spacing w:before="4"/>
      </w:pPr>
    </w:p>
    <w:p w:rsidR="001E2BFD" w:rsidRDefault="000D319E">
      <w:pPr>
        <w:pStyle w:val="Corpsdetexte"/>
        <w:spacing w:before="1"/>
        <w:ind w:left="116"/>
      </w:pPr>
      <w:r>
        <w:t xml:space="preserve">Allard Laurence, 2011 « Les </w:t>
      </w:r>
      <w:proofErr w:type="spellStart"/>
      <w:r>
        <w:t>huits</w:t>
      </w:r>
      <w:proofErr w:type="spellEnd"/>
      <w:r>
        <w:t xml:space="preserve"> paradoxes du marché des bureaux ». Le </w:t>
      </w:r>
      <w:r>
        <w:t>Point</w:t>
      </w:r>
    </w:p>
    <w:p w:rsidR="001E2BFD" w:rsidRDefault="001E2BFD">
      <w:pPr>
        <w:pStyle w:val="Corpsdetexte"/>
        <w:spacing w:before="4"/>
      </w:pPr>
    </w:p>
    <w:p w:rsidR="001E2BFD" w:rsidRDefault="000D319E">
      <w:pPr>
        <w:pStyle w:val="Corpsdetexte"/>
        <w:ind w:left="116" w:right="176"/>
      </w:pPr>
      <w:proofErr w:type="spellStart"/>
      <w:r>
        <w:t>Brounen</w:t>
      </w:r>
      <w:proofErr w:type="spellEnd"/>
      <w:r>
        <w:t xml:space="preserve">, D. and </w:t>
      </w:r>
      <w:proofErr w:type="spellStart"/>
      <w:r>
        <w:t>Jennen</w:t>
      </w:r>
      <w:proofErr w:type="spellEnd"/>
      <w:r>
        <w:t xml:space="preserve">, M. 2009. Local office </w:t>
      </w:r>
      <w:proofErr w:type="spellStart"/>
      <w:r>
        <w:t>rent</w:t>
      </w:r>
      <w:proofErr w:type="spellEnd"/>
      <w:r>
        <w:t xml:space="preserve"> </w:t>
      </w:r>
      <w:proofErr w:type="spellStart"/>
      <w:r>
        <w:t>dynamics</w:t>
      </w:r>
      <w:proofErr w:type="spellEnd"/>
      <w:r>
        <w:t xml:space="preserve">. Journal of Real </w:t>
      </w:r>
      <w:proofErr w:type="spellStart"/>
      <w:r>
        <w:t>Estate</w:t>
      </w:r>
      <w:proofErr w:type="spellEnd"/>
      <w:r>
        <w:t xml:space="preserve"> Finance and </w:t>
      </w:r>
      <w:proofErr w:type="spellStart"/>
      <w:r>
        <w:t>Economics</w:t>
      </w:r>
      <w:proofErr w:type="spellEnd"/>
      <w:r>
        <w:t xml:space="preserve"> </w:t>
      </w:r>
      <w:proofErr w:type="gramStart"/>
      <w:r>
        <w:t>39:</w:t>
      </w:r>
      <w:proofErr w:type="gramEnd"/>
      <w:r>
        <w:t xml:space="preserve"> 385-402.</w:t>
      </w:r>
    </w:p>
    <w:p w:rsidR="001E2BFD" w:rsidRDefault="001E2BFD">
      <w:pPr>
        <w:pStyle w:val="Corpsdetexte"/>
        <w:spacing w:before="3"/>
      </w:pPr>
    </w:p>
    <w:p w:rsidR="001E2BFD" w:rsidRDefault="000D319E">
      <w:pPr>
        <w:pStyle w:val="Corpsdetexte"/>
        <w:ind w:left="116" w:right="182"/>
      </w:pPr>
      <w:r>
        <w:t xml:space="preserve">Bruneau, C., Duval-Kiefer, C. and Nicolaï, J.P. 2000. </w:t>
      </w:r>
      <w:proofErr w:type="spellStart"/>
      <w:r>
        <w:t>Managing</w:t>
      </w:r>
      <w:proofErr w:type="spellEnd"/>
      <w:r>
        <w:t xml:space="preserve"> </w:t>
      </w:r>
      <w:proofErr w:type="spellStart"/>
      <w:r>
        <w:t>funds</w:t>
      </w:r>
      <w:proofErr w:type="spellEnd"/>
      <w:r>
        <w:t xml:space="preserve"> in the US </w:t>
      </w:r>
      <w:proofErr w:type="spellStart"/>
      <w:proofErr w:type="gramStart"/>
      <w:r>
        <w:t>market</w:t>
      </w:r>
      <w:proofErr w:type="spellEnd"/>
      <w:r>
        <w:t>:</w:t>
      </w:r>
      <w:proofErr w:type="gramEnd"/>
      <w:r>
        <w:t xml:space="preserve"> how to </w:t>
      </w:r>
      <w:proofErr w:type="spellStart"/>
      <w:r>
        <w:t>distinguish</w:t>
      </w:r>
      <w:proofErr w:type="spellEnd"/>
      <w:r>
        <w:t xml:space="preserve"> </w:t>
      </w:r>
      <w:proofErr w:type="spellStart"/>
      <w:r>
        <w:t>between</w:t>
      </w:r>
      <w:proofErr w:type="spellEnd"/>
      <w:r>
        <w:t xml:space="preserve"> </w:t>
      </w:r>
      <w:proofErr w:type="spellStart"/>
      <w:r>
        <w:t>transitory</w:t>
      </w:r>
      <w:proofErr w:type="spellEnd"/>
      <w:r>
        <w:t xml:space="preserve"> </w:t>
      </w:r>
      <w:proofErr w:type="spellStart"/>
      <w:r>
        <w:t>dist</w:t>
      </w:r>
      <w:r>
        <w:t>ortions</w:t>
      </w:r>
      <w:proofErr w:type="spellEnd"/>
      <w:r>
        <w:t xml:space="preserve"> and structural changes in the stock </w:t>
      </w:r>
      <w:proofErr w:type="spellStart"/>
      <w:r>
        <w:t>prices</w:t>
      </w:r>
      <w:proofErr w:type="spellEnd"/>
      <w:r>
        <w:t xml:space="preserve">? The </w:t>
      </w:r>
      <w:proofErr w:type="spellStart"/>
      <w:r>
        <w:t>European</w:t>
      </w:r>
      <w:proofErr w:type="spellEnd"/>
      <w:r>
        <w:t xml:space="preserve"> Journal of Finance </w:t>
      </w:r>
      <w:proofErr w:type="gramStart"/>
      <w:r>
        <w:t>6:</w:t>
      </w:r>
      <w:proofErr w:type="gramEnd"/>
      <w:r>
        <w:t xml:space="preserve"> 146-162.</w:t>
      </w:r>
    </w:p>
    <w:p w:rsidR="001E2BFD" w:rsidRDefault="001E2BFD">
      <w:pPr>
        <w:pStyle w:val="Corpsdetexte"/>
        <w:spacing w:before="5"/>
      </w:pPr>
    </w:p>
    <w:p w:rsidR="001E2BFD" w:rsidRDefault="000D319E">
      <w:pPr>
        <w:pStyle w:val="Corpsdetexte"/>
        <w:spacing w:line="482" w:lineRule="auto"/>
        <w:ind w:left="116" w:right="762"/>
      </w:pPr>
      <w:r>
        <w:t xml:space="preserve">Bonnet Jacques, 2003 « L’évolution du marché des bureaux en France à l’étranger », Revue </w:t>
      </w:r>
      <w:proofErr w:type="spellStart"/>
      <w:r>
        <w:t>GéoCarrefour</w:t>
      </w:r>
      <w:proofErr w:type="spellEnd"/>
      <w:r>
        <w:t>, Vol 78/4</w:t>
      </w:r>
    </w:p>
    <w:p w:rsidR="001E2BFD" w:rsidRDefault="000D319E">
      <w:pPr>
        <w:pStyle w:val="Corpsdetexte"/>
        <w:spacing w:before="2"/>
        <w:ind w:left="116" w:right="522"/>
      </w:pPr>
      <w:proofErr w:type="spellStart"/>
      <w:r>
        <w:t>Clapp</w:t>
      </w:r>
      <w:proofErr w:type="spellEnd"/>
      <w:r>
        <w:t xml:space="preserve">, J., </w:t>
      </w:r>
      <w:proofErr w:type="spellStart"/>
      <w:r>
        <w:t>Pollakowski</w:t>
      </w:r>
      <w:proofErr w:type="spellEnd"/>
      <w:r>
        <w:t xml:space="preserve">, H.O. and </w:t>
      </w:r>
      <w:proofErr w:type="spellStart"/>
      <w:r>
        <w:t>Lynford</w:t>
      </w:r>
      <w:proofErr w:type="spellEnd"/>
      <w:r>
        <w:t>, L. 19</w:t>
      </w:r>
      <w:r>
        <w:t xml:space="preserve">92. </w:t>
      </w:r>
      <w:proofErr w:type="spellStart"/>
      <w:r>
        <w:t>Intrametropolitan</w:t>
      </w:r>
      <w:proofErr w:type="spellEnd"/>
      <w:r>
        <w:t xml:space="preserve"> Location and Office </w:t>
      </w:r>
      <w:proofErr w:type="spellStart"/>
      <w:r>
        <w:t>Market</w:t>
      </w:r>
      <w:proofErr w:type="spellEnd"/>
      <w:r>
        <w:t xml:space="preserve"> Dynamics. AREUEA </w:t>
      </w:r>
      <w:proofErr w:type="gramStart"/>
      <w:r>
        <w:t>20:</w:t>
      </w:r>
      <w:proofErr w:type="gramEnd"/>
      <w:r>
        <w:t xml:space="preserve"> 229-258.</w:t>
      </w:r>
    </w:p>
    <w:p w:rsidR="001E2BFD" w:rsidRDefault="001E2BFD">
      <w:pPr>
        <w:pStyle w:val="Corpsdetexte"/>
        <w:spacing w:before="5"/>
      </w:pPr>
    </w:p>
    <w:p w:rsidR="001E2BFD" w:rsidRDefault="000D319E">
      <w:pPr>
        <w:pStyle w:val="Corpsdetexte"/>
        <w:ind w:left="116" w:right="636"/>
      </w:pPr>
      <w:r>
        <w:t>De Francesco, A. J. 2008. Time-</w:t>
      </w:r>
      <w:proofErr w:type="spellStart"/>
      <w:r>
        <w:t>series</w:t>
      </w:r>
      <w:proofErr w:type="spellEnd"/>
      <w:r>
        <w:t xml:space="preserve"> </w:t>
      </w:r>
      <w:proofErr w:type="spellStart"/>
      <w:r>
        <w:t>characteristics</w:t>
      </w:r>
      <w:proofErr w:type="spellEnd"/>
      <w:r>
        <w:t xml:space="preserve"> and long-run </w:t>
      </w:r>
      <w:proofErr w:type="spellStart"/>
      <w:r>
        <w:t>equilibrium</w:t>
      </w:r>
      <w:proofErr w:type="spellEnd"/>
      <w:r>
        <w:t xml:space="preserve"> for major </w:t>
      </w:r>
      <w:proofErr w:type="spellStart"/>
      <w:r>
        <w:t>Australian</w:t>
      </w:r>
      <w:proofErr w:type="spellEnd"/>
      <w:r>
        <w:t xml:space="preserve"> office </w:t>
      </w:r>
      <w:proofErr w:type="spellStart"/>
      <w:r>
        <w:t>markets</w:t>
      </w:r>
      <w:proofErr w:type="spellEnd"/>
      <w:r>
        <w:t xml:space="preserve">. Real </w:t>
      </w:r>
      <w:proofErr w:type="spellStart"/>
      <w:r>
        <w:t>Estate</w:t>
      </w:r>
      <w:proofErr w:type="spellEnd"/>
      <w:r>
        <w:t xml:space="preserve"> </w:t>
      </w:r>
      <w:proofErr w:type="spellStart"/>
      <w:r>
        <w:t>Economics</w:t>
      </w:r>
      <w:proofErr w:type="spellEnd"/>
      <w:r>
        <w:t xml:space="preserve"> </w:t>
      </w:r>
      <w:proofErr w:type="gramStart"/>
      <w:r>
        <w:t>36:</w:t>
      </w:r>
      <w:proofErr w:type="gramEnd"/>
      <w:r>
        <w:t xml:space="preserve"> 371-402.</w:t>
      </w:r>
    </w:p>
    <w:p w:rsidR="001E2BFD" w:rsidRDefault="001E2BFD">
      <w:pPr>
        <w:pStyle w:val="Corpsdetexte"/>
        <w:spacing w:before="3"/>
      </w:pPr>
    </w:p>
    <w:p w:rsidR="001E2BFD" w:rsidRDefault="000D319E">
      <w:pPr>
        <w:pStyle w:val="Corpsdetexte"/>
        <w:ind w:left="116" w:right="922"/>
      </w:pPr>
      <w:proofErr w:type="spellStart"/>
      <w:r>
        <w:t>DiPasquale</w:t>
      </w:r>
      <w:proofErr w:type="spellEnd"/>
      <w:r>
        <w:t xml:space="preserve">, D. and Wheaton, W.C. 1996. Urban </w:t>
      </w:r>
      <w:proofErr w:type="spellStart"/>
      <w:r>
        <w:t>Economics</w:t>
      </w:r>
      <w:proofErr w:type="spellEnd"/>
      <w:r>
        <w:t xml:space="preserve"> and Real </w:t>
      </w:r>
      <w:proofErr w:type="spellStart"/>
      <w:r>
        <w:t>Estate</w:t>
      </w:r>
      <w:proofErr w:type="spellEnd"/>
      <w:r>
        <w:t xml:space="preserve"> </w:t>
      </w:r>
      <w:proofErr w:type="spellStart"/>
      <w:r>
        <w:t>Markets</w:t>
      </w:r>
      <w:proofErr w:type="spellEnd"/>
      <w:r>
        <w:t xml:space="preserve">. Englewood </w:t>
      </w:r>
      <w:proofErr w:type="spellStart"/>
      <w:r>
        <w:t>Cliffs</w:t>
      </w:r>
      <w:proofErr w:type="spellEnd"/>
      <w:r>
        <w:t xml:space="preserve">, </w:t>
      </w:r>
      <w:proofErr w:type="gramStart"/>
      <w:r>
        <w:t>NJ:</w:t>
      </w:r>
      <w:proofErr w:type="gramEnd"/>
      <w:r>
        <w:t xml:space="preserve"> </w:t>
      </w:r>
      <w:proofErr w:type="spellStart"/>
      <w:r>
        <w:t>Pr</w:t>
      </w:r>
      <w:r>
        <w:t>entice</w:t>
      </w:r>
      <w:proofErr w:type="spellEnd"/>
      <w:r>
        <w:t>-Hall.</w:t>
      </w:r>
    </w:p>
    <w:p w:rsidR="001E2BFD" w:rsidRDefault="001E2BFD">
      <w:pPr>
        <w:pStyle w:val="Corpsdetexte"/>
        <w:spacing w:before="5"/>
      </w:pPr>
    </w:p>
    <w:p w:rsidR="001E2BFD" w:rsidRDefault="000D319E">
      <w:pPr>
        <w:pStyle w:val="Corpsdetexte"/>
        <w:ind w:left="116" w:right="949"/>
      </w:pPr>
      <w:proofErr w:type="spellStart"/>
      <w:r>
        <w:t>Dunse</w:t>
      </w:r>
      <w:proofErr w:type="spellEnd"/>
      <w:r>
        <w:t xml:space="preserve">, N. and Jones, C. 2002. The existence of office </w:t>
      </w:r>
      <w:proofErr w:type="spellStart"/>
      <w:r>
        <w:t>submarkets</w:t>
      </w:r>
      <w:proofErr w:type="spellEnd"/>
      <w:r>
        <w:t xml:space="preserve"> in </w:t>
      </w:r>
      <w:proofErr w:type="spellStart"/>
      <w:r>
        <w:t>cities</w:t>
      </w:r>
      <w:proofErr w:type="spellEnd"/>
      <w:r>
        <w:t xml:space="preserve">. Journal of </w:t>
      </w:r>
      <w:proofErr w:type="spellStart"/>
      <w:r>
        <w:t>Property</w:t>
      </w:r>
      <w:proofErr w:type="spellEnd"/>
      <w:r>
        <w:t xml:space="preserve"> </w:t>
      </w:r>
      <w:proofErr w:type="spellStart"/>
      <w:r>
        <w:t>Research</w:t>
      </w:r>
      <w:proofErr w:type="spellEnd"/>
      <w:r>
        <w:t xml:space="preserve"> </w:t>
      </w:r>
      <w:proofErr w:type="gramStart"/>
      <w:r>
        <w:t>19:</w:t>
      </w:r>
      <w:proofErr w:type="gramEnd"/>
      <w:r>
        <w:t xml:space="preserve"> 159-182.</w:t>
      </w:r>
    </w:p>
    <w:p w:rsidR="001E2BFD" w:rsidRDefault="001E2BFD">
      <w:pPr>
        <w:pStyle w:val="Corpsdetexte"/>
        <w:spacing w:before="4"/>
      </w:pPr>
    </w:p>
    <w:p w:rsidR="001E2BFD" w:rsidRDefault="000D319E">
      <w:pPr>
        <w:pStyle w:val="Corpsdetexte"/>
        <w:spacing w:before="1"/>
        <w:ind w:left="116" w:right="122"/>
      </w:pPr>
      <w:proofErr w:type="spellStart"/>
      <w:r>
        <w:t>Engle</w:t>
      </w:r>
      <w:proofErr w:type="spellEnd"/>
      <w:r>
        <w:t xml:space="preserve">, R.F. and Granger, C.W.J. 1987. </w:t>
      </w:r>
      <w:proofErr w:type="spellStart"/>
      <w:r>
        <w:t>Cointegration</w:t>
      </w:r>
      <w:proofErr w:type="spellEnd"/>
      <w:r>
        <w:t xml:space="preserve"> and </w:t>
      </w:r>
      <w:proofErr w:type="spellStart"/>
      <w:r>
        <w:t>error</w:t>
      </w:r>
      <w:proofErr w:type="spellEnd"/>
      <w:r>
        <w:t xml:space="preserve"> </w:t>
      </w:r>
      <w:proofErr w:type="gramStart"/>
      <w:r>
        <w:t>correction:</w:t>
      </w:r>
      <w:proofErr w:type="gramEnd"/>
      <w:r>
        <w:t xml:space="preserve"> </w:t>
      </w:r>
      <w:proofErr w:type="spellStart"/>
      <w:r>
        <w:t>representation</w:t>
      </w:r>
      <w:proofErr w:type="spellEnd"/>
      <w:r>
        <w:t xml:space="preserve">, Adam, Z. and </w:t>
      </w:r>
      <w:proofErr w:type="spellStart"/>
      <w:r>
        <w:t>Füss</w:t>
      </w:r>
      <w:proofErr w:type="spellEnd"/>
      <w:r>
        <w:t xml:space="preserve">, R. 2012. </w:t>
      </w:r>
      <w:proofErr w:type="spellStart"/>
      <w:r>
        <w:t>Disen</w:t>
      </w:r>
      <w:r>
        <w:t>tangling</w:t>
      </w:r>
      <w:proofErr w:type="spellEnd"/>
      <w:r>
        <w:t xml:space="preserve"> the short and long-run </w:t>
      </w:r>
      <w:proofErr w:type="spellStart"/>
      <w:r>
        <w:t>effects</w:t>
      </w:r>
      <w:proofErr w:type="spellEnd"/>
      <w:r>
        <w:t xml:space="preserve"> of </w:t>
      </w:r>
      <w:proofErr w:type="spellStart"/>
      <w:r>
        <w:t>occupied</w:t>
      </w:r>
      <w:proofErr w:type="spellEnd"/>
      <w:r>
        <w:t xml:space="preserve"> stock in the </w:t>
      </w:r>
      <w:proofErr w:type="spellStart"/>
      <w:r>
        <w:t>rental</w:t>
      </w:r>
      <w:proofErr w:type="spellEnd"/>
      <w:r>
        <w:t xml:space="preserve"> </w:t>
      </w:r>
      <w:proofErr w:type="spellStart"/>
      <w:r>
        <w:t>adjustment</w:t>
      </w:r>
      <w:proofErr w:type="spellEnd"/>
      <w:r>
        <w:t xml:space="preserve"> process. Journal of Real </w:t>
      </w:r>
      <w:proofErr w:type="spellStart"/>
      <w:r>
        <w:t>Estate</w:t>
      </w:r>
      <w:proofErr w:type="spellEnd"/>
      <w:r>
        <w:t xml:space="preserve"> Finance and </w:t>
      </w:r>
      <w:proofErr w:type="spellStart"/>
      <w:r>
        <w:t>Economics</w:t>
      </w:r>
      <w:proofErr w:type="spellEnd"/>
      <w:r>
        <w:t xml:space="preserve"> </w:t>
      </w:r>
      <w:proofErr w:type="gramStart"/>
      <w:r>
        <w:t>44:</w:t>
      </w:r>
      <w:proofErr w:type="gramEnd"/>
      <w:r>
        <w:t xml:space="preserve"> 570-590.</w:t>
      </w:r>
    </w:p>
    <w:p w:rsidR="001E2BFD" w:rsidRDefault="001E2BFD">
      <w:pPr>
        <w:pStyle w:val="Corpsdetexte"/>
        <w:spacing w:before="2"/>
        <w:rPr>
          <w:sz w:val="28"/>
        </w:rPr>
      </w:pPr>
    </w:p>
    <w:p w:rsidR="001E2BFD" w:rsidRDefault="000D319E">
      <w:pPr>
        <w:pStyle w:val="Corpsdetexte"/>
        <w:ind w:left="116" w:right="176"/>
      </w:pPr>
      <w:proofErr w:type="spellStart"/>
      <w:r>
        <w:t>Brounen</w:t>
      </w:r>
      <w:proofErr w:type="spellEnd"/>
      <w:r>
        <w:t xml:space="preserve">, D. and </w:t>
      </w:r>
      <w:proofErr w:type="spellStart"/>
      <w:r>
        <w:t>Jennen</w:t>
      </w:r>
      <w:proofErr w:type="spellEnd"/>
      <w:r>
        <w:t xml:space="preserve">, M. 2009. Local office </w:t>
      </w:r>
      <w:proofErr w:type="spellStart"/>
      <w:r>
        <w:t>rent</w:t>
      </w:r>
      <w:proofErr w:type="spellEnd"/>
      <w:r>
        <w:t xml:space="preserve"> </w:t>
      </w:r>
      <w:proofErr w:type="spellStart"/>
      <w:r>
        <w:t>dynamics</w:t>
      </w:r>
      <w:proofErr w:type="spellEnd"/>
      <w:r>
        <w:t xml:space="preserve">. Journal of Real </w:t>
      </w:r>
      <w:proofErr w:type="spellStart"/>
      <w:r>
        <w:t>Estate</w:t>
      </w:r>
      <w:proofErr w:type="spellEnd"/>
      <w:r>
        <w:t xml:space="preserve"> Finance and </w:t>
      </w:r>
      <w:proofErr w:type="spellStart"/>
      <w:r>
        <w:t>Economics</w:t>
      </w:r>
      <w:proofErr w:type="spellEnd"/>
      <w:r>
        <w:t xml:space="preserve"> </w:t>
      </w:r>
      <w:proofErr w:type="gramStart"/>
      <w:r>
        <w:t>39:</w:t>
      </w:r>
      <w:proofErr w:type="gramEnd"/>
      <w:r>
        <w:t xml:space="preserve"> 385-402.</w:t>
      </w:r>
    </w:p>
    <w:p w:rsidR="001E2BFD" w:rsidRDefault="001E2BFD">
      <w:pPr>
        <w:pStyle w:val="Corpsdetexte"/>
        <w:spacing w:before="3"/>
      </w:pPr>
    </w:p>
    <w:p w:rsidR="001E2BFD" w:rsidRDefault="000D319E">
      <w:pPr>
        <w:pStyle w:val="Corpsdetexte"/>
        <w:ind w:left="116" w:right="182"/>
      </w:pPr>
      <w:r>
        <w:t xml:space="preserve">Bruneau, C., Duval-Kiefer, C. and Nicolaï, J.P. 2000. </w:t>
      </w:r>
      <w:proofErr w:type="spellStart"/>
      <w:r>
        <w:t>Managing</w:t>
      </w:r>
      <w:proofErr w:type="spellEnd"/>
      <w:r>
        <w:t xml:space="preserve"> </w:t>
      </w:r>
      <w:proofErr w:type="spellStart"/>
      <w:r>
        <w:t>funds</w:t>
      </w:r>
      <w:proofErr w:type="spellEnd"/>
      <w:r>
        <w:t xml:space="preserve"> in the US </w:t>
      </w:r>
      <w:proofErr w:type="spellStart"/>
      <w:proofErr w:type="gramStart"/>
      <w:r>
        <w:t>market</w:t>
      </w:r>
      <w:proofErr w:type="spellEnd"/>
      <w:r>
        <w:t>:</w:t>
      </w:r>
      <w:proofErr w:type="gramEnd"/>
      <w:r>
        <w:t xml:space="preserve"> how to </w:t>
      </w:r>
      <w:proofErr w:type="spellStart"/>
      <w:r>
        <w:t>distinguish</w:t>
      </w:r>
      <w:proofErr w:type="spellEnd"/>
      <w:r>
        <w:t xml:space="preserve"> </w:t>
      </w:r>
      <w:proofErr w:type="spellStart"/>
      <w:r>
        <w:t>between</w:t>
      </w:r>
      <w:proofErr w:type="spellEnd"/>
      <w:r>
        <w:t xml:space="preserve"> </w:t>
      </w:r>
      <w:proofErr w:type="spellStart"/>
      <w:r>
        <w:t>transitory</w:t>
      </w:r>
      <w:proofErr w:type="spellEnd"/>
      <w:r>
        <w:t xml:space="preserve"> </w:t>
      </w:r>
      <w:proofErr w:type="spellStart"/>
      <w:r>
        <w:t>distortions</w:t>
      </w:r>
      <w:proofErr w:type="spellEnd"/>
      <w:r>
        <w:t xml:space="preserve"> and structural changes in the stock </w:t>
      </w:r>
      <w:proofErr w:type="spellStart"/>
      <w:r>
        <w:t>prices</w:t>
      </w:r>
      <w:proofErr w:type="spellEnd"/>
      <w:r>
        <w:t xml:space="preserve">? The </w:t>
      </w:r>
      <w:proofErr w:type="spellStart"/>
      <w:r>
        <w:t>European</w:t>
      </w:r>
      <w:proofErr w:type="spellEnd"/>
      <w:r>
        <w:t xml:space="preserve"> Journal of Finance </w:t>
      </w:r>
      <w:proofErr w:type="gramStart"/>
      <w:r>
        <w:t>6:</w:t>
      </w:r>
      <w:proofErr w:type="gramEnd"/>
      <w:r>
        <w:t xml:space="preserve"> 146-162.</w:t>
      </w:r>
    </w:p>
    <w:p w:rsidR="001E2BFD" w:rsidRDefault="001E2BFD">
      <w:pPr>
        <w:pStyle w:val="Corpsdetexte"/>
        <w:spacing w:before="4"/>
      </w:pPr>
    </w:p>
    <w:p w:rsidR="001E2BFD" w:rsidRDefault="000D319E">
      <w:pPr>
        <w:pStyle w:val="Corpsdetexte"/>
        <w:spacing w:before="1"/>
        <w:ind w:left="116" w:right="522"/>
      </w:pPr>
      <w:proofErr w:type="spellStart"/>
      <w:r>
        <w:t>Clapp</w:t>
      </w:r>
      <w:proofErr w:type="spellEnd"/>
      <w:r>
        <w:t xml:space="preserve">, J., </w:t>
      </w:r>
      <w:proofErr w:type="spellStart"/>
      <w:r>
        <w:t>Poll</w:t>
      </w:r>
      <w:r>
        <w:t>akowski</w:t>
      </w:r>
      <w:proofErr w:type="spellEnd"/>
      <w:r>
        <w:t xml:space="preserve">, H.O. and </w:t>
      </w:r>
      <w:proofErr w:type="spellStart"/>
      <w:r>
        <w:t>Lynford</w:t>
      </w:r>
      <w:proofErr w:type="spellEnd"/>
      <w:r>
        <w:t xml:space="preserve">, L. 1992. </w:t>
      </w:r>
      <w:proofErr w:type="spellStart"/>
      <w:r>
        <w:t>Intrametropolitan</w:t>
      </w:r>
      <w:proofErr w:type="spellEnd"/>
      <w:r>
        <w:t xml:space="preserve"> Location and Office </w:t>
      </w:r>
      <w:proofErr w:type="spellStart"/>
      <w:r>
        <w:t>Market</w:t>
      </w:r>
      <w:proofErr w:type="spellEnd"/>
      <w:r>
        <w:t xml:space="preserve"> Dynamics. AREUEA </w:t>
      </w:r>
      <w:proofErr w:type="gramStart"/>
      <w:r>
        <w:t>20:</w:t>
      </w:r>
      <w:proofErr w:type="gramEnd"/>
      <w:r>
        <w:t xml:space="preserve"> 229-258.</w:t>
      </w:r>
    </w:p>
    <w:p w:rsidR="001E2BFD" w:rsidRDefault="001E2BFD">
      <w:pPr>
        <w:pStyle w:val="Corpsdetexte"/>
        <w:spacing w:before="4"/>
      </w:pPr>
    </w:p>
    <w:p w:rsidR="001E2BFD" w:rsidRDefault="000D319E">
      <w:pPr>
        <w:pStyle w:val="Corpsdetexte"/>
        <w:spacing w:before="1"/>
        <w:ind w:left="116" w:right="636"/>
      </w:pPr>
      <w:r>
        <w:t>De Francesco, A. J. 2008. Time-</w:t>
      </w:r>
      <w:proofErr w:type="spellStart"/>
      <w:r>
        <w:t>series</w:t>
      </w:r>
      <w:proofErr w:type="spellEnd"/>
      <w:r>
        <w:t xml:space="preserve"> </w:t>
      </w:r>
      <w:proofErr w:type="spellStart"/>
      <w:r>
        <w:t>characteristics</w:t>
      </w:r>
      <w:proofErr w:type="spellEnd"/>
      <w:r>
        <w:t xml:space="preserve"> and long-run </w:t>
      </w:r>
      <w:proofErr w:type="spellStart"/>
      <w:r>
        <w:t>equilibrium</w:t>
      </w:r>
      <w:proofErr w:type="spellEnd"/>
      <w:r>
        <w:t xml:space="preserve"> for major </w:t>
      </w:r>
      <w:proofErr w:type="spellStart"/>
      <w:r>
        <w:t>Australian</w:t>
      </w:r>
      <w:proofErr w:type="spellEnd"/>
      <w:r>
        <w:t xml:space="preserve"> office </w:t>
      </w:r>
      <w:proofErr w:type="spellStart"/>
      <w:r>
        <w:t>markets</w:t>
      </w:r>
      <w:proofErr w:type="spellEnd"/>
      <w:r>
        <w:t xml:space="preserve">. Real </w:t>
      </w:r>
      <w:proofErr w:type="spellStart"/>
      <w:r>
        <w:t>Estate</w:t>
      </w:r>
      <w:proofErr w:type="spellEnd"/>
      <w:r>
        <w:t xml:space="preserve"> </w:t>
      </w:r>
      <w:proofErr w:type="spellStart"/>
      <w:r>
        <w:t>Economics</w:t>
      </w:r>
      <w:proofErr w:type="spellEnd"/>
      <w:r>
        <w:t xml:space="preserve"> </w:t>
      </w:r>
      <w:proofErr w:type="gramStart"/>
      <w:r>
        <w:t>36:</w:t>
      </w:r>
      <w:proofErr w:type="gramEnd"/>
      <w:r>
        <w:t xml:space="preserve"> 37</w:t>
      </w:r>
      <w:r>
        <w:t>1-402.</w:t>
      </w:r>
    </w:p>
    <w:p w:rsidR="001E2BFD" w:rsidRDefault="001E2BFD">
      <w:pPr>
        <w:sectPr w:rsidR="001E2BFD">
          <w:pgSz w:w="11910" w:h="16840"/>
          <w:pgMar w:top="1580" w:right="1300" w:bottom="1200" w:left="1300" w:header="0" w:footer="1003" w:gutter="0"/>
          <w:cols w:space="720"/>
        </w:sectPr>
      </w:pPr>
    </w:p>
    <w:p w:rsidR="001E2BFD" w:rsidRDefault="000D319E">
      <w:pPr>
        <w:pStyle w:val="Corpsdetexte"/>
        <w:spacing w:before="69"/>
        <w:ind w:left="116" w:right="922"/>
      </w:pPr>
      <w:proofErr w:type="spellStart"/>
      <w:r>
        <w:lastRenderedPageBreak/>
        <w:t>DiPasquale</w:t>
      </w:r>
      <w:proofErr w:type="spellEnd"/>
      <w:r>
        <w:t xml:space="preserve">, D. and Wheaton, W.C. 1996. Urban </w:t>
      </w:r>
      <w:proofErr w:type="spellStart"/>
      <w:r>
        <w:t>Economics</w:t>
      </w:r>
      <w:proofErr w:type="spellEnd"/>
      <w:r>
        <w:t xml:space="preserve"> and Real </w:t>
      </w:r>
      <w:proofErr w:type="spellStart"/>
      <w:r>
        <w:t>Estate</w:t>
      </w:r>
      <w:proofErr w:type="spellEnd"/>
      <w:r>
        <w:t xml:space="preserve"> </w:t>
      </w:r>
      <w:proofErr w:type="spellStart"/>
      <w:r>
        <w:t>Markets</w:t>
      </w:r>
      <w:proofErr w:type="spellEnd"/>
      <w:r>
        <w:t xml:space="preserve">. Englewood </w:t>
      </w:r>
      <w:proofErr w:type="spellStart"/>
      <w:r>
        <w:t>Cliffs</w:t>
      </w:r>
      <w:proofErr w:type="spellEnd"/>
      <w:r>
        <w:t xml:space="preserve">, </w:t>
      </w:r>
      <w:proofErr w:type="gramStart"/>
      <w:r>
        <w:t>NJ:</w:t>
      </w:r>
      <w:proofErr w:type="gramEnd"/>
      <w:r>
        <w:t xml:space="preserve"> </w:t>
      </w:r>
      <w:proofErr w:type="spellStart"/>
      <w:r>
        <w:t>Prentice</w:t>
      </w:r>
      <w:proofErr w:type="spellEnd"/>
      <w:r>
        <w:t>-Hall.</w:t>
      </w:r>
    </w:p>
    <w:p w:rsidR="001E2BFD" w:rsidRDefault="001E2BFD">
      <w:pPr>
        <w:pStyle w:val="Corpsdetexte"/>
        <w:spacing w:before="5"/>
      </w:pPr>
    </w:p>
    <w:p w:rsidR="001E2BFD" w:rsidRDefault="000D319E">
      <w:pPr>
        <w:pStyle w:val="Corpsdetexte"/>
        <w:spacing w:before="1"/>
        <w:ind w:left="116" w:right="949"/>
      </w:pPr>
      <w:proofErr w:type="spellStart"/>
      <w:r>
        <w:t>Dunse</w:t>
      </w:r>
      <w:proofErr w:type="spellEnd"/>
      <w:r>
        <w:t xml:space="preserve">, N. and Jones, C. 2002. The existence of office </w:t>
      </w:r>
      <w:proofErr w:type="spellStart"/>
      <w:r>
        <w:t>submarkets</w:t>
      </w:r>
      <w:proofErr w:type="spellEnd"/>
      <w:r>
        <w:t xml:space="preserve"> in </w:t>
      </w:r>
      <w:proofErr w:type="spellStart"/>
      <w:r>
        <w:t>cities</w:t>
      </w:r>
      <w:proofErr w:type="spellEnd"/>
      <w:r>
        <w:t xml:space="preserve">. Journal of </w:t>
      </w:r>
      <w:proofErr w:type="spellStart"/>
      <w:r>
        <w:t>Property</w:t>
      </w:r>
      <w:proofErr w:type="spellEnd"/>
      <w:r>
        <w:t xml:space="preserve"> </w:t>
      </w:r>
      <w:proofErr w:type="spellStart"/>
      <w:r>
        <w:t>Research</w:t>
      </w:r>
      <w:proofErr w:type="spellEnd"/>
      <w:r>
        <w:t xml:space="preserve"> </w:t>
      </w:r>
      <w:proofErr w:type="gramStart"/>
      <w:r>
        <w:t>19:</w:t>
      </w:r>
      <w:proofErr w:type="gramEnd"/>
      <w:r>
        <w:t xml:space="preserve"> 159-182.</w:t>
      </w:r>
    </w:p>
    <w:p w:rsidR="001E2BFD" w:rsidRDefault="001E2BFD">
      <w:pPr>
        <w:pStyle w:val="Corpsdetexte"/>
        <w:spacing w:before="4"/>
      </w:pPr>
    </w:p>
    <w:p w:rsidR="001E2BFD" w:rsidRDefault="000D319E">
      <w:pPr>
        <w:pStyle w:val="Corpsdetexte"/>
        <w:spacing w:line="482" w:lineRule="auto"/>
        <w:ind w:left="116" w:right="574"/>
        <w:jc w:val="both"/>
      </w:pPr>
      <w:proofErr w:type="spellStart"/>
      <w:r>
        <w:t>Engle</w:t>
      </w:r>
      <w:proofErr w:type="spellEnd"/>
      <w:r>
        <w:t>, R.F. and Gra</w:t>
      </w:r>
      <w:r>
        <w:t xml:space="preserve">nger, C.W.J. 1987. </w:t>
      </w:r>
      <w:proofErr w:type="spellStart"/>
      <w:r>
        <w:t>Cointegration</w:t>
      </w:r>
      <w:proofErr w:type="spellEnd"/>
      <w:r>
        <w:t xml:space="preserve"> and </w:t>
      </w:r>
      <w:proofErr w:type="spellStart"/>
      <w:r>
        <w:t>error</w:t>
      </w:r>
      <w:proofErr w:type="spellEnd"/>
      <w:r>
        <w:t xml:space="preserve"> </w:t>
      </w:r>
      <w:proofErr w:type="gramStart"/>
      <w:r>
        <w:t>correction:</w:t>
      </w:r>
      <w:proofErr w:type="gramEnd"/>
      <w:r>
        <w:t xml:space="preserve"> </w:t>
      </w:r>
      <w:proofErr w:type="spellStart"/>
      <w:r>
        <w:t>representation</w:t>
      </w:r>
      <w:proofErr w:type="spellEnd"/>
      <w:r>
        <w:t xml:space="preserve">, Gay Justine, 2014.Immobilier d’entreprise : tous les prix en Ile de France. Journal du Net </w:t>
      </w:r>
      <w:proofErr w:type="spellStart"/>
      <w:r>
        <w:t>Ginistry</w:t>
      </w:r>
      <w:proofErr w:type="spellEnd"/>
      <w:r>
        <w:t xml:space="preserve"> </w:t>
      </w:r>
      <w:proofErr w:type="spellStart"/>
      <w:r>
        <w:t>Jc</w:t>
      </w:r>
      <w:proofErr w:type="spellEnd"/>
      <w:r>
        <w:t>, 2012. L’immobilier d’entreprise dans le Grand Paris. Paris Notaire</w:t>
      </w:r>
    </w:p>
    <w:p w:rsidR="001E2BFD" w:rsidRDefault="000D319E">
      <w:pPr>
        <w:pStyle w:val="Corpsdetexte"/>
        <w:spacing w:before="4"/>
        <w:ind w:left="116" w:right="429"/>
      </w:pPr>
      <w:r>
        <w:t>Johansen, S. 1</w:t>
      </w:r>
      <w:r>
        <w:t xml:space="preserve">988. The </w:t>
      </w:r>
      <w:proofErr w:type="spellStart"/>
      <w:r>
        <w:t>Mathematical</w:t>
      </w:r>
      <w:proofErr w:type="spellEnd"/>
      <w:r>
        <w:t xml:space="preserve"> Structure of </w:t>
      </w:r>
      <w:proofErr w:type="spellStart"/>
      <w:r>
        <w:t>Error</w:t>
      </w:r>
      <w:proofErr w:type="spellEnd"/>
      <w:r>
        <w:t xml:space="preserve"> Correction </w:t>
      </w:r>
      <w:proofErr w:type="spellStart"/>
      <w:r>
        <w:t>Models</w:t>
      </w:r>
      <w:proofErr w:type="spellEnd"/>
      <w:r>
        <w:t xml:space="preserve">. </w:t>
      </w:r>
      <w:proofErr w:type="spellStart"/>
      <w:r>
        <w:t>Contemporary</w:t>
      </w:r>
      <w:proofErr w:type="spellEnd"/>
      <w:r>
        <w:t xml:space="preserve"> </w:t>
      </w:r>
      <w:proofErr w:type="spellStart"/>
      <w:r>
        <w:t>Mathematics</w:t>
      </w:r>
      <w:proofErr w:type="spellEnd"/>
      <w:r>
        <w:t xml:space="preserve"> 80, 359-386.</w:t>
      </w:r>
    </w:p>
    <w:p w:rsidR="001E2BFD" w:rsidRDefault="001E2BFD">
      <w:pPr>
        <w:pStyle w:val="Corpsdetexte"/>
        <w:spacing w:before="3"/>
      </w:pPr>
    </w:p>
    <w:p w:rsidR="001E2BFD" w:rsidRDefault="000D319E">
      <w:pPr>
        <w:pStyle w:val="Corpsdetexte"/>
        <w:ind w:left="116" w:right="475"/>
      </w:pPr>
      <w:r>
        <w:t xml:space="preserve">Johansen, S. 1991. The </w:t>
      </w:r>
      <w:proofErr w:type="spellStart"/>
      <w:r>
        <w:t>Statistical</w:t>
      </w:r>
      <w:proofErr w:type="spellEnd"/>
      <w:r>
        <w:t xml:space="preserve"> </w:t>
      </w:r>
      <w:proofErr w:type="spellStart"/>
      <w:r>
        <w:t>Analysis</w:t>
      </w:r>
      <w:proofErr w:type="spellEnd"/>
      <w:r>
        <w:t xml:space="preserve"> of </w:t>
      </w:r>
      <w:proofErr w:type="spellStart"/>
      <w:r>
        <w:t>Cointegration</w:t>
      </w:r>
      <w:proofErr w:type="spellEnd"/>
      <w:r>
        <w:t xml:space="preserve"> </w:t>
      </w:r>
      <w:proofErr w:type="spellStart"/>
      <w:r>
        <w:t>Vectors</w:t>
      </w:r>
      <w:proofErr w:type="spellEnd"/>
      <w:r>
        <w:t xml:space="preserve">. Journal of </w:t>
      </w:r>
      <w:proofErr w:type="spellStart"/>
      <w:r>
        <w:t>Economic</w:t>
      </w:r>
      <w:proofErr w:type="spellEnd"/>
      <w:r>
        <w:t xml:space="preserve"> Dynamics and Control 12, 231-254.</w:t>
      </w:r>
    </w:p>
    <w:p w:rsidR="001E2BFD" w:rsidRDefault="001E2BFD">
      <w:pPr>
        <w:pStyle w:val="Corpsdetexte"/>
        <w:spacing w:before="5"/>
      </w:pPr>
    </w:p>
    <w:p w:rsidR="001E2BFD" w:rsidRDefault="000D319E">
      <w:pPr>
        <w:pStyle w:val="Corpsdetexte"/>
        <w:ind w:left="116" w:right="495"/>
      </w:pPr>
      <w:proofErr w:type="spellStart"/>
      <w:r>
        <w:t>Ke</w:t>
      </w:r>
      <w:proofErr w:type="spellEnd"/>
      <w:r>
        <w:t xml:space="preserve">, Q. and White, M. 2009. An </w:t>
      </w:r>
      <w:proofErr w:type="spellStart"/>
      <w:r>
        <w:t>Ec</w:t>
      </w:r>
      <w:r>
        <w:t>onometric</w:t>
      </w:r>
      <w:proofErr w:type="spellEnd"/>
      <w:r>
        <w:t xml:space="preserve"> </w:t>
      </w:r>
      <w:proofErr w:type="spellStart"/>
      <w:r>
        <w:t>Analysis</w:t>
      </w:r>
      <w:proofErr w:type="spellEnd"/>
      <w:r>
        <w:t xml:space="preserve"> of </w:t>
      </w:r>
      <w:proofErr w:type="spellStart"/>
      <w:r>
        <w:t>Shangai</w:t>
      </w:r>
      <w:proofErr w:type="spellEnd"/>
      <w:r>
        <w:t xml:space="preserve"> Office </w:t>
      </w:r>
      <w:proofErr w:type="spellStart"/>
      <w:r>
        <w:t>Rents</w:t>
      </w:r>
      <w:proofErr w:type="spellEnd"/>
      <w:r>
        <w:t xml:space="preserve">. Journal of </w:t>
      </w:r>
      <w:proofErr w:type="spellStart"/>
      <w:r>
        <w:t>Property</w:t>
      </w:r>
      <w:proofErr w:type="spellEnd"/>
      <w:r>
        <w:t xml:space="preserve"> Investment and Finance </w:t>
      </w:r>
      <w:proofErr w:type="gramStart"/>
      <w:r>
        <w:t>27:</w:t>
      </w:r>
      <w:proofErr w:type="gramEnd"/>
      <w:r>
        <w:t xml:space="preserve"> 120-139.</w:t>
      </w:r>
    </w:p>
    <w:p w:rsidR="001E2BFD" w:rsidRDefault="001E2BFD">
      <w:pPr>
        <w:pStyle w:val="Corpsdetexte"/>
        <w:spacing w:before="5"/>
      </w:pPr>
    </w:p>
    <w:p w:rsidR="001E2BFD" w:rsidRDefault="000D319E">
      <w:pPr>
        <w:pStyle w:val="Corpsdetexte"/>
        <w:ind w:left="116" w:right="249"/>
      </w:pPr>
      <w:r>
        <w:t xml:space="preserve">Leung, C.K.Y., Wong, K.S.K., Cheung, P.W.Y. 2007. On the </w:t>
      </w:r>
      <w:proofErr w:type="spellStart"/>
      <w:r>
        <w:t>Stability</w:t>
      </w:r>
      <w:proofErr w:type="spellEnd"/>
      <w:r>
        <w:t xml:space="preserve"> of the </w:t>
      </w:r>
      <w:proofErr w:type="spellStart"/>
      <w:r>
        <w:t>Implicit</w:t>
      </w:r>
      <w:proofErr w:type="spellEnd"/>
      <w:r>
        <w:t xml:space="preserve"> </w:t>
      </w:r>
      <w:proofErr w:type="spellStart"/>
      <w:r>
        <w:t>Prices</w:t>
      </w:r>
      <w:proofErr w:type="spellEnd"/>
      <w:r>
        <w:t xml:space="preserve"> of </w:t>
      </w:r>
      <w:proofErr w:type="spellStart"/>
      <w:r>
        <w:t>Housing</w:t>
      </w:r>
      <w:proofErr w:type="spellEnd"/>
      <w:r>
        <w:t xml:space="preserve"> </w:t>
      </w:r>
      <w:proofErr w:type="spellStart"/>
      <w:proofErr w:type="gramStart"/>
      <w:r>
        <w:t>Attributes</w:t>
      </w:r>
      <w:proofErr w:type="spellEnd"/>
      <w:r>
        <w:t>:</w:t>
      </w:r>
      <w:proofErr w:type="gramEnd"/>
      <w:r>
        <w:t xml:space="preserve"> A Dynamic Theory and </w:t>
      </w:r>
      <w:proofErr w:type="spellStart"/>
      <w:r>
        <w:t>Some</w:t>
      </w:r>
      <w:proofErr w:type="spellEnd"/>
      <w:r>
        <w:t xml:space="preserve"> Evidence. Intern</w:t>
      </w:r>
      <w:r>
        <w:t xml:space="preserve">ational Real </w:t>
      </w:r>
      <w:proofErr w:type="spellStart"/>
      <w:r>
        <w:t>Estate</w:t>
      </w:r>
      <w:proofErr w:type="spellEnd"/>
      <w:r>
        <w:t xml:space="preserve"> </w:t>
      </w:r>
      <w:proofErr w:type="spellStart"/>
      <w:r>
        <w:t>Review</w:t>
      </w:r>
      <w:proofErr w:type="spellEnd"/>
      <w:r>
        <w:t xml:space="preserve"> </w:t>
      </w:r>
      <w:proofErr w:type="gramStart"/>
      <w:r>
        <w:t>10:</w:t>
      </w:r>
      <w:proofErr w:type="gramEnd"/>
      <w:r>
        <w:t>66-93.</w:t>
      </w:r>
    </w:p>
    <w:p w:rsidR="001E2BFD" w:rsidRDefault="001E2BFD">
      <w:pPr>
        <w:pStyle w:val="Corpsdetexte"/>
        <w:spacing w:before="2"/>
      </w:pPr>
    </w:p>
    <w:p w:rsidR="001E2BFD" w:rsidRDefault="000D319E">
      <w:pPr>
        <w:pStyle w:val="Corpsdetexte"/>
        <w:spacing w:before="1"/>
        <w:ind w:left="116"/>
      </w:pPr>
      <w:r>
        <w:t>La Française AM, 2013. Immobilier et perspectives. Lettre trimestrielle N° 12</w:t>
      </w:r>
    </w:p>
    <w:p w:rsidR="001E2BFD" w:rsidRDefault="001E2BFD">
      <w:pPr>
        <w:pStyle w:val="Corpsdetexte"/>
        <w:spacing w:before="5"/>
      </w:pPr>
    </w:p>
    <w:p w:rsidR="001E2BFD" w:rsidRDefault="000D319E">
      <w:pPr>
        <w:pStyle w:val="Corpsdetexte"/>
        <w:ind w:left="116" w:right="302"/>
      </w:pPr>
      <w:r>
        <w:t xml:space="preserve">McCartney, J. 2012. Short and long-run </w:t>
      </w:r>
      <w:proofErr w:type="spellStart"/>
      <w:r>
        <w:t>rent</w:t>
      </w:r>
      <w:proofErr w:type="spellEnd"/>
      <w:r>
        <w:t xml:space="preserve"> </w:t>
      </w:r>
      <w:proofErr w:type="spellStart"/>
      <w:r>
        <w:t>adjustment</w:t>
      </w:r>
      <w:proofErr w:type="spellEnd"/>
      <w:r>
        <w:t xml:space="preserve"> in the Dublin office </w:t>
      </w:r>
      <w:proofErr w:type="spellStart"/>
      <w:r>
        <w:t>market</w:t>
      </w:r>
      <w:proofErr w:type="spellEnd"/>
      <w:r>
        <w:t xml:space="preserve">. Journal of </w:t>
      </w:r>
      <w:proofErr w:type="spellStart"/>
      <w:r>
        <w:t>Property</w:t>
      </w:r>
      <w:proofErr w:type="spellEnd"/>
      <w:r>
        <w:t xml:space="preserve"> </w:t>
      </w:r>
      <w:proofErr w:type="spellStart"/>
      <w:r>
        <w:t>Research</w:t>
      </w:r>
      <w:proofErr w:type="spellEnd"/>
      <w:r>
        <w:t xml:space="preserve"> </w:t>
      </w:r>
      <w:proofErr w:type="gramStart"/>
      <w:r>
        <w:t>29:</w:t>
      </w:r>
      <w:proofErr w:type="gramEnd"/>
      <w:r>
        <w:t xml:space="preserve"> 201-226.</w:t>
      </w:r>
    </w:p>
    <w:p w:rsidR="001E2BFD" w:rsidRDefault="001E2BFD">
      <w:pPr>
        <w:pStyle w:val="Corpsdetexte"/>
        <w:spacing w:before="4"/>
      </w:pPr>
    </w:p>
    <w:p w:rsidR="001E2BFD" w:rsidRDefault="000D319E">
      <w:pPr>
        <w:pStyle w:val="Corpsdetexte"/>
        <w:spacing w:before="1"/>
        <w:ind w:left="116" w:right="155"/>
      </w:pPr>
      <w:proofErr w:type="spellStart"/>
      <w:r>
        <w:t>Mouzakis</w:t>
      </w:r>
      <w:proofErr w:type="spellEnd"/>
      <w:r>
        <w:t xml:space="preserve">, F. and Richards, D. 2007. Panel data </w:t>
      </w:r>
      <w:proofErr w:type="spellStart"/>
      <w:r>
        <w:t>modelling</w:t>
      </w:r>
      <w:proofErr w:type="spellEnd"/>
      <w:r>
        <w:t xml:space="preserve"> of prime office </w:t>
      </w:r>
      <w:proofErr w:type="spellStart"/>
      <w:proofErr w:type="gramStart"/>
      <w:r>
        <w:t>rents</w:t>
      </w:r>
      <w:proofErr w:type="spellEnd"/>
      <w:r>
        <w:t>:</w:t>
      </w:r>
      <w:proofErr w:type="gramEnd"/>
      <w:r>
        <w:t xml:space="preserve"> </w:t>
      </w:r>
      <w:proofErr w:type="spellStart"/>
      <w:r>
        <w:t>a</w:t>
      </w:r>
      <w:proofErr w:type="spellEnd"/>
      <w:r>
        <w:t xml:space="preserve"> </w:t>
      </w:r>
      <w:proofErr w:type="spellStart"/>
      <w:r>
        <w:t>study</w:t>
      </w:r>
      <w:proofErr w:type="spellEnd"/>
      <w:r>
        <w:t xml:space="preserve"> of 12 major </w:t>
      </w:r>
      <w:proofErr w:type="spellStart"/>
      <w:r>
        <w:t>European</w:t>
      </w:r>
      <w:proofErr w:type="spellEnd"/>
      <w:r>
        <w:t xml:space="preserve"> </w:t>
      </w:r>
      <w:proofErr w:type="spellStart"/>
      <w:r>
        <w:t>markets</w:t>
      </w:r>
      <w:proofErr w:type="spellEnd"/>
      <w:r>
        <w:t xml:space="preserve">. Journal of </w:t>
      </w:r>
      <w:proofErr w:type="spellStart"/>
      <w:r>
        <w:t>Property</w:t>
      </w:r>
      <w:proofErr w:type="spellEnd"/>
      <w:r>
        <w:t xml:space="preserve"> </w:t>
      </w:r>
      <w:proofErr w:type="spellStart"/>
      <w:r>
        <w:t>Research</w:t>
      </w:r>
      <w:proofErr w:type="spellEnd"/>
      <w:r>
        <w:t xml:space="preserve"> </w:t>
      </w:r>
      <w:proofErr w:type="gramStart"/>
      <w:r>
        <w:t>24:</w:t>
      </w:r>
      <w:proofErr w:type="gramEnd"/>
      <w:r>
        <w:t xml:space="preserve"> 31-53.</w:t>
      </w:r>
    </w:p>
    <w:p w:rsidR="001E2BFD" w:rsidRDefault="001E2BFD">
      <w:pPr>
        <w:pStyle w:val="Corpsdetexte"/>
        <w:spacing w:before="2"/>
      </w:pPr>
    </w:p>
    <w:p w:rsidR="001E2BFD" w:rsidRDefault="000D319E">
      <w:pPr>
        <w:pStyle w:val="Corpsdetexte"/>
        <w:ind w:left="116" w:right="522"/>
      </w:pPr>
      <w:proofErr w:type="spellStart"/>
      <w:r>
        <w:t>Nappi-Choulet</w:t>
      </w:r>
      <w:proofErr w:type="spellEnd"/>
      <w:r>
        <w:t xml:space="preserve"> I., </w:t>
      </w:r>
      <w:proofErr w:type="spellStart"/>
      <w:r>
        <w:t>Maleyre</w:t>
      </w:r>
      <w:proofErr w:type="spellEnd"/>
      <w:r>
        <w:t xml:space="preserve">, I. and Maury, T.P. 2007. A </w:t>
      </w:r>
      <w:proofErr w:type="spellStart"/>
      <w:r>
        <w:t>Hedonic</w:t>
      </w:r>
      <w:proofErr w:type="spellEnd"/>
      <w:r>
        <w:t xml:space="preserve"> Model of Office </w:t>
      </w:r>
      <w:proofErr w:type="spellStart"/>
      <w:r>
        <w:t>Prices</w:t>
      </w:r>
      <w:proofErr w:type="spellEnd"/>
      <w:r>
        <w:t xml:space="preserve"> in Paris and</w:t>
      </w:r>
      <w:r>
        <w:t xml:space="preserve"> </w:t>
      </w:r>
      <w:proofErr w:type="spellStart"/>
      <w:r>
        <w:t>its</w:t>
      </w:r>
      <w:proofErr w:type="spellEnd"/>
      <w:r>
        <w:t xml:space="preserve"> </w:t>
      </w:r>
      <w:proofErr w:type="spellStart"/>
      <w:r>
        <w:t>Immediate</w:t>
      </w:r>
      <w:proofErr w:type="spellEnd"/>
      <w:r>
        <w:t xml:space="preserve"> </w:t>
      </w:r>
      <w:proofErr w:type="spellStart"/>
      <w:r>
        <w:t>Suburbs</w:t>
      </w:r>
      <w:proofErr w:type="spellEnd"/>
      <w:r>
        <w:t xml:space="preserve"> Journal of </w:t>
      </w:r>
      <w:proofErr w:type="spellStart"/>
      <w:r>
        <w:t>Property</w:t>
      </w:r>
      <w:proofErr w:type="spellEnd"/>
      <w:r>
        <w:t xml:space="preserve"> </w:t>
      </w:r>
      <w:proofErr w:type="spellStart"/>
      <w:r>
        <w:t>Research</w:t>
      </w:r>
      <w:proofErr w:type="spellEnd"/>
      <w:r>
        <w:t xml:space="preserve"> </w:t>
      </w:r>
      <w:proofErr w:type="gramStart"/>
      <w:r>
        <w:t>24:</w:t>
      </w:r>
      <w:proofErr w:type="gramEnd"/>
      <w:r>
        <w:t xml:space="preserve"> 241-263.</w:t>
      </w:r>
    </w:p>
    <w:p w:rsidR="001E2BFD" w:rsidRDefault="001E2BFD">
      <w:pPr>
        <w:pStyle w:val="Corpsdetexte"/>
        <w:spacing w:before="5"/>
      </w:pPr>
    </w:p>
    <w:p w:rsidR="001E2BFD" w:rsidRDefault="000D319E">
      <w:pPr>
        <w:pStyle w:val="Corpsdetexte"/>
        <w:ind w:left="116" w:right="176"/>
      </w:pPr>
      <w:proofErr w:type="spellStart"/>
      <w:r>
        <w:t>Nappi-Choulet</w:t>
      </w:r>
      <w:proofErr w:type="spellEnd"/>
      <w:r>
        <w:t xml:space="preserve"> I. and Maury, T. P. 2009. A </w:t>
      </w:r>
      <w:proofErr w:type="spellStart"/>
      <w:r>
        <w:t>spatiotemporal</w:t>
      </w:r>
      <w:proofErr w:type="spellEnd"/>
      <w:r>
        <w:t xml:space="preserve"> </w:t>
      </w:r>
      <w:proofErr w:type="spellStart"/>
      <w:r>
        <w:t>Autoregressive</w:t>
      </w:r>
      <w:proofErr w:type="spellEnd"/>
      <w:r>
        <w:t xml:space="preserve"> Price Index for the Paris Office </w:t>
      </w:r>
      <w:proofErr w:type="spellStart"/>
      <w:r>
        <w:t>Property</w:t>
      </w:r>
      <w:proofErr w:type="spellEnd"/>
      <w:r>
        <w:t xml:space="preserve"> </w:t>
      </w:r>
      <w:proofErr w:type="spellStart"/>
      <w:r>
        <w:t>Market</w:t>
      </w:r>
      <w:proofErr w:type="spellEnd"/>
      <w:r>
        <w:t xml:space="preserve">. Real </w:t>
      </w:r>
      <w:proofErr w:type="spellStart"/>
      <w:r>
        <w:t>Estate</w:t>
      </w:r>
      <w:proofErr w:type="spellEnd"/>
      <w:r>
        <w:t xml:space="preserve"> </w:t>
      </w:r>
      <w:proofErr w:type="spellStart"/>
      <w:r>
        <w:t>Economics</w:t>
      </w:r>
      <w:proofErr w:type="spellEnd"/>
      <w:r>
        <w:t xml:space="preserve"> </w:t>
      </w:r>
      <w:proofErr w:type="gramStart"/>
      <w:r>
        <w:t>2:</w:t>
      </w:r>
      <w:proofErr w:type="gramEnd"/>
      <w:r>
        <w:t xml:space="preserve"> 305-340.</w:t>
      </w:r>
    </w:p>
    <w:p w:rsidR="001E2BFD" w:rsidRDefault="001E2BFD">
      <w:pPr>
        <w:pStyle w:val="Corpsdetexte"/>
        <w:spacing w:before="5"/>
      </w:pPr>
    </w:p>
    <w:p w:rsidR="001E2BFD" w:rsidRDefault="000D319E">
      <w:pPr>
        <w:pStyle w:val="Corpsdetexte"/>
        <w:ind w:left="116" w:right="1596"/>
      </w:pPr>
      <w:r>
        <w:t>Neyret Nathalie, 2014 « Les march</w:t>
      </w:r>
      <w:r>
        <w:t xml:space="preserve">és de l’immobilier d’entreprise en France ». </w:t>
      </w:r>
      <w:proofErr w:type="spellStart"/>
      <w:r>
        <w:t>CushmanWakfield</w:t>
      </w:r>
      <w:proofErr w:type="spellEnd"/>
    </w:p>
    <w:p w:rsidR="001E2BFD" w:rsidRDefault="001E2BFD">
      <w:pPr>
        <w:pStyle w:val="Corpsdetexte"/>
        <w:spacing w:before="3"/>
      </w:pPr>
    </w:p>
    <w:p w:rsidR="001E2BFD" w:rsidRDefault="000D319E">
      <w:pPr>
        <w:pStyle w:val="Corpsdetexte"/>
        <w:ind w:left="116" w:right="1302"/>
      </w:pPr>
      <w:r>
        <w:t xml:space="preserve">Perron, P. 1989. The Great Crash, the </w:t>
      </w:r>
      <w:proofErr w:type="spellStart"/>
      <w:r>
        <w:t>oil</w:t>
      </w:r>
      <w:proofErr w:type="spellEnd"/>
      <w:r>
        <w:t xml:space="preserve"> </w:t>
      </w:r>
      <w:proofErr w:type="spellStart"/>
      <w:r>
        <w:t>price</w:t>
      </w:r>
      <w:proofErr w:type="spellEnd"/>
      <w:r>
        <w:t xml:space="preserve"> </w:t>
      </w:r>
      <w:proofErr w:type="spellStart"/>
      <w:r>
        <w:t>shock</w:t>
      </w:r>
      <w:proofErr w:type="spellEnd"/>
      <w:r>
        <w:t xml:space="preserve"> and the unit root </w:t>
      </w:r>
      <w:proofErr w:type="spellStart"/>
      <w:r>
        <w:t>hypothesis</w:t>
      </w:r>
      <w:proofErr w:type="spellEnd"/>
      <w:r>
        <w:t xml:space="preserve">. </w:t>
      </w:r>
      <w:proofErr w:type="spellStart"/>
      <w:r>
        <w:t>Econometrica</w:t>
      </w:r>
      <w:proofErr w:type="spellEnd"/>
      <w:r>
        <w:t xml:space="preserve"> </w:t>
      </w:r>
      <w:proofErr w:type="gramStart"/>
      <w:r>
        <w:t>57:</w:t>
      </w:r>
      <w:proofErr w:type="gramEnd"/>
      <w:r>
        <w:t xml:space="preserve"> 361-401.</w:t>
      </w:r>
    </w:p>
    <w:p w:rsidR="001E2BFD" w:rsidRDefault="001E2BFD">
      <w:pPr>
        <w:pStyle w:val="Corpsdetexte"/>
        <w:spacing w:before="5"/>
      </w:pPr>
    </w:p>
    <w:p w:rsidR="001E2BFD" w:rsidRDefault="000D319E">
      <w:pPr>
        <w:pStyle w:val="Corpsdetexte"/>
        <w:ind w:left="116" w:right="222"/>
      </w:pPr>
      <w:r>
        <w:t xml:space="preserve">Perron, P. 2006. </w:t>
      </w:r>
      <w:proofErr w:type="spellStart"/>
      <w:r>
        <w:t>Dealing</w:t>
      </w:r>
      <w:proofErr w:type="spellEnd"/>
      <w:r>
        <w:t xml:space="preserve"> </w:t>
      </w:r>
      <w:proofErr w:type="spellStart"/>
      <w:r>
        <w:t>with</w:t>
      </w:r>
      <w:proofErr w:type="spellEnd"/>
      <w:r>
        <w:t xml:space="preserve"> structural breaks. </w:t>
      </w:r>
      <w:proofErr w:type="spellStart"/>
      <w:r>
        <w:t>Palgrave</w:t>
      </w:r>
      <w:proofErr w:type="spellEnd"/>
      <w:r>
        <w:t xml:space="preserve"> </w:t>
      </w:r>
      <w:proofErr w:type="spellStart"/>
      <w:r>
        <w:t>Handbook</w:t>
      </w:r>
      <w:proofErr w:type="spellEnd"/>
      <w:r>
        <w:t xml:space="preserve"> of </w:t>
      </w:r>
      <w:proofErr w:type="spellStart"/>
      <w:r>
        <w:t>Econometrics</w:t>
      </w:r>
      <w:proofErr w:type="spellEnd"/>
      <w:r>
        <w:t xml:space="preserve"> </w:t>
      </w:r>
      <w:r>
        <w:t xml:space="preserve">volume </w:t>
      </w:r>
      <w:proofErr w:type="gramStart"/>
      <w:r>
        <w:t>1:</w:t>
      </w:r>
      <w:proofErr w:type="gramEnd"/>
      <w:r>
        <w:t xml:space="preserve"> </w:t>
      </w:r>
      <w:proofErr w:type="spellStart"/>
      <w:r>
        <w:t>Econometric</w:t>
      </w:r>
      <w:proofErr w:type="spellEnd"/>
      <w:r>
        <w:t xml:space="preserve"> </w:t>
      </w:r>
      <w:proofErr w:type="spellStart"/>
      <w:r>
        <w:t>theory</w:t>
      </w:r>
      <w:proofErr w:type="spellEnd"/>
      <w:r>
        <w:t xml:space="preserve">, Mills, T.C. and Patterson. K., </w:t>
      </w:r>
      <w:proofErr w:type="spellStart"/>
      <w:r>
        <w:t>Palgrave</w:t>
      </w:r>
      <w:proofErr w:type="spellEnd"/>
      <w:r>
        <w:t xml:space="preserve"> Macmillan, 278-352. Phillips,</w:t>
      </w:r>
    </w:p>
    <w:p w:rsidR="001E2BFD" w:rsidRDefault="000D319E">
      <w:pPr>
        <w:pStyle w:val="Corpsdetexte"/>
        <w:ind w:left="116" w:right="122"/>
      </w:pPr>
      <w:r>
        <w:t xml:space="preserve">P.C.B. and Hansen, B.E. 1990. </w:t>
      </w:r>
      <w:proofErr w:type="spellStart"/>
      <w:r>
        <w:t>Statistical</w:t>
      </w:r>
      <w:proofErr w:type="spellEnd"/>
      <w:r>
        <w:t xml:space="preserve"> </w:t>
      </w:r>
      <w:proofErr w:type="spellStart"/>
      <w:r>
        <w:t>Inference</w:t>
      </w:r>
      <w:proofErr w:type="spellEnd"/>
      <w:r>
        <w:t xml:space="preserve"> in Instrumental Variables </w:t>
      </w:r>
      <w:proofErr w:type="spellStart"/>
      <w:r>
        <w:t>Regression</w:t>
      </w:r>
      <w:proofErr w:type="spellEnd"/>
      <w:r>
        <w:t xml:space="preserve"> </w:t>
      </w:r>
      <w:proofErr w:type="spellStart"/>
      <w:r>
        <w:t>with</w:t>
      </w:r>
      <w:proofErr w:type="spellEnd"/>
      <w:r>
        <w:t xml:space="preserve"> </w:t>
      </w:r>
      <w:proofErr w:type="gramStart"/>
      <w:r>
        <w:t>I(</w:t>
      </w:r>
      <w:proofErr w:type="gramEnd"/>
      <w:r>
        <w:t xml:space="preserve">1) </w:t>
      </w:r>
      <w:proofErr w:type="spellStart"/>
      <w:r>
        <w:t>Processes</w:t>
      </w:r>
      <w:proofErr w:type="spellEnd"/>
      <w:r>
        <w:t xml:space="preserve">. </w:t>
      </w:r>
      <w:proofErr w:type="spellStart"/>
      <w:r>
        <w:t>Review</w:t>
      </w:r>
      <w:proofErr w:type="spellEnd"/>
      <w:r>
        <w:t xml:space="preserve"> of </w:t>
      </w:r>
      <w:proofErr w:type="spellStart"/>
      <w:r>
        <w:t>Economic</w:t>
      </w:r>
      <w:proofErr w:type="spellEnd"/>
      <w:r>
        <w:t xml:space="preserve"> </w:t>
      </w:r>
      <w:proofErr w:type="spellStart"/>
      <w:r>
        <w:t>Studies</w:t>
      </w:r>
      <w:proofErr w:type="spellEnd"/>
      <w:r>
        <w:t xml:space="preserve"> </w:t>
      </w:r>
      <w:proofErr w:type="gramStart"/>
      <w:r>
        <w:t>57:</w:t>
      </w:r>
      <w:proofErr w:type="gramEnd"/>
      <w:r>
        <w:t xml:space="preserve"> 99-125.</w:t>
      </w:r>
    </w:p>
    <w:p w:rsidR="001E2BFD" w:rsidRDefault="001E2BFD">
      <w:pPr>
        <w:sectPr w:rsidR="001E2BFD">
          <w:pgSz w:w="11910" w:h="16840"/>
          <w:pgMar w:top="1320" w:right="1300" w:bottom="1200" w:left="1300" w:header="0" w:footer="1003" w:gutter="0"/>
          <w:cols w:space="720"/>
        </w:sectPr>
      </w:pPr>
    </w:p>
    <w:p w:rsidR="001E2BFD" w:rsidRDefault="000D319E">
      <w:pPr>
        <w:pStyle w:val="Corpsdetexte"/>
        <w:spacing w:before="69"/>
        <w:ind w:left="116" w:right="402"/>
      </w:pPr>
      <w:proofErr w:type="spellStart"/>
      <w:r>
        <w:lastRenderedPageBreak/>
        <w:t>Rosen</w:t>
      </w:r>
      <w:proofErr w:type="spellEnd"/>
      <w:r>
        <w:t xml:space="preserve">, K. 1984. </w:t>
      </w:r>
      <w:proofErr w:type="spellStart"/>
      <w:r>
        <w:t>Toward</w:t>
      </w:r>
      <w:proofErr w:type="spellEnd"/>
      <w:r>
        <w:t xml:space="preserve"> a Model of the Office Building </w:t>
      </w:r>
      <w:proofErr w:type="spellStart"/>
      <w:r>
        <w:t>Sector</w:t>
      </w:r>
      <w:proofErr w:type="spellEnd"/>
      <w:r>
        <w:t xml:space="preserve">. Real </w:t>
      </w:r>
      <w:proofErr w:type="spellStart"/>
      <w:r>
        <w:t>Estate</w:t>
      </w:r>
      <w:proofErr w:type="spellEnd"/>
      <w:r>
        <w:t xml:space="preserve"> </w:t>
      </w:r>
      <w:proofErr w:type="spellStart"/>
      <w:r>
        <w:t>Economics</w:t>
      </w:r>
      <w:proofErr w:type="spellEnd"/>
      <w:r>
        <w:t xml:space="preserve"> </w:t>
      </w:r>
      <w:proofErr w:type="gramStart"/>
      <w:r>
        <w:t>12:</w:t>
      </w:r>
      <w:proofErr w:type="gramEnd"/>
      <w:r>
        <w:t xml:space="preserve"> 261–269.</w:t>
      </w:r>
    </w:p>
    <w:p w:rsidR="001E2BFD" w:rsidRDefault="001E2BFD">
      <w:pPr>
        <w:pStyle w:val="Corpsdetexte"/>
        <w:spacing w:before="5"/>
      </w:pPr>
    </w:p>
    <w:p w:rsidR="001E2BFD" w:rsidRDefault="000D319E">
      <w:pPr>
        <w:pStyle w:val="Corpsdetexte"/>
        <w:spacing w:before="1"/>
        <w:ind w:left="116" w:right="808"/>
      </w:pPr>
      <w:r>
        <w:t xml:space="preserve">Scott, P. and Judge, G. 2000. Cycles and </w:t>
      </w:r>
      <w:proofErr w:type="spellStart"/>
      <w:r>
        <w:t>Steps</w:t>
      </w:r>
      <w:proofErr w:type="spellEnd"/>
      <w:r>
        <w:t xml:space="preserve"> in British Commercial </w:t>
      </w:r>
      <w:proofErr w:type="spellStart"/>
      <w:r>
        <w:t>Property</w:t>
      </w:r>
      <w:proofErr w:type="spellEnd"/>
      <w:r>
        <w:t xml:space="preserve"> Values. </w:t>
      </w:r>
      <w:proofErr w:type="spellStart"/>
      <w:r>
        <w:t>Applied</w:t>
      </w:r>
      <w:proofErr w:type="spellEnd"/>
      <w:r>
        <w:t xml:space="preserve"> </w:t>
      </w:r>
      <w:proofErr w:type="spellStart"/>
      <w:r>
        <w:t>Economics</w:t>
      </w:r>
      <w:proofErr w:type="spellEnd"/>
      <w:r>
        <w:t xml:space="preserve"> </w:t>
      </w:r>
      <w:proofErr w:type="gramStart"/>
      <w:r>
        <w:t>32:</w:t>
      </w:r>
      <w:proofErr w:type="gramEnd"/>
      <w:r>
        <w:t xml:space="preserve"> 1287-1297.</w:t>
      </w:r>
    </w:p>
    <w:p w:rsidR="001E2BFD" w:rsidRDefault="001E2BFD">
      <w:pPr>
        <w:pStyle w:val="Corpsdetexte"/>
        <w:spacing w:before="4"/>
      </w:pPr>
    </w:p>
    <w:p w:rsidR="001E2BFD" w:rsidRDefault="000D319E">
      <w:pPr>
        <w:pStyle w:val="Corpsdetexte"/>
        <w:ind w:left="116" w:right="363"/>
      </w:pPr>
      <w:r>
        <w:t xml:space="preserve">Serrano, C. and </w:t>
      </w:r>
      <w:proofErr w:type="spellStart"/>
      <w:r>
        <w:t>Hoesli</w:t>
      </w:r>
      <w:proofErr w:type="spellEnd"/>
      <w:r>
        <w:t xml:space="preserve">, M. 2012. </w:t>
      </w:r>
      <w:proofErr w:type="spellStart"/>
      <w:r>
        <w:t>Fractional</w:t>
      </w:r>
      <w:proofErr w:type="spellEnd"/>
      <w:r>
        <w:t xml:space="preserve"> </w:t>
      </w:r>
      <w:proofErr w:type="spellStart"/>
      <w:r>
        <w:t>cointegration</w:t>
      </w:r>
      <w:proofErr w:type="spellEnd"/>
      <w:r>
        <w:t xml:space="preserve"> </w:t>
      </w:r>
      <w:proofErr w:type="spellStart"/>
      <w:r>
        <w:t>analysis</w:t>
      </w:r>
      <w:proofErr w:type="spellEnd"/>
      <w:r>
        <w:t xml:space="preserve"> of </w:t>
      </w:r>
      <w:proofErr w:type="spellStart"/>
      <w:r>
        <w:t>securitized</w:t>
      </w:r>
      <w:proofErr w:type="spellEnd"/>
      <w:r>
        <w:t xml:space="preserve"> real </w:t>
      </w:r>
      <w:proofErr w:type="spellStart"/>
      <w:r>
        <w:t>estate</w:t>
      </w:r>
      <w:proofErr w:type="spellEnd"/>
      <w:r>
        <w:t xml:space="preserve">. The Journal of Real </w:t>
      </w:r>
      <w:proofErr w:type="spellStart"/>
      <w:r>
        <w:t>Estate</w:t>
      </w:r>
      <w:proofErr w:type="spellEnd"/>
      <w:r>
        <w:t xml:space="preserve"> Finance and </w:t>
      </w:r>
      <w:proofErr w:type="spellStart"/>
      <w:r>
        <w:t>Ec</w:t>
      </w:r>
      <w:r>
        <w:t>onomics</w:t>
      </w:r>
      <w:proofErr w:type="spellEnd"/>
      <w:r>
        <w:t xml:space="preserve"> </w:t>
      </w:r>
      <w:proofErr w:type="gramStart"/>
      <w:r>
        <w:t>44:</w:t>
      </w:r>
      <w:proofErr w:type="gramEnd"/>
      <w:r>
        <w:t xml:space="preserve"> 319-339.</w:t>
      </w:r>
    </w:p>
    <w:p w:rsidR="001E2BFD" w:rsidRDefault="001E2BFD">
      <w:pPr>
        <w:pStyle w:val="Corpsdetexte"/>
        <w:spacing w:before="3"/>
      </w:pPr>
    </w:p>
    <w:p w:rsidR="001E2BFD" w:rsidRDefault="000D319E">
      <w:pPr>
        <w:pStyle w:val="Corpsdetexte"/>
        <w:ind w:left="116" w:right="322"/>
      </w:pPr>
      <w:proofErr w:type="spellStart"/>
      <w:r>
        <w:t>Trenkler</w:t>
      </w:r>
      <w:proofErr w:type="spellEnd"/>
      <w:r>
        <w:t xml:space="preserve">, C., </w:t>
      </w:r>
      <w:proofErr w:type="spellStart"/>
      <w:r>
        <w:t>Saikkonnen</w:t>
      </w:r>
      <w:proofErr w:type="spellEnd"/>
      <w:r>
        <w:t xml:space="preserve">, P. and </w:t>
      </w:r>
      <w:proofErr w:type="spellStart"/>
      <w:r>
        <w:t>Lütkepohl</w:t>
      </w:r>
      <w:proofErr w:type="spellEnd"/>
      <w:r>
        <w:t xml:space="preserve">, H. 2008. </w:t>
      </w:r>
      <w:proofErr w:type="spellStart"/>
      <w:r>
        <w:t>Testing</w:t>
      </w:r>
      <w:proofErr w:type="spellEnd"/>
      <w:r>
        <w:t xml:space="preserve"> for the </w:t>
      </w:r>
      <w:proofErr w:type="spellStart"/>
      <w:r>
        <w:t>cointegrating</w:t>
      </w:r>
      <w:proofErr w:type="spellEnd"/>
      <w:r>
        <w:t xml:space="preserve"> </w:t>
      </w:r>
      <w:proofErr w:type="spellStart"/>
      <w:r>
        <w:t>rank</w:t>
      </w:r>
      <w:proofErr w:type="spellEnd"/>
      <w:r>
        <w:t xml:space="preserve"> of a VAR process </w:t>
      </w:r>
      <w:proofErr w:type="spellStart"/>
      <w:r>
        <w:t>with</w:t>
      </w:r>
      <w:proofErr w:type="spellEnd"/>
      <w:r>
        <w:t xml:space="preserve"> </w:t>
      </w:r>
      <w:proofErr w:type="spellStart"/>
      <w:r>
        <w:t>level</w:t>
      </w:r>
      <w:proofErr w:type="spellEnd"/>
      <w:r>
        <w:t xml:space="preserve"> shift and trend break. Journal of Time </w:t>
      </w:r>
      <w:proofErr w:type="spellStart"/>
      <w:r>
        <w:t>Series</w:t>
      </w:r>
      <w:proofErr w:type="spellEnd"/>
      <w:r>
        <w:t xml:space="preserve"> </w:t>
      </w:r>
      <w:proofErr w:type="spellStart"/>
      <w:r>
        <w:t>Analysis</w:t>
      </w:r>
      <w:proofErr w:type="spellEnd"/>
      <w:r>
        <w:t xml:space="preserve"> </w:t>
      </w:r>
      <w:proofErr w:type="gramStart"/>
      <w:r>
        <w:t>29:</w:t>
      </w:r>
      <w:proofErr w:type="gramEnd"/>
      <w:r>
        <w:t xml:space="preserve"> 331-358.</w:t>
      </w:r>
    </w:p>
    <w:p w:rsidR="001E2BFD" w:rsidRDefault="001E2BFD">
      <w:pPr>
        <w:pStyle w:val="Corpsdetexte"/>
        <w:spacing w:before="5"/>
      </w:pPr>
    </w:p>
    <w:p w:rsidR="001E2BFD" w:rsidRDefault="000D319E">
      <w:pPr>
        <w:pStyle w:val="Corpsdetexte"/>
        <w:ind w:left="116" w:right="215"/>
      </w:pPr>
      <w:proofErr w:type="spellStart"/>
      <w:r>
        <w:t>Tsolacos</w:t>
      </w:r>
      <w:proofErr w:type="spellEnd"/>
      <w:r>
        <w:t xml:space="preserve">, S. 2001. An </w:t>
      </w:r>
      <w:proofErr w:type="spellStart"/>
      <w:r>
        <w:t>Econometric</w:t>
      </w:r>
      <w:proofErr w:type="spellEnd"/>
      <w:r>
        <w:t xml:space="preserve"> Model of </w:t>
      </w:r>
      <w:proofErr w:type="spellStart"/>
      <w:r>
        <w:t>Retail</w:t>
      </w:r>
      <w:proofErr w:type="spellEnd"/>
      <w:r>
        <w:t xml:space="preserve"> </w:t>
      </w:r>
      <w:proofErr w:type="spellStart"/>
      <w:r>
        <w:t>Rents</w:t>
      </w:r>
      <w:proofErr w:type="spellEnd"/>
      <w:r>
        <w:t xml:space="preserve"> in the United </w:t>
      </w:r>
      <w:proofErr w:type="spellStart"/>
      <w:r>
        <w:t>Kingdom</w:t>
      </w:r>
      <w:proofErr w:type="spellEnd"/>
      <w:r>
        <w:t xml:space="preserve">. Journal of Real </w:t>
      </w:r>
      <w:proofErr w:type="spellStart"/>
      <w:r>
        <w:t>Estate</w:t>
      </w:r>
      <w:proofErr w:type="spellEnd"/>
      <w:r>
        <w:t xml:space="preserve"> </w:t>
      </w:r>
      <w:proofErr w:type="spellStart"/>
      <w:r>
        <w:t>Research</w:t>
      </w:r>
      <w:proofErr w:type="spellEnd"/>
      <w:r>
        <w:t xml:space="preserve"> </w:t>
      </w:r>
      <w:proofErr w:type="gramStart"/>
      <w:r>
        <w:t>10:</w:t>
      </w:r>
      <w:proofErr w:type="gramEnd"/>
      <w:r>
        <w:t xml:space="preserve"> 509-529.</w:t>
      </w:r>
    </w:p>
    <w:p w:rsidR="001E2BFD" w:rsidRDefault="001E2BFD">
      <w:pPr>
        <w:pStyle w:val="Corpsdetexte"/>
        <w:spacing w:before="5"/>
      </w:pPr>
    </w:p>
    <w:p w:rsidR="001E2BFD" w:rsidRDefault="000D319E">
      <w:pPr>
        <w:pStyle w:val="Corpsdetexte"/>
        <w:ind w:left="116" w:right="816"/>
      </w:pPr>
      <w:r>
        <w:t xml:space="preserve">Wheaton W. 1987. The </w:t>
      </w:r>
      <w:proofErr w:type="spellStart"/>
      <w:r>
        <w:t>Cyclic</w:t>
      </w:r>
      <w:proofErr w:type="spellEnd"/>
      <w:r>
        <w:t xml:space="preserve"> </w:t>
      </w:r>
      <w:proofErr w:type="spellStart"/>
      <w:r>
        <w:t>Behaviour</w:t>
      </w:r>
      <w:proofErr w:type="spellEnd"/>
      <w:r>
        <w:t xml:space="preserve"> of the National Office </w:t>
      </w:r>
      <w:proofErr w:type="spellStart"/>
      <w:r>
        <w:t>Market</w:t>
      </w:r>
      <w:proofErr w:type="spellEnd"/>
      <w:r>
        <w:t xml:space="preserve">. Journal of the American Real </w:t>
      </w:r>
      <w:proofErr w:type="spellStart"/>
      <w:r>
        <w:t>Estate</w:t>
      </w:r>
      <w:proofErr w:type="spellEnd"/>
      <w:r>
        <w:t xml:space="preserve"> and Urban </w:t>
      </w:r>
      <w:proofErr w:type="spellStart"/>
      <w:r>
        <w:t>Economics</w:t>
      </w:r>
      <w:proofErr w:type="spellEnd"/>
      <w:r>
        <w:t xml:space="preserve"> Association </w:t>
      </w:r>
      <w:proofErr w:type="gramStart"/>
      <w:r>
        <w:t>15:</w:t>
      </w:r>
      <w:proofErr w:type="gramEnd"/>
      <w:r>
        <w:t xml:space="preserve"> 281-299.</w:t>
      </w:r>
    </w:p>
    <w:p w:rsidR="001E2BFD" w:rsidRDefault="001E2BFD">
      <w:pPr>
        <w:pStyle w:val="Corpsdetexte"/>
        <w:spacing w:before="2"/>
      </w:pPr>
    </w:p>
    <w:p w:rsidR="001E2BFD" w:rsidRDefault="000D319E">
      <w:pPr>
        <w:pStyle w:val="Corpsdetexte"/>
        <w:spacing w:before="1"/>
        <w:ind w:left="116" w:right="409"/>
      </w:pPr>
      <w:r>
        <w:t xml:space="preserve">Wheaton, W.C. and </w:t>
      </w:r>
      <w:proofErr w:type="spellStart"/>
      <w:r>
        <w:t>Torto</w:t>
      </w:r>
      <w:proofErr w:type="spellEnd"/>
      <w:r>
        <w:t>, R.G.</w:t>
      </w:r>
      <w:r>
        <w:t xml:space="preserve"> 1994. Office Rent Indices and </w:t>
      </w:r>
      <w:proofErr w:type="spellStart"/>
      <w:r>
        <w:t>Their</w:t>
      </w:r>
      <w:proofErr w:type="spellEnd"/>
      <w:r>
        <w:t xml:space="preserve"> </w:t>
      </w:r>
      <w:proofErr w:type="spellStart"/>
      <w:r>
        <w:t>Behaviour</w:t>
      </w:r>
      <w:proofErr w:type="spellEnd"/>
      <w:r>
        <w:t xml:space="preserve"> over Time. Journal of Urban </w:t>
      </w:r>
      <w:proofErr w:type="spellStart"/>
      <w:r>
        <w:t>Economics</w:t>
      </w:r>
      <w:proofErr w:type="spellEnd"/>
      <w:r>
        <w:t xml:space="preserve"> </w:t>
      </w:r>
      <w:proofErr w:type="gramStart"/>
      <w:r>
        <w:t>35:</w:t>
      </w:r>
      <w:proofErr w:type="gramEnd"/>
      <w:r>
        <w:t xml:space="preserve"> 112-139.</w:t>
      </w:r>
    </w:p>
    <w:p w:rsidR="001E2BFD" w:rsidRDefault="001E2BFD">
      <w:pPr>
        <w:pStyle w:val="Corpsdetexte"/>
        <w:spacing w:before="4"/>
      </w:pPr>
    </w:p>
    <w:p w:rsidR="001E2BFD" w:rsidRDefault="000D319E">
      <w:pPr>
        <w:pStyle w:val="Corpsdetexte"/>
        <w:spacing w:before="1"/>
        <w:ind w:left="116" w:right="216"/>
      </w:pPr>
      <w:r>
        <w:t xml:space="preserve">Wheaton, W.C., </w:t>
      </w:r>
      <w:proofErr w:type="spellStart"/>
      <w:r>
        <w:t>Torto</w:t>
      </w:r>
      <w:proofErr w:type="spellEnd"/>
      <w:r>
        <w:t xml:space="preserve">, R.G. and Evans, P. 1997. The </w:t>
      </w:r>
      <w:proofErr w:type="spellStart"/>
      <w:r>
        <w:t>Cyclic</w:t>
      </w:r>
      <w:proofErr w:type="spellEnd"/>
      <w:r>
        <w:t xml:space="preserve"> </w:t>
      </w:r>
      <w:proofErr w:type="spellStart"/>
      <w:r>
        <w:t>Behaviour</w:t>
      </w:r>
      <w:proofErr w:type="spellEnd"/>
      <w:r>
        <w:t xml:space="preserve"> of the London Office </w:t>
      </w:r>
      <w:proofErr w:type="spellStart"/>
      <w:r>
        <w:t>Market</w:t>
      </w:r>
      <w:proofErr w:type="spellEnd"/>
      <w:r>
        <w:t xml:space="preserve">. The Journal of Real </w:t>
      </w:r>
      <w:proofErr w:type="spellStart"/>
      <w:r>
        <w:t>Estate</w:t>
      </w:r>
      <w:proofErr w:type="spellEnd"/>
      <w:r>
        <w:t xml:space="preserve"> Finance and </w:t>
      </w:r>
      <w:proofErr w:type="spellStart"/>
      <w:r>
        <w:t>Economics</w:t>
      </w:r>
      <w:proofErr w:type="spellEnd"/>
      <w:r>
        <w:t xml:space="preserve"> </w:t>
      </w:r>
      <w:proofErr w:type="gramStart"/>
      <w:r>
        <w:t>15:</w:t>
      </w:r>
      <w:proofErr w:type="gramEnd"/>
      <w:r>
        <w:t xml:space="preserve"> 77-92.</w:t>
      </w:r>
    </w:p>
    <w:p w:rsidR="001E2BFD" w:rsidRDefault="001E2BFD">
      <w:pPr>
        <w:pStyle w:val="Corpsdetexte"/>
        <w:spacing w:before="4"/>
      </w:pPr>
    </w:p>
    <w:p w:rsidR="001E2BFD" w:rsidRDefault="000D319E">
      <w:pPr>
        <w:pStyle w:val="Corpsdetexte"/>
        <w:ind w:left="116" w:right="628"/>
      </w:pPr>
      <w:proofErr w:type="spellStart"/>
      <w:r>
        <w:t>Zellner</w:t>
      </w:r>
      <w:proofErr w:type="spellEnd"/>
      <w:r>
        <w:t xml:space="preserve"> A. 1963. </w:t>
      </w:r>
      <w:proofErr w:type="spellStart"/>
      <w:r>
        <w:t>Estimators</w:t>
      </w:r>
      <w:proofErr w:type="spellEnd"/>
      <w:r>
        <w:t xml:space="preserve"> for </w:t>
      </w:r>
      <w:proofErr w:type="spellStart"/>
      <w:r>
        <w:t>Seemingly</w:t>
      </w:r>
      <w:proofErr w:type="spellEnd"/>
      <w:r>
        <w:t xml:space="preserve"> </w:t>
      </w:r>
      <w:proofErr w:type="spellStart"/>
      <w:r>
        <w:t>Unrelated</w:t>
      </w:r>
      <w:proofErr w:type="spellEnd"/>
      <w:r>
        <w:t xml:space="preserve"> </w:t>
      </w:r>
      <w:proofErr w:type="spellStart"/>
      <w:r>
        <w:t>Regression</w:t>
      </w:r>
      <w:proofErr w:type="spellEnd"/>
      <w:r>
        <w:t xml:space="preserve"> </w:t>
      </w:r>
      <w:proofErr w:type="gramStart"/>
      <w:r>
        <w:t>Equations:</w:t>
      </w:r>
      <w:proofErr w:type="gramEnd"/>
      <w:r>
        <w:t xml:space="preserve"> </w:t>
      </w:r>
      <w:proofErr w:type="spellStart"/>
      <w:r>
        <w:t>Some</w:t>
      </w:r>
      <w:proofErr w:type="spellEnd"/>
      <w:r>
        <w:t xml:space="preserve"> </w:t>
      </w:r>
      <w:proofErr w:type="spellStart"/>
      <w:r>
        <w:t>Finite</w:t>
      </w:r>
      <w:proofErr w:type="spellEnd"/>
      <w:r>
        <w:t xml:space="preserve"> </w:t>
      </w:r>
      <w:proofErr w:type="spellStart"/>
      <w:r>
        <w:t>Sample</w:t>
      </w:r>
      <w:proofErr w:type="spellEnd"/>
      <w:r>
        <w:t xml:space="preserve"> </w:t>
      </w:r>
      <w:proofErr w:type="spellStart"/>
      <w:r>
        <w:t>Results</w:t>
      </w:r>
      <w:proofErr w:type="spellEnd"/>
      <w:r>
        <w:t xml:space="preserve">. Journal of the American </w:t>
      </w:r>
      <w:proofErr w:type="spellStart"/>
      <w:r>
        <w:t>Statistical</w:t>
      </w:r>
      <w:proofErr w:type="spellEnd"/>
      <w:r>
        <w:t xml:space="preserve"> Association </w:t>
      </w:r>
      <w:proofErr w:type="gramStart"/>
      <w:r>
        <w:t>58:</w:t>
      </w:r>
      <w:proofErr w:type="gramEnd"/>
      <w:r>
        <w:t xml:space="preserve"> 977-992.</w:t>
      </w:r>
    </w:p>
    <w:sectPr w:rsidR="001E2BFD">
      <w:pgSz w:w="11910" w:h="16840"/>
      <w:pgMar w:top="1320" w:right="1300" w:bottom="1200" w:left="13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19E" w:rsidRDefault="000D319E">
      <w:r>
        <w:separator/>
      </w:r>
    </w:p>
  </w:endnote>
  <w:endnote w:type="continuationSeparator" w:id="0">
    <w:p w:rsidR="000D319E" w:rsidRDefault="000D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jaVu Serif">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D" w:rsidRDefault="000D319E">
    <w:pPr>
      <w:pStyle w:val="Corpsdetex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1.35pt;margin-top:780.8pt;width:15.3pt;height:13.05pt;z-index:-251658752;mso-position-horizontal-relative:page;mso-position-vertical-relative:page" filled="f" stroked="f">
          <v:textbox inset="0,0,0,0">
            <w:txbxContent>
              <w:p w:rsidR="001E2BFD" w:rsidRDefault="000D319E">
                <w:pPr>
                  <w:spacing w:line="234" w:lineRule="exact"/>
                  <w:ind w:left="40"/>
                  <w:rPr>
                    <w:rFonts w:ascii="Trebuchet MS"/>
                  </w:rPr>
                </w:pPr>
                <w:r>
                  <w:fldChar w:fldCharType="begin"/>
                </w:r>
                <w:r>
                  <w:rPr>
                    <w:rFonts w:ascii="Trebuchet MS"/>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19E" w:rsidRDefault="000D319E">
      <w:r>
        <w:separator/>
      </w:r>
    </w:p>
  </w:footnote>
  <w:footnote w:type="continuationSeparator" w:id="0">
    <w:p w:rsidR="000D319E" w:rsidRDefault="000D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F25"/>
    <w:multiLevelType w:val="hybridMultilevel"/>
    <w:tmpl w:val="AA60CEEA"/>
    <w:lvl w:ilvl="0" w:tplc="95C6598E">
      <w:start w:val="1"/>
      <w:numFmt w:val="upperRoman"/>
      <w:lvlText w:val="%1-"/>
      <w:lvlJc w:val="left"/>
      <w:pPr>
        <w:ind w:left="1196" w:hanging="720"/>
        <w:jc w:val="left"/>
      </w:pPr>
      <w:rPr>
        <w:rFonts w:ascii="Times New Roman" w:eastAsia="Times New Roman" w:hAnsi="Times New Roman" w:cs="Times New Roman" w:hint="default"/>
        <w:spacing w:val="-4"/>
        <w:w w:val="99"/>
        <w:sz w:val="24"/>
        <w:szCs w:val="24"/>
        <w:lang w:val="fr-FR" w:eastAsia="fr-FR" w:bidi="fr-FR"/>
      </w:rPr>
    </w:lvl>
    <w:lvl w:ilvl="1" w:tplc="35F0A672">
      <w:numFmt w:val="bullet"/>
      <w:lvlText w:val="•"/>
      <w:lvlJc w:val="left"/>
      <w:pPr>
        <w:ind w:left="2010" w:hanging="720"/>
      </w:pPr>
      <w:rPr>
        <w:rFonts w:hint="default"/>
        <w:lang w:val="fr-FR" w:eastAsia="fr-FR" w:bidi="fr-FR"/>
      </w:rPr>
    </w:lvl>
    <w:lvl w:ilvl="2" w:tplc="CDAE343C">
      <w:numFmt w:val="bullet"/>
      <w:lvlText w:val="•"/>
      <w:lvlJc w:val="left"/>
      <w:pPr>
        <w:ind w:left="2821" w:hanging="720"/>
      </w:pPr>
      <w:rPr>
        <w:rFonts w:hint="default"/>
        <w:lang w:val="fr-FR" w:eastAsia="fr-FR" w:bidi="fr-FR"/>
      </w:rPr>
    </w:lvl>
    <w:lvl w:ilvl="3" w:tplc="4DEE345E">
      <w:numFmt w:val="bullet"/>
      <w:lvlText w:val="•"/>
      <w:lvlJc w:val="left"/>
      <w:pPr>
        <w:ind w:left="3631" w:hanging="720"/>
      </w:pPr>
      <w:rPr>
        <w:rFonts w:hint="default"/>
        <w:lang w:val="fr-FR" w:eastAsia="fr-FR" w:bidi="fr-FR"/>
      </w:rPr>
    </w:lvl>
    <w:lvl w:ilvl="4" w:tplc="53A8B612">
      <w:numFmt w:val="bullet"/>
      <w:lvlText w:val="•"/>
      <w:lvlJc w:val="left"/>
      <w:pPr>
        <w:ind w:left="4442" w:hanging="720"/>
      </w:pPr>
      <w:rPr>
        <w:rFonts w:hint="default"/>
        <w:lang w:val="fr-FR" w:eastAsia="fr-FR" w:bidi="fr-FR"/>
      </w:rPr>
    </w:lvl>
    <w:lvl w:ilvl="5" w:tplc="5652E9D2">
      <w:numFmt w:val="bullet"/>
      <w:lvlText w:val="•"/>
      <w:lvlJc w:val="left"/>
      <w:pPr>
        <w:ind w:left="5253" w:hanging="720"/>
      </w:pPr>
      <w:rPr>
        <w:rFonts w:hint="default"/>
        <w:lang w:val="fr-FR" w:eastAsia="fr-FR" w:bidi="fr-FR"/>
      </w:rPr>
    </w:lvl>
    <w:lvl w:ilvl="6" w:tplc="CC16F478">
      <w:numFmt w:val="bullet"/>
      <w:lvlText w:val="•"/>
      <w:lvlJc w:val="left"/>
      <w:pPr>
        <w:ind w:left="6063" w:hanging="720"/>
      </w:pPr>
      <w:rPr>
        <w:rFonts w:hint="default"/>
        <w:lang w:val="fr-FR" w:eastAsia="fr-FR" w:bidi="fr-FR"/>
      </w:rPr>
    </w:lvl>
    <w:lvl w:ilvl="7" w:tplc="66F8A702">
      <w:numFmt w:val="bullet"/>
      <w:lvlText w:val="•"/>
      <w:lvlJc w:val="left"/>
      <w:pPr>
        <w:ind w:left="6874" w:hanging="720"/>
      </w:pPr>
      <w:rPr>
        <w:rFonts w:hint="default"/>
        <w:lang w:val="fr-FR" w:eastAsia="fr-FR" w:bidi="fr-FR"/>
      </w:rPr>
    </w:lvl>
    <w:lvl w:ilvl="8" w:tplc="807C89B4">
      <w:numFmt w:val="bullet"/>
      <w:lvlText w:val="•"/>
      <w:lvlJc w:val="left"/>
      <w:pPr>
        <w:ind w:left="7685" w:hanging="720"/>
      </w:pPr>
      <w:rPr>
        <w:rFonts w:hint="default"/>
        <w:lang w:val="fr-FR" w:eastAsia="fr-FR" w:bidi="fr-FR"/>
      </w:rPr>
    </w:lvl>
  </w:abstractNum>
  <w:abstractNum w:abstractNumId="1" w15:restartNumberingAfterBreak="0">
    <w:nsid w:val="2B4352B7"/>
    <w:multiLevelType w:val="hybridMultilevel"/>
    <w:tmpl w:val="14F6A068"/>
    <w:lvl w:ilvl="0" w:tplc="33B64E60">
      <w:start w:val="1"/>
      <w:numFmt w:val="upperRoman"/>
      <w:lvlText w:val="%1-"/>
      <w:lvlJc w:val="left"/>
      <w:pPr>
        <w:ind w:left="304" w:hanging="189"/>
        <w:jc w:val="left"/>
      </w:pPr>
      <w:rPr>
        <w:rFonts w:hint="default"/>
        <w:w w:val="100"/>
        <w:u w:val="single" w:color="2D74B5"/>
        <w:lang w:val="fr-FR" w:eastAsia="fr-FR" w:bidi="fr-FR"/>
      </w:rPr>
    </w:lvl>
    <w:lvl w:ilvl="1" w:tplc="44FC0BDC">
      <w:numFmt w:val="bullet"/>
      <w:lvlText w:val="•"/>
      <w:lvlJc w:val="left"/>
      <w:pPr>
        <w:ind w:left="1700" w:hanging="189"/>
      </w:pPr>
      <w:rPr>
        <w:rFonts w:hint="default"/>
        <w:lang w:val="fr-FR" w:eastAsia="fr-FR" w:bidi="fr-FR"/>
      </w:rPr>
    </w:lvl>
    <w:lvl w:ilvl="2" w:tplc="67687BB0">
      <w:numFmt w:val="bullet"/>
      <w:lvlText w:val="•"/>
      <w:lvlJc w:val="left"/>
      <w:pPr>
        <w:ind w:left="1735" w:hanging="189"/>
      </w:pPr>
      <w:rPr>
        <w:rFonts w:hint="default"/>
        <w:lang w:val="fr-FR" w:eastAsia="fr-FR" w:bidi="fr-FR"/>
      </w:rPr>
    </w:lvl>
    <w:lvl w:ilvl="3" w:tplc="A1408976">
      <w:numFmt w:val="bullet"/>
      <w:lvlText w:val="•"/>
      <w:lvlJc w:val="left"/>
      <w:pPr>
        <w:ind w:left="1770" w:hanging="189"/>
      </w:pPr>
      <w:rPr>
        <w:rFonts w:hint="default"/>
        <w:lang w:val="fr-FR" w:eastAsia="fr-FR" w:bidi="fr-FR"/>
      </w:rPr>
    </w:lvl>
    <w:lvl w:ilvl="4" w:tplc="1E9C91C6">
      <w:numFmt w:val="bullet"/>
      <w:lvlText w:val="•"/>
      <w:lvlJc w:val="left"/>
      <w:pPr>
        <w:ind w:left="1805" w:hanging="189"/>
      </w:pPr>
      <w:rPr>
        <w:rFonts w:hint="default"/>
        <w:lang w:val="fr-FR" w:eastAsia="fr-FR" w:bidi="fr-FR"/>
      </w:rPr>
    </w:lvl>
    <w:lvl w:ilvl="5" w:tplc="DE12DA26">
      <w:numFmt w:val="bullet"/>
      <w:lvlText w:val="•"/>
      <w:lvlJc w:val="left"/>
      <w:pPr>
        <w:ind w:left="1840" w:hanging="189"/>
      </w:pPr>
      <w:rPr>
        <w:rFonts w:hint="default"/>
        <w:lang w:val="fr-FR" w:eastAsia="fr-FR" w:bidi="fr-FR"/>
      </w:rPr>
    </w:lvl>
    <w:lvl w:ilvl="6" w:tplc="A1A83B5E">
      <w:numFmt w:val="bullet"/>
      <w:lvlText w:val="•"/>
      <w:lvlJc w:val="left"/>
      <w:pPr>
        <w:ind w:left="1875" w:hanging="189"/>
      </w:pPr>
      <w:rPr>
        <w:rFonts w:hint="default"/>
        <w:lang w:val="fr-FR" w:eastAsia="fr-FR" w:bidi="fr-FR"/>
      </w:rPr>
    </w:lvl>
    <w:lvl w:ilvl="7" w:tplc="14B6E0FA">
      <w:numFmt w:val="bullet"/>
      <w:lvlText w:val="•"/>
      <w:lvlJc w:val="left"/>
      <w:pPr>
        <w:ind w:left="1910" w:hanging="189"/>
      </w:pPr>
      <w:rPr>
        <w:rFonts w:hint="default"/>
        <w:lang w:val="fr-FR" w:eastAsia="fr-FR" w:bidi="fr-FR"/>
      </w:rPr>
    </w:lvl>
    <w:lvl w:ilvl="8" w:tplc="637E73E8">
      <w:numFmt w:val="bullet"/>
      <w:lvlText w:val="•"/>
      <w:lvlJc w:val="left"/>
      <w:pPr>
        <w:ind w:left="1945" w:hanging="189"/>
      </w:pPr>
      <w:rPr>
        <w:rFonts w:hint="default"/>
        <w:lang w:val="fr-FR" w:eastAsia="fr-FR" w:bidi="fr-F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E2BFD"/>
    <w:rsid w:val="000D319E"/>
    <w:rsid w:val="001E2BFD"/>
    <w:rsid w:val="00D15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A3F57E"/>
  <w15:docId w15:val="{FE71222F-B401-44AF-92CF-1B133F1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paragraph" w:styleId="Titre1">
    <w:name w:val="heading 1"/>
    <w:basedOn w:val="Normal"/>
    <w:uiPriority w:val="9"/>
    <w:qFormat/>
    <w:pPr>
      <w:spacing w:before="157"/>
      <w:ind w:left="304" w:hanging="282"/>
      <w:outlineLvl w:val="0"/>
    </w:pPr>
    <w:rPr>
      <w:sz w:val="28"/>
      <w:szCs w:val="28"/>
    </w:rPr>
  </w:style>
  <w:style w:type="paragraph" w:styleId="Titre2">
    <w:name w:val="heading 2"/>
    <w:basedOn w:val="Normal"/>
    <w:uiPriority w:val="9"/>
    <w:unhideWhenUsed/>
    <w:qFormat/>
    <w:pPr>
      <w:spacing w:before="68"/>
      <w:ind w:left="116"/>
      <w:outlineLvl w:val="1"/>
    </w:pPr>
    <w:rPr>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304" w:hanging="78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15EA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5EAE"/>
    <w:rPr>
      <w:rFonts w:ascii="Segoe UI" w:eastAsia="Times New Roma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6842</Words>
  <Characters>37634</Characters>
  <Application>Microsoft Office Word</Application>
  <DocSecurity>0</DocSecurity>
  <Lines>313</Lines>
  <Paragraphs>88</Paragraphs>
  <ScaleCrop>false</ScaleCrop>
  <Company>My Partner Bank</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sherydan diallo</dc:creator>
  <cp:lastModifiedBy>DIALLO, Asta (My Partner Bank)</cp:lastModifiedBy>
  <cp:revision>2</cp:revision>
  <dcterms:created xsi:type="dcterms:W3CDTF">2019-10-17T10:10:00Z</dcterms:created>
  <dcterms:modified xsi:type="dcterms:W3CDTF">2019-10-17T10:15:00Z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2015-04-18T00:00:00Z</vt:filetime>
  </property>
  <property fmtid="{D5CDD505-2E9C-101B-9397-08002B2CF9AE}" pid="3" name="Creator">
    <vt:lpwstr>Microsoft® Word 2013</vt:lpwstr>
  </property>
  <property fmtid="{D5CDD505-2E9C-101B-9397-08002B2CF9AE}" pid="4" name="LastSaved">
    <vt:filetime>2019-10-17T00:00:00Z</vt:filetime>
  </property>
</Properties>
</file>