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D7237B" w:rsidRPr="00D7237B" w:rsidTr="00A727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D7237B" w:rsidRPr="00D7237B" w:rsidRDefault="00D7237B" w:rsidP="00D7237B">
            <w:pPr>
              <w:jc w:val="center"/>
              <w:rPr>
                <w:color w:val="FF0000"/>
                <w:sz w:val="32"/>
                <w:szCs w:val="32"/>
              </w:rPr>
            </w:pPr>
            <w:r w:rsidRPr="00D7237B">
              <w:rPr>
                <w:color w:val="C00000"/>
                <w:sz w:val="32"/>
                <w:szCs w:val="32"/>
              </w:rPr>
              <w:t xml:space="preserve">Chapitre </w:t>
            </w:r>
            <w:r>
              <w:rPr>
                <w:color w:val="C00000"/>
                <w:sz w:val="32"/>
                <w:szCs w:val="32"/>
              </w:rPr>
              <w:t>9</w:t>
            </w:r>
            <w:r w:rsidRPr="00D7237B">
              <w:rPr>
                <w:color w:val="C00000"/>
                <w:sz w:val="32"/>
                <w:szCs w:val="32"/>
              </w:rPr>
              <w:t xml:space="preserve"> : </w:t>
            </w:r>
            <w:r w:rsidR="00171CC0">
              <w:rPr>
                <w:color w:val="C00000"/>
                <w:sz w:val="32"/>
                <w:szCs w:val="32"/>
              </w:rPr>
              <w:t>Q</w:t>
            </w:r>
            <w:r w:rsidR="00B56331">
              <w:rPr>
                <w:color w:val="C00000"/>
                <w:sz w:val="32"/>
                <w:szCs w:val="32"/>
              </w:rPr>
              <w:t>uelle est la place de l’Union européenne dans l’économie globale</w:t>
            </w:r>
            <w:r w:rsidR="00171CC0">
              <w:rPr>
                <w:color w:val="C00000"/>
                <w:sz w:val="32"/>
                <w:szCs w:val="32"/>
              </w:rPr>
              <w:t> ?</w:t>
            </w:r>
          </w:p>
        </w:tc>
      </w:tr>
    </w:tbl>
    <w:p w:rsidR="00D7237B" w:rsidRDefault="00D7237B"/>
    <w:p w:rsidR="00D7237B" w:rsidRDefault="00D7237B"/>
    <w:p w:rsidR="00171CC0" w:rsidRPr="00171CC0" w:rsidRDefault="00171CC0">
      <w:pPr>
        <w:rPr>
          <w:color w:val="002060"/>
        </w:rPr>
      </w:pPr>
      <w:r w:rsidRPr="00171CC0">
        <w:rPr>
          <w:color w:val="002060"/>
          <w:u w:val="single"/>
        </w:rPr>
        <w:t>Introduction</w:t>
      </w:r>
      <w:r w:rsidRPr="00171CC0">
        <w:rPr>
          <w:color w:val="002060"/>
        </w:rPr>
        <w:t> :</w:t>
      </w:r>
    </w:p>
    <w:p w:rsidR="004479CE" w:rsidRDefault="00D7237B">
      <w:pPr>
        <w:rPr>
          <w:color w:val="002060"/>
        </w:rPr>
      </w:pPr>
      <w:r w:rsidRPr="00171CC0">
        <w:rPr>
          <w:color w:val="002060"/>
        </w:rPr>
        <w:t>L’Union européenne compte actuellement 28 états membres</w:t>
      </w:r>
      <w:r w:rsidR="00B56331" w:rsidRPr="00171CC0">
        <w:rPr>
          <w:color w:val="002060"/>
        </w:rPr>
        <w:t>. Ces pays n’appartiennent pas tous à la zone euro.</w:t>
      </w:r>
      <w:r w:rsidR="00B64593">
        <w:rPr>
          <w:color w:val="002060"/>
        </w:rPr>
        <w:t xml:space="preserve"> Seuls 19 pays parmi les 28 appartiennent à la zone euro.</w:t>
      </w:r>
      <w:r w:rsidR="00B84F8B">
        <w:rPr>
          <w:color w:val="002060"/>
        </w:rPr>
        <w:t xml:space="preserve"> Dans </w:t>
      </w:r>
      <w:r w:rsidR="006A5972">
        <w:rPr>
          <w:color w:val="002060"/>
        </w:rPr>
        <w:t>le contexte de la mondialisation, la construction de l’UE et de l’union économique et monétaire (UEM) a constitué un avantage pour les pays membres face à la concurrence internationale. Mais en même temps, l’interdépendance économique renforcée des pays membres soulève certaines difficultés.</w:t>
      </w:r>
      <w:r w:rsidR="00047D54">
        <w:rPr>
          <w:color w:val="002060"/>
        </w:rPr>
        <w:t xml:space="preserve"> </w:t>
      </w:r>
      <w:r w:rsidR="004479CE">
        <w:rPr>
          <w:color w:val="002060"/>
        </w:rPr>
        <w:t>En effet se pose la question de la coordination des politiques économiques au niveau européen.</w:t>
      </w:r>
    </w:p>
    <w:p w:rsidR="004479CE" w:rsidRDefault="004479CE">
      <w:pPr>
        <w:rPr>
          <w:color w:val="002060"/>
        </w:rPr>
      </w:pPr>
    </w:p>
    <w:p w:rsidR="004479CE" w:rsidRDefault="004479CE">
      <w:pPr>
        <w:rPr>
          <w:b/>
          <w:i/>
          <w:color w:val="00B050"/>
        </w:rPr>
      </w:pPr>
      <w:r>
        <w:rPr>
          <w:b/>
          <w:i/>
          <w:color w:val="00B050"/>
          <w:u w:val="single"/>
        </w:rPr>
        <w:t>Problématique</w:t>
      </w:r>
      <w:r w:rsidRPr="004479CE">
        <w:rPr>
          <w:b/>
          <w:i/>
          <w:color w:val="00B050"/>
        </w:rPr>
        <w:t> : A travers les forces et les limites de l’UE, peut-on coordonner les politiques</w:t>
      </w:r>
      <w:r w:rsidR="00ED4E6D">
        <w:rPr>
          <w:b/>
          <w:i/>
          <w:color w:val="00B050"/>
        </w:rPr>
        <w:t xml:space="preserve"> économiques </w:t>
      </w:r>
      <w:r w:rsidRPr="004479CE">
        <w:rPr>
          <w:b/>
          <w:i/>
          <w:color w:val="00B050"/>
        </w:rPr>
        <w:t>au niveau européen ?</w:t>
      </w:r>
      <w:r>
        <w:rPr>
          <w:b/>
          <w:i/>
          <w:color w:val="00B050"/>
        </w:rPr>
        <w:t xml:space="preserve"> Si oui, comment ?</w:t>
      </w:r>
    </w:p>
    <w:p w:rsidR="00ED4E6D" w:rsidRDefault="00ED4E6D">
      <w:pPr>
        <w:rPr>
          <w:b/>
          <w:i/>
          <w:color w:val="00B050"/>
        </w:rPr>
      </w:pPr>
    </w:p>
    <w:p w:rsidR="00ED4E6D" w:rsidRDefault="00ED4E6D">
      <w:pPr>
        <w:rPr>
          <w:b/>
          <w:i/>
          <w:color w:val="00B050"/>
        </w:rPr>
      </w:pPr>
    </w:p>
    <w:p w:rsidR="00ED4E6D" w:rsidRDefault="00ED4E6D">
      <w:pPr>
        <w:rPr>
          <w:b/>
          <w:i/>
          <w:color w:val="00B050"/>
        </w:rPr>
      </w:pPr>
    </w:p>
    <w:p w:rsidR="00ED4E6D" w:rsidRDefault="002B2020" w:rsidP="00ED4E6D">
      <w:pPr>
        <w:pStyle w:val="ListParagraph"/>
        <w:numPr>
          <w:ilvl w:val="0"/>
          <w:numId w:val="1"/>
        </w:numPr>
        <w:rPr>
          <w:b/>
          <w:color w:val="FF0000"/>
          <w:u w:val="single"/>
        </w:rPr>
      </w:pPr>
      <w:r>
        <w:rPr>
          <w:b/>
          <w:color w:val="FF0000"/>
          <w:u w:val="single"/>
        </w:rPr>
        <w:t>La construction de l’UE et de l’UEM</w:t>
      </w:r>
    </w:p>
    <w:p w:rsidR="002B2020" w:rsidRDefault="002B2020" w:rsidP="002B2020">
      <w:pPr>
        <w:pStyle w:val="ListParagraph"/>
        <w:rPr>
          <w:b/>
          <w:color w:val="FF0000"/>
          <w:u w:val="single"/>
        </w:rPr>
      </w:pPr>
    </w:p>
    <w:p w:rsidR="002B2020" w:rsidRDefault="003E10D2" w:rsidP="002B2020">
      <w:pPr>
        <w:pStyle w:val="ListParagraph"/>
        <w:numPr>
          <w:ilvl w:val="0"/>
          <w:numId w:val="2"/>
        </w:numPr>
        <w:rPr>
          <w:b/>
          <w:color w:val="538135" w:themeColor="accent6" w:themeShade="BF"/>
          <w:u w:val="single"/>
        </w:rPr>
      </w:pPr>
      <w:r>
        <w:rPr>
          <w:b/>
          <w:color w:val="538135" w:themeColor="accent6" w:themeShade="BF"/>
          <w:u w:val="single"/>
        </w:rPr>
        <w:t>L’émergence progressive de l’UEM</w:t>
      </w:r>
    </w:p>
    <w:p w:rsidR="003E10D2" w:rsidRDefault="003E10D2" w:rsidP="003E10D2">
      <w:pPr>
        <w:pStyle w:val="ListParagraph"/>
        <w:ind w:left="1080"/>
        <w:rPr>
          <w:b/>
          <w:color w:val="538135" w:themeColor="accent6" w:themeShade="BF"/>
          <w:u w:val="single"/>
        </w:rPr>
      </w:pPr>
    </w:p>
    <w:p w:rsidR="003E10D2" w:rsidRDefault="003E10D2" w:rsidP="003E10D2">
      <w:pPr>
        <w:pStyle w:val="ListParagraph"/>
        <w:numPr>
          <w:ilvl w:val="0"/>
          <w:numId w:val="3"/>
        </w:numPr>
        <w:rPr>
          <w:b/>
          <w:color w:val="000000" w:themeColor="text1"/>
          <w:u w:val="single"/>
        </w:rPr>
      </w:pPr>
      <w:r>
        <w:rPr>
          <w:b/>
          <w:color w:val="000000" w:themeColor="text1"/>
          <w:u w:val="single"/>
        </w:rPr>
        <w:t xml:space="preserve">Les </w:t>
      </w:r>
      <w:r w:rsidR="004765C3">
        <w:rPr>
          <w:b/>
          <w:color w:val="000000" w:themeColor="text1"/>
          <w:u w:val="single"/>
        </w:rPr>
        <w:t xml:space="preserve">différents niveaux d’intégration régionale </w:t>
      </w:r>
    </w:p>
    <w:p w:rsidR="004765C3" w:rsidRDefault="004765C3" w:rsidP="004765C3">
      <w:pPr>
        <w:pStyle w:val="ListParagraph"/>
        <w:ind w:left="1440"/>
        <w:rPr>
          <w:b/>
          <w:color w:val="000000" w:themeColor="text1"/>
          <w:u w:val="single"/>
        </w:rPr>
      </w:pPr>
    </w:p>
    <w:p w:rsidR="004765C3" w:rsidRDefault="004765C3" w:rsidP="004765C3">
      <w:pPr>
        <w:pStyle w:val="ListParagraph"/>
        <w:ind w:left="1440"/>
        <w:rPr>
          <w:color w:val="002060"/>
        </w:rPr>
      </w:pPr>
      <w:r>
        <w:rPr>
          <w:color w:val="002060"/>
        </w:rPr>
        <w:t>Activité 1</w:t>
      </w:r>
    </w:p>
    <w:p w:rsidR="004765C3" w:rsidRDefault="004765C3" w:rsidP="004765C3">
      <w:pPr>
        <w:pStyle w:val="ListParagraph"/>
        <w:ind w:left="1440"/>
        <w:rPr>
          <w:color w:val="002060"/>
        </w:rPr>
      </w:pPr>
    </w:p>
    <w:p w:rsidR="004765C3" w:rsidRDefault="004765C3" w:rsidP="004765C3">
      <w:pPr>
        <w:pStyle w:val="ListParagraph"/>
        <w:ind w:left="1440"/>
        <w:rPr>
          <w:color w:val="002060"/>
        </w:rPr>
      </w:pPr>
      <w:r>
        <w:rPr>
          <w:color w:val="002060"/>
        </w:rPr>
        <w:t>Avec la mise en place de la zone euro, le processus d’intégration en Europe a atteint le niveau 4, cad l’union économique et monétaire. C’est un niveau d’intégration poussé mais inachevé puisque l’union politique n’est pas réalisée, cad que les politiques économiques ne sont pas totalement unifiées.</w:t>
      </w:r>
    </w:p>
    <w:p w:rsidR="004765C3" w:rsidRDefault="004765C3" w:rsidP="004765C3">
      <w:pPr>
        <w:pStyle w:val="ListParagraph"/>
        <w:ind w:left="1440"/>
        <w:rPr>
          <w:color w:val="002060"/>
        </w:rPr>
      </w:pPr>
    </w:p>
    <w:p w:rsidR="004765C3" w:rsidRDefault="00526BA1" w:rsidP="004765C3">
      <w:pPr>
        <w:pStyle w:val="ListParagraph"/>
        <w:numPr>
          <w:ilvl w:val="0"/>
          <w:numId w:val="3"/>
        </w:numPr>
        <w:rPr>
          <w:b/>
          <w:color w:val="000000" w:themeColor="text1"/>
          <w:u w:val="single"/>
        </w:rPr>
      </w:pPr>
      <w:r>
        <w:rPr>
          <w:b/>
          <w:color w:val="000000" w:themeColor="text1"/>
          <w:u w:val="single"/>
        </w:rPr>
        <w:t xml:space="preserve">Les étapes de l’intégration </w:t>
      </w:r>
      <w:r w:rsidR="0095188D">
        <w:rPr>
          <w:b/>
          <w:color w:val="000000" w:themeColor="text1"/>
          <w:u w:val="single"/>
        </w:rPr>
        <w:t>européenne</w:t>
      </w:r>
    </w:p>
    <w:p w:rsidR="0095188D" w:rsidRDefault="0095188D" w:rsidP="0095188D">
      <w:pPr>
        <w:pStyle w:val="ListParagraph"/>
        <w:ind w:left="1440"/>
        <w:rPr>
          <w:b/>
          <w:color w:val="000000" w:themeColor="text1"/>
          <w:u w:val="single"/>
        </w:rPr>
      </w:pPr>
    </w:p>
    <w:p w:rsidR="0095188D" w:rsidRDefault="002B25C9" w:rsidP="002B25C9">
      <w:pPr>
        <w:pStyle w:val="ListParagraph"/>
        <w:numPr>
          <w:ilvl w:val="0"/>
          <w:numId w:val="4"/>
        </w:numPr>
        <w:rPr>
          <w:color w:val="002060"/>
        </w:rPr>
      </w:pPr>
      <w:r>
        <w:rPr>
          <w:color w:val="002060"/>
        </w:rPr>
        <w:t xml:space="preserve">1951 : début de </w:t>
      </w:r>
      <w:r w:rsidR="00D5733B">
        <w:rPr>
          <w:color w:val="002060"/>
        </w:rPr>
        <w:t>la zone de libre échange avec la suppression des droits de douane sur l’acier et le charbon. Cela a permis de faciliter les échanges entre les états membres et de baisser le prix des ressources.</w:t>
      </w:r>
    </w:p>
    <w:p w:rsidR="00D5733B" w:rsidRDefault="00D5733B" w:rsidP="002B25C9">
      <w:pPr>
        <w:pStyle w:val="ListParagraph"/>
        <w:numPr>
          <w:ilvl w:val="0"/>
          <w:numId w:val="4"/>
        </w:numPr>
        <w:rPr>
          <w:color w:val="002060"/>
        </w:rPr>
      </w:pPr>
      <w:r>
        <w:rPr>
          <w:color w:val="002060"/>
        </w:rPr>
        <w:t>1968 : union douanière</w:t>
      </w:r>
    </w:p>
    <w:p w:rsidR="00D5733B" w:rsidRDefault="00D5733B" w:rsidP="002B25C9">
      <w:pPr>
        <w:pStyle w:val="ListParagraph"/>
        <w:numPr>
          <w:ilvl w:val="0"/>
          <w:numId w:val="4"/>
        </w:numPr>
        <w:rPr>
          <w:color w:val="002060"/>
        </w:rPr>
      </w:pPr>
      <w:r>
        <w:rPr>
          <w:color w:val="002060"/>
        </w:rPr>
        <w:t xml:space="preserve">1986 : </w:t>
      </w:r>
      <w:r w:rsidR="00447336">
        <w:rPr>
          <w:color w:val="002060"/>
        </w:rPr>
        <w:t>signature de</w:t>
      </w:r>
      <w:r>
        <w:rPr>
          <w:color w:val="002060"/>
        </w:rPr>
        <w:t xml:space="preserve"> « l’Acte commun »</w:t>
      </w:r>
      <w:r w:rsidR="00447336">
        <w:rPr>
          <w:color w:val="002060"/>
        </w:rPr>
        <w:t xml:space="preserve"> - marché commun</w:t>
      </w:r>
    </w:p>
    <w:p w:rsidR="00ED4E6D" w:rsidRDefault="002E6708" w:rsidP="00B638A7">
      <w:pPr>
        <w:pStyle w:val="ListParagraph"/>
        <w:numPr>
          <w:ilvl w:val="0"/>
          <w:numId w:val="4"/>
        </w:numPr>
        <w:rPr>
          <w:color w:val="002060"/>
        </w:rPr>
      </w:pPr>
      <w:r>
        <w:rPr>
          <w:color w:val="002060"/>
        </w:rPr>
        <w:t xml:space="preserve">1992 : </w:t>
      </w:r>
      <w:r w:rsidR="000840F6">
        <w:rPr>
          <w:color w:val="002060"/>
        </w:rPr>
        <w:t>Traité de Maastricht</w:t>
      </w:r>
      <w:r w:rsidR="00FF197E">
        <w:rPr>
          <w:color w:val="002060"/>
        </w:rPr>
        <w:t> </w:t>
      </w:r>
      <w:r w:rsidR="009C024C">
        <w:rPr>
          <w:color w:val="002060"/>
        </w:rPr>
        <w:t xml:space="preserve">(mise en place </w:t>
      </w:r>
      <w:r w:rsidR="00B638A7">
        <w:rPr>
          <w:color w:val="002060"/>
        </w:rPr>
        <w:t>de politiques communes pour permettre l’adoption d’une monnaie unique : il s’agissait de respecter des critères économiques ; ex : limiter le niveau du déficit public, de la dette publique, de l’inflation…)</w:t>
      </w:r>
    </w:p>
    <w:p w:rsidR="00B638A7" w:rsidRDefault="007A75D7" w:rsidP="00B638A7">
      <w:pPr>
        <w:pStyle w:val="ListParagraph"/>
        <w:numPr>
          <w:ilvl w:val="0"/>
          <w:numId w:val="4"/>
        </w:numPr>
        <w:rPr>
          <w:color w:val="002060"/>
        </w:rPr>
      </w:pPr>
      <w:r>
        <w:rPr>
          <w:color w:val="002060"/>
        </w:rPr>
        <w:t>2002 : la mise en circulation de l’€.</w:t>
      </w:r>
    </w:p>
    <w:p w:rsidR="007A75D7" w:rsidRDefault="007A75D7" w:rsidP="007A75D7">
      <w:pPr>
        <w:rPr>
          <w:color w:val="002060"/>
        </w:rPr>
      </w:pPr>
    </w:p>
    <w:p w:rsidR="007A75D7" w:rsidRDefault="007A75D7" w:rsidP="007A75D7">
      <w:pPr>
        <w:pStyle w:val="ListParagraph"/>
        <w:numPr>
          <w:ilvl w:val="0"/>
          <w:numId w:val="2"/>
        </w:numPr>
        <w:rPr>
          <w:b/>
          <w:color w:val="538135" w:themeColor="accent6" w:themeShade="BF"/>
          <w:u w:val="single"/>
        </w:rPr>
      </w:pPr>
      <w:r>
        <w:rPr>
          <w:b/>
          <w:color w:val="538135" w:themeColor="accent6" w:themeShade="BF"/>
          <w:u w:val="single"/>
        </w:rPr>
        <w:t xml:space="preserve">Les effets économiques d’une intégration économique </w:t>
      </w:r>
    </w:p>
    <w:p w:rsidR="007A75D7" w:rsidRDefault="007A75D7" w:rsidP="007A75D7">
      <w:pPr>
        <w:pStyle w:val="ListParagraph"/>
        <w:ind w:left="1080"/>
        <w:rPr>
          <w:b/>
          <w:color w:val="538135" w:themeColor="accent6" w:themeShade="BF"/>
          <w:u w:val="single"/>
        </w:rPr>
      </w:pPr>
    </w:p>
    <w:p w:rsidR="007A75D7" w:rsidRDefault="00213CD6" w:rsidP="00E90E5A">
      <w:pPr>
        <w:pStyle w:val="ListParagraph"/>
        <w:numPr>
          <w:ilvl w:val="0"/>
          <w:numId w:val="5"/>
        </w:numPr>
        <w:rPr>
          <w:b/>
          <w:color w:val="1A1A1A" w:themeColor="background1" w:themeShade="1A"/>
          <w:u w:val="single"/>
        </w:rPr>
      </w:pPr>
      <w:r>
        <w:rPr>
          <w:b/>
          <w:color w:val="1A1A1A" w:themeColor="background1" w:themeShade="1A"/>
          <w:u w:val="single"/>
        </w:rPr>
        <w:t xml:space="preserve">Les avantages du marché unique </w:t>
      </w:r>
    </w:p>
    <w:p w:rsidR="00213CD6" w:rsidRDefault="00213CD6" w:rsidP="00213CD6">
      <w:pPr>
        <w:pStyle w:val="ListParagraph"/>
        <w:ind w:left="1440"/>
        <w:rPr>
          <w:b/>
          <w:color w:val="1A1A1A" w:themeColor="background1" w:themeShade="1A"/>
          <w:u w:val="single"/>
        </w:rPr>
      </w:pPr>
    </w:p>
    <w:p w:rsidR="00213CD6" w:rsidRDefault="00213CD6" w:rsidP="00213CD6">
      <w:pPr>
        <w:pStyle w:val="ListParagraph"/>
        <w:ind w:left="1440"/>
        <w:rPr>
          <w:color w:val="002060"/>
        </w:rPr>
      </w:pPr>
      <w:r>
        <w:rPr>
          <w:color w:val="002060"/>
        </w:rPr>
        <w:t>Activité 2</w:t>
      </w:r>
    </w:p>
    <w:p w:rsidR="00213CD6" w:rsidRPr="00E3673F" w:rsidRDefault="00213CD6" w:rsidP="00E3673F">
      <w:pPr>
        <w:rPr>
          <w:color w:val="002060"/>
        </w:rPr>
      </w:pPr>
    </w:p>
    <w:p w:rsidR="00446D22" w:rsidRDefault="00446D22" w:rsidP="00446D22">
      <w:pPr>
        <w:pStyle w:val="ListParagraph"/>
        <w:numPr>
          <w:ilvl w:val="0"/>
          <w:numId w:val="4"/>
        </w:numPr>
        <w:rPr>
          <w:color w:val="002060"/>
        </w:rPr>
      </w:pPr>
      <w:r>
        <w:rPr>
          <w:color w:val="002060"/>
        </w:rPr>
        <w:t>1 baisse des coûts de transaction : coûts liés à une transaction donc un échange sur un marché (ex : voir texte)</w:t>
      </w:r>
    </w:p>
    <w:p w:rsidR="00446D22" w:rsidRDefault="00446D22" w:rsidP="00446D22">
      <w:pPr>
        <w:pStyle w:val="ListParagraph"/>
        <w:numPr>
          <w:ilvl w:val="0"/>
          <w:numId w:val="4"/>
        </w:numPr>
        <w:rPr>
          <w:color w:val="002060"/>
        </w:rPr>
      </w:pPr>
      <w:r>
        <w:rPr>
          <w:color w:val="002060"/>
        </w:rPr>
        <w:lastRenderedPageBreak/>
        <w:t>Concurrence accrue incite les entreprises à gagner en compétitivité prix et en compétitivité hors prix.</w:t>
      </w:r>
    </w:p>
    <w:p w:rsidR="00446D22" w:rsidRDefault="00446D22" w:rsidP="00446D22">
      <w:pPr>
        <w:pStyle w:val="ListParagraph"/>
        <w:numPr>
          <w:ilvl w:val="0"/>
          <w:numId w:val="4"/>
        </w:numPr>
        <w:rPr>
          <w:color w:val="002060"/>
        </w:rPr>
      </w:pPr>
      <w:r>
        <w:rPr>
          <w:color w:val="002060"/>
        </w:rPr>
        <w:t xml:space="preserve">Cela permet la baisse des prix pour les consommateurs grâce à la disparition des droits de douane </w:t>
      </w:r>
    </w:p>
    <w:p w:rsidR="00446D22" w:rsidRDefault="00446D22" w:rsidP="00446D22">
      <w:pPr>
        <w:pStyle w:val="ListParagraph"/>
        <w:numPr>
          <w:ilvl w:val="0"/>
          <w:numId w:val="4"/>
        </w:numPr>
        <w:rPr>
          <w:color w:val="002060"/>
        </w:rPr>
      </w:pPr>
      <w:r>
        <w:rPr>
          <w:color w:val="002060"/>
        </w:rPr>
        <w:t>Cela permet de casser les monopoles ou quasi monopoles nationaux ce qui est censé favoriser la baisse des prix</w:t>
      </w:r>
    </w:p>
    <w:p w:rsidR="00446D22" w:rsidRDefault="00446D22" w:rsidP="00446D22">
      <w:pPr>
        <w:pStyle w:val="ListParagraph"/>
        <w:numPr>
          <w:ilvl w:val="0"/>
          <w:numId w:val="4"/>
        </w:numPr>
        <w:rPr>
          <w:color w:val="002060"/>
        </w:rPr>
      </w:pPr>
      <w:r>
        <w:rPr>
          <w:color w:val="002060"/>
        </w:rPr>
        <w:t xml:space="preserve">Cela permet de réaliser des économies d’échelle cad que </w:t>
      </w:r>
      <w:r w:rsidR="00E3673F">
        <w:rPr>
          <w:color w:val="002060"/>
        </w:rPr>
        <w:t>produire à plus grande échelle permet de réduire le coût de production unitaire</w:t>
      </w:r>
    </w:p>
    <w:p w:rsidR="00E3673F" w:rsidRDefault="00E3673F" w:rsidP="00446D22">
      <w:pPr>
        <w:pStyle w:val="ListParagraph"/>
        <w:numPr>
          <w:ilvl w:val="0"/>
          <w:numId w:val="4"/>
        </w:numPr>
        <w:rPr>
          <w:color w:val="002060"/>
        </w:rPr>
      </w:pPr>
      <w:r>
        <w:rPr>
          <w:color w:val="002060"/>
        </w:rPr>
        <w:t xml:space="preserve">Disparition des entreprises les moins efficaces cad celles qui ne parviennent pas à réaliser des économies d’échelle </w:t>
      </w:r>
    </w:p>
    <w:p w:rsidR="00E3673F" w:rsidRDefault="00E3673F" w:rsidP="00446D22">
      <w:pPr>
        <w:pStyle w:val="ListParagraph"/>
        <w:numPr>
          <w:ilvl w:val="0"/>
          <w:numId w:val="4"/>
        </w:numPr>
        <w:rPr>
          <w:color w:val="002060"/>
        </w:rPr>
      </w:pPr>
      <w:r>
        <w:rPr>
          <w:color w:val="002060"/>
        </w:rPr>
        <w:t xml:space="preserve">Cela favorise la concentration industrielle, cad la constitution de FMN, de groupes plus importants </w:t>
      </w:r>
    </w:p>
    <w:p w:rsidR="00E3673F" w:rsidRDefault="00E3673F" w:rsidP="00E3673F">
      <w:pPr>
        <w:rPr>
          <w:color w:val="002060"/>
        </w:rPr>
      </w:pPr>
    </w:p>
    <w:p w:rsidR="00E3673F" w:rsidRDefault="00EF36A2" w:rsidP="00E3673F">
      <w:pPr>
        <w:pStyle w:val="ListParagraph"/>
        <w:numPr>
          <w:ilvl w:val="0"/>
          <w:numId w:val="5"/>
        </w:numPr>
        <w:rPr>
          <w:b/>
          <w:color w:val="1A1A1A" w:themeColor="background1" w:themeShade="1A"/>
          <w:u w:val="single"/>
        </w:rPr>
      </w:pPr>
      <w:r>
        <w:rPr>
          <w:b/>
          <w:color w:val="1A1A1A" w:themeColor="background1" w:themeShade="1A"/>
          <w:u w:val="single"/>
        </w:rPr>
        <w:t>Les avantages de l’UEM</w:t>
      </w:r>
    </w:p>
    <w:p w:rsidR="00EF36A2" w:rsidRDefault="00EF36A2" w:rsidP="00EF36A2">
      <w:pPr>
        <w:pStyle w:val="ListParagraph"/>
        <w:ind w:left="1440"/>
        <w:rPr>
          <w:b/>
          <w:color w:val="1A1A1A" w:themeColor="background1" w:themeShade="1A"/>
          <w:u w:val="single"/>
        </w:rPr>
      </w:pPr>
    </w:p>
    <w:p w:rsidR="00DD68AB" w:rsidRDefault="00DD68AB" w:rsidP="00EF36A2">
      <w:pPr>
        <w:pStyle w:val="ListParagraph"/>
        <w:ind w:left="1440"/>
        <w:rPr>
          <w:color w:val="002060"/>
        </w:rPr>
      </w:pPr>
      <w:r>
        <w:rPr>
          <w:color w:val="002060"/>
        </w:rPr>
        <w:t xml:space="preserve">Monnaie unique =&gt; suppression des risques de change </w:t>
      </w:r>
    </w:p>
    <w:p w:rsidR="00EF36A2" w:rsidRDefault="00DD68AB" w:rsidP="00EF36A2">
      <w:pPr>
        <w:pStyle w:val="ListParagraph"/>
        <w:ind w:left="1440"/>
        <w:rPr>
          <w:color w:val="002060"/>
        </w:rPr>
      </w:pPr>
      <w:r>
        <w:rPr>
          <w:color w:val="002060"/>
        </w:rPr>
        <w:t xml:space="preserve">=&gt; baisse des coûts de production </w:t>
      </w:r>
    </w:p>
    <w:p w:rsidR="00DD68AB" w:rsidRDefault="00DD68AB" w:rsidP="00EF36A2">
      <w:pPr>
        <w:pStyle w:val="ListParagraph"/>
        <w:ind w:left="1440"/>
        <w:rPr>
          <w:color w:val="002060"/>
        </w:rPr>
      </w:pPr>
      <w:r>
        <w:rPr>
          <w:color w:val="002060"/>
        </w:rPr>
        <w:t xml:space="preserve">=&gt; </w:t>
      </w:r>
      <w:r w:rsidR="00A44DF3">
        <w:rPr>
          <w:color w:val="002060"/>
        </w:rPr>
        <w:t>baisse des prix de vente</w:t>
      </w:r>
    </w:p>
    <w:p w:rsidR="00662A9B" w:rsidRDefault="00662A9B" w:rsidP="00EF36A2">
      <w:pPr>
        <w:pStyle w:val="ListParagraph"/>
        <w:ind w:left="1440"/>
        <w:rPr>
          <w:color w:val="002060"/>
        </w:rPr>
      </w:pPr>
      <w:r>
        <w:rPr>
          <w:color w:val="002060"/>
        </w:rPr>
        <w:t xml:space="preserve">Effets côté entreprise : </w:t>
      </w:r>
    </w:p>
    <w:p w:rsidR="00A44DF3" w:rsidRDefault="00662A9B" w:rsidP="00EF36A2">
      <w:pPr>
        <w:pStyle w:val="ListParagraph"/>
        <w:ind w:left="1440"/>
        <w:rPr>
          <w:color w:val="002060"/>
        </w:rPr>
      </w:pPr>
      <w:r>
        <w:rPr>
          <w:color w:val="002060"/>
        </w:rPr>
        <w:t xml:space="preserve">hausse compétitivité prix + aug° </w:t>
      </w:r>
      <w:proofErr w:type="spellStart"/>
      <w:r>
        <w:rPr>
          <w:color w:val="002060"/>
        </w:rPr>
        <w:t>qté</w:t>
      </w:r>
      <w:proofErr w:type="spellEnd"/>
      <w:r>
        <w:rPr>
          <w:color w:val="002060"/>
        </w:rPr>
        <w:t xml:space="preserve"> </w:t>
      </w:r>
      <w:r w:rsidR="00B34336">
        <w:rPr>
          <w:color w:val="002060"/>
        </w:rPr>
        <w:t xml:space="preserve">d’échanges dans la zone </w:t>
      </w:r>
    </w:p>
    <w:p w:rsidR="00B34336" w:rsidRDefault="00B34336" w:rsidP="00EF36A2">
      <w:pPr>
        <w:pStyle w:val="ListParagraph"/>
        <w:ind w:left="1440"/>
        <w:rPr>
          <w:color w:val="002060"/>
        </w:rPr>
      </w:pPr>
      <w:r>
        <w:rPr>
          <w:color w:val="002060"/>
        </w:rPr>
        <w:t>Effets côté consommateurs :</w:t>
      </w:r>
    </w:p>
    <w:p w:rsidR="00B34336" w:rsidRDefault="00B34336" w:rsidP="00EF36A2">
      <w:pPr>
        <w:pStyle w:val="ListParagraph"/>
        <w:ind w:left="1440"/>
        <w:rPr>
          <w:color w:val="002060"/>
        </w:rPr>
      </w:pPr>
      <w:r>
        <w:rPr>
          <w:color w:val="002060"/>
        </w:rPr>
        <w:t xml:space="preserve">Peut aug le </w:t>
      </w:r>
      <w:proofErr w:type="spellStart"/>
      <w:r>
        <w:rPr>
          <w:color w:val="002060"/>
        </w:rPr>
        <w:t>pvr</w:t>
      </w:r>
      <w:proofErr w:type="spellEnd"/>
      <w:r>
        <w:rPr>
          <w:color w:val="002060"/>
        </w:rPr>
        <w:t xml:space="preserve"> d’achat (selon l’évolution des salaires) + aug° tourisme dans la zone</w:t>
      </w:r>
    </w:p>
    <w:p w:rsidR="00DF5D15" w:rsidRDefault="00DF5D15" w:rsidP="00EF36A2">
      <w:pPr>
        <w:pStyle w:val="ListParagraph"/>
        <w:ind w:left="1440"/>
        <w:rPr>
          <w:color w:val="002060"/>
        </w:rPr>
      </w:pPr>
      <w:r>
        <w:rPr>
          <w:color w:val="002060"/>
        </w:rPr>
        <w:t xml:space="preserve">Effets côté politique de l’Etat : fin des politiques de dévaluation compétitive </w:t>
      </w:r>
    </w:p>
    <w:p w:rsidR="00DF5D15" w:rsidRDefault="00BC19B6" w:rsidP="00BC19B6">
      <w:pPr>
        <w:ind w:left="1440"/>
        <w:rPr>
          <w:color w:val="002060"/>
        </w:rPr>
      </w:pPr>
      <w:r>
        <w:rPr>
          <w:color w:val="002060"/>
        </w:rPr>
        <w:t>=&gt;</w:t>
      </w:r>
      <w:r w:rsidRPr="00BC19B6">
        <w:rPr>
          <w:color w:val="002060"/>
        </w:rPr>
        <w:t xml:space="preserve"> </w:t>
      </w:r>
      <w:r w:rsidR="00DF5D15" w:rsidRPr="00BC19B6">
        <w:rPr>
          <w:color w:val="002060"/>
        </w:rPr>
        <w:t>La mise en place de l’euro facilite les échanges entre les pays de la zone €</w:t>
      </w:r>
    </w:p>
    <w:p w:rsidR="009C4B64" w:rsidRDefault="009C4B64" w:rsidP="00BC19B6">
      <w:pPr>
        <w:ind w:left="1440"/>
        <w:rPr>
          <w:color w:val="002060"/>
        </w:rPr>
      </w:pPr>
    </w:p>
    <w:p w:rsidR="009C4B64" w:rsidRPr="00BC19B6" w:rsidRDefault="009C4B64" w:rsidP="00A35F30">
      <w:pPr>
        <w:ind w:left="720"/>
        <w:rPr>
          <w:color w:val="002060"/>
        </w:rPr>
      </w:pPr>
      <w:r>
        <w:rPr>
          <w:color w:val="002060"/>
        </w:rPr>
        <w:t>Transition : Si depuis sa création, les avantages du marché et de la monnaie unique sont importants, quelle est aujourd’hui dans le contexte de crise économique le bilan de l’union économique et monétaire ?</w:t>
      </w:r>
    </w:p>
    <w:p w:rsidR="00A35F30" w:rsidRDefault="00A35F30" w:rsidP="001B2922">
      <w:pPr>
        <w:ind w:left="720"/>
        <w:rPr>
          <w:color w:val="002060"/>
        </w:rPr>
      </w:pPr>
    </w:p>
    <w:p w:rsidR="00A35F30" w:rsidRPr="00A35F30" w:rsidRDefault="00A35F30" w:rsidP="00A35F30">
      <w:pPr>
        <w:pStyle w:val="ListParagraph"/>
        <w:numPr>
          <w:ilvl w:val="0"/>
          <w:numId w:val="2"/>
        </w:numPr>
        <w:rPr>
          <w:b/>
          <w:color w:val="002060"/>
          <w:u w:val="single"/>
        </w:rPr>
      </w:pPr>
      <w:r>
        <w:rPr>
          <w:b/>
          <w:color w:val="538135" w:themeColor="accent6" w:themeShade="BF"/>
          <w:u w:val="single"/>
        </w:rPr>
        <w:t>Le bilan de l’UEM</w:t>
      </w:r>
    </w:p>
    <w:p w:rsidR="00A35F30" w:rsidRDefault="00A35F30" w:rsidP="00A35F30">
      <w:pPr>
        <w:pStyle w:val="ListParagraph"/>
        <w:ind w:left="1080"/>
        <w:rPr>
          <w:b/>
          <w:color w:val="538135" w:themeColor="accent6" w:themeShade="BF"/>
          <w:u w:val="single"/>
        </w:rPr>
      </w:pPr>
    </w:p>
    <w:p w:rsidR="00A35F30" w:rsidRDefault="00455115" w:rsidP="00AB4EA7">
      <w:pPr>
        <w:pStyle w:val="ListParagraph"/>
        <w:numPr>
          <w:ilvl w:val="0"/>
          <w:numId w:val="8"/>
        </w:numPr>
        <w:rPr>
          <w:b/>
          <w:color w:val="1A1A1A" w:themeColor="background1" w:themeShade="1A"/>
          <w:u w:val="single"/>
        </w:rPr>
      </w:pPr>
      <w:r>
        <w:rPr>
          <w:b/>
          <w:color w:val="1A1A1A" w:themeColor="background1" w:themeShade="1A"/>
          <w:u w:val="single"/>
        </w:rPr>
        <w:t>Le poids important de l’UE dans le monde…</w:t>
      </w:r>
    </w:p>
    <w:p w:rsidR="00455115" w:rsidRDefault="00455115" w:rsidP="00455115">
      <w:pPr>
        <w:pStyle w:val="ListParagraph"/>
        <w:ind w:left="1440"/>
        <w:rPr>
          <w:b/>
          <w:color w:val="1A1A1A" w:themeColor="background1" w:themeShade="1A"/>
          <w:u w:val="single"/>
        </w:rPr>
      </w:pPr>
    </w:p>
    <w:p w:rsidR="00455115" w:rsidRDefault="009E723C" w:rsidP="00455115">
      <w:pPr>
        <w:pStyle w:val="ListParagraph"/>
        <w:ind w:left="1440"/>
        <w:rPr>
          <w:color w:val="002060"/>
        </w:rPr>
      </w:pPr>
      <w:r>
        <w:rPr>
          <w:color w:val="002060"/>
        </w:rPr>
        <w:t>Activité 3</w:t>
      </w:r>
    </w:p>
    <w:p w:rsidR="009E723C" w:rsidRDefault="009E723C" w:rsidP="00455115">
      <w:pPr>
        <w:pStyle w:val="ListParagraph"/>
        <w:ind w:left="1440"/>
        <w:rPr>
          <w:color w:val="002060"/>
        </w:rPr>
      </w:pPr>
    </w:p>
    <w:p w:rsidR="00234D18" w:rsidRDefault="009E723C" w:rsidP="00455115">
      <w:pPr>
        <w:pStyle w:val="ListParagraph"/>
        <w:ind w:left="1440"/>
        <w:rPr>
          <w:color w:val="002060"/>
        </w:rPr>
      </w:pPr>
      <w:r>
        <w:rPr>
          <w:color w:val="002060"/>
          <w:u w:val="single"/>
        </w:rPr>
        <w:t>Commentaires :</w:t>
      </w:r>
      <w:r>
        <w:rPr>
          <w:color w:val="002060"/>
        </w:rPr>
        <w:t xml:space="preserve"> </w:t>
      </w:r>
    </w:p>
    <w:p w:rsidR="009E723C" w:rsidRPr="001B2922" w:rsidRDefault="00DD6FC8" w:rsidP="001B2922">
      <w:pPr>
        <w:ind w:left="1440"/>
        <w:rPr>
          <w:color w:val="002060"/>
        </w:rPr>
      </w:pPr>
      <w:r w:rsidRPr="001B2922">
        <w:rPr>
          <w:color w:val="002060"/>
        </w:rPr>
        <w:t>L</w:t>
      </w:r>
      <w:r w:rsidR="008129BA" w:rsidRPr="001B2922">
        <w:rPr>
          <w:color w:val="002060"/>
        </w:rPr>
        <w:t xml:space="preserve">’Union européenne est la première zone économique mondiale avec un PIB de plus de 13 milles millards de $ soit </w:t>
      </w:r>
      <w:r w:rsidR="008129BA" w:rsidRPr="001B2922">
        <w:rPr>
          <w:color w:val="002060"/>
          <w:lang w:val="en-US"/>
        </w:rPr>
        <w:t xml:space="preserve">23% </w:t>
      </w:r>
      <w:r w:rsidR="00234D18" w:rsidRPr="001B2922">
        <w:rPr>
          <w:color w:val="002060"/>
        </w:rPr>
        <w:t>du PIB mondial. Le PIB de l’UE est donc le plus élevé au monde. L’UE réalise 20% du commerce mondial</w:t>
      </w:r>
      <w:r w:rsidRPr="001B2922">
        <w:rPr>
          <w:color w:val="002060"/>
        </w:rPr>
        <w:t>. L’essentiel des échanges des pays de l’UE sont des échanges intra zone.</w:t>
      </w:r>
    </w:p>
    <w:p w:rsidR="00DD6FC8" w:rsidRDefault="00DD6FC8" w:rsidP="00DD6FC8">
      <w:pPr>
        <w:rPr>
          <w:color w:val="002060"/>
        </w:rPr>
      </w:pPr>
    </w:p>
    <w:p w:rsidR="00DD6FC8" w:rsidRDefault="00F20C8F" w:rsidP="00DD6FC8">
      <w:pPr>
        <w:pStyle w:val="ListParagraph"/>
        <w:numPr>
          <w:ilvl w:val="0"/>
          <w:numId w:val="8"/>
        </w:numPr>
        <w:rPr>
          <w:b/>
          <w:color w:val="1A1A1A" w:themeColor="background1" w:themeShade="1A"/>
          <w:u w:val="single"/>
        </w:rPr>
      </w:pPr>
      <w:r>
        <w:rPr>
          <w:b/>
          <w:color w:val="1A1A1A" w:themeColor="background1" w:themeShade="1A"/>
          <w:u w:val="single"/>
        </w:rPr>
        <w:t xml:space="preserve">… mais face à la crise des subprimes, les écarts se creusent entre </w:t>
      </w:r>
      <w:r w:rsidR="00691E6C">
        <w:rPr>
          <w:b/>
          <w:color w:val="1A1A1A" w:themeColor="background1" w:themeShade="1A"/>
          <w:u w:val="single"/>
        </w:rPr>
        <w:t>les membres de l’UE et de l’UEM</w:t>
      </w:r>
    </w:p>
    <w:p w:rsidR="00691E6C" w:rsidRDefault="00691E6C" w:rsidP="00691E6C">
      <w:pPr>
        <w:pStyle w:val="ListParagraph"/>
        <w:ind w:left="1440"/>
        <w:rPr>
          <w:b/>
          <w:color w:val="1A1A1A" w:themeColor="background1" w:themeShade="1A"/>
          <w:u w:val="single"/>
        </w:rPr>
      </w:pPr>
    </w:p>
    <w:p w:rsidR="00691E6C" w:rsidRDefault="001B2922" w:rsidP="00691E6C">
      <w:pPr>
        <w:pStyle w:val="ListParagraph"/>
        <w:ind w:left="1440"/>
        <w:rPr>
          <w:color w:val="002060"/>
        </w:rPr>
      </w:pPr>
      <w:r>
        <w:rPr>
          <w:color w:val="002060"/>
        </w:rPr>
        <w:t>Activité 4</w:t>
      </w:r>
    </w:p>
    <w:p w:rsidR="001B2922" w:rsidRDefault="001B2922" w:rsidP="00691E6C">
      <w:pPr>
        <w:pStyle w:val="ListParagraph"/>
        <w:ind w:left="1440"/>
        <w:rPr>
          <w:color w:val="002060"/>
        </w:rPr>
      </w:pPr>
    </w:p>
    <w:p w:rsidR="001B2922" w:rsidRDefault="001B2922" w:rsidP="00691E6C">
      <w:pPr>
        <w:pStyle w:val="ListParagraph"/>
        <w:ind w:left="1440"/>
        <w:rPr>
          <w:color w:val="002060"/>
        </w:rPr>
      </w:pPr>
      <w:r w:rsidRPr="001B2922">
        <w:rPr>
          <w:color w:val="002060"/>
          <w:u w:val="single"/>
        </w:rPr>
        <w:t>Commentaires :</w:t>
      </w:r>
      <w:r>
        <w:rPr>
          <w:color w:val="002060"/>
        </w:rPr>
        <w:t xml:space="preserve"> </w:t>
      </w:r>
    </w:p>
    <w:p w:rsidR="00E230AC" w:rsidRDefault="00E230AC" w:rsidP="00691E6C">
      <w:pPr>
        <w:pStyle w:val="ListParagraph"/>
        <w:ind w:left="1440"/>
        <w:rPr>
          <w:color w:val="002060"/>
        </w:rPr>
      </w:pPr>
    </w:p>
    <w:p w:rsidR="00E230AC" w:rsidRDefault="007E670D" w:rsidP="00691E6C">
      <w:pPr>
        <w:pStyle w:val="ListParagraph"/>
        <w:ind w:left="1440"/>
        <w:rPr>
          <w:color w:val="002060"/>
        </w:rPr>
      </w:pPr>
      <w:r>
        <w:rPr>
          <w:color w:val="002060"/>
        </w:rPr>
        <w:t xml:space="preserve">Ce document permet de relativiser la force économique de l’UE et de l’UEM. Le taux de chômage est très élevé avec en moyenne 12% de la population active européenne en 2013 sur la zone euro. En </w:t>
      </w:r>
      <w:r w:rsidR="00703AE7">
        <w:rPr>
          <w:color w:val="002060"/>
        </w:rPr>
        <w:t>comparaison les EU connaissent un taux de chômage plus faible (environ 6%)</w:t>
      </w:r>
    </w:p>
    <w:p w:rsidR="00703AE7" w:rsidRDefault="00703AE7" w:rsidP="00691E6C">
      <w:pPr>
        <w:pStyle w:val="ListParagraph"/>
        <w:ind w:left="1440"/>
        <w:rPr>
          <w:color w:val="002060"/>
        </w:rPr>
      </w:pPr>
      <w:r>
        <w:rPr>
          <w:color w:val="002060"/>
        </w:rPr>
        <w:lastRenderedPageBreak/>
        <w:t>Ce doc montre également les écarts de taux de chômage qui existent entre pays membres de l’UE et l’UEM. Malgré l’intégration économique, les inégalités économiques demeurent entre pays membres.</w:t>
      </w:r>
    </w:p>
    <w:p w:rsidR="00703AE7" w:rsidRDefault="00703AE7" w:rsidP="00691E6C">
      <w:pPr>
        <w:pStyle w:val="ListParagraph"/>
        <w:ind w:left="1440"/>
        <w:rPr>
          <w:color w:val="002060"/>
        </w:rPr>
      </w:pPr>
    </w:p>
    <w:p w:rsidR="00703AE7" w:rsidRDefault="00703AE7" w:rsidP="00703AE7">
      <w:pPr>
        <w:pStyle w:val="ListParagraph"/>
        <w:numPr>
          <w:ilvl w:val="0"/>
          <w:numId w:val="8"/>
        </w:numPr>
        <w:rPr>
          <w:b/>
          <w:color w:val="000000" w:themeColor="text1"/>
          <w:u w:val="single"/>
        </w:rPr>
      </w:pPr>
      <w:r>
        <w:rPr>
          <w:b/>
          <w:color w:val="000000" w:themeColor="text1"/>
          <w:u w:val="single"/>
        </w:rPr>
        <w:t xml:space="preserve">La crise des dettes </w:t>
      </w:r>
      <w:r w:rsidR="007E78E4">
        <w:rPr>
          <w:b/>
          <w:color w:val="000000" w:themeColor="text1"/>
          <w:u w:val="single"/>
        </w:rPr>
        <w:t>souveraines révèle les failles de la construction européenne</w:t>
      </w:r>
    </w:p>
    <w:p w:rsidR="007E78E4" w:rsidRDefault="007E78E4" w:rsidP="007E78E4">
      <w:pPr>
        <w:pStyle w:val="ListParagraph"/>
        <w:ind w:left="1440"/>
        <w:rPr>
          <w:b/>
          <w:color w:val="000000" w:themeColor="text1"/>
          <w:u w:val="single"/>
        </w:rPr>
      </w:pPr>
    </w:p>
    <w:p w:rsidR="007E78E4" w:rsidRPr="00726C6D" w:rsidRDefault="00726C6D" w:rsidP="007E78E4">
      <w:pPr>
        <w:pStyle w:val="ListParagraph"/>
        <w:ind w:left="1440"/>
        <w:rPr>
          <w:color w:val="002060"/>
          <w:u w:val="single"/>
        </w:rPr>
      </w:pPr>
      <w:r w:rsidRPr="00726C6D">
        <w:rPr>
          <w:color w:val="002060"/>
          <w:u w:val="single"/>
        </w:rPr>
        <w:t>Activité 5</w:t>
      </w:r>
    </w:p>
    <w:p w:rsidR="007E670D" w:rsidRDefault="007E670D" w:rsidP="00691E6C">
      <w:pPr>
        <w:pStyle w:val="ListParagraph"/>
        <w:ind w:left="1440"/>
        <w:rPr>
          <w:color w:val="002060"/>
        </w:rPr>
      </w:pPr>
    </w:p>
    <w:p w:rsidR="00726C6D" w:rsidRDefault="00726C6D" w:rsidP="00691E6C">
      <w:pPr>
        <w:pStyle w:val="ListParagraph"/>
        <w:ind w:left="1440"/>
        <w:rPr>
          <w:color w:val="002060"/>
        </w:rPr>
      </w:pPr>
      <w:r>
        <w:rPr>
          <w:color w:val="002060"/>
        </w:rPr>
        <w:t xml:space="preserve">Crise </w:t>
      </w:r>
      <w:r w:rsidR="00A438C6">
        <w:rPr>
          <w:color w:val="002060"/>
        </w:rPr>
        <w:t>des subprimes =&gt; emprunts des Etats pour sauver les banques sous formes d’obligations.</w:t>
      </w:r>
    </w:p>
    <w:p w:rsidR="00A438C6" w:rsidRDefault="00A438C6" w:rsidP="00691E6C">
      <w:pPr>
        <w:pStyle w:val="ListParagraph"/>
        <w:ind w:left="1440"/>
        <w:rPr>
          <w:color w:val="002060"/>
        </w:rPr>
      </w:pPr>
      <w:r>
        <w:rPr>
          <w:color w:val="002060"/>
        </w:rPr>
        <w:t>Obligations : reconnaissance de dette avec taux d’intérêt.</w:t>
      </w:r>
    </w:p>
    <w:p w:rsidR="00CB24FB" w:rsidRDefault="00A438C6" w:rsidP="00B5622F">
      <w:pPr>
        <w:pStyle w:val="ListParagraph"/>
        <w:ind w:left="1440"/>
        <w:rPr>
          <w:color w:val="002060"/>
        </w:rPr>
      </w:pPr>
      <w:r>
        <w:rPr>
          <w:color w:val="002060"/>
        </w:rPr>
        <w:t>Certains Etats ont présenté un risque de non remboursement. Ex : Grèce. Mais ces Etats doivent quand même</w:t>
      </w:r>
      <w:r w:rsidR="00C07320">
        <w:rPr>
          <w:color w:val="002060"/>
        </w:rPr>
        <w:t xml:space="preserve"> emprunter. </w:t>
      </w:r>
      <w:r w:rsidR="00192496">
        <w:rPr>
          <w:color w:val="002060"/>
        </w:rPr>
        <w:t>Alors ceux qui ont acheté des obligations à ces Etats</w:t>
      </w:r>
      <w:r w:rsidR="00C73EF3">
        <w:rPr>
          <w:color w:val="002060"/>
        </w:rPr>
        <w:t xml:space="preserve"> l’ont fait à </w:t>
      </w:r>
      <w:r w:rsidR="001D7FD2">
        <w:rPr>
          <w:color w:val="002060"/>
        </w:rPr>
        <w:t>un taux plus élevé.</w:t>
      </w:r>
      <w:r w:rsidR="00B5622F">
        <w:rPr>
          <w:color w:val="002060"/>
        </w:rPr>
        <w:t xml:space="preserve"> </w:t>
      </w:r>
      <w:r w:rsidR="008C7ECC">
        <w:rPr>
          <w:color w:val="002060"/>
        </w:rPr>
        <w:t xml:space="preserve">Ce qui fait que ces Etats ont encore plus de difficultés </w:t>
      </w:r>
      <w:r w:rsidR="00FD1DA9">
        <w:rPr>
          <w:color w:val="002060"/>
        </w:rPr>
        <w:t>à rembourser leur dette.</w:t>
      </w:r>
      <w:r w:rsidR="00DC3E9D">
        <w:rPr>
          <w:color w:val="002060"/>
        </w:rPr>
        <w:t xml:space="preserve"> Les agences de notation </w:t>
      </w:r>
      <w:r w:rsidR="006278DA">
        <w:rPr>
          <w:color w:val="002060"/>
        </w:rPr>
        <w:t xml:space="preserve">donnent une note aux états concernant </w:t>
      </w:r>
      <w:r w:rsidR="000733DA">
        <w:rPr>
          <w:color w:val="002060"/>
        </w:rPr>
        <w:t>leurs capacités de remboursement de la dette. Plus la note est haute plus l’État peut vendre des obligations à un taux d’intérêt faible.</w:t>
      </w:r>
      <w:r w:rsidR="00C13BFE">
        <w:rPr>
          <w:color w:val="002060"/>
        </w:rPr>
        <w:t xml:space="preserve"> Plus la note est basse plus l’État doit vendre à un taux élevé</w:t>
      </w:r>
      <w:r w:rsidR="00F83368">
        <w:rPr>
          <w:color w:val="002060"/>
        </w:rPr>
        <w:t>.</w:t>
      </w:r>
      <w:r w:rsidR="00C13BFE">
        <w:rPr>
          <w:color w:val="002060"/>
        </w:rPr>
        <w:t xml:space="preserve"> </w:t>
      </w:r>
      <w:r w:rsidR="00F83368">
        <w:rPr>
          <w:color w:val="002060"/>
        </w:rPr>
        <w:t>Les</w:t>
      </w:r>
      <w:r w:rsidR="00C13BFE">
        <w:rPr>
          <w:color w:val="002060"/>
        </w:rPr>
        <w:t xml:space="preserve"> états membres de l’UE </w:t>
      </w:r>
      <w:r w:rsidR="00F83368">
        <w:rPr>
          <w:color w:val="002060"/>
        </w:rPr>
        <w:t>et UE</w:t>
      </w:r>
      <w:r w:rsidR="00C13BFE">
        <w:rPr>
          <w:color w:val="002060"/>
        </w:rPr>
        <w:t>M ne sont pas égaux dans le financement de leurs dettes souveraine</w:t>
      </w:r>
      <w:r w:rsidR="00CB24FB">
        <w:rPr>
          <w:color w:val="002060"/>
        </w:rPr>
        <w:t>.</w:t>
      </w:r>
    </w:p>
    <w:p w:rsidR="007E670D" w:rsidRPr="006278DA" w:rsidRDefault="00CB24FB" w:rsidP="00B5622F">
      <w:pPr>
        <w:pStyle w:val="ListParagraph"/>
        <w:ind w:left="1440"/>
        <w:rPr>
          <w:color w:val="002060"/>
        </w:rPr>
      </w:pPr>
      <w:r>
        <w:rPr>
          <w:color w:val="002060"/>
        </w:rPr>
        <w:t>Les pays de l’UE ne se sont pas engagés dans la voie de l’intégration politique. Cette intégration incomplète pourrait expliquer les difficultés de sortie de la crise des subprimes.</w:t>
      </w:r>
    </w:p>
    <w:p w:rsidR="006C1575" w:rsidRPr="00B5622F" w:rsidRDefault="006C1575" w:rsidP="00B5622F">
      <w:pPr>
        <w:pStyle w:val="ListParagraph"/>
        <w:ind w:left="1440"/>
        <w:rPr>
          <w:color w:val="002060"/>
        </w:rPr>
      </w:pPr>
    </w:p>
    <w:p w:rsidR="007E670D" w:rsidRPr="00F86A25" w:rsidRDefault="002106C6" w:rsidP="00F86A25">
      <w:pPr>
        <w:pStyle w:val="ListParagraph"/>
        <w:numPr>
          <w:ilvl w:val="0"/>
          <w:numId w:val="1"/>
        </w:numPr>
        <w:rPr>
          <w:b/>
          <w:color w:val="FF0000"/>
          <w:u w:val="single"/>
        </w:rPr>
      </w:pPr>
      <w:r>
        <w:rPr>
          <w:b/>
          <w:color w:val="FF0000"/>
          <w:u w:val="single"/>
        </w:rPr>
        <w:t xml:space="preserve">Une intégration inachevée </w:t>
      </w:r>
      <w:r w:rsidR="000B4E8E">
        <w:rPr>
          <w:b/>
          <w:color w:val="FF0000"/>
          <w:u w:val="single"/>
        </w:rPr>
        <w:t>en l’absence de politique budgétaire commune</w:t>
      </w:r>
    </w:p>
    <w:p w:rsidR="007E670D" w:rsidRDefault="007E670D" w:rsidP="007E670D">
      <w:pPr>
        <w:rPr>
          <w:color w:val="002060"/>
        </w:rPr>
      </w:pPr>
    </w:p>
    <w:p w:rsidR="00560C51" w:rsidRDefault="007E670D" w:rsidP="00687CDF">
      <w:pPr>
        <w:ind w:left="720"/>
        <w:rPr>
          <w:color w:val="002060"/>
        </w:rPr>
      </w:pPr>
      <w:r>
        <w:rPr>
          <w:color w:val="002060"/>
        </w:rPr>
        <w:t xml:space="preserve">L’Etat dispose de 2 outils </w:t>
      </w:r>
      <w:r w:rsidR="004A2FA3">
        <w:rPr>
          <w:color w:val="002060"/>
        </w:rPr>
        <w:t>en matière de politique économique</w:t>
      </w:r>
      <w:r w:rsidR="00FC27F7">
        <w:rPr>
          <w:color w:val="002060"/>
        </w:rPr>
        <w:t> : l</w:t>
      </w:r>
      <w:r w:rsidR="004A2FA3">
        <w:rPr>
          <w:color w:val="002060"/>
        </w:rPr>
        <w:t xml:space="preserve">a politique monétaire et </w:t>
      </w:r>
      <w:r w:rsidR="00896B38">
        <w:rPr>
          <w:color w:val="002060"/>
        </w:rPr>
        <w:t>la poli</w:t>
      </w:r>
      <w:r w:rsidR="00FC27F7">
        <w:rPr>
          <w:color w:val="002060"/>
        </w:rPr>
        <w:t xml:space="preserve">tique </w:t>
      </w:r>
      <w:r w:rsidR="004A2FA3">
        <w:rPr>
          <w:color w:val="002060"/>
        </w:rPr>
        <w:t>budgétaire</w:t>
      </w:r>
      <w:r w:rsidR="00FC27F7">
        <w:rPr>
          <w:color w:val="002060"/>
        </w:rPr>
        <w:t>.</w:t>
      </w:r>
      <w:r w:rsidR="001068BD">
        <w:rPr>
          <w:color w:val="002060"/>
        </w:rPr>
        <w:t xml:space="preserve"> Toutes deux ne sont pas menées de manière </w:t>
      </w:r>
      <w:r w:rsidR="00800E42">
        <w:rPr>
          <w:color w:val="002060"/>
        </w:rPr>
        <w:t xml:space="preserve">identique </w:t>
      </w:r>
      <w:r w:rsidR="000E0037">
        <w:rPr>
          <w:color w:val="002060"/>
        </w:rPr>
        <w:t>au sein de l’UEM.</w:t>
      </w:r>
      <w:r w:rsidR="009C7F81">
        <w:rPr>
          <w:color w:val="002060"/>
        </w:rPr>
        <w:t xml:space="preserve"> La politique </w:t>
      </w:r>
      <w:r w:rsidR="00E95E36">
        <w:rPr>
          <w:color w:val="002060"/>
        </w:rPr>
        <w:t>monétaire relève d</w:t>
      </w:r>
      <w:r w:rsidR="00440D70">
        <w:rPr>
          <w:color w:val="002060"/>
        </w:rPr>
        <w:t>’une politique supranationale</w:t>
      </w:r>
      <w:r w:rsidR="00620428">
        <w:rPr>
          <w:color w:val="002060"/>
        </w:rPr>
        <w:t xml:space="preserve"> car elle est confiée à la BCE</w:t>
      </w:r>
      <w:r w:rsidR="00901ABE">
        <w:rPr>
          <w:color w:val="002060"/>
        </w:rPr>
        <w:t>. La politique budgétaire quant à elle,</w:t>
      </w:r>
      <w:r w:rsidR="00F86A25">
        <w:rPr>
          <w:color w:val="002060"/>
        </w:rPr>
        <w:t xml:space="preserve"> est laissée à la charge des Etats membres.</w:t>
      </w:r>
    </w:p>
    <w:p w:rsidR="00560C51" w:rsidRDefault="00560C51" w:rsidP="007E670D">
      <w:pPr>
        <w:rPr>
          <w:color w:val="002060"/>
        </w:rPr>
      </w:pPr>
    </w:p>
    <w:p w:rsidR="00344FFF" w:rsidRDefault="00344FFF" w:rsidP="00344FFF">
      <w:pPr>
        <w:pStyle w:val="ListParagraph"/>
        <w:numPr>
          <w:ilvl w:val="0"/>
          <w:numId w:val="10"/>
        </w:numPr>
        <w:rPr>
          <w:b/>
          <w:color w:val="538135" w:themeColor="accent6" w:themeShade="BF"/>
          <w:u w:val="single"/>
        </w:rPr>
      </w:pPr>
      <w:r>
        <w:rPr>
          <w:b/>
          <w:color w:val="538135" w:themeColor="accent6" w:themeShade="BF"/>
          <w:u w:val="single"/>
        </w:rPr>
        <w:t>Une politique monétaire supranationale menée par la BCE</w:t>
      </w:r>
    </w:p>
    <w:p w:rsidR="00344FFF" w:rsidRDefault="00344FFF" w:rsidP="00344FFF">
      <w:pPr>
        <w:pStyle w:val="ListParagraph"/>
        <w:rPr>
          <w:b/>
          <w:color w:val="538135" w:themeColor="accent6" w:themeShade="BF"/>
          <w:u w:val="single"/>
        </w:rPr>
      </w:pPr>
    </w:p>
    <w:p w:rsidR="00344FFF" w:rsidRDefault="004A2FA3" w:rsidP="00687CDF">
      <w:pPr>
        <w:pStyle w:val="ListParagraph"/>
        <w:ind w:left="1080"/>
        <w:rPr>
          <w:color w:val="002060"/>
        </w:rPr>
      </w:pPr>
      <w:r w:rsidRPr="00D76306">
        <w:rPr>
          <w:color w:val="002060"/>
          <w:highlight w:val="yellow"/>
        </w:rPr>
        <w:t xml:space="preserve">La politique </w:t>
      </w:r>
      <w:r w:rsidR="00896B38" w:rsidRPr="00D76306">
        <w:rPr>
          <w:color w:val="002060"/>
          <w:highlight w:val="yellow"/>
        </w:rPr>
        <w:t>monétaire consiste à utiliser des instruments monétaires pour influencer la conjoncture économique</w:t>
      </w:r>
      <w:r w:rsidR="00896B38" w:rsidRPr="00BF6000">
        <w:rPr>
          <w:color w:val="002060"/>
          <w:highlight w:val="yellow"/>
        </w:rPr>
        <w:t>.</w:t>
      </w:r>
      <w:r w:rsidR="00FC27F7" w:rsidRPr="00BF6000">
        <w:rPr>
          <w:color w:val="002060"/>
          <w:highlight w:val="yellow"/>
        </w:rPr>
        <w:t xml:space="preserve"> C’est la BCE qui utilise ces instruments au sein de la zone euro.</w:t>
      </w:r>
      <w:r w:rsidR="001068BD" w:rsidRPr="00BF6000">
        <w:rPr>
          <w:color w:val="002060"/>
          <w:highlight w:val="yellow"/>
        </w:rPr>
        <w:t xml:space="preserve"> La BCE agit sur le taux directeur, elle le monte ou elle le baisse.</w:t>
      </w:r>
      <w:r w:rsidR="001068BD">
        <w:rPr>
          <w:color w:val="002060"/>
        </w:rPr>
        <w:t xml:space="preserve"> Cela a des conséquences sur le niveau des taux d’intérêts des banques</w:t>
      </w:r>
      <w:r w:rsidR="00800E42">
        <w:rPr>
          <w:color w:val="002060"/>
        </w:rPr>
        <w:t xml:space="preserve"> (ex : BNP, Caisse d’Epargne…). Cela a des conséquences sur le niveau de consommation et d’investissement des ménages et des entreprises.</w:t>
      </w:r>
      <w:r w:rsidR="009C7F81">
        <w:rPr>
          <w:color w:val="002060"/>
        </w:rPr>
        <w:t xml:space="preserve"> Les politiques monétaires peuvent être de </w:t>
      </w:r>
      <w:r w:rsidR="009C7F81" w:rsidRPr="009C7F81">
        <w:rPr>
          <w:color w:val="002060"/>
          <w:u w:val="single"/>
        </w:rPr>
        <w:t>relance</w:t>
      </w:r>
      <w:r w:rsidR="009C7F81">
        <w:rPr>
          <w:color w:val="002060"/>
        </w:rPr>
        <w:t xml:space="preserve"> ou de </w:t>
      </w:r>
      <w:r w:rsidR="009C7F81" w:rsidRPr="002C42EE">
        <w:rPr>
          <w:color w:val="002060"/>
          <w:u w:val="single"/>
        </w:rPr>
        <w:t>rigueur</w:t>
      </w:r>
      <w:r w:rsidR="009C7F81">
        <w:rPr>
          <w:color w:val="002060"/>
        </w:rPr>
        <w:t>.</w:t>
      </w:r>
    </w:p>
    <w:p w:rsidR="0000341E" w:rsidRDefault="0000341E" w:rsidP="00687CDF">
      <w:pPr>
        <w:pStyle w:val="ListParagraph"/>
        <w:ind w:left="1080"/>
        <w:rPr>
          <w:color w:val="002060"/>
        </w:rPr>
      </w:pPr>
      <w:r w:rsidRPr="0076716C">
        <w:rPr>
          <w:b/>
          <w:color w:val="002060"/>
        </w:rPr>
        <w:t>Politique monétaire de relance</w:t>
      </w:r>
      <w:r>
        <w:rPr>
          <w:color w:val="002060"/>
        </w:rPr>
        <w:t xml:space="preserve"> : </w:t>
      </w:r>
    </w:p>
    <w:p w:rsidR="00440D70" w:rsidRDefault="00440D70" w:rsidP="00687CDF">
      <w:pPr>
        <w:pStyle w:val="ListParagraph"/>
        <w:ind w:left="1080"/>
        <w:rPr>
          <w:color w:val="002060"/>
        </w:rPr>
      </w:pPr>
      <w:r w:rsidRPr="00912CB3">
        <w:rPr>
          <w:color w:val="002060"/>
          <w:u w:val="single"/>
        </w:rPr>
        <w:t>Objectif politique</w:t>
      </w:r>
      <w:r>
        <w:rPr>
          <w:color w:val="002060"/>
        </w:rPr>
        <w:t> = soutenir la croissance économique même si cela provoque de l’inflation.</w:t>
      </w:r>
      <w:r w:rsidR="007134A1">
        <w:rPr>
          <w:color w:val="002060"/>
        </w:rPr>
        <w:t xml:space="preserve"> La BCE baisse taux directeur =&gt;</w:t>
      </w:r>
      <w:r w:rsidR="00901ABE">
        <w:rPr>
          <w:color w:val="002060"/>
        </w:rPr>
        <w:t xml:space="preserve"> financement des banques auprès de la BCE n’est pas cher =&gt; les banques baissent taux d’intérêt des crédits =&gt; hausse de la consommation </w:t>
      </w:r>
      <w:r w:rsidR="0076716C">
        <w:rPr>
          <w:color w:val="002060"/>
        </w:rPr>
        <w:t>+ hausse des investissements =&gt; hausse D =&gt; hausse croissance.</w:t>
      </w:r>
    </w:p>
    <w:p w:rsidR="0076716C" w:rsidRDefault="0076716C" w:rsidP="00687CDF">
      <w:pPr>
        <w:pStyle w:val="ListParagraph"/>
        <w:ind w:left="1080"/>
        <w:rPr>
          <w:color w:val="002060"/>
        </w:rPr>
      </w:pPr>
      <w:r>
        <w:rPr>
          <w:color w:val="002060"/>
        </w:rPr>
        <w:t xml:space="preserve">Mais : </w:t>
      </w:r>
      <w:r w:rsidR="00912CB3">
        <w:rPr>
          <w:color w:val="002060"/>
        </w:rPr>
        <w:t xml:space="preserve">hausse D =&gt; D &gt; O =&gt; </w:t>
      </w:r>
      <w:r w:rsidR="00142E3D">
        <w:rPr>
          <w:color w:val="002060"/>
        </w:rPr>
        <w:t xml:space="preserve">hausse prix = </w:t>
      </w:r>
      <w:r w:rsidR="00142E3D" w:rsidRPr="00142E3D">
        <w:rPr>
          <w:color w:val="002060"/>
          <w:u w:val="single"/>
        </w:rPr>
        <w:t>tensions inflationnistes</w:t>
      </w:r>
      <w:r w:rsidR="00142E3D">
        <w:rPr>
          <w:color w:val="002060"/>
        </w:rPr>
        <w:t>.</w:t>
      </w:r>
    </w:p>
    <w:p w:rsidR="001A2CCB" w:rsidRDefault="001A2CCB" w:rsidP="00687CDF">
      <w:pPr>
        <w:pStyle w:val="ListParagraph"/>
        <w:ind w:left="1080"/>
        <w:rPr>
          <w:b/>
          <w:color w:val="002060"/>
        </w:rPr>
      </w:pPr>
      <w:r>
        <w:rPr>
          <w:b/>
          <w:color w:val="002060"/>
        </w:rPr>
        <w:t>Politique de rigueur ou restrictive :</w:t>
      </w:r>
    </w:p>
    <w:p w:rsidR="001A2CCB" w:rsidRDefault="001A2CCB" w:rsidP="00687CDF">
      <w:pPr>
        <w:pStyle w:val="ListParagraph"/>
        <w:ind w:left="1080"/>
        <w:rPr>
          <w:color w:val="002060"/>
        </w:rPr>
      </w:pPr>
      <w:r>
        <w:rPr>
          <w:color w:val="002060"/>
          <w:u w:val="single"/>
        </w:rPr>
        <w:t xml:space="preserve">Objectif politique </w:t>
      </w:r>
      <w:r>
        <w:rPr>
          <w:color w:val="002060"/>
        </w:rPr>
        <w:t>= limiter les dérives inflationnistes</w:t>
      </w:r>
    </w:p>
    <w:p w:rsidR="001A2CCB" w:rsidRDefault="001A2CCB" w:rsidP="00687CDF">
      <w:pPr>
        <w:pStyle w:val="ListParagraph"/>
        <w:ind w:left="1080"/>
        <w:rPr>
          <w:color w:val="002060"/>
        </w:rPr>
      </w:pPr>
      <w:r>
        <w:rPr>
          <w:color w:val="002060"/>
        </w:rPr>
        <w:t>La BCE</w:t>
      </w:r>
      <w:r w:rsidR="000F67C2">
        <w:rPr>
          <w:color w:val="002060"/>
        </w:rPr>
        <w:t xml:space="preserve"> aug taux directeur</w:t>
      </w:r>
      <w:r w:rsidR="00DE37CA">
        <w:rPr>
          <w:color w:val="002060"/>
        </w:rPr>
        <w:t xml:space="preserve"> =&gt; le financement des banques après de la BCE est cher =&gt; arques aug taux d’intérêt pour crédits =&gt; baisse la consommation + baisse investissement =&gt; baisse D =&gt; D &lt; O =&gt; baisse prix =&gt; limite tensions inflationnistes.</w:t>
      </w:r>
    </w:p>
    <w:p w:rsidR="00DE37CA" w:rsidRDefault="00DE37CA" w:rsidP="00687CDF">
      <w:pPr>
        <w:pStyle w:val="ListParagraph"/>
        <w:ind w:left="1080"/>
        <w:rPr>
          <w:color w:val="002060"/>
        </w:rPr>
      </w:pPr>
      <w:r>
        <w:rPr>
          <w:color w:val="002060"/>
        </w:rPr>
        <w:t>Mais : baisse D =&gt; baisse O =&gt; limite la croissance éco.</w:t>
      </w:r>
    </w:p>
    <w:p w:rsidR="001D7FD2" w:rsidRDefault="001D7FD2" w:rsidP="00344FFF">
      <w:pPr>
        <w:pStyle w:val="ListParagraph"/>
        <w:rPr>
          <w:color w:val="002060"/>
        </w:rPr>
      </w:pPr>
    </w:p>
    <w:p w:rsidR="008C7ECC" w:rsidRDefault="002936E2" w:rsidP="008C7ECC">
      <w:pPr>
        <w:pStyle w:val="ListParagraph"/>
        <w:numPr>
          <w:ilvl w:val="0"/>
          <w:numId w:val="11"/>
        </w:numPr>
        <w:rPr>
          <w:color w:val="002060"/>
        </w:rPr>
      </w:pPr>
      <w:r>
        <w:rPr>
          <w:color w:val="002060"/>
        </w:rPr>
        <w:lastRenderedPageBreak/>
        <w:t>Depuis la création de la BCE, son objectif premier est de lutter contre l’inflation donc les taux directeurs sont élevés. Mais avec la crise des subprimes, la BCE a baissé le taux directeur pour faciliter le refinancement des banques et donc permettre aux entreprises d’acheter des crédits. Mais ces crédits sont utilisés pour spéculer et non pour investir ce qui créé le risque de constituer une nouvelle bulle spéculative</w:t>
      </w:r>
      <w:r w:rsidR="008C7ECC">
        <w:rPr>
          <w:color w:val="002060"/>
        </w:rPr>
        <w:t>.</w:t>
      </w:r>
    </w:p>
    <w:p w:rsidR="008C7ECC" w:rsidRDefault="008C7ECC" w:rsidP="008C7ECC">
      <w:pPr>
        <w:rPr>
          <w:color w:val="002060"/>
        </w:rPr>
      </w:pPr>
    </w:p>
    <w:p w:rsidR="008C7ECC" w:rsidRDefault="008C7ECC" w:rsidP="008C7ECC">
      <w:pPr>
        <w:pStyle w:val="ListParagraph"/>
        <w:numPr>
          <w:ilvl w:val="0"/>
          <w:numId w:val="10"/>
        </w:numPr>
        <w:rPr>
          <w:b/>
          <w:color w:val="538135" w:themeColor="accent6" w:themeShade="BF"/>
          <w:u w:val="single"/>
        </w:rPr>
      </w:pPr>
      <w:r>
        <w:rPr>
          <w:b/>
          <w:color w:val="538135" w:themeColor="accent6" w:themeShade="BF"/>
          <w:u w:val="single"/>
        </w:rPr>
        <w:t xml:space="preserve">… mais </w:t>
      </w:r>
      <w:r w:rsidR="00D606FA">
        <w:rPr>
          <w:b/>
          <w:color w:val="538135" w:themeColor="accent6" w:themeShade="BF"/>
          <w:u w:val="single"/>
        </w:rPr>
        <w:t>des politiques budgétaires encadrées nationalement par les Etats</w:t>
      </w:r>
      <w:r w:rsidR="00DF24E7">
        <w:rPr>
          <w:b/>
          <w:color w:val="538135" w:themeColor="accent6" w:themeShade="BF"/>
          <w:u w:val="single"/>
        </w:rPr>
        <w:t>.</w:t>
      </w:r>
    </w:p>
    <w:p w:rsidR="00DF24E7" w:rsidRDefault="00DF24E7" w:rsidP="00DF24E7">
      <w:pPr>
        <w:pStyle w:val="ListParagraph"/>
        <w:rPr>
          <w:b/>
          <w:color w:val="538135" w:themeColor="accent6" w:themeShade="BF"/>
          <w:u w:val="single"/>
        </w:rPr>
      </w:pPr>
    </w:p>
    <w:p w:rsidR="00DF24E7" w:rsidRDefault="00DF24E7" w:rsidP="00DF24E7">
      <w:pPr>
        <w:pStyle w:val="ListParagraph"/>
        <w:numPr>
          <w:ilvl w:val="0"/>
          <w:numId w:val="12"/>
        </w:numPr>
        <w:rPr>
          <w:b/>
          <w:color w:val="000000" w:themeColor="text1"/>
          <w:u w:val="single"/>
        </w:rPr>
      </w:pPr>
      <w:r>
        <w:rPr>
          <w:b/>
          <w:color w:val="000000" w:themeColor="text1"/>
          <w:u w:val="single"/>
        </w:rPr>
        <w:t>L’absence de politique budgétaire commune</w:t>
      </w:r>
    </w:p>
    <w:p w:rsidR="00687CDF" w:rsidRDefault="00687CDF" w:rsidP="00687CDF">
      <w:pPr>
        <w:pStyle w:val="ListParagraph"/>
        <w:ind w:left="1440"/>
        <w:rPr>
          <w:color w:val="002060"/>
        </w:rPr>
      </w:pPr>
    </w:p>
    <w:p w:rsidR="00DF24E7" w:rsidRDefault="00DF24E7" w:rsidP="00687CDF">
      <w:pPr>
        <w:pStyle w:val="ListParagraph"/>
        <w:ind w:left="1440"/>
        <w:rPr>
          <w:color w:val="002060"/>
        </w:rPr>
      </w:pPr>
      <w:r>
        <w:rPr>
          <w:color w:val="002060"/>
        </w:rPr>
        <w:t>Activité 6</w:t>
      </w:r>
    </w:p>
    <w:p w:rsidR="00DF24E7" w:rsidRDefault="00DF24E7" w:rsidP="00687CDF">
      <w:pPr>
        <w:pStyle w:val="ListParagraph"/>
        <w:ind w:left="1440"/>
        <w:rPr>
          <w:color w:val="002060"/>
        </w:rPr>
      </w:pPr>
    </w:p>
    <w:p w:rsidR="00DF24E7" w:rsidRDefault="00C71777" w:rsidP="00687CDF">
      <w:pPr>
        <w:pStyle w:val="ListParagraph"/>
        <w:ind w:left="1440"/>
        <w:rPr>
          <w:color w:val="002060"/>
        </w:rPr>
      </w:pPr>
      <w:r>
        <w:rPr>
          <w:color w:val="002060"/>
        </w:rPr>
        <w:t>Le budget européen est</w:t>
      </w:r>
      <w:r w:rsidR="00453710">
        <w:rPr>
          <w:color w:val="002060"/>
        </w:rPr>
        <w:t>,</w:t>
      </w:r>
      <w:r>
        <w:rPr>
          <w:color w:val="002060"/>
        </w:rPr>
        <w:t xml:space="preserve"> en 2012</w:t>
      </w:r>
      <w:r w:rsidR="00453710">
        <w:rPr>
          <w:color w:val="002060"/>
        </w:rPr>
        <w:t>,</w:t>
      </w:r>
      <w:r>
        <w:rPr>
          <w:color w:val="002060"/>
        </w:rPr>
        <w:t xml:space="preserve"> 25 fois plus faible que celui des USA. Cela signifie que les états membres de l’UE ont conservé leur autonomie en terme de politique budgétaire. </w:t>
      </w:r>
      <w:r w:rsidRPr="00FE2952">
        <w:rPr>
          <w:color w:val="002060"/>
          <w:highlight w:val="yellow"/>
        </w:rPr>
        <w:t xml:space="preserve">La politique budgétaire consiste à utiliser les instruments budgétaires </w:t>
      </w:r>
      <w:r w:rsidR="00453710" w:rsidRPr="00FE2952">
        <w:rPr>
          <w:color w:val="002060"/>
          <w:highlight w:val="yellow"/>
        </w:rPr>
        <w:t>pour influencer la conjoncture économique</w:t>
      </w:r>
      <w:r w:rsidR="00410368" w:rsidRPr="00FE2952">
        <w:rPr>
          <w:color w:val="002060"/>
          <w:highlight w:val="yellow"/>
        </w:rPr>
        <w:t>. Les instruments budgétaires à la disposition de l’Etat sont les dépenses publiques et les prélèvements obligatoires (impôts et cotisations).</w:t>
      </w:r>
      <w:r w:rsidR="00410368">
        <w:rPr>
          <w:color w:val="002060"/>
        </w:rPr>
        <w:t xml:space="preserve"> Tout comme la politique monétaire, la politique budgétaire peut être de relance ou de rigueur.</w:t>
      </w:r>
    </w:p>
    <w:p w:rsidR="00410368" w:rsidRDefault="00410368" w:rsidP="00687CDF">
      <w:pPr>
        <w:pStyle w:val="ListParagraph"/>
        <w:ind w:left="1440"/>
        <w:rPr>
          <w:b/>
          <w:color w:val="002060"/>
        </w:rPr>
      </w:pPr>
      <w:r>
        <w:rPr>
          <w:b/>
          <w:color w:val="002060"/>
        </w:rPr>
        <w:t>Politique budgétaire de relance :</w:t>
      </w:r>
    </w:p>
    <w:p w:rsidR="006C1575" w:rsidRDefault="00410368" w:rsidP="00687CDF">
      <w:pPr>
        <w:pStyle w:val="ListParagraph"/>
        <w:ind w:left="1440"/>
        <w:rPr>
          <w:color w:val="002060"/>
        </w:rPr>
      </w:pPr>
      <w:r>
        <w:rPr>
          <w:color w:val="002060"/>
          <w:u w:val="single"/>
        </w:rPr>
        <w:t>Objectif :</w:t>
      </w:r>
      <w:r>
        <w:rPr>
          <w:color w:val="002060"/>
        </w:rPr>
        <w:t xml:space="preserve"> </w:t>
      </w:r>
      <w:r w:rsidR="006C1575">
        <w:rPr>
          <w:color w:val="002060"/>
        </w:rPr>
        <w:t>relance la croissance éco.</w:t>
      </w:r>
    </w:p>
    <w:p w:rsidR="006C1575" w:rsidRDefault="006C1575" w:rsidP="00687CDF">
      <w:pPr>
        <w:pStyle w:val="ListParagraph"/>
        <w:ind w:left="1440"/>
        <w:rPr>
          <w:color w:val="002060"/>
        </w:rPr>
      </w:pPr>
      <w:r>
        <w:rPr>
          <w:color w:val="002060"/>
        </w:rPr>
        <w:t>Aug des dépenses publiques ou baisse des impôts =&gt; aug pouvoir d’achat =&gt; aug conso =&gt; aug prod° =&gt; hausse croissance économique.</w:t>
      </w:r>
    </w:p>
    <w:p w:rsidR="006C1575" w:rsidRDefault="006C1575" w:rsidP="00687CDF">
      <w:pPr>
        <w:pStyle w:val="ListParagraph"/>
        <w:ind w:left="1440"/>
        <w:rPr>
          <w:color w:val="002060"/>
        </w:rPr>
      </w:pPr>
      <w:r>
        <w:rPr>
          <w:color w:val="002060"/>
        </w:rPr>
        <w:t>Mais : hausse D =&gt; D &gt; O =&gt; tensions inflationnistes.</w:t>
      </w:r>
    </w:p>
    <w:p w:rsidR="006C1575" w:rsidRDefault="006C1575" w:rsidP="00687CDF">
      <w:pPr>
        <w:pStyle w:val="ListParagraph"/>
        <w:ind w:left="1440"/>
        <w:rPr>
          <w:b/>
          <w:color w:val="002060"/>
        </w:rPr>
      </w:pPr>
      <w:r>
        <w:rPr>
          <w:b/>
          <w:color w:val="002060"/>
        </w:rPr>
        <w:t>Politique budgétaire de rigueur :</w:t>
      </w:r>
    </w:p>
    <w:p w:rsidR="006C1575" w:rsidRDefault="006C1575" w:rsidP="00687CDF">
      <w:pPr>
        <w:pStyle w:val="ListParagraph"/>
        <w:ind w:left="1440"/>
        <w:rPr>
          <w:color w:val="002060"/>
        </w:rPr>
      </w:pPr>
      <w:r>
        <w:rPr>
          <w:color w:val="002060"/>
          <w:u w:val="single"/>
        </w:rPr>
        <w:t>Objectif </w:t>
      </w:r>
      <w:r>
        <w:rPr>
          <w:color w:val="002060"/>
        </w:rPr>
        <w:t>: limiter le déficit public (éviter de creuser la dette des Etats).</w:t>
      </w:r>
    </w:p>
    <w:p w:rsidR="00DC3E9D" w:rsidRDefault="00DC3E9D" w:rsidP="00687CDF">
      <w:pPr>
        <w:pStyle w:val="ListParagraph"/>
        <w:ind w:left="1440"/>
        <w:rPr>
          <w:color w:val="002060"/>
        </w:rPr>
      </w:pPr>
      <w:r>
        <w:rPr>
          <w:color w:val="002060"/>
        </w:rPr>
        <w:t xml:space="preserve">Baisse dépenses publiques ou aug les impôts =&gt; baisse pouvoir d’achat =&gt; baisse consommation =&gt; baisse inflation </w:t>
      </w:r>
    </w:p>
    <w:p w:rsidR="00DC3E9D" w:rsidRDefault="00DC3E9D" w:rsidP="00687CDF">
      <w:pPr>
        <w:pStyle w:val="ListParagraph"/>
        <w:ind w:left="1440"/>
        <w:rPr>
          <w:color w:val="002060"/>
        </w:rPr>
      </w:pPr>
      <w:r>
        <w:rPr>
          <w:color w:val="002060"/>
        </w:rPr>
        <w:t>Mais : baisse D =&gt; baisse prod° =&gt; baisse croissance.</w:t>
      </w:r>
    </w:p>
    <w:p w:rsidR="00DC3E9D" w:rsidRDefault="00DC3E9D" w:rsidP="006C1575">
      <w:pPr>
        <w:pStyle w:val="ListParagraph"/>
        <w:ind w:left="1080"/>
        <w:rPr>
          <w:color w:val="002060"/>
        </w:rPr>
      </w:pPr>
    </w:p>
    <w:p w:rsidR="00DC3E9D" w:rsidRDefault="0082315A" w:rsidP="00DC3E9D">
      <w:pPr>
        <w:pStyle w:val="ListParagraph"/>
        <w:numPr>
          <w:ilvl w:val="0"/>
          <w:numId w:val="12"/>
        </w:numPr>
        <w:rPr>
          <w:b/>
          <w:color w:val="000000" w:themeColor="text1"/>
          <w:u w:val="single"/>
        </w:rPr>
      </w:pPr>
      <w:r>
        <w:rPr>
          <w:b/>
          <w:color w:val="000000" w:themeColor="text1"/>
          <w:u w:val="single"/>
        </w:rPr>
        <w:t>D</w:t>
      </w:r>
      <w:r w:rsidR="003074A5">
        <w:rPr>
          <w:b/>
          <w:color w:val="000000" w:themeColor="text1"/>
          <w:u w:val="single"/>
        </w:rPr>
        <w:t xml:space="preserve">es budgets nationaux autonomes mais encadrés par le traité de Maastricht </w:t>
      </w:r>
    </w:p>
    <w:p w:rsidR="003074A5" w:rsidRDefault="003074A5" w:rsidP="003074A5">
      <w:pPr>
        <w:pStyle w:val="ListParagraph"/>
        <w:ind w:left="1080"/>
        <w:rPr>
          <w:b/>
          <w:color w:val="000000" w:themeColor="text1"/>
          <w:u w:val="single"/>
        </w:rPr>
      </w:pPr>
    </w:p>
    <w:p w:rsidR="003074A5" w:rsidRDefault="00C77CEC" w:rsidP="00687CDF">
      <w:pPr>
        <w:pStyle w:val="ListParagraph"/>
        <w:ind w:left="1440"/>
        <w:rPr>
          <w:color w:val="002060"/>
        </w:rPr>
      </w:pPr>
      <w:r>
        <w:rPr>
          <w:color w:val="002060"/>
        </w:rPr>
        <w:t>Les politiques budgétaires sont à la discrétion des Etats. Ils sont libres d’affecter leur budget entre les différents postes (l’éducation, la santé, la justice…)</w:t>
      </w:r>
      <w:r w:rsidR="007752C1">
        <w:rPr>
          <w:color w:val="002060"/>
        </w:rPr>
        <w:t>. Néanmoins ils sont surveillés par la commission européenne en vertu du traité du Maastricht et du pacte de stabilité et de croissance, cad que chaque pays doit respecter des critères :</w:t>
      </w:r>
    </w:p>
    <w:p w:rsidR="007752C1" w:rsidRDefault="007752C1" w:rsidP="00687CDF">
      <w:pPr>
        <w:pStyle w:val="ListParagraph"/>
        <w:numPr>
          <w:ilvl w:val="0"/>
          <w:numId w:val="4"/>
        </w:numPr>
        <w:ind w:left="2160"/>
        <w:rPr>
          <w:color w:val="002060"/>
        </w:rPr>
      </w:pPr>
      <w:r>
        <w:rPr>
          <w:color w:val="002060"/>
        </w:rPr>
        <w:t>Le déficit public ne doit pas excéder 3% du PIB</w:t>
      </w:r>
    </w:p>
    <w:p w:rsidR="007752C1" w:rsidRDefault="007752C1" w:rsidP="00687CDF">
      <w:pPr>
        <w:pStyle w:val="ListParagraph"/>
        <w:numPr>
          <w:ilvl w:val="0"/>
          <w:numId w:val="4"/>
        </w:numPr>
        <w:ind w:left="2160"/>
        <w:rPr>
          <w:color w:val="002060"/>
        </w:rPr>
      </w:pPr>
      <w:r>
        <w:rPr>
          <w:color w:val="002060"/>
        </w:rPr>
        <w:t>La dette publique ne doit pas excéder 60% du PIB</w:t>
      </w:r>
    </w:p>
    <w:p w:rsidR="007752C1" w:rsidRDefault="007752C1" w:rsidP="00687CDF">
      <w:pPr>
        <w:pStyle w:val="ListParagraph"/>
        <w:numPr>
          <w:ilvl w:val="0"/>
          <w:numId w:val="4"/>
        </w:numPr>
        <w:ind w:left="2160"/>
        <w:rPr>
          <w:color w:val="002060"/>
        </w:rPr>
      </w:pPr>
      <w:r>
        <w:rPr>
          <w:color w:val="002060"/>
        </w:rPr>
        <w:t>L’inflation doit être faible et contenue en dessous de 2%</w:t>
      </w:r>
    </w:p>
    <w:p w:rsidR="0035016E" w:rsidRDefault="0035016E" w:rsidP="00687CDF">
      <w:pPr>
        <w:pStyle w:val="ListParagraph"/>
        <w:ind w:left="1440"/>
        <w:rPr>
          <w:color w:val="002060"/>
        </w:rPr>
      </w:pPr>
      <w:r>
        <w:rPr>
          <w:color w:val="002060"/>
        </w:rPr>
        <w:t xml:space="preserve">Cet encadrement des politiques budgétaires en l’absence de budget commun pose des problèmes : </w:t>
      </w:r>
    </w:p>
    <w:p w:rsidR="0035016E" w:rsidRDefault="0035016E" w:rsidP="00687CDF">
      <w:pPr>
        <w:pStyle w:val="ListParagraph"/>
        <w:numPr>
          <w:ilvl w:val="0"/>
          <w:numId w:val="4"/>
        </w:numPr>
        <w:ind w:left="2160"/>
        <w:rPr>
          <w:color w:val="002060"/>
        </w:rPr>
      </w:pPr>
      <w:r>
        <w:rPr>
          <w:color w:val="002060"/>
        </w:rPr>
        <w:t>Tous les pays ne connaissent pas forcément les mêmes difficultés économiques or les critères s’appliquent à tous sans distinction. Donc il y a un risque d’handicaper certains pays par rapport à d’autres Par exemple, cela pet empêcher les pays les plus en difficulté de mener des politiques de relance.</w:t>
      </w:r>
    </w:p>
    <w:p w:rsidR="0035016E" w:rsidRDefault="0035016E" w:rsidP="00687CDF">
      <w:pPr>
        <w:pStyle w:val="ListParagraph"/>
        <w:numPr>
          <w:ilvl w:val="0"/>
          <w:numId w:val="4"/>
        </w:numPr>
        <w:ind w:left="2160"/>
        <w:rPr>
          <w:color w:val="002060"/>
        </w:rPr>
      </w:pPr>
      <w:r>
        <w:rPr>
          <w:color w:val="002060"/>
        </w:rPr>
        <w:t>Avec la crise financière de 2008, l’endettement des pays européens s’est considérablement alourdi ce qui fait que les pays ont largement dépassé les critères. Par exemple, en 2009, le déficit public de la France est de 7,5%.</w:t>
      </w:r>
    </w:p>
    <w:p w:rsidR="00606386" w:rsidRDefault="00606386" w:rsidP="00606386">
      <w:pPr>
        <w:rPr>
          <w:color w:val="002060"/>
        </w:rPr>
      </w:pPr>
    </w:p>
    <w:p w:rsidR="00606386" w:rsidRDefault="00606386" w:rsidP="00606386">
      <w:pPr>
        <w:rPr>
          <w:color w:val="002060"/>
        </w:rPr>
      </w:pPr>
      <w:r w:rsidRPr="00306A7F">
        <w:rPr>
          <w:color w:val="002060"/>
          <w:u w:val="single"/>
        </w:rPr>
        <w:lastRenderedPageBreak/>
        <w:t>Conclusion du II :</w:t>
      </w:r>
      <w:r>
        <w:rPr>
          <w:color w:val="002060"/>
        </w:rPr>
        <w:t xml:space="preserve"> </w:t>
      </w:r>
      <w:r w:rsidR="00C02EBC">
        <w:rPr>
          <w:color w:val="002060"/>
        </w:rPr>
        <w:t xml:space="preserve">l’intégration est donc inachevée puisque </w:t>
      </w:r>
      <w:r w:rsidR="00C8146E">
        <w:rPr>
          <w:color w:val="002060"/>
        </w:rPr>
        <w:t xml:space="preserve">faute d’une fiscalité commune, </w:t>
      </w:r>
      <w:r w:rsidR="00944AC7">
        <w:rPr>
          <w:color w:val="002060"/>
        </w:rPr>
        <w:t xml:space="preserve">l’UE a un budget quasiment inexistant </w:t>
      </w:r>
      <w:r w:rsidR="006F406D">
        <w:rPr>
          <w:color w:val="002060"/>
        </w:rPr>
        <w:t>et est donc dans l’incapacité de mener une politique budgétaire commune alors qu’elle détient les r</w:t>
      </w:r>
      <w:r w:rsidR="00B81022">
        <w:rPr>
          <w:color w:val="002060"/>
        </w:rPr>
        <w:t>ê</w:t>
      </w:r>
      <w:r w:rsidR="006F406D">
        <w:rPr>
          <w:color w:val="002060"/>
        </w:rPr>
        <w:t xml:space="preserve">nes de la politique </w:t>
      </w:r>
      <w:r w:rsidR="00B81022">
        <w:rPr>
          <w:color w:val="002060"/>
        </w:rPr>
        <w:t>monétaire.</w:t>
      </w:r>
    </w:p>
    <w:p w:rsidR="00B81022" w:rsidRDefault="00B81022" w:rsidP="00606386">
      <w:pPr>
        <w:rPr>
          <w:color w:val="002060"/>
        </w:rPr>
      </w:pPr>
    </w:p>
    <w:p w:rsidR="00CD6EF8" w:rsidRDefault="003C44EA" w:rsidP="00581F33">
      <w:pPr>
        <w:pStyle w:val="ListParagraph"/>
        <w:numPr>
          <w:ilvl w:val="0"/>
          <w:numId w:val="1"/>
        </w:numPr>
        <w:rPr>
          <w:b/>
          <w:color w:val="FF0000"/>
          <w:u w:val="single"/>
        </w:rPr>
      </w:pPr>
      <w:r>
        <w:rPr>
          <w:b/>
          <w:color w:val="FF0000"/>
          <w:u w:val="single"/>
        </w:rPr>
        <w:t>… qui complexifie la mise en place d’une réponse efficace aux chocs asymétriques et la mise en place d’un policy-mix</w:t>
      </w:r>
    </w:p>
    <w:p w:rsidR="00CD6EF8" w:rsidRDefault="00CD6EF8" w:rsidP="00CD6EF8">
      <w:pPr>
        <w:rPr>
          <w:b/>
          <w:color w:val="FF0000"/>
          <w:u w:val="single"/>
        </w:rPr>
      </w:pPr>
    </w:p>
    <w:p w:rsidR="00D57865" w:rsidRDefault="00D603A6" w:rsidP="00D57865">
      <w:pPr>
        <w:pStyle w:val="ListParagraph"/>
        <w:numPr>
          <w:ilvl w:val="0"/>
          <w:numId w:val="14"/>
        </w:numPr>
      </w:pPr>
      <w:r w:rsidRPr="00BC63B0">
        <w:rPr>
          <w:b/>
          <w:color w:val="538135" w:themeColor="accent6" w:themeShade="BF"/>
          <w:u w:val="single"/>
        </w:rPr>
        <w:t xml:space="preserve">Une politique monétaire </w:t>
      </w:r>
      <w:r w:rsidR="00BC63B0" w:rsidRPr="00BC63B0">
        <w:rPr>
          <w:b/>
          <w:color w:val="538135" w:themeColor="accent6" w:themeShade="BF"/>
          <w:u w:val="single"/>
        </w:rPr>
        <w:t>commune permet de répondre à des chocs symétriques mais pas asymétriques</w:t>
      </w:r>
      <w:r w:rsidR="00BC63B0" w:rsidRPr="00BC63B0">
        <w:t xml:space="preserve"> </w:t>
      </w:r>
    </w:p>
    <w:p w:rsidR="00086B85" w:rsidRDefault="00086B85" w:rsidP="00086B85">
      <w:pPr>
        <w:pStyle w:val="ListParagraph"/>
        <w:ind w:left="360"/>
      </w:pPr>
    </w:p>
    <w:p w:rsidR="00086B85" w:rsidRPr="00621414" w:rsidRDefault="00086B85" w:rsidP="00621414">
      <w:pPr>
        <w:pStyle w:val="ListParagraph"/>
        <w:numPr>
          <w:ilvl w:val="0"/>
          <w:numId w:val="15"/>
        </w:numPr>
        <w:rPr>
          <w:color w:val="002060"/>
        </w:rPr>
      </w:pPr>
      <w:r w:rsidRPr="00E364B3">
        <w:rPr>
          <w:color w:val="002060"/>
          <w:highlight w:val="yellow"/>
        </w:rPr>
        <w:t>Un choc symétrique est un choc d’offre ou de demande qui affecte de manière similaire 2 régions qui ont décidé de faire monnaie commune</w:t>
      </w:r>
      <w:r w:rsidR="00C4524C" w:rsidRPr="00E364B3">
        <w:rPr>
          <w:color w:val="002060"/>
          <w:highlight w:val="yellow"/>
        </w:rPr>
        <w:t>.</w:t>
      </w:r>
      <w:r w:rsidR="00C4524C" w:rsidRPr="00621414">
        <w:rPr>
          <w:color w:val="002060"/>
        </w:rPr>
        <w:t xml:space="preserve"> Ex : au début de la crise des subprimes</w:t>
      </w:r>
      <w:r w:rsidR="0081377E" w:rsidRPr="00621414">
        <w:rPr>
          <w:color w:val="002060"/>
        </w:rPr>
        <w:t>, tous les pays ont été impactés de la même façon, c’est donc un choc symétrique.</w:t>
      </w:r>
    </w:p>
    <w:p w:rsidR="0081377E" w:rsidRDefault="0081377E" w:rsidP="005F69F3">
      <w:pPr>
        <w:pStyle w:val="ListParagraph"/>
        <w:ind w:left="1440"/>
        <w:rPr>
          <w:color w:val="002060"/>
        </w:rPr>
      </w:pPr>
      <w:r>
        <w:rPr>
          <w:color w:val="002060"/>
        </w:rPr>
        <w:t>Réaction de la BCE : baisse taux directeur afin de relancer les crédits =&gt; hausse consommation =&gt; hausse production</w:t>
      </w:r>
    </w:p>
    <w:p w:rsidR="0081377E" w:rsidRDefault="004A4A1D" w:rsidP="005F69F3">
      <w:pPr>
        <w:pStyle w:val="ListParagraph"/>
        <w:numPr>
          <w:ilvl w:val="1"/>
          <w:numId w:val="11"/>
        </w:numPr>
        <w:rPr>
          <w:color w:val="002060"/>
        </w:rPr>
      </w:pPr>
      <w:r>
        <w:rPr>
          <w:color w:val="002060"/>
        </w:rPr>
        <w:t>Dans le cas d’un choc symétrique, la politique monétaire commune est ad</w:t>
      </w:r>
      <w:r w:rsidR="000F5ABE">
        <w:rPr>
          <w:color w:val="002060"/>
        </w:rPr>
        <w:t>aptée</w:t>
      </w:r>
      <w:r w:rsidR="00621414">
        <w:rPr>
          <w:color w:val="002060"/>
        </w:rPr>
        <w:t>.</w:t>
      </w:r>
    </w:p>
    <w:p w:rsidR="005F69F3" w:rsidRDefault="00F0073F" w:rsidP="005F69F3">
      <w:pPr>
        <w:pStyle w:val="ListParagraph"/>
        <w:numPr>
          <w:ilvl w:val="0"/>
          <w:numId w:val="15"/>
        </w:numPr>
        <w:rPr>
          <w:color w:val="002060"/>
        </w:rPr>
      </w:pPr>
      <w:r w:rsidRPr="00E364B3">
        <w:rPr>
          <w:color w:val="002060"/>
          <w:highlight w:val="yellow"/>
        </w:rPr>
        <w:t>Un choc asymétrique est un choc d’offre ou de demande qui affecte de manière différente 2 régions</w:t>
      </w:r>
      <w:r w:rsidR="006562F4" w:rsidRPr="00E364B3">
        <w:rPr>
          <w:color w:val="002060"/>
          <w:highlight w:val="yellow"/>
        </w:rPr>
        <w:t xml:space="preserve"> qui ont décidé de faire monnaie commune</w:t>
      </w:r>
      <w:r w:rsidR="00947D46" w:rsidRPr="00E364B3">
        <w:rPr>
          <w:color w:val="002060"/>
          <w:highlight w:val="yellow"/>
        </w:rPr>
        <w:t>.</w:t>
      </w:r>
      <w:bookmarkStart w:id="0" w:name="_GoBack"/>
      <w:bookmarkEnd w:id="0"/>
      <w:r w:rsidR="00947D46">
        <w:rPr>
          <w:color w:val="002060"/>
        </w:rPr>
        <w:t xml:space="preserve"> Ex : Après la crise, certains pays de la zone euro s’en sortent mieux. L’Allemagne qui a une forte compétitivité hors prix est un pays qui a </w:t>
      </w:r>
      <w:r w:rsidR="00CA1D8F">
        <w:rPr>
          <w:color w:val="002060"/>
        </w:rPr>
        <w:t>réexporté rapidement après la crise, ce qui lui a permis de relancer la croissance</w:t>
      </w:r>
      <w:r w:rsidR="00947D46">
        <w:rPr>
          <w:color w:val="002060"/>
        </w:rPr>
        <w:t xml:space="preserve"> </w:t>
      </w:r>
      <w:r w:rsidR="0042465B">
        <w:rPr>
          <w:color w:val="002060"/>
        </w:rPr>
        <w:t xml:space="preserve">et donc d’agir </w:t>
      </w:r>
      <w:r w:rsidR="002E7186">
        <w:rPr>
          <w:color w:val="002060"/>
        </w:rPr>
        <w:t>à la baisse sur la croissance. Par contre, dans les pays du sud comme lItalie, l’Espagne ou la Grèce, le chômage a continué à augmenter</w:t>
      </w:r>
      <w:r w:rsidR="00193E8B">
        <w:rPr>
          <w:color w:val="002060"/>
        </w:rPr>
        <w:t>, la reprise n’est pas au rendez-vous. Dans cette situation, la politique de la BCE ne devrai pas être la même pour les 2 groupes de pays. Elle devrait mener une politique monétaire de relance pour la Grèce et une politique monétaire restrictive pour l’Allemagne. Or, comme la politique monétaire est commune, certains pays sont pénalisés.</w:t>
      </w:r>
    </w:p>
    <w:p w:rsidR="00193E8B" w:rsidRDefault="00193E8B" w:rsidP="00193E8B">
      <w:pPr>
        <w:rPr>
          <w:color w:val="002060"/>
        </w:rPr>
      </w:pPr>
    </w:p>
    <w:p w:rsidR="00193E8B" w:rsidRDefault="00193E8B" w:rsidP="00193E8B">
      <w:pPr>
        <w:pStyle w:val="ListParagraph"/>
        <w:numPr>
          <w:ilvl w:val="0"/>
          <w:numId w:val="14"/>
        </w:numPr>
        <w:rPr>
          <w:b/>
          <w:color w:val="538135" w:themeColor="accent6" w:themeShade="BF"/>
          <w:u w:val="single"/>
        </w:rPr>
      </w:pPr>
      <w:r>
        <w:rPr>
          <w:b/>
          <w:color w:val="538135" w:themeColor="accent6" w:themeShade="BF"/>
          <w:u w:val="single"/>
        </w:rPr>
        <w:t>Les difficultés pour coordonner les politiques budgétaires dans la zone euro</w:t>
      </w:r>
    </w:p>
    <w:p w:rsidR="00193E8B" w:rsidRDefault="00193E8B" w:rsidP="00193E8B">
      <w:pPr>
        <w:pStyle w:val="ListParagraph"/>
        <w:ind w:left="1080"/>
        <w:rPr>
          <w:b/>
          <w:color w:val="538135" w:themeColor="accent6" w:themeShade="BF"/>
          <w:u w:val="single"/>
        </w:rPr>
      </w:pPr>
    </w:p>
    <w:p w:rsidR="00193E8B" w:rsidRDefault="00193E8B" w:rsidP="00193E8B">
      <w:pPr>
        <w:pStyle w:val="ListParagraph"/>
        <w:ind w:left="1080"/>
        <w:rPr>
          <w:color w:val="002060"/>
        </w:rPr>
      </w:pPr>
      <w:r>
        <w:rPr>
          <w:color w:val="002060"/>
        </w:rPr>
        <w:t xml:space="preserve">L’adoption d’une monnaie unique et donc d’une politique monétaire unique force les pays membres à faire converger les politiques budgétaires. En effet, </w:t>
      </w:r>
      <w:r w:rsidR="00435DD4">
        <w:rPr>
          <w:color w:val="002060"/>
        </w:rPr>
        <w:t xml:space="preserve">chacun </w:t>
      </w:r>
      <w:r w:rsidR="009B6B63">
        <w:rPr>
          <w:color w:val="002060"/>
        </w:rPr>
        <w:t>des pays ne dispose plus du taux de change pour réaliser des politiques de dévaluation compétitive</w:t>
      </w:r>
      <w:r w:rsidR="001E7FDD">
        <w:rPr>
          <w:color w:val="002060"/>
        </w:rPr>
        <w:t>. Alors</w:t>
      </w:r>
      <w:r w:rsidR="008C2722">
        <w:rPr>
          <w:color w:val="002060"/>
        </w:rPr>
        <w:t xml:space="preserve">, disposer </w:t>
      </w:r>
      <w:r w:rsidR="00A77AC9">
        <w:rPr>
          <w:color w:val="002060"/>
        </w:rPr>
        <w:t xml:space="preserve">d’une politique </w:t>
      </w:r>
      <w:r w:rsidR="00486087">
        <w:rPr>
          <w:color w:val="002060"/>
        </w:rPr>
        <w:t>budgétaire commune aiderait les pays à développer d’autres actions.</w:t>
      </w:r>
    </w:p>
    <w:p w:rsidR="007D4CCE" w:rsidRDefault="007D4CCE" w:rsidP="00193E8B">
      <w:pPr>
        <w:pStyle w:val="ListParagraph"/>
        <w:ind w:left="1080"/>
        <w:rPr>
          <w:color w:val="002060"/>
        </w:rPr>
      </w:pPr>
      <w:r>
        <w:rPr>
          <w:color w:val="002060"/>
        </w:rPr>
        <w:t>Par exemple</w:t>
      </w:r>
      <w:r w:rsidR="00232D96">
        <w:rPr>
          <w:color w:val="002060"/>
        </w:rPr>
        <w:t xml:space="preserve">, en cas de choc asymétrique, une politique budgétaire commune pourrait consister à réaliser des transferts budgétaires des pays dont la conjoncture est favorable vers les pays </w:t>
      </w:r>
      <w:r w:rsidR="00EF1BDD">
        <w:rPr>
          <w:color w:val="002060"/>
        </w:rPr>
        <w:t xml:space="preserve">en </w:t>
      </w:r>
      <w:r w:rsidR="008F4A2D">
        <w:rPr>
          <w:color w:val="002060"/>
        </w:rPr>
        <w:t>difficulté mais comme il n’y a pas de budget commun, cela n’est pas possible</w:t>
      </w:r>
      <w:r w:rsidR="00BF6FA0">
        <w:rPr>
          <w:color w:val="002060"/>
        </w:rPr>
        <w:t>.</w:t>
      </w:r>
    </w:p>
    <w:p w:rsidR="00BF6FA0" w:rsidRDefault="00BF6FA0" w:rsidP="00193E8B">
      <w:pPr>
        <w:pStyle w:val="ListParagraph"/>
        <w:ind w:left="1080"/>
        <w:rPr>
          <w:color w:val="002060"/>
        </w:rPr>
      </w:pPr>
      <w:r>
        <w:rPr>
          <w:color w:val="002060"/>
        </w:rPr>
        <w:t>De plus, l’autonomie des politiques budgétaires est en réalité limitée. Les budgets des Etats sont contrôlés par la commission européenne. Ainsi, ils n’ont pas beaucoup de marge de manœuvre pour agir sur la conjoncture économique alors même qu’ils disposent de leur propre politique budgétaire.</w:t>
      </w:r>
    </w:p>
    <w:p w:rsidR="00E44533" w:rsidRDefault="00E44533" w:rsidP="00193E8B">
      <w:pPr>
        <w:pStyle w:val="ListParagraph"/>
        <w:ind w:left="1080"/>
        <w:rPr>
          <w:color w:val="002060"/>
        </w:rPr>
      </w:pPr>
    </w:p>
    <w:p w:rsidR="00BF6FA0" w:rsidRDefault="00BF6FA0" w:rsidP="00BF6FA0">
      <w:pPr>
        <w:ind w:left="720"/>
        <w:rPr>
          <w:color w:val="002060"/>
        </w:rPr>
      </w:pPr>
      <w:r w:rsidRPr="00DD2E84">
        <w:rPr>
          <w:color w:val="002060"/>
          <w:u w:val="single"/>
        </w:rPr>
        <w:t>Transition</w:t>
      </w:r>
      <w:r>
        <w:rPr>
          <w:color w:val="002060"/>
        </w:rPr>
        <w:t> :</w:t>
      </w:r>
      <w:r w:rsidR="00E44533">
        <w:rPr>
          <w:color w:val="002060"/>
        </w:rPr>
        <w:t xml:space="preserve"> Face aux difficultés de coordination des politiques monétaires et budgétaires au niveau européen, il convient de s’interroger sur la mise en place d’une politique mixte ou policy mix.</w:t>
      </w:r>
    </w:p>
    <w:p w:rsidR="00632C64" w:rsidRDefault="00632C64" w:rsidP="00BF6FA0">
      <w:pPr>
        <w:ind w:left="720"/>
        <w:rPr>
          <w:color w:val="002060"/>
        </w:rPr>
      </w:pPr>
    </w:p>
    <w:p w:rsidR="00632C64" w:rsidRDefault="00632C64" w:rsidP="00BF6FA0">
      <w:pPr>
        <w:ind w:left="720"/>
        <w:rPr>
          <w:color w:val="002060"/>
        </w:rPr>
      </w:pPr>
    </w:p>
    <w:p w:rsidR="00632C64" w:rsidRDefault="00632C64" w:rsidP="00BF6FA0">
      <w:pPr>
        <w:ind w:left="720"/>
        <w:rPr>
          <w:color w:val="002060"/>
        </w:rPr>
      </w:pPr>
    </w:p>
    <w:p w:rsidR="00632C64" w:rsidRDefault="00632C64" w:rsidP="00BF6FA0">
      <w:pPr>
        <w:ind w:left="720"/>
        <w:rPr>
          <w:color w:val="002060"/>
        </w:rPr>
      </w:pPr>
    </w:p>
    <w:p w:rsidR="00632C64" w:rsidRDefault="00632C64" w:rsidP="00632C64">
      <w:pPr>
        <w:pStyle w:val="ListParagraph"/>
        <w:numPr>
          <w:ilvl w:val="0"/>
          <w:numId w:val="14"/>
        </w:numPr>
        <w:rPr>
          <w:b/>
          <w:color w:val="538135" w:themeColor="accent6" w:themeShade="BF"/>
          <w:u w:val="single"/>
        </w:rPr>
      </w:pPr>
      <w:r>
        <w:rPr>
          <w:b/>
          <w:color w:val="538135" w:themeColor="accent6" w:themeShade="BF"/>
          <w:u w:val="single"/>
        </w:rPr>
        <w:lastRenderedPageBreak/>
        <w:t>Les difficultés du policy mix européen</w:t>
      </w:r>
    </w:p>
    <w:p w:rsidR="00632C64" w:rsidRDefault="00632C64" w:rsidP="00632C64">
      <w:pPr>
        <w:pStyle w:val="ListParagraph"/>
        <w:ind w:left="1080"/>
        <w:rPr>
          <w:b/>
          <w:color w:val="538135" w:themeColor="accent6" w:themeShade="BF"/>
          <w:u w:val="single"/>
        </w:rPr>
      </w:pPr>
    </w:p>
    <w:p w:rsidR="00632C64" w:rsidRDefault="00632C64" w:rsidP="00632C64">
      <w:pPr>
        <w:pStyle w:val="ListParagraph"/>
        <w:ind w:left="1080"/>
        <w:rPr>
          <w:color w:val="002060"/>
        </w:rPr>
      </w:pPr>
      <w:r w:rsidRPr="00EB3B19">
        <w:rPr>
          <w:color w:val="002060"/>
          <w:highlight w:val="yellow"/>
        </w:rPr>
        <w:t xml:space="preserve">Un policy mix ou politique mixte est une politique économique conjoncturelle qui combine des instruments de </w:t>
      </w:r>
      <w:r w:rsidR="00EB3B19" w:rsidRPr="00EB3B19">
        <w:rPr>
          <w:color w:val="002060"/>
          <w:highlight w:val="yellow"/>
        </w:rPr>
        <w:t>la politique monétaire et des instruments de la politique budgétaire.</w:t>
      </w:r>
      <w:r w:rsidR="00EB3B19">
        <w:rPr>
          <w:color w:val="002060"/>
        </w:rPr>
        <w:t xml:space="preserve"> Or dans l’UEM, la politique mixte </w:t>
      </w:r>
      <w:r w:rsidR="008F3F1D">
        <w:rPr>
          <w:color w:val="002060"/>
        </w:rPr>
        <w:t>est spécifique puisque ce ne sont pas les mêmes institutions qui ont en charge la politique monétaire et la politique budgétaire. Il s’agit donc de coordonner les politiques de la BCE et les politiques des différents Etats membres. Cela peut déboucher sur une situation où les politiques sont contradictoires et donc leurs effets s’annulent. Par exemple, un pays peut avoir une politique budgétaire de relance et laisser augmenter son déficit public. Mais dans ce contexte, la BCE peut mener une politique monétaire restrictive en augmentant le taux directeur pour éviter les effets inflationnistes de la relance. Dans ce cas, les effets des 2 politiques s’annulent.</w:t>
      </w:r>
    </w:p>
    <w:p w:rsidR="008F3F1D" w:rsidRDefault="008F3F1D" w:rsidP="008F3F1D">
      <w:pPr>
        <w:pStyle w:val="ListParagraph"/>
        <w:numPr>
          <w:ilvl w:val="0"/>
          <w:numId w:val="11"/>
        </w:numPr>
        <w:rPr>
          <w:color w:val="002060"/>
        </w:rPr>
      </w:pPr>
      <w:r>
        <w:rPr>
          <w:color w:val="002060"/>
        </w:rPr>
        <w:t>Pour certains économistes, le problème de l’euro est d’être une monnaie sans État. En effet, la monnaie unique</w:t>
      </w:r>
      <w:r w:rsidR="00EE3EC1">
        <w:rPr>
          <w:color w:val="002060"/>
        </w:rPr>
        <w:t>,</w:t>
      </w:r>
      <w:r>
        <w:rPr>
          <w:color w:val="002060"/>
        </w:rPr>
        <w:t xml:space="preserve"> donc la politique monétaire commune</w:t>
      </w:r>
      <w:r w:rsidR="00EE3EC1">
        <w:rPr>
          <w:color w:val="002060"/>
        </w:rPr>
        <w:t>,</w:t>
      </w:r>
      <w:r>
        <w:rPr>
          <w:color w:val="002060"/>
        </w:rPr>
        <w:t xml:space="preserve"> n’a pas été accompagnée de la mise en place d’une politique </w:t>
      </w:r>
      <w:r w:rsidR="00EE3EC1">
        <w:rPr>
          <w:color w:val="002060"/>
        </w:rPr>
        <w:t>budgétaire commune menée par un gouvernement européen. Pour une politique budgétaire commune, il faudrait la financer par une fiscalité européenne commune. Là encore, le débat divise les partisans d’une intégration totale permettant de mener de véritables policy mix et les partisans d’une sortie de l’UEM pour retrouver l’autonomie en matière de politique monétaire et budgétaire.</w:t>
      </w:r>
    </w:p>
    <w:p w:rsidR="00EE3EC1" w:rsidRDefault="00EE3EC1" w:rsidP="00EE3EC1">
      <w:pPr>
        <w:rPr>
          <w:color w:val="002060"/>
        </w:rPr>
      </w:pPr>
    </w:p>
    <w:p w:rsidR="00EE3EC1" w:rsidRDefault="00EE3EC1" w:rsidP="00EE3EC1">
      <w:pPr>
        <w:rPr>
          <w:color w:val="002060"/>
        </w:rPr>
      </w:pPr>
    </w:p>
    <w:p w:rsidR="00EE3EC1" w:rsidRPr="00DD2E84" w:rsidRDefault="00EE3EC1" w:rsidP="00EE3EC1">
      <w:pPr>
        <w:rPr>
          <w:b/>
          <w:color w:val="002060"/>
          <w:u w:val="single"/>
        </w:rPr>
      </w:pPr>
      <w:r w:rsidRPr="00DD2E84">
        <w:rPr>
          <w:b/>
          <w:color w:val="002060"/>
          <w:u w:val="single"/>
        </w:rPr>
        <w:t>Conclusion du chapitre :</w:t>
      </w:r>
    </w:p>
    <w:p w:rsidR="00EE3EC1" w:rsidRDefault="00EE3EC1" w:rsidP="00EE3EC1">
      <w:pPr>
        <w:rPr>
          <w:color w:val="002060"/>
        </w:rPr>
      </w:pPr>
    </w:p>
    <w:p w:rsidR="00EE3EC1" w:rsidRPr="00EE3EC1" w:rsidRDefault="00EE3EC1" w:rsidP="00EE3EC1">
      <w:pPr>
        <w:rPr>
          <w:color w:val="002060"/>
        </w:rPr>
      </w:pPr>
      <w:r>
        <w:rPr>
          <w:color w:val="002060"/>
        </w:rPr>
        <w:t xml:space="preserve">La zone euro est la zone géographique qui a mené au plus loin un processus d’intégration économique en aboutissant à la construction de l’UEM. Producteurs, consommateurs et États ont tiré avantage de la mise en place d’un marché commun et de la suppression des taux de change. Toutefois, l’intégration de la zone n’est pas </w:t>
      </w:r>
      <w:r w:rsidR="002B33A6">
        <w:rPr>
          <w:color w:val="002060"/>
        </w:rPr>
        <w:t xml:space="preserve">complète puisque la zone euro n’est pas une union politique. Cette </w:t>
      </w:r>
      <w:r w:rsidR="000D7419">
        <w:rPr>
          <w:color w:val="002060"/>
        </w:rPr>
        <w:t xml:space="preserve">raison est invoquée </w:t>
      </w:r>
      <w:r w:rsidR="00376F00">
        <w:rPr>
          <w:color w:val="002060"/>
        </w:rPr>
        <w:t xml:space="preserve">pour expliquer </w:t>
      </w:r>
      <w:r w:rsidR="00DD2E84">
        <w:rPr>
          <w:color w:val="002060"/>
        </w:rPr>
        <w:t>les difficultés de sortie de la crise des subprimes et les écarts entre les pays de la zone. En effet, les difficultés de coordination entre les politiques menées à l’échelle supranationale et celles menées à l’échelle nationale rendent difficile la mise en place d’un réponse commune à la crise.</w:t>
      </w:r>
    </w:p>
    <w:p w:rsidR="00621414" w:rsidRPr="00086B85" w:rsidRDefault="00621414" w:rsidP="00621414">
      <w:pPr>
        <w:pStyle w:val="ListParagraph"/>
        <w:ind w:left="1080"/>
        <w:rPr>
          <w:color w:val="002060"/>
        </w:rPr>
      </w:pPr>
    </w:p>
    <w:p w:rsidR="00D57865" w:rsidRDefault="00D57865" w:rsidP="00D57865"/>
    <w:p w:rsidR="00D57865" w:rsidRPr="00BC63B0" w:rsidRDefault="00D57865" w:rsidP="00D57865"/>
    <w:sectPr w:rsidR="00D57865" w:rsidRPr="00BC6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5C41"/>
    <w:multiLevelType w:val="hybridMultilevel"/>
    <w:tmpl w:val="39AA7722"/>
    <w:lvl w:ilvl="0" w:tplc="C1EE7966">
      <w:start w:val="1"/>
      <w:numFmt w:val="upperRoman"/>
      <w:lvlText w:val="%1-"/>
      <w:lvlJc w:val="left"/>
      <w:pPr>
        <w:ind w:left="720" w:hanging="720"/>
      </w:pPr>
      <w:rPr>
        <w:rFonts w:hint="default"/>
        <w:b/>
        <w:color w:val="FF000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273780"/>
    <w:multiLevelType w:val="hybridMultilevel"/>
    <w:tmpl w:val="14F8C038"/>
    <w:lvl w:ilvl="0" w:tplc="9E10375A">
      <w:start w:val="1"/>
      <w:numFmt w:val="upperLetter"/>
      <w:lvlText w:val="%1)"/>
      <w:lvlJc w:val="left"/>
      <w:pPr>
        <w:ind w:left="1080" w:hanging="360"/>
      </w:pPr>
      <w:rPr>
        <w:rFonts w:hint="default"/>
        <w:b/>
        <w:color w:val="538135" w:themeColor="accent6"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F65EB"/>
    <w:multiLevelType w:val="hybridMultilevel"/>
    <w:tmpl w:val="5DB8CCE2"/>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F4C6A80"/>
    <w:multiLevelType w:val="hybridMultilevel"/>
    <w:tmpl w:val="0C14BCBC"/>
    <w:lvl w:ilvl="0" w:tplc="25769DA6">
      <w:start w:val="1"/>
      <w:numFmt w:val="upperLetter"/>
      <w:lvlText w:val="%1)"/>
      <w:lvlJc w:val="left"/>
      <w:pPr>
        <w:ind w:left="1080" w:hanging="360"/>
      </w:pPr>
      <w:rPr>
        <w:rFonts w:hint="default"/>
        <w:color w:val="538135" w:themeColor="accent6"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4C164D"/>
    <w:multiLevelType w:val="hybridMultilevel"/>
    <w:tmpl w:val="9E187E94"/>
    <w:lvl w:ilvl="0" w:tplc="FFFFFFFF">
      <w:numFmt w:val="bullet"/>
      <w:lvlText w:val=""/>
      <w:lvlJc w:val="left"/>
      <w:pPr>
        <w:ind w:left="1800" w:hanging="360"/>
      </w:pPr>
      <w:rPr>
        <w:rFonts w:ascii="Wingdings" w:eastAsiaTheme="minorEastAsia"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5986273"/>
    <w:multiLevelType w:val="hybridMultilevel"/>
    <w:tmpl w:val="5210A860"/>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966ACC"/>
    <w:multiLevelType w:val="hybridMultilevel"/>
    <w:tmpl w:val="A7F617AE"/>
    <w:lvl w:ilvl="0" w:tplc="FFFFFFFF">
      <w:start w:val="1"/>
      <w:numFmt w:val="upperLetter"/>
      <w:lvlText w:val="%1)"/>
      <w:lvlJc w:val="left"/>
      <w:pPr>
        <w:ind w:left="720" w:hanging="360"/>
      </w:pPr>
      <w:rPr>
        <w:rFonts w:hint="default"/>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16294"/>
    <w:multiLevelType w:val="hybridMultilevel"/>
    <w:tmpl w:val="65246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91D3111"/>
    <w:multiLevelType w:val="hybridMultilevel"/>
    <w:tmpl w:val="19B4680E"/>
    <w:lvl w:ilvl="0" w:tplc="FFFFFFFF">
      <w:numFmt w:val="bullet"/>
      <w:lvlText w:val=""/>
      <w:lvlJc w:val="left"/>
      <w:pPr>
        <w:ind w:left="1800" w:hanging="360"/>
      </w:pPr>
      <w:rPr>
        <w:rFonts w:ascii="Wingdings" w:eastAsiaTheme="minorEastAsia"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BB06CE7"/>
    <w:multiLevelType w:val="hybridMultilevel"/>
    <w:tmpl w:val="756884B0"/>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E752031"/>
    <w:multiLevelType w:val="hybridMultilevel"/>
    <w:tmpl w:val="4FBA134C"/>
    <w:lvl w:ilvl="0" w:tplc="FFFFFFFF">
      <w:start w:val="2"/>
      <w:numFmt w:val="bullet"/>
      <w:lvlText w:val="-"/>
      <w:lvlJc w:val="left"/>
      <w:pPr>
        <w:ind w:left="1800" w:hanging="360"/>
      </w:pPr>
      <w:rPr>
        <w:rFonts w:ascii="Calibri" w:eastAsiaTheme="minorEastAsia"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2546993"/>
    <w:multiLevelType w:val="hybridMultilevel"/>
    <w:tmpl w:val="F9F2441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3447ED6"/>
    <w:multiLevelType w:val="hybridMultilevel"/>
    <w:tmpl w:val="361058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C442CF9"/>
    <w:multiLevelType w:val="hybridMultilevel"/>
    <w:tmpl w:val="AF189926"/>
    <w:lvl w:ilvl="0" w:tplc="FFFFFFFF">
      <w:start w:val="2"/>
      <w:numFmt w:val="bullet"/>
      <w:lvlText w:val=""/>
      <w:lvlJc w:val="left"/>
      <w:pPr>
        <w:ind w:left="1080" w:hanging="360"/>
      </w:pPr>
      <w:rPr>
        <w:rFonts w:ascii="Wingdings" w:eastAsiaTheme="minorEastAsia" w:hAnsi="Wingdings" w:cstheme="minorBidi"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D17984"/>
    <w:multiLevelType w:val="hybridMultilevel"/>
    <w:tmpl w:val="32E860A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3"/>
  </w:num>
  <w:num w:numId="3">
    <w:abstractNumId w:val="14"/>
  </w:num>
  <w:num w:numId="4">
    <w:abstractNumId w:val="10"/>
  </w:num>
  <w:num w:numId="5">
    <w:abstractNumId w:val="9"/>
  </w:num>
  <w:num w:numId="6">
    <w:abstractNumId w:val="8"/>
  </w:num>
  <w:num w:numId="7">
    <w:abstractNumId w:val="4"/>
  </w:num>
  <w:num w:numId="8">
    <w:abstractNumId w:val="2"/>
  </w:num>
  <w:num w:numId="9">
    <w:abstractNumId w:val="12"/>
  </w:num>
  <w:num w:numId="10">
    <w:abstractNumId w:val="5"/>
  </w:num>
  <w:num w:numId="11">
    <w:abstractNumId w:val="13"/>
  </w:num>
  <w:num w:numId="12">
    <w:abstractNumId w:val="11"/>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7B"/>
    <w:rsid w:val="0000341E"/>
    <w:rsid w:val="00047D54"/>
    <w:rsid w:val="000733DA"/>
    <w:rsid w:val="000840F6"/>
    <w:rsid w:val="00086B85"/>
    <w:rsid w:val="000B4E8E"/>
    <w:rsid w:val="000D7419"/>
    <w:rsid w:val="000E0037"/>
    <w:rsid w:val="000F5ABE"/>
    <w:rsid w:val="000F67C2"/>
    <w:rsid w:val="001068BD"/>
    <w:rsid w:val="00142E3D"/>
    <w:rsid w:val="00171CC0"/>
    <w:rsid w:val="00192496"/>
    <w:rsid w:val="00193E8B"/>
    <w:rsid w:val="001A2CCB"/>
    <w:rsid w:val="001B2922"/>
    <w:rsid w:val="001D7FD2"/>
    <w:rsid w:val="001E7FDD"/>
    <w:rsid w:val="002106C6"/>
    <w:rsid w:val="00213CD6"/>
    <w:rsid w:val="00232D96"/>
    <w:rsid w:val="00234D18"/>
    <w:rsid w:val="002936E2"/>
    <w:rsid w:val="002B2020"/>
    <w:rsid w:val="002B25C9"/>
    <w:rsid w:val="002B33A6"/>
    <w:rsid w:val="002C42EE"/>
    <w:rsid w:val="002E6708"/>
    <w:rsid w:val="002E7186"/>
    <w:rsid w:val="00306A7F"/>
    <w:rsid w:val="003074A5"/>
    <w:rsid w:val="00344FFF"/>
    <w:rsid w:val="0035016E"/>
    <w:rsid w:val="00376F00"/>
    <w:rsid w:val="003C44EA"/>
    <w:rsid w:val="003E10D2"/>
    <w:rsid w:val="00410368"/>
    <w:rsid w:val="0042465B"/>
    <w:rsid w:val="00435DD4"/>
    <w:rsid w:val="00440D70"/>
    <w:rsid w:val="00446D22"/>
    <w:rsid w:val="00447336"/>
    <w:rsid w:val="004479CE"/>
    <w:rsid w:val="00453710"/>
    <w:rsid w:val="00455115"/>
    <w:rsid w:val="004765C3"/>
    <w:rsid w:val="00486087"/>
    <w:rsid w:val="004A2FA3"/>
    <w:rsid w:val="004A4A1D"/>
    <w:rsid w:val="00526BA1"/>
    <w:rsid w:val="00560C51"/>
    <w:rsid w:val="00581F33"/>
    <w:rsid w:val="005F69F3"/>
    <w:rsid w:val="00606386"/>
    <w:rsid w:val="00620428"/>
    <w:rsid w:val="00621414"/>
    <w:rsid w:val="006278DA"/>
    <w:rsid w:val="00632C64"/>
    <w:rsid w:val="006562F4"/>
    <w:rsid w:val="00662A9B"/>
    <w:rsid w:val="00687CDF"/>
    <w:rsid w:val="00691E6C"/>
    <w:rsid w:val="006A5972"/>
    <w:rsid w:val="006C1575"/>
    <w:rsid w:val="006C7D4C"/>
    <w:rsid w:val="006F406D"/>
    <w:rsid w:val="00703AE7"/>
    <w:rsid w:val="007134A1"/>
    <w:rsid w:val="00726C6D"/>
    <w:rsid w:val="0076716C"/>
    <w:rsid w:val="007752C1"/>
    <w:rsid w:val="00782F08"/>
    <w:rsid w:val="007A75D7"/>
    <w:rsid w:val="007D4CCE"/>
    <w:rsid w:val="007E670D"/>
    <w:rsid w:val="007E78E4"/>
    <w:rsid w:val="00800E42"/>
    <w:rsid w:val="008129BA"/>
    <w:rsid w:val="0081377E"/>
    <w:rsid w:val="0082315A"/>
    <w:rsid w:val="00896B38"/>
    <w:rsid w:val="008C2722"/>
    <w:rsid w:val="008C7ECC"/>
    <w:rsid w:val="008F3F1D"/>
    <w:rsid w:val="008F4A2D"/>
    <w:rsid w:val="00901ABE"/>
    <w:rsid w:val="00912CB3"/>
    <w:rsid w:val="00944AC7"/>
    <w:rsid w:val="00947D46"/>
    <w:rsid w:val="0095188D"/>
    <w:rsid w:val="009A320B"/>
    <w:rsid w:val="009B6B63"/>
    <w:rsid w:val="009C024C"/>
    <w:rsid w:val="009C4B64"/>
    <w:rsid w:val="009C7F81"/>
    <w:rsid w:val="009E723C"/>
    <w:rsid w:val="00A35F30"/>
    <w:rsid w:val="00A438C6"/>
    <w:rsid w:val="00A44DF3"/>
    <w:rsid w:val="00A77AC9"/>
    <w:rsid w:val="00AB4EA7"/>
    <w:rsid w:val="00B34336"/>
    <w:rsid w:val="00B5622F"/>
    <w:rsid w:val="00B56331"/>
    <w:rsid w:val="00B638A7"/>
    <w:rsid w:val="00B64593"/>
    <w:rsid w:val="00B81022"/>
    <w:rsid w:val="00B84F8B"/>
    <w:rsid w:val="00BC19B6"/>
    <w:rsid w:val="00BC63B0"/>
    <w:rsid w:val="00BF6000"/>
    <w:rsid w:val="00BF6FA0"/>
    <w:rsid w:val="00C02EBC"/>
    <w:rsid w:val="00C07320"/>
    <w:rsid w:val="00C13BFE"/>
    <w:rsid w:val="00C4524C"/>
    <w:rsid w:val="00C71777"/>
    <w:rsid w:val="00C73EF3"/>
    <w:rsid w:val="00C77CEC"/>
    <w:rsid w:val="00C8146E"/>
    <w:rsid w:val="00CA1D8F"/>
    <w:rsid w:val="00CB24FB"/>
    <w:rsid w:val="00CC4753"/>
    <w:rsid w:val="00CD6EF8"/>
    <w:rsid w:val="00D5733B"/>
    <w:rsid w:val="00D57865"/>
    <w:rsid w:val="00D603A6"/>
    <w:rsid w:val="00D606FA"/>
    <w:rsid w:val="00D67F1E"/>
    <w:rsid w:val="00D7237B"/>
    <w:rsid w:val="00D76306"/>
    <w:rsid w:val="00DC3E9D"/>
    <w:rsid w:val="00DD2E84"/>
    <w:rsid w:val="00DD68AB"/>
    <w:rsid w:val="00DD6FC8"/>
    <w:rsid w:val="00DE37CA"/>
    <w:rsid w:val="00DF24E7"/>
    <w:rsid w:val="00DF5D15"/>
    <w:rsid w:val="00E16540"/>
    <w:rsid w:val="00E230AC"/>
    <w:rsid w:val="00E364B3"/>
    <w:rsid w:val="00E3673F"/>
    <w:rsid w:val="00E44533"/>
    <w:rsid w:val="00E82474"/>
    <w:rsid w:val="00E90E5A"/>
    <w:rsid w:val="00E95E36"/>
    <w:rsid w:val="00EB3B19"/>
    <w:rsid w:val="00ED4E6D"/>
    <w:rsid w:val="00EE3EC1"/>
    <w:rsid w:val="00EF1BDD"/>
    <w:rsid w:val="00EF36A2"/>
    <w:rsid w:val="00F0073F"/>
    <w:rsid w:val="00F20C8F"/>
    <w:rsid w:val="00F83368"/>
    <w:rsid w:val="00F86A25"/>
    <w:rsid w:val="00FC27F7"/>
    <w:rsid w:val="00FD1DA9"/>
    <w:rsid w:val="00FE2952"/>
    <w:rsid w:val="00FF1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D965BAE-69C1-EE4A-ACEC-B795F6D1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D7237B"/>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ED4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6</Pages>
  <Words>2299</Words>
  <Characters>13106</Characters>
  <Application>Microsoft Office Word</Application>
  <DocSecurity>0</DocSecurity>
  <Lines>109</Lines>
  <Paragraphs>30</Paragraphs>
  <ScaleCrop>false</ScaleCrop>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127</cp:revision>
  <cp:lastPrinted>2019-04-20T17:27:00Z</cp:lastPrinted>
  <dcterms:created xsi:type="dcterms:W3CDTF">2019-04-11T15:06:00Z</dcterms:created>
  <dcterms:modified xsi:type="dcterms:W3CDTF">2019-04-20T17:27:00Z</dcterms:modified>
</cp:coreProperties>
</file>