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dTable2-Accent21"/>
        <w:tblW w:w="0" w:type="auto"/>
        <w:jc w:val="center"/>
        <w:tblLook w:val="04A0" w:firstRow="1" w:lastRow="0" w:firstColumn="1" w:lastColumn="0" w:noHBand="0" w:noVBand="1"/>
      </w:tblPr>
      <w:tblGrid>
        <w:gridCol w:w="7560"/>
      </w:tblGrid>
      <w:tr w:rsidR="003614E3" w:rsidRPr="00F7192C" w:rsidTr="00F7192C">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7560" w:type="dxa"/>
          </w:tcPr>
          <w:p w:rsidR="003614E3" w:rsidRPr="00F7192C" w:rsidRDefault="003614E3" w:rsidP="003F234A">
            <w:pPr>
              <w:jc w:val="center"/>
              <w:rPr>
                <w:color w:val="C00000"/>
                <w:sz w:val="28"/>
                <w:szCs w:val="28"/>
              </w:rPr>
            </w:pPr>
            <w:r w:rsidRPr="00F7192C">
              <w:rPr>
                <w:color w:val="C00000"/>
                <w:sz w:val="28"/>
                <w:szCs w:val="28"/>
              </w:rPr>
              <w:t>Chapitre 3 : Comment expliquer l’instabilité de la croissance ?</w:t>
            </w:r>
          </w:p>
        </w:tc>
      </w:tr>
    </w:tbl>
    <w:p w:rsidR="001855A9" w:rsidRDefault="001855A9" w:rsidP="003614E3">
      <w:pPr>
        <w:jc w:val="center"/>
        <w:rPr>
          <w:b/>
          <w:color w:val="C00000"/>
        </w:rPr>
      </w:pPr>
    </w:p>
    <w:p w:rsidR="00F7192C" w:rsidRDefault="00F7192C" w:rsidP="00AB74E5">
      <w:pPr>
        <w:rPr>
          <w:color w:val="002060"/>
        </w:rPr>
      </w:pPr>
    </w:p>
    <w:p w:rsidR="00AB74E5" w:rsidRPr="00AF6FFF" w:rsidRDefault="00815424" w:rsidP="00AB74E5">
      <w:pPr>
        <w:rPr>
          <w:color w:val="002060"/>
          <w:u w:val="single"/>
        </w:rPr>
      </w:pPr>
      <w:r w:rsidRPr="00AF6FFF">
        <w:rPr>
          <w:color w:val="002060"/>
          <w:u w:val="single"/>
        </w:rPr>
        <w:t>Introduction :</w:t>
      </w:r>
    </w:p>
    <w:p w:rsidR="00815424" w:rsidRDefault="00815424" w:rsidP="00AB74E5">
      <w:pPr>
        <w:rPr>
          <w:color w:val="002060"/>
        </w:rPr>
      </w:pPr>
    </w:p>
    <w:p w:rsidR="00815424" w:rsidRDefault="00815424" w:rsidP="00AB74E5">
      <w:pPr>
        <w:rPr>
          <w:color w:val="002060"/>
        </w:rPr>
      </w:pPr>
      <w:r>
        <w:rPr>
          <w:color w:val="002060"/>
        </w:rPr>
        <w:t>Référence de roman : Les Raisins de la colère, Steinbeck</w:t>
      </w:r>
    </w:p>
    <w:p w:rsidR="00815424" w:rsidRDefault="00815424" w:rsidP="00AB74E5">
      <w:pPr>
        <w:rPr>
          <w:color w:val="002060"/>
        </w:rPr>
      </w:pPr>
    </w:p>
    <w:p w:rsidR="00023A1C" w:rsidRDefault="00D370E4" w:rsidP="00023A1C">
      <w:pPr>
        <w:rPr>
          <w:color w:val="002060"/>
        </w:rPr>
      </w:pPr>
      <w:r>
        <w:rPr>
          <w:color w:val="002060"/>
        </w:rPr>
        <w:t>Activité intr</w:t>
      </w:r>
      <w:r w:rsidR="00023A1C">
        <w:rPr>
          <w:color w:val="002060"/>
        </w:rPr>
        <w:t>oductive :</w:t>
      </w:r>
    </w:p>
    <w:p w:rsidR="00023A1C" w:rsidRDefault="00D91778" w:rsidP="00023A1C">
      <w:pPr>
        <w:rPr>
          <w:color w:val="002060"/>
        </w:rPr>
      </w:pPr>
      <w:r>
        <w:rPr>
          <w:color w:val="002060"/>
        </w:rPr>
        <w:t>Q1 :</w:t>
      </w:r>
      <w:r w:rsidR="00023A1C">
        <w:rPr>
          <w:color w:val="002060"/>
        </w:rPr>
        <w:t xml:space="preserve"> </w:t>
      </w:r>
      <w:r w:rsidR="00084045">
        <w:rPr>
          <w:color w:val="002060"/>
        </w:rPr>
        <w:t xml:space="preserve">Le 24/10/1929, les cours </w:t>
      </w:r>
      <w:r w:rsidR="009970AC">
        <w:rPr>
          <w:color w:val="002060"/>
        </w:rPr>
        <w:t>des titres chutent brutalement. Pris de panique</w:t>
      </w:r>
      <w:r w:rsidR="00A0029C">
        <w:rPr>
          <w:color w:val="002060"/>
        </w:rPr>
        <w:t xml:space="preserve">, les gens se mettent à vendre pour limiter leurs pertes. </w:t>
      </w:r>
      <w:r w:rsidR="00CA23B0">
        <w:rPr>
          <w:color w:val="002060"/>
        </w:rPr>
        <w:t xml:space="preserve">13 millions de titres sont mis en vente ce jour là. En conséquence, les pertes </w:t>
      </w:r>
      <w:r w:rsidR="00CB3433">
        <w:rPr>
          <w:color w:val="002060"/>
        </w:rPr>
        <w:t xml:space="preserve">cumulées vont s’établir à $30 </w:t>
      </w:r>
      <w:proofErr w:type="spellStart"/>
      <w:r w:rsidR="00673415">
        <w:rPr>
          <w:color w:val="002060"/>
        </w:rPr>
        <w:t>mds</w:t>
      </w:r>
      <w:proofErr w:type="spellEnd"/>
      <w:r w:rsidR="00CB3433">
        <w:rPr>
          <w:color w:val="002060"/>
        </w:rPr>
        <w:t xml:space="preserve"> soit 10 x plus que l</w:t>
      </w:r>
      <w:r w:rsidR="00673415">
        <w:rPr>
          <w:color w:val="002060"/>
        </w:rPr>
        <w:t>e budget fédéral américain.</w:t>
      </w:r>
    </w:p>
    <w:p w:rsidR="00673415" w:rsidRDefault="00276CAE" w:rsidP="00023A1C">
      <w:pPr>
        <w:rPr>
          <w:color w:val="002060"/>
        </w:rPr>
      </w:pPr>
      <w:r>
        <w:rPr>
          <w:color w:val="002060"/>
        </w:rPr>
        <w:t xml:space="preserve">Q2 : Pendant 10 ans, le cours des actions avait quadruplé et ainsi la valeur </w:t>
      </w:r>
      <w:r w:rsidR="009251EE">
        <w:rPr>
          <w:color w:val="002060"/>
        </w:rPr>
        <w:t>des cours n’avait plus rien à voir avec la valeur réelle de ce qui était représenté en bourse.</w:t>
      </w:r>
      <w:r w:rsidR="004D5E36">
        <w:rPr>
          <w:color w:val="002060"/>
        </w:rPr>
        <w:t xml:space="preserve"> La bulle spéculative a ainsi gonflé avant d’éclater brutalement avec le retournement des cours en 1929.</w:t>
      </w:r>
    </w:p>
    <w:p w:rsidR="004D5E36" w:rsidRDefault="004D5E36" w:rsidP="00023A1C">
      <w:pPr>
        <w:rPr>
          <w:color w:val="002060"/>
        </w:rPr>
      </w:pPr>
      <w:r>
        <w:rPr>
          <w:color w:val="002060"/>
        </w:rPr>
        <w:t xml:space="preserve">Q3 : Exemple : </w:t>
      </w:r>
      <w:proofErr w:type="spellStart"/>
      <w:r>
        <w:rPr>
          <w:color w:val="002060"/>
        </w:rPr>
        <w:t>Rockfeller</w:t>
      </w:r>
      <w:proofErr w:type="spellEnd"/>
      <w:r>
        <w:rPr>
          <w:color w:val="002060"/>
        </w:rPr>
        <w:t xml:space="preserve"> a perdu 80% de son patrimoine</w:t>
      </w:r>
      <w:r w:rsidR="00EE4005">
        <w:rPr>
          <w:color w:val="002060"/>
        </w:rPr>
        <w:t xml:space="preserve">. </w:t>
      </w:r>
      <w:r w:rsidR="00823414">
        <w:rPr>
          <w:color w:val="002060"/>
        </w:rPr>
        <w:t xml:space="preserve">Comme les actifs boursiers n’ont plus de valeur, le patrimoine des agents économiques diminue de manière dramatique, beaucoup d’entre eux sont ruinés. </w:t>
      </w:r>
    </w:p>
    <w:p w:rsidR="00823414" w:rsidRDefault="00823414" w:rsidP="00023A1C">
      <w:pPr>
        <w:rPr>
          <w:color w:val="002060"/>
        </w:rPr>
      </w:pPr>
    </w:p>
    <w:p w:rsidR="00823414" w:rsidRDefault="00823414" w:rsidP="00023A1C">
      <w:pPr>
        <w:rPr>
          <w:color w:val="002060"/>
          <w:u w:val="single"/>
        </w:rPr>
      </w:pPr>
      <w:r>
        <w:rPr>
          <w:color w:val="002060"/>
        </w:rPr>
        <w:t xml:space="preserve">En 1929, les USA sont touchés par une grave crise qui s’étend rapidement aux autres pays industrialisés. Mais cette crise n’est pas un cas isolé. Il y en a eu d’autres des crises (ex : crise des subprimes en 2007). La croissance n’est donc pas un phénomène régulier. Depuis 1945, la tendance générale à long terme est à la croissance économique. On parle d’un </w:t>
      </w:r>
      <w:r w:rsidR="0019525A">
        <w:rPr>
          <w:color w:val="002060"/>
        </w:rPr>
        <w:t>«</w:t>
      </w:r>
      <w:r>
        <w:rPr>
          <w:color w:val="002060"/>
        </w:rPr>
        <w:t>trend</w:t>
      </w:r>
      <w:r w:rsidR="0019525A">
        <w:rPr>
          <w:color w:val="002060"/>
        </w:rPr>
        <w:t>»</w:t>
      </w:r>
      <w:r w:rsidR="009E6B11">
        <w:rPr>
          <w:color w:val="002060"/>
        </w:rPr>
        <w:t xml:space="preserve"> </w:t>
      </w:r>
      <w:r>
        <w:rPr>
          <w:color w:val="002060"/>
        </w:rPr>
        <w:t>croissant</w:t>
      </w:r>
      <w:r w:rsidR="009E6B11">
        <w:rPr>
          <w:color w:val="002060"/>
        </w:rPr>
        <w:t xml:space="preserve">. Malgré la tendance générale, </w:t>
      </w:r>
      <w:r w:rsidR="00D146BD">
        <w:rPr>
          <w:color w:val="002060"/>
        </w:rPr>
        <w:t xml:space="preserve">il existe à court terme des </w:t>
      </w:r>
      <w:r w:rsidR="00D146BD" w:rsidRPr="00D146BD">
        <w:rPr>
          <w:color w:val="002060"/>
          <w:u w:val="single"/>
        </w:rPr>
        <w:t xml:space="preserve">fluctuations économiques. </w:t>
      </w:r>
    </w:p>
    <w:p w:rsidR="00AB3D38" w:rsidRDefault="00AB3D38" w:rsidP="00023A1C">
      <w:pPr>
        <w:rPr>
          <w:color w:val="002060"/>
          <w:u w:val="single"/>
        </w:rPr>
      </w:pPr>
    </w:p>
    <w:p w:rsidR="00AF6FFF" w:rsidRPr="00AB3D38" w:rsidRDefault="00AF6FFF" w:rsidP="00023A1C">
      <w:pPr>
        <w:rPr>
          <w:b/>
          <w:i/>
          <w:color w:val="00B050"/>
        </w:rPr>
      </w:pPr>
      <w:r w:rsidRPr="00AB3D38">
        <w:rPr>
          <w:b/>
          <w:i/>
          <w:color w:val="00B050"/>
        </w:rPr>
        <w:t>La croissance est-elle un phénomène instable ? Pourquoi la croissance économique est-elle rarement équilibrée ? Quels sont les phénomènes à l’origine des fluctuations de la croissance ?</w:t>
      </w:r>
    </w:p>
    <w:p w:rsidR="00AF6FFF" w:rsidRDefault="00AF6FFF" w:rsidP="00023A1C">
      <w:pPr>
        <w:rPr>
          <w:i/>
          <w:color w:val="00B050"/>
        </w:rPr>
      </w:pPr>
    </w:p>
    <w:p w:rsidR="00AF6FFF" w:rsidRDefault="00E07195" w:rsidP="00E07195">
      <w:pPr>
        <w:pStyle w:val="ListParagraph"/>
        <w:numPr>
          <w:ilvl w:val="0"/>
          <w:numId w:val="4"/>
        </w:numPr>
        <w:rPr>
          <w:i/>
          <w:color w:val="00B050"/>
        </w:rPr>
      </w:pPr>
      <w:r w:rsidRPr="00E07195">
        <w:rPr>
          <w:b/>
          <w:color w:val="FF0000"/>
          <w:u w:val="single"/>
        </w:rPr>
        <w:t>Une</w:t>
      </w:r>
      <w:r>
        <w:rPr>
          <w:b/>
          <w:color w:val="FF0000"/>
          <w:u w:val="single"/>
        </w:rPr>
        <w:t xml:space="preserve"> </w:t>
      </w:r>
      <w:r w:rsidRPr="00E07195">
        <w:rPr>
          <w:b/>
          <w:color w:val="FF0000"/>
          <w:u w:val="single"/>
        </w:rPr>
        <w:t>croissance économique instable</w:t>
      </w:r>
      <w:r w:rsidR="00AF6FFF" w:rsidRPr="00E07195">
        <w:rPr>
          <w:i/>
          <w:color w:val="00B050"/>
        </w:rPr>
        <w:t xml:space="preserve"> </w:t>
      </w:r>
    </w:p>
    <w:p w:rsidR="00E07195" w:rsidRDefault="00E07195" w:rsidP="00E07195">
      <w:pPr>
        <w:pStyle w:val="ListParagraph"/>
        <w:ind w:left="1080"/>
        <w:rPr>
          <w:i/>
          <w:color w:val="00B050"/>
        </w:rPr>
      </w:pPr>
    </w:p>
    <w:p w:rsidR="00E07195" w:rsidRDefault="009663DB" w:rsidP="009663DB">
      <w:pPr>
        <w:pStyle w:val="ListParagraph"/>
        <w:numPr>
          <w:ilvl w:val="0"/>
          <w:numId w:val="5"/>
        </w:numPr>
        <w:rPr>
          <w:b/>
          <w:color w:val="538135" w:themeColor="accent6" w:themeShade="BF"/>
          <w:u w:val="single"/>
        </w:rPr>
      </w:pPr>
      <w:r>
        <w:rPr>
          <w:b/>
          <w:color w:val="538135" w:themeColor="accent6" w:themeShade="BF"/>
          <w:u w:val="single"/>
        </w:rPr>
        <w:t>Qu’est ce qu’un cycle économique ?</w:t>
      </w:r>
    </w:p>
    <w:p w:rsidR="009663DB" w:rsidRDefault="009663DB" w:rsidP="009663DB">
      <w:pPr>
        <w:pStyle w:val="ListParagraph"/>
        <w:ind w:left="1440"/>
        <w:rPr>
          <w:b/>
          <w:color w:val="538135" w:themeColor="accent6" w:themeShade="BF"/>
          <w:u w:val="single"/>
        </w:rPr>
      </w:pPr>
    </w:p>
    <w:p w:rsidR="009663DB" w:rsidRDefault="009663DB" w:rsidP="009663DB">
      <w:pPr>
        <w:pStyle w:val="ListParagraph"/>
        <w:numPr>
          <w:ilvl w:val="0"/>
          <w:numId w:val="6"/>
        </w:numPr>
        <w:rPr>
          <w:b/>
          <w:color w:val="1A1A1A" w:themeColor="background1" w:themeShade="1A"/>
          <w:u w:val="single"/>
        </w:rPr>
      </w:pPr>
      <w:r>
        <w:rPr>
          <w:b/>
          <w:color w:val="1A1A1A" w:themeColor="background1" w:themeShade="1A"/>
          <w:u w:val="single"/>
        </w:rPr>
        <w:t>Les quartes saisons d’un cycle</w:t>
      </w:r>
    </w:p>
    <w:p w:rsidR="009663DB" w:rsidRDefault="009663DB" w:rsidP="009663DB">
      <w:pPr>
        <w:pStyle w:val="ListParagraph"/>
        <w:ind w:left="1800"/>
        <w:rPr>
          <w:b/>
          <w:color w:val="1A1A1A" w:themeColor="background1" w:themeShade="1A"/>
          <w:u w:val="single"/>
        </w:rPr>
      </w:pPr>
    </w:p>
    <w:p w:rsidR="009663DB" w:rsidRDefault="001E774C" w:rsidP="009663DB">
      <w:pPr>
        <w:pStyle w:val="ListParagraph"/>
        <w:ind w:left="1800"/>
        <w:rPr>
          <w:color w:val="002060"/>
        </w:rPr>
      </w:pPr>
      <w:r>
        <w:rPr>
          <w:color w:val="002060"/>
        </w:rPr>
        <w:t xml:space="preserve">La croissance économique n’est pas régulière. Elle est soumise à des fluctuations économiques qui correspondent à </w:t>
      </w:r>
      <w:r w:rsidRPr="00710DE1">
        <w:rPr>
          <w:color w:val="002060"/>
          <w:highlight w:val="yellow"/>
        </w:rPr>
        <w:t>l’ensemble des mouvements de ralentissement ou d’accélération du rythme de la croissance économique.</w:t>
      </w:r>
      <w:r>
        <w:rPr>
          <w:color w:val="002060"/>
        </w:rPr>
        <w:t xml:space="preserve"> Lorsque ces fluctuations sont récurrentes, et qu’elles suivent le </w:t>
      </w:r>
      <w:r w:rsidR="0096776A">
        <w:rPr>
          <w:color w:val="002060"/>
        </w:rPr>
        <w:t>même</w:t>
      </w:r>
      <w:r>
        <w:rPr>
          <w:color w:val="002060"/>
        </w:rPr>
        <w:t xml:space="preserve"> </w:t>
      </w:r>
      <w:r w:rsidR="0096776A">
        <w:rPr>
          <w:color w:val="002060"/>
        </w:rPr>
        <w:t xml:space="preserve">schéma, on parle de </w:t>
      </w:r>
      <w:r w:rsidR="0096776A" w:rsidRPr="0096776A">
        <w:rPr>
          <w:color w:val="002060"/>
          <w:u w:val="single"/>
        </w:rPr>
        <w:t>cycle économique</w:t>
      </w:r>
      <w:r w:rsidR="0096776A">
        <w:rPr>
          <w:color w:val="002060"/>
        </w:rPr>
        <w:t>.</w:t>
      </w:r>
    </w:p>
    <w:p w:rsidR="00C150A2" w:rsidRDefault="00C150A2" w:rsidP="009663DB">
      <w:pPr>
        <w:pStyle w:val="ListParagraph"/>
        <w:ind w:left="1800"/>
        <w:rPr>
          <w:color w:val="002060"/>
        </w:rPr>
      </w:pPr>
    </w:p>
    <w:p w:rsidR="00A5629A" w:rsidRDefault="00A5629A" w:rsidP="009663DB">
      <w:pPr>
        <w:pStyle w:val="ListParagraph"/>
        <w:ind w:left="1800"/>
        <w:rPr>
          <w:color w:val="002060"/>
        </w:rPr>
      </w:pPr>
      <w:r>
        <w:rPr>
          <w:color w:val="002060"/>
        </w:rPr>
        <w:t>Un cycle est une fluctuation qui revient avec une certaine régularité et une certaine périodicité. Chaque cycle est composé d’une phase ascendante et d’une phase descendante.</w:t>
      </w:r>
    </w:p>
    <w:p w:rsidR="00A5629A" w:rsidRPr="000E50C3" w:rsidRDefault="00A5629A" w:rsidP="000E50C3">
      <w:pPr>
        <w:rPr>
          <w:color w:val="002060"/>
        </w:rPr>
      </w:pPr>
    </w:p>
    <w:p w:rsidR="00667FC1" w:rsidRDefault="000E50C3" w:rsidP="009663DB">
      <w:pPr>
        <w:pStyle w:val="ListParagraph"/>
        <w:ind w:left="1800"/>
        <w:rPr>
          <w:color w:val="002060"/>
        </w:rPr>
      </w:pPr>
      <w:r>
        <w:rPr>
          <w:noProof/>
          <w:color w:val="002060"/>
          <w:lang w:eastAsia="fr-FR"/>
        </w:rPr>
        <w:lastRenderedPageBreak/>
        <w:drawing>
          <wp:anchor distT="0" distB="0" distL="114300" distR="114300" simplePos="0" relativeHeight="251659264" behindDoc="0" locked="0" layoutInCell="1" allowOverlap="1">
            <wp:simplePos x="0" y="0"/>
            <wp:positionH relativeFrom="column">
              <wp:posOffset>4445</wp:posOffset>
            </wp:positionH>
            <wp:positionV relativeFrom="paragraph">
              <wp:posOffset>171450</wp:posOffset>
            </wp:positionV>
            <wp:extent cx="5760720" cy="4243705"/>
            <wp:effectExtent l="0" t="0" r="508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243705"/>
                    </a:xfrm>
                    <a:prstGeom prst="rect">
                      <a:avLst/>
                    </a:prstGeom>
                  </pic:spPr>
                </pic:pic>
              </a:graphicData>
            </a:graphic>
          </wp:anchor>
        </w:drawing>
      </w:r>
    </w:p>
    <w:p w:rsidR="00667FC1" w:rsidRDefault="00667FC1" w:rsidP="009663DB">
      <w:pPr>
        <w:pStyle w:val="ListParagraph"/>
        <w:ind w:left="1800"/>
        <w:rPr>
          <w:color w:val="002060"/>
        </w:rPr>
      </w:pPr>
    </w:p>
    <w:p w:rsidR="000E50C3" w:rsidRDefault="000E50C3" w:rsidP="009663DB">
      <w:pPr>
        <w:pStyle w:val="ListParagraph"/>
        <w:ind w:left="1800"/>
        <w:rPr>
          <w:color w:val="002060"/>
        </w:rPr>
      </w:pPr>
    </w:p>
    <w:p w:rsidR="00667FC1" w:rsidRDefault="00753595" w:rsidP="009663DB">
      <w:pPr>
        <w:pStyle w:val="ListParagraph"/>
        <w:ind w:left="1800"/>
        <w:rPr>
          <w:color w:val="002060"/>
        </w:rPr>
      </w:pPr>
      <w:r>
        <w:rPr>
          <w:color w:val="002060"/>
        </w:rPr>
        <w:t>Remarque : Lorsque l’on parle de la hausse du PIB à court terme</w:t>
      </w:r>
      <w:r w:rsidR="009C1D80">
        <w:rPr>
          <w:color w:val="002060"/>
        </w:rPr>
        <w:t xml:space="preserve">, on utilise le terme </w:t>
      </w:r>
      <w:r w:rsidR="009C1D80" w:rsidRPr="00215CB2">
        <w:rPr>
          <w:i/>
          <w:color w:val="002060"/>
          <w:u w:val="single"/>
        </w:rPr>
        <w:t>expansion</w:t>
      </w:r>
      <w:r w:rsidR="009C1D80">
        <w:rPr>
          <w:color w:val="002060"/>
        </w:rPr>
        <w:t xml:space="preserve">. Quand c’est sur le long terme, on utilise le terme </w:t>
      </w:r>
      <w:r w:rsidR="009C1D80" w:rsidRPr="00215CB2">
        <w:rPr>
          <w:i/>
          <w:color w:val="002060"/>
          <w:u w:val="single"/>
        </w:rPr>
        <w:t>croissance</w:t>
      </w:r>
      <w:r w:rsidR="00215CB2">
        <w:rPr>
          <w:color w:val="002060"/>
        </w:rPr>
        <w:t>.</w:t>
      </w:r>
    </w:p>
    <w:p w:rsidR="00215CB2" w:rsidRDefault="00C74A7D" w:rsidP="009663DB">
      <w:pPr>
        <w:pStyle w:val="ListParagraph"/>
        <w:ind w:left="1800"/>
        <w:rPr>
          <w:color w:val="002060"/>
        </w:rPr>
      </w:pPr>
      <w:r w:rsidRPr="00926878">
        <w:rPr>
          <w:rFonts w:ascii="Apple Color Emoji" w:eastAsia="Apple Color Emoji" w:hAnsi="Apple Color Emoji" w:cs="Apple Color Emoji"/>
          <w:color w:val="002060"/>
        </w:rPr>
        <w:t>⚠</w:t>
      </w:r>
      <w:r>
        <w:rPr>
          <w:color w:val="002060"/>
          <w:lang w:val="en-GB"/>
        </w:rPr>
        <w:t>️</w:t>
      </w:r>
      <w:r>
        <w:rPr>
          <w:color w:val="002060"/>
        </w:rPr>
        <w:t xml:space="preserve"> </w:t>
      </w:r>
      <w:r w:rsidRPr="00320248">
        <w:rPr>
          <w:i/>
          <w:color w:val="002060"/>
          <w:u w:val="single"/>
        </w:rPr>
        <w:t>récession</w:t>
      </w:r>
      <w:r>
        <w:rPr>
          <w:color w:val="002060"/>
        </w:rPr>
        <w:t xml:space="preserve"> = taux de croissance du PIB qui baisse, le PIB augmente mais de moins en moins</w:t>
      </w:r>
    </w:p>
    <w:p w:rsidR="00C74A7D" w:rsidRDefault="00C74A7D" w:rsidP="009663DB">
      <w:pPr>
        <w:pStyle w:val="ListParagraph"/>
        <w:ind w:left="1800"/>
        <w:rPr>
          <w:color w:val="002060"/>
        </w:rPr>
      </w:pPr>
      <w:r>
        <w:rPr>
          <w:i/>
          <w:color w:val="002060"/>
          <w:u w:val="single"/>
        </w:rPr>
        <w:t xml:space="preserve">Dépression </w:t>
      </w:r>
      <w:r>
        <w:rPr>
          <w:color w:val="002060"/>
        </w:rPr>
        <w:t>= là le PIB diminue</w:t>
      </w:r>
      <w:r w:rsidR="00320248">
        <w:rPr>
          <w:color w:val="002060"/>
        </w:rPr>
        <w:t>.</w:t>
      </w:r>
    </w:p>
    <w:p w:rsidR="00320248" w:rsidRDefault="00320248" w:rsidP="009663DB">
      <w:pPr>
        <w:pStyle w:val="ListParagraph"/>
        <w:ind w:left="1800"/>
        <w:rPr>
          <w:b/>
          <w:color w:val="538135" w:themeColor="accent6" w:themeShade="BF"/>
          <w:u w:val="single"/>
        </w:rPr>
      </w:pPr>
    </w:p>
    <w:p w:rsidR="007B4358" w:rsidRDefault="007B4358" w:rsidP="007B4358">
      <w:pPr>
        <w:pStyle w:val="ListParagraph"/>
        <w:numPr>
          <w:ilvl w:val="0"/>
          <w:numId w:val="6"/>
        </w:numPr>
        <w:rPr>
          <w:b/>
          <w:color w:val="1A1A1A" w:themeColor="background1" w:themeShade="1A"/>
          <w:u w:val="single"/>
        </w:rPr>
      </w:pPr>
      <w:r w:rsidRPr="007B4358">
        <w:rPr>
          <w:b/>
          <w:color w:val="1A1A1A" w:themeColor="background1" w:themeShade="1A"/>
          <w:u w:val="single"/>
        </w:rPr>
        <w:t>Des cycles de périodicité variables</w:t>
      </w:r>
      <w:r w:rsidR="00F57028">
        <w:rPr>
          <w:b/>
          <w:color w:val="1A1A1A" w:themeColor="background1" w:themeShade="1A"/>
          <w:u w:val="single"/>
        </w:rPr>
        <w:t> : cycle long et cycle court</w:t>
      </w:r>
    </w:p>
    <w:p w:rsidR="00F57028" w:rsidRDefault="00F57028" w:rsidP="00F57028">
      <w:pPr>
        <w:pStyle w:val="ListParagraph"/>
        <w:ind w:left="1800"/>
        <w:rPr>
          <w:b/>
          <w:color w:val="1A1A1A" w:themeColor="background1" w:themeShade="1A"/>
          <w:u w:val="single"/>
        </w:rPr>
      </w:pPr>
    </w:p>
    <w:p w:rsidR="00F57028" w:rsidRDefault="00BF0EF5" w:rsidP="00F57028">
      <w:pPr>
        <w:pStyle w:val="ListParagraph"/>
        <w:ind w:left="1800"/>
        <w:rPr>
          <w:color w:val="002060"/>
          <w:u w:val="single"/>
        </w:rPr>
      </w:pPr>
      <w:r>
        <w:rPr>
          <w:color w:val="002060"/>
          <w:u w:val="single"/>
        </w:rPr>
        <w:t>Activité 2</w:t>
      </w:r>
    </w:p>
    <w:p w:rsidR="00BF0EF5" w:rsidRDefault="00BF0EF5" w:rsidP="00F57028">
      <w:pPr>
        <w:pStyle w:val="ListParagraph"/>
        <w:ind w:left="1800"/>
        <w:rPr>
          <w:color w:val="002060"/>
          <w:u w:val="single"/>
        </w:rPr>
      </w:pPr>
    </w:p>
    <w:p w:rsidR="00D57E0A" w:rsidRDefault="00467351" w:rsidP="00D57E0A">
      <w:pPr>
        <w:pStyle w:val="ListParagraph"/>
        <w:numPr>
          <w:ilvl w:val="0"/>
          <w:numId w:val="5"/>
        </w:numPr>
        <w:rPr>
          <w:b/>
          <w:color w:val="538135" w:themeColor="accent6" w:themeShade="BF"/>
          <w:u w:val="single"/>
        </w:rPr>
      </w:pPr>
      <w:r>
        <w:rPr>
          <w:b/>
          <w:color w:val="538135" w:themeColor="accent6" w:themeShade="BF"/>
          <w:u w:val="single"/>
        </w:rPr>
        <w:t>Une croissance économique instable sur le long terme : 1 siècle de fluctuations et de crises</w:t>
      </w:r>
    </w:p>
    <w:p w:rsidR="00467351" w:rsidRDefault="00467351" w:rsidP="00467351">
      <w:pPr>
        <w:pStyle w:val="ListParagraph"/>
        <w:ind w:left="1440"/>
        <w:rPr>
          <w:b/>
          <w:color w:val="538135" w:themeColor="accent6" w:themeShade="BF"/>
          <w:u w:val="single"/>
        </w:rPr>
      </w:pPr>
    </w:p>
    <w:p w:rsidR="00467351" w:rsidRDefault="00467351" w:rsidP="00467351">
      <w:pPr>
        <w:pStyle w:val="ListParagraph"/>
        <w:ind w:left="1440"/>
        <w:rPr>
          <w:color w:val="002060"/>
          <w:u w:val="single"/>
        </w:rPr>
      </w:pPr>
      <w:r>
        <w:rPr>
          <w:color w:val="002060"/>
          <w:u w:val="single"/>
        </w:rPr>
        <w:t>Activité 3</w:t>
      </w:r>
    </w:p>
    <w:p w:rsidR="00467351" w:rsidRDefault="00DB0772" w:rsidP="00467351">
      <w:pPr>
        <w:pStyle w:val="ListParagraph"/>
        <w:ind w:left="1440"/>
        <w:rPr>
          <w:color w:val="002060"/>
        </w:rPr>
      </w:pPr>
      <w:r>
        <w:rPr>
          <w:color w:val="002060"/>
        </w:rPr>
        <w:t>Présentation du document : Ce graphique réalisé par l’INSEE représente les variations du taux de croissance du PIB en volume en France entre 1950 et 2010. L’unité est le pourcentage.</w:t>
      </w:r>
    </w:p>
    <w:p w:rsidR="00C10742" w:rsidRDefault="00C10742" w:rsidP="00C10742">
      <w:pPr>
        <w:pStyle w:val="ListParagraph"/>
        <w:numPr>
          <w:ilvl w:val="0"/>
          <w:numId w:val="7"/>
        </w:numPr>
        <w:rPr>
          <w:color w:val="002060"/>
        </w:rPr>
      </w:pPr>
      <w:r>
        <w:rPr>
          <w:color w:val="002060"/>
        </w:rPr>
        <w:t>Grâce à ce graphique, on peut illustrer les différentes phases d’un cycle :</w:t>
      </w:r>
    </w:p>
    <w:p w:rsidR="00C10742" w:rsidRDefault="004362F5" w:rsidP="00C10742">
      <w:pPr>
        <w:pStyle w:val="ListParagraph"/>
        <w:numPr>
          <w:ilvl w:val="0"/>
          <w:numId w:val="8"/>
        </w:numPr>
        <w:rPr>
          <w:color w:val="002060"/>
        </w:rPr>
      </w:pPr>
      <w:r w:rsidRPr="00CF7A1B">
        <w:rPr>
          <w:color w:val="002060"/>
          <w:u w:val="single"/>
        </w:rPr>
        <w:t>Expansion :</w:t>
      </w:r>
      <w:r w:rsidRPr="00CF7A1B">
        <w:rPr>
          <w:color w:val="002060"/>
        </w:rPr>
        <w:t xml:space="preserve"> </w:t>
      </w:r>
      <w:r>
        <w:rPr>
          <w:color w:val="002060"/>
        </w:rPr>
        <w:t>augmentation du taux de croissance comme entre 1985 et 1987.</w:t>
      </w:r>
    </w:p>
    <w:p w:rsidR="004362F5" w:rsidRDefault="004362F5" w:rsidP="00C10742">
      <w:pPr>
        <w:pStyle w:val="ListParagraph"/>
        <w:numPr>
          <w:ilvl w:val="0"/>
          <w:numId w:val="8"/>
        </w:numPr>
        <w:rPr>
          <w:color w:val="002060"/>
        </w:rPr>
      </w:pPr>
      <w:r w:rsidRPr="00CF7A1B">
        <w:rPr>
          <w:color w:val="002060"/>
          <w:u w:val="single"/>
        </w:rPr>
        <w:t>Crise :</w:t>
      </w:r>
      <w:r>
        <w:rPr>
          <w:color w:val="002060"/>
        </w:rPr>
        <w:t xml:space="preserve"> retournement comme en 1973 avec le choc pétrolier </w:t>
      </w:r>
    </w:p>
    <w:p w:rsidR="004362F5" w:rsidRPr="00D05EB6" w:rsidRDefault="00D05EB6" w:rsidP="00D05EB6">
      <w:pPr>
        <w:pStyle w:val="ListParagraph"/>
        <w:numPr>
          <w:ilvl w:val="0"/>
          <w:numId w:val="8"/>
        </w:numPr>
        <w:rPr>
          <w:color w:val="002060"/>
        </w:rPr>
      </w:pPr>
      <w:r w:rsidRPr="00AC2F5F">
        <w:rPr>
          <w:color w:val="002060"/>
          <w:u w:val="single"/>
        </w:rPr>
        <w:t>Récession :</w:t>
      </w:r>
      <w:r w:rsidR="004362F5" w:rsidRPr="00D05EB6">
        <w:rPr>
          <w:color w:val="002060"/>
        </w:rPr>
        <w:t xml:space="preserve"> baisse du taux de croissance comme entre 1973 et 1974</w:t>
      </w:r>
    </w:p>
    <w:p w:rsidR="004362F5" w:rsidRDefault="004362F5" w:rsidP="00C10742">
      <w:pPr>
        <w:pStyle w:val="ListParagraph"/>
        <w:numPr>
          <w:ilvl w:val="0"/>
          <w:numId w:val="8"/>
        </w:numPr>
        <w:rPr>
          <w:color w:val="002060"/>
        </w:rPr>
      </w:pPr>
      <w:r w:rsidRPr="00AC2F5F">
        <w:rPr>
          <w:color w:val="002060"/>
          <w:u w:val="single"/>
        </w:rPr>
        <w:t>Dépression :</w:t>
      </w:r>
      <w:r>
        <w:rPr>
          <w:color w:val="002060"/>
        </w:rPr>
        <w:t xml:space="preserve"> taux de croissance négatif comme en 1975</w:t>
      </w:r>
    </w:p>
    <w:p w:rsidR="00F30BEE" w:rsidRDefault="00F30BEE" w:rsidP="00C10742">
      <w:pPr>
        <w:pStyle w:val="ListParagraph"/>
        <w:numPr>
          <w:ilvl w:val="0"/>
          <w:numId w:val="8"/>
        </w:numPr>
        <w:rPr>
          <w:color w:val="002060"/>
        </w:rPr>
      </w:pPr>
      <w:r w:rsidRPr="00AC2F5F">
        <w:rPr>
          <w:color w:val="002060"/>
          <w:u w:val="single"/>
        </w:rPr>
        <w:t>Reprise :</w:t>
      </w:r>
      <w:r>
        <w:rPr>
          <w:color w:val="002060"/>
        </w:rPr>
        <w:t xml:space="preserve"> </w:t>
      </w:r>
      <w:r w:rsidR="009C5946">
        <w:rPr>
          <w:color w:val="002060"/>
        </w:rPr>
        <w:t>retrouve le chemin de l’expansion à partir de 1976.</w:t>
      </w:r>
    </w:p>
    <w:p w:rsidR="000B2720" w:rsidRDefault="00F644AE" w:rsidP="000B2720">
      <w:pPr>
        <w:pStyle w:val="ListParagraph"/>
        <w:numPr>
          <w:ilvl w:val="0"/>
          <w:numId w:val="7"/>
        </w:numPr>
        <w:rPr>
          <w:color w:val="002060"/>
        </w:rPr>
      </w:pPr>
      <w:r>
        <w:rPr>
          <w:color w:val="002060"/>
        </w:rPr>
        <w:lastRenderedPageBreak/>
        <w:t>Quelques éléments de connaissances sur les périodes identifiées sur le document :</w:t>
      </w:r>
    </w:p>
    <w:p w:rsidR="00F644AE" w:rsidRDefault="00F644AE" w:rsidP="00F644AE">
      <w:pPr>
        <w:pStyle w:val="ListParagraph"/>
        <w:numPr>
          <w:ilvl w:val="0"/>
          <w:numId w:val="8"/>
        </w:numPr>
        <w:rPr>
          <w:color w:val="002060"/>
        </w:rPr>
      </w:pPr>
      <w:r>
        <w:rPr>
          <w:color w:val="002060"/>
        </w:rPr>
        <w:t xml:space="preserve">Les 30 glorieuses : expression inventée par l’économiste Jean </w:t>
      </w:r>
      <w:proofErr w:type="spellStart"/>
      <w:r>
        <w:rPr>
          <w:color w:val="002060"/>
        </w:rPr>
        <w:t>Fourastié</w:t>
      </w:r>
      <w:proofErr w:type="spellEnd"/>
      <w:r>
        <w:rPr>
          <w:color w:val="002060"/>
        </w:rPr>
        <w:t xml:space="preserve"> pour qualifier la période d’après-guerre (2</w:t>
      </w:r>
      <w:r w:rsidRPr="00F644AE">
        <w:rPr>
          <w:color w:val="002060"/>
          <w:vertAlign w:val="superscript"/>
        </w:rPr>
        <w:t>nde</w:t>
      </w:r>
      <w:r>
        <w:rPr>
          <w:color w:val="002060"/>
        </w:rPr>
        <w:t xml:space="preserve"> GM). Cette période se caractérise par un fort taux de croissance (autour de 5%).</w:t>
      </w:r>
    </w:p>
    <w:p w:rsidR="00F644AE" w:rsidRDefault="00F644AE" w:rsidP="00F644AE">
      <w:pPr>
        <w:pStyle w:val="ListParagraph"/>
        <w:numPr>
          <w:ilvl w:val="0"/>
          <w:numId w:val="8"/>
        </w:numPr>
        <w:rPr>
          <w:color w:val="002060"/>
        </w:rPr>
      </w:pPr>
      <w:r>
        <w:rPr>
          <w:color w:val="002060"/>
        </w:rPr>
        <w:t>Les chocs pétroliers de 73 et 79 : Ce sont deux périodes où le prix du baril de pétrole augmente fortement (flambée des prix). Comme la France est un pays industrialisé, elle est très largement dépendante du pétrole, ce qui explique que l’augmentation du prix a pesé à la baisse sur l’ensemble de l’économie.</w:t>
      </w:r>
    </w:p>
    <w:p w:rsidR="00F644AE" w:rsidRDefault="00F644AE" w:rsidP="00F644AE">
      <w:pPr>
        <w:pStyle w:val="ListParagraph"/>
        <w:numPr>
          <w:ilvl w:val="0"/>
          <w:numId w:val="8"/>
        </w:numPr>
        <w:rPr>
          <w:color w:val="002060"/>
        </w:rPr>
      </w:pPr>
      <w:r>
        <w:rPr>
          <w:color w:val="002060"/>
        </w:rPr>
        <w:t>Le krach boursier de 2000 : dans les années 90 se construit « la nouvelle économie » qui fonde sa croissance sur l’essor de l’internet. La valeur de ces entreprises n’était pas fondée sur leur activité et leurs résultats passés mais sur ceux espérés. Une bulle spéculative s’est formée et a éclaté en 2000. L’indice Nasdaq a perdu ¾ de sa valeur et a entraîné dans sa chute d’autres secteurs de la bourse (ex : chute du CAC 40).</w:t>
      </w:r>
    </w:p>
    <w:p w:rsidR="00F644AE" w:rsidRDefault="00F644AE" w:rsidP="00F644AE">
      <w:pPr>
        <w:pStyle w:val="ListParagraph"/>
        <w:numPr>
          <w:ilvl w:val="0"/>
          <w:numId w:val="8"/>
        </w:numPr>
        <w:rPr>
          <w:color w:val="002060"/>
        </w:rPr>
      </w:pPr>
      <w:r>
        <w:rPr>
          <w:color w:val="002060"/>
        </w:rPr>
        <w:t xml:space="preserve">Crise des subprimes : </w:t>
      </w:r>
      <w:r w:rsidR="00D036BF">
        <w:rPr>
          <w:color w:val="002060"/>
        </w:rPr>
        <w:t xml:space="preserve">les crédits </w:t>
      </w:r>
      <w:r w:rsidR="000E6BFB">
        <w:rPr>
          <w:color w:val="002060"/>
        </w:rPr>
        <w:t>subprimes sont des crédits qui ont été proposés à des ménages américains aux revenus faibles qui ne pouvaient accéder aux crédits normaux. Les crédits subprimes ont été fractionnés et incorporés à d’autres titres pour ensuite être vendus sur les marchés financiers. C’est ce qu’on appelle la titrisation</w:t>
      </w:r>
      <w:r w:rsidR="00AA6732">
        <w:rPr>
          <w:color w:val="002060"/>
        </w:rPr>
        <w:t>.</w:t>
      </w:r>
      <w:r w:rsidR="00DB59D3">
        <w:rPr>
          <w:color w:val="002060"/>
        </w:rPr>
        <w:t xml:space="preserve"> Les banques du monde entier</w:t>
      </w:r>
      <w:r w:rsidR="00D92F12">
        <w:rPr>
          <w:color w:val="002060"/>
        </w:rPr>
        <w:t xml:space="preserve"> ont acheté ce type de produit si bien qu’ils se sont éparpillés à l’échelle internationale. En 2007, le marché de l’immobilier s’est retourné, de nombreux ménages ne sont pas parvenus à rembourser leur emprunt, ce qui a fait chuter très rapidement la valeur de ces titres en bourse. Cette crise </w:t>
      </w:r>
      <w:r w:rsidR="00EA4FB5">
        <w:rPr>
          <w:color w:val="002060"/>
        </w:rPr>
        <w:t>en bourse à produit une crise du système bancaire et au final de l’économie réelle.</w:t>
      </w:r>
    </w:p>
    <w:p w:rsidR="00EA4FB5" w:rsidRDefault="00EA4FB5" w:rsidP="00EA4FB5">
      <w:pPr>
        <w:rPr>
          <w:color w:val="002060"/>
        </w:rPr>
      </w:pPr>
    </w:p>
    <w:p w:rsidR="00EA4FB5" w:rsidRDefault="00385708" w:rsidP="00385708">
      <w:pPr>
        <w:pStyle w:val="ListParagraph"/>
        <w:numPr>
          <w:ilvl w:val="0"/>
          <w:numId w:val="4"/>
        </w:numPr>
        <w:rPr>
          <w:b/>
          <w:color w:val="FF0000"/>
          <w:u w:val="single"/>
        </w:rPr>
      </w:pPr>
      <w:r>
        <w:rPr>
          <w:b/>
          <w:color w:val="FF0000"/>
          <w:u w:val="single"/>
        </w:rPr>
        <w:t>Les explications des fluctuations économiques</w:t>
      </w:r>
    </w:p>
    <w:p w:rsidR="00385708" w:rsidRDefault="00385708" w:rsidP="00385708">
      <w:pPr>
        <w:pStyle w:val="ListParagraph"/>
        <w:ind w:left="1080"/>
        <w:rPr>
          <w:b/>
          <w:color w:val="FF0000"/>
          <w:u w:val="single"/>
        </w:rPr>
      </w:pPr>
    </w:p>
    <w:p w:rsidR="00837071" w:rsidRDefault="003A7CA0" w:rsidP="00FE70B8">
      <w:pPr>
        <w:pStyle w:val="ListParagraph"/>
        <w:ind w:left="1080"/>
        <w:rPr>
          <w:color w:val="002060"/>
        </w:rPr>
      </w:pPr>
      <w:r>
        <w:rPr>
          <w:color w:val="002060"/>
        </w:rPr>
        <w:t>Les fluctuations de la croissance et les crises rythment l’histoire économique depuis le début du 19</w:t>
      </w:r>
      <w:r w:rsidRPr="003A7CA0">
        <w:rPr>
          <w:color w:val="002060"/>
          <w:vertAlign w:val="superscript"/>
        </w:rPr>
        <w:t>ème</w:t>
      </w:r>
      <w:r>
        <w:rPr>
          <w:color w:val="002060"/>
        </w:rPr>
        <w:t xml:space="preserve"> siècle.</w:t>
      </w:r>
      <w:r w:rsidR="00FE70B8">
        <w:rPr>
          <w:color w:val="002060"/>
        </w:rPr>
        <w:t xml:space="preserve"> </w:t>
      </w:r>
    </w:p>
    <w:p w:rsidR="00416226" w:rsidRDefault="00416226" w:rsidP="00837071">
      <w:pPr>
        <w:pStyle w:val="ListParagraph"/>
        <w:ind w:left="1080"/>
        <w:rPr>
          <w:color w:val="002060"/>
        </w:rPr>
      </w:pPr>
      <w:r>
        <w:rPr>
          <w:color w:val="002060"/>
        </w:rPr>
        <w:t>Si chaque crise est spécifique, son déclenchement s’explique</w:t>
      </w:r>
      <w:r w:rsidR="00837071">
        <w:rPr>
          <w:color w:val="002060"/>
        </w:rPr>
        <w:t xml:space="preserve"> </w:t>
      </w:r>
      <w:r w:rsidRPr="00837071">
        <w:rPr>
          <w:color w:val="002060"/>
        </w:rPr>
        <w:t xml:space="preserve">souvent par des chocs sur l’offre ou sur la demande. </w:t>
      </w:r>
      <w:r w:rsidR="00837071">
        <w:rPr>
          <w:color w:val="002060"/>
        </w:rPr>
        <w:t xml:space="preserve">Ces chocs sont exogènes, </w:t>
      </w:r>
      <w:r w:rsidR="00CC7E88">
        <w:rPr>
          <w:color w:val="002060"/>
        </w:rPr>
        <w:t>puisqu’ils expliquent ces fluctuations par des événements extérieurs.</w:t>
      </w:r>
    </w:p>
    <w:p w:rsidR="00CC7E88" w:rsidRDefault="00CC7E88" w:rsidP="00837071">
      <w:pPr>
        <w:pStyle w:val="ListParagraph"/>
        <w:ind w:left="1080"/>
        <w:rPr>
          <w:color w:val="002060"/>
        </w:rPr>
      </w:pPr>
    </w:p>
    <w:p w:rsidR="00CC7E88" w:rsidRDefault="00F50778" w:rsidP="00CC7E88">
      <w:pPr>
        <w:pStyle w:val="ListParagraph"/>
        <w:numPr>
          <w:ilvl w:val="0"/>
          <w:numId w:val="9"/>
        </w:numPr>
        <w:rPr>
          <w:b/>
          <w:color w:val="538135" w:themeColor="accent6" w:themeShade="BF"/>
          <w:u w:val="single"/>
        </w:rPr>
      </w:pPr>
      <w:r>
        <w:rPr>
          <w:b/>
          <w:color w:val="538135" w:themeColor="accent6" w:themeShade="BF"/>
          <w:u w:val="single"/>
        </w:rPr>
        <w:t>Les chocs d’offre ont un impact sur la croissance</w:t>
      </w:r>
    </w:p>
    <w:p w:rsidR="00A129F0" w:rsidRDefault="00A129F0" w:rsidP="00A129F0">
      <w:pPr>
        <w:pStyle w:val="ListParagraph"/>
        <w:ind w:left="1440"/>
        <w:rPr>
          <w:b/>
          <w:color w:val="538135" w:themeColor="accent6" w:themeShade="BF"/>
          <w:u w:val="single"/>
        </w:rPr>
      </w:pPr>
    </w:p>
    <w:p w:rsidR="00A129F0" w:rsidRDefault="00A129F0" w:rsidP="00A129F0">
      <w:pPr>
        <w:pStyle w:val="ListParagraph"/>
        <w:numPr>
          <w:ilvl w:val="0"/>
          <w:numId w:val="10"/>
        </w:numPr>
        <w:rPr>
          <w:b/>
          <w:color w:val="1A1A1A" w:themeColor="background1" w:themeShade="1A"/>
          <w:u w:val="single"/>
        </w:rPr>
      </w:pPr>
      <w:r>
        <w:rPr>
          <w:b/>
          <w:color w:val="1A1A1A" w:themeColor="background1" w:themeShade="1A"/>
          <w:u w:val="single"/>
        </w:rPr>
        <w:t xml:space="preserve">Rappel : la détermination </w:t>
      </w:r>
      <w:r w:rsidR="00404131">
        <w:rPr>
          <w:b/>
          <w:color w:val="1A1A1A" w:themeColor="background1" w:themeShade="1A"/>
          <w:u w:val="single"/>
        </w:rPr>
        <w:t xml:space="preserve">de l’équilibre </w:t>
      </w:r>
      <w:r w:rsidR="00C158F0">
        <w:rPr>
          <w:b/>
          <w:color w:val="1A1A1A" w:themeColor="background1" w:themeShade="1A"/>
          <w:u w:val="single"/>
        </w:rPr>
        <w:t>sur un marché concurrentiel</w:t>
      </w:r>
    </w:p>
    <w:p w:rsidR="00B63E48" w:rsidRDefault="00B63E48" w:rsidP="00B63E48">
      <w:pPr>
        <w:pStyle w:val="ListParagraph"/>
        <w:ind w:left="1800"/>
        <w:rPr>
          <w:b/>
          <w:color w:val="1A1A1A" w:themeColor="background1" w:themeShade="1A"/>
          <w:u w:val="single"/>
        </w:rPr>
      </w:pPr>
    </w:p>
    <w:p w:rsidR="00B63E48" w:rsidRDefault="00B63E48" w:rsidP="00B63E48">
      <w:pPr>
        <w:pStyle w:val="ListParagraph"/>
        <w:ind w:left="1800"/>
        <w:rPr>
          <w:color w:val="002060"/>
        </w:rPr>
      </w:pPr>
      <w:r w:rsidRPr="00B63E48">
        <w:rPr>
          <w:color w:val="002060"/>
        </w:rPr>
        <w:t>Dans le modèle néoclassique</w:t>
      </w:r>
      <w:r w:rsidR="008D5C19">
        <w:rPr>
          <w:color w:val="002060"/>
        </w:rPr>
        <w:t>, les prix sont fixés sur le marché par la rencontre entre l’offre et la demande.</w:t>
      </w:r>
      <w:r w:rsidR="00E30F58">
        <w:rPr>
          <w:color w:val="002060"/>
        </w:rPr>
        <w:t xml:space="preserve"> Les agents économiques sont des price </w:t>
      </w:r>
      <w:proofErr w:type="spellStart"/>
      <w:r w:rsidR="00E30F58">
        <w:rPr>
          <w:color w:val="002060"/>
        </w:rPr>
        <w:t>takers</w:t>
      </w:r>
      <w:proofErr w:type="spellEnd"/>
      <w:r w:rsidR="00E30F58">
        <w:rPr>
          <w:color w:val="002060"/>
        </w:rPr>
        <w:t>.</w:t>
      </w:r>
    </w:p>
    <w:p w:rsidR="00A82378" w:rsidRDefault="00A82378" w:rsidP="00B63E48">
      <w:pPr>
        <w:pStyle w:val="ListParagraph"/>
        <w:ind w:left="1800"/>
        <w:rPr>
          <w:color w:val="1A1A1A" w:themeColor="background1" w:themeShade="1A"/>
        </w:rPr>
      </w:pPr>
    </w:p>
    <w:p w:rsidR="00A82378" w:rsidRDefault="00A82378" w:rsidP="00B63E48">
      <w:pPr>
        <w:pStyle w:val="ListParagraph"/>
        <w:ind w:left="1800"/>
        <w:rPr>
          <w:color w:val="1A1A1A" w:themeColor="background1" w:themeShade="1A"/>
        </w:rPr>
      </w:pPr>
    </w:p>
    <w:p w:rsidR="00A82378" w:rsidRDefault="001B479B" w:rsidP="00B63E48">
      <w:pPr>
        <w:pStyle w:val="ListParagraph"/>
        <w:ind w:left="1800"/>
        <w:rPr>
          <w:color w:val="002060"/>
        </w:rPr>
      </w:pPr>
      <w:r>
        <w:rPr>
          <w:color w:val="002060"/>
        </w:rPr>
        <w:t>Ce prix d’équilibre se réalise à la suite d’un processus de tâtonnement.</w:t>
      </w:r>
    </w:p>
    <w:p w:rsidR="001938DD" w:rsidRDefault="001B479B" w:rsidP="001938DD">
      <w:pPr>
        <w:ind w:left="1800"/>
        <w:rPr>
          <w:color w:val="002060"/>
        </w:rPr>
      </w:pPr>
      <w:r w:rsidRPr="00523F0B">
        <w:rPr>
          <w:color w:val="002060"/>
        </w:rPr>
        <w:t>« Tâtonnement » :</w:t>
      </w:r>
      <w:r w:rsidR="00523F0B" w:rsidRPr="00523F0B">
        <w:rPr>
          <w:color w:val="002060"/>
        </w:rPr>
        <w:t xml:space="preserve"> </w:t>
      </w:r>
      <w:r w:rsidR="0081168C">
        <w:rPr>
          <w:color w:val="002060"/>
        </w:rPr>
        <w:t xml:space="preserve">  </w:t>
      </w:r>
      <w:r w:rsidR="00F303D5">
        <w:rPr>
          <w:color w:val="002060"/>
        </w:rPr>
        <w:t xml:space="preserve">- D &gt; O —&gt; </w:t>
      </w:r>
      <w:r w:rsidR="003760AA">
        <w:rPr>
          <w:color w:val="002060"/>
        </w:rPr>
        <w:t xml:space="preserve">aug° prix —&gt; </w:t>
      </w:r>
      <w:r w:rsidR="00E24214">
        <w:rPr>
          <w:color w:val="002060"/>
        </w:rPr>
        <w:t xml:space="preserve">baisse de la D + aug° </w:t>
      </w:r>
      <w:r w:rsidR="00BA09F7">
        <w:rPr>
          <w:color w:val="002060"/>
        </w:rPr>
        <w:t>O</w:t>
      </w:r>
      <w:r w:rsidR="006D49C9">
        <w:rPr>
          <w:color w:val="002060"/>
        </w:rPr>
        <w:t xml:space="preserve"> —&gt;</w:t>
      </w:r>
      <w:r w:rsidR="0012685C">
        <w:rPr>
          <w:color w:val="002060"/>
        </w:rPr>
        <w:t xml:space="preserve"> … —&gt; D =</w:t>
      </w:r>
      <w:r w:rsidR="0081168C">
        <w:rPr>
          <w:color w:val="002060"/>
        </w:rPr>
        <w:t xml:space="preserve"> </w:t>
      </w:r>
      <w:r w:rsidR="0012685C">
        <w:rPr>
          <w:color w:val="002060"/>
        </w:rPr>
        <w:t>O</w:t>
      </w:r>
      <w:r w:rsidR="003E261E">
        <w:rPr>
          <w:color w:val="002060"/>
        </w:rPr>
        <w:t xml:space="preserve"> = prix d’équilibre</w:t>
      </w:r>
    </w:p>
    <w:p w:rsidR="00384952" w:rsidRDefault="00C80BAB" w:rsidP="00384952">
      <w:pPr>
        <w:ind w:left="3600"/>
        <w:rPr>
          <w:color w:val="002060"/>
        </w:rPr>
      </w:pPr>
      <w:r>
        <w:rPr>
          <w:color w:val="002060"/>
        </w:rPr>
        <w:t xml:space="preserve">- </w:t>
      </w:r>
      <w:r w:rsidR="00BC45BB">
        <w:rPr>
          <w:color w:val="002060"/>
        </w:rPr>
        <w:t>D &lt; O —&gt; baisse prix —</w:t>
      </w:r>
      <w:r w:rsidR="00C22A64">
        <w:rPr>
          <w:color w:val="002060"/>
        </w:rPr>
        <w:t xml:space="preserve">&gt; aug° D + baisse O —&gt; … —&gt; </w:t>
      </w:r>
      <w:r w:rsidR="00E37C04">
        <w:rPr>
          <w:color w:val="002060"/>
        </w:rPr>
        <w:t xml:space="preserve">D = O = prix d’équilibre </w:t>
      </w:r>
    </w:p>
    <w:p w:rsidR="000F7410" w:rsidRDefault="00E37C04" w:rsidP="000F7410">
      <w:pPr>
        <w:ind w:left="1440"/>
        <w:rPr>
          <w:color w:val="002060"/>
        </w:rPr>
      </w:pPr>
      <w:r w:rsidRPr="00384952">
        <w:rPr>
          <w:color w:val="002060"/>
        </w:rPr>
        <w:t>Ce mécanisme permet donc de déterminer l’équilibre sur les marchés c’est ce que l’on appelle la loi de l’Offre et de la Demande.</w:t>
      </w:r>
    </w:p>
    <w:p w:rsidR="000E50C3" w:rsidRDefault="000E50C3" w:rsidP="000F7410">
      <w:pPr>
        <w:ind w:left="1440"/>
        <w:rPr>
          <w:color w:val="002060"/>
        </w:rPr>
      </w:pPr>
    </w:p>
    <w:p w:rsidR="000E50C3" w:rsidRDefault="009D047B" w:rsidP="009D047B">
      <w:pPr>
        <w:ind w:left="1800"/>
        <w:rPr>
          <w:color w:val="002060"/>
        </w:rPr>
      </w:pPr>
      <w:r>
        <w:rPr>
          <w:noProof/>
          <w:color w:val="002060"/>
          <w:lang w:eastAsia="fr-FR"/>
        </w:rPr>
        <w:lastRenderedPageBreak/>
        <w:drawing>
          <wp:anchor distT="0" distB="0" distL="114300" distR="114300" simplePos="0" relativeHeight="251660288" behindDoc="0" locked="0" layoutInCell="1" allowOverlap="1">
            <wp:simplePos x="0" y="0"/>
            <wp:positionH relativeFrom="column">
              <wp:posOffset>1027041</wp:posOffset>
            </wp:positionH>
            <wp:positionV relativeFrom="paragraph">
              <wp:posOffset>4445</wp:posOffset>
            </wp:positionV>
            <wp:extent cx="3860800" cy="250698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60800" cy="2506980"/>
                    </a:xfrm>
                    <a:prstGeom prst="rect">
                      <a:avLst/>
                    </a:prstGeom>
                  </pic:spPr>
                </pic:pic>
              </a:graphicData>
            </a:graphic>
          </wp:anchor>
        </w:drawing>
      </w:r>
    </w:p>
    <w:p w:rsidR="000F7410" w:rsidRDefault="000F7410" w:rsidP="000F7410">
      <w:pPr>
        <w:rPr>
          <w:color w:val="002060"/>
        </w:rPr>
      </w:pPr>
    </w:p>
    <w:p w:rsidR="000F7410" w:rsidRPr="007B2FFD" w:rsidRDefault="000F7410" w:rsidP="000F7410">
      <w:pPr>
        <w:pStyle w:val="ListParagraph"/>
        <w:numPr>
          <w:ilvl w:val="0"/>
          <w:numId w:val="10"/>
        </w:numPr>
        <w:rPr>
          <w:b/>
          <w:color w:val="191919" w:themeColor="text1" w:themeTint="E6"/>
          <w:u w:val="single"/>
        </w:rPr>
      </w:pPr>
      <w:r w:rsidRPr="007B2FFD">
        <w:rPr>
          <w:b/>
          <w:color w:val="191919" w:themeColor="text1" w:themeTint="E6"/>
          <w:u w:val="single"/>
        </w:rPr>
        <w:t>Qu’est ce qu’un choc d’offre ?</w:t>
      </w:r>
    </w:p>
    <w:p w:rsidR="000F7410" w:rsidRDefault="000F7410" w:rsidP="000F7410">
      <w:pPr>
        <w:pStyle w:val="ListParagraph"/>
        <w:ind w:left="1800"/>
        <w:rPr>
          <w:color w:val="002060"/>
        </w:rPr>
      </w:pPr>
    </w:p>
    <w:p w:rsidR="007B2FFD" w:rsidRDefault="007B2FFD" w:rsidP="000F7410">
      <w:pPr>
        <w:pStyle w:val="ListParagraph"/>
        <w:ind w:left="1800"/>
        <w:rPr>
          <w:color w:val="002060"/>
        </w:rPr>
      </w:pPr>
      <w:r>
        <w:rPr>
          <w:color w:val="002060"/>
        </w:rPr>
        <w:t>Un choc d’offre est un événement qui déplace la courbe d’offre et qui modifie le prix d’équilibre, donc les quantités que les entreprises sont prêtes à offrir.</w:t>
      </w:r>
      <w:r w:rsidR="00AC37D6">
        <w:rPr>
          <w:color w:val="002060"/>
        </w:rPr>
        <w:t xml:space="preserve"> </w:t>
      </w:r>
      <w:r w:rsidR="00745A52">
        <w:rPr>
          <w:color w:val="002060"/>
        </w:rPr>
        <w:t>Ces chocs découlent notamment des variations de la productivité ou du prix des facteurs de production (W &amp; K). Ces chocs peuvent être positifs ou négatifs :</w:t>
      </w:r>
    </w:p>
    <w:p w:rsidR="00745A52" w:rsidRDefault="00745A52" w:rsidP="00745A52">
      <w:pPr>
        <w:pStyle w:val="ListParagraph"/>
        <w:numPr>
          <w:ilvl w:val="0"/>
          <w:numId w:val="8"/>
        </w:numPr>
        <w:rPr>
          <w:color w:val="002060"/>
        </w:rPr>
      </w:pPr>
      <w:r>
        <w:rPr>
          <w:color w:val="002060"/>
        </w:rPr>
        <w:t xml:space="preserve">Choc d’offre positif : réduisent les coûts de production et stimulent l’offre (ex : </w:t>
      </w:r>
      <w:r w:rsidR="00921597">
        <w:rPr>
          <w:color w:val="002060"/>
        </w:rPr>
        <w:t>la baisse du prix des matières premières ou la baisse de la fiscalité sur les entreprises / gains de productivité augmentent plus que les salaires).</w:t>
      </w:r>
    </w:p>
    <w:p w:rsidR="00C40E6D" w:rsidRPr="00C40E6D" w:rsidRDefault="00921597" w:rsidP="00C40E6D">
      <w:pPr>
        <w:pStyle w:val="ListParagraph"/>
        <w:numPr>
          <w:ilvl w:val="0"/>
          <w:numId w:val="8"/>
        </w:numPr>
        <w:rPr>
          <w:color w:val="002060"/>
        </w:rPr>
      </w:pPr>
      <w:r>
        <w:rPr>
          <w:color w:val="002060"/>
        </w:rPr>
        <w:t xml:space="preserve">Choc d’offre négatif : augmentent les coûts de production et donc freinent l’offre (ex : </w:t>
      </w:r>
      <w:r w:rsidR="00AA67EB">
        <w:rPr>
          <w:color w:val="002060"/>
        </w:rPr>
        <w:t>aug° du prix des matières premières</w:t>
      </w:r>
      <w:r w:rsidR="00C40E6D">
        <w:rPr>
          <w:color w:val="002060"/>
        </w:rPr>
        <w:t> / hausse de la fiscalité / hausse des gains de productivité inférieure à celle des salaires).</w:t>
      </w:r>
    </w:p>
    <w:p w:rsidR="000F7410" w:rsidRDefault="00745A52" w:rsidP="000F7410">
      <w:pPr>
        <w:pStyle w:val="ListParagraph"/>
        <w:ind w:left="1800"/>
        <w:rPr>
          <w:color w:val="002060"/>
        </w:rPr>
      </w:pPr>
      <w:r>
        <w:rPr>
          <w:color w:val="002060"/>
        </w:rPr>
        <w:t xml:space="preserve"> </w:t>
      </w:r>
      <w:r w:rsidR="00C40E6D">
        <w:rPr>
          <w:color w:val="002060"/>
        </w:rPr>
        <w:t>Ces chocs d’offre peuvent expliquer les fluctuations de l’économie.</w:t>
      </w:r>
    </w:p>
    <w:p w:rsidR="001617F5" w:rsidRDefault="001617F5" w:rsidP="000F7410">
      <w:pPr>
        <w:pStyle w:val="ListParagraph"/>
        <w:ind w:left="1800"/>
        <w:rPr>
          <w:color w:val="002060"/>
        </w:rPr>
      </w:pPr>
    </w:p>
    <w:p w:rsidR="001617F5" w:rsidRDefault="001617F5" w:rsidP="001617F5">
      <w:pPr>
        <w:pStyle w:val="ListParagraph"/>
        <w:numPr>
          <w:ilvl w:val="0"/>
          <w:numId w:val="10"/>
        </w:numPr>
        <w:rPr>
          <w:b/>
          <w:color w:val="191919" w:themeColor="text1" w:themeTint="E6"/>
          <w:u w:val="single"/>
        </w:rPr>
      </w:pPr>
      <w:r>
        <w:rPr>
          <w:b/>
          <w:color w:val="191919" w:themeColor="text1" w:themeTint="E6"/>
          <w:u w:val="single"/>
        </w:rPr>
        <w:t>Quelles sont les conséquences d’un choc d’offre positif ?</w:t>
      </w:r>
    </w:p>
    <w:p w:rsidR="001617F5" w:rsidRDefault="001617F5" w:rsidP="001617F5">
      <w:pPr>
        <w:pStyle w:val="ListParagraph"/>
        <w:ind w:left="1800"/>
        <w:rPr>
          <w:color w:val="191919" w:themeColor="text1" w:themeTint="E6"/>
        </w:rPr>
      </w:pPr>
    </w:p>
    <w:p w:rsidR="001617F5" w:rsidRDefault="00FC7120" w:rsidP="001617F5">
      <w:pPr>
        <w:pStyle w:val="ListParagraph"/>
        <w:ind w:left="1800"/>
        <w:rPr>
          <w:color w:val="002060"/>
        </w:rPr>
      </w:pPr>
      <w:r>
        <w:rPr>
          <w:color w:val="002060"/>
        </w:rPr>
        <w:t>Activité 4</w:t>
      </w:r>
    </w:p>
    <w:p w:rsidR="00F84F71" w:rsidRPr="00926878" w:rsidRDefault="00926878" w:rsidP="00926878">
      <w:pPr>
        <w:pStyle w:val="ListParagraph"/>
        <w:ind w:left="1800"/>
        <w:rPr>
          <w:color w:val="002060"/>
        </w:rPr>
      </w:pPr>
      <w:r>
        <w:rPr>
          <w:noProof/>
          <w:color w:val="002060"/>
          <w:lang w:eastAsia="fr-FR"/>
        </w:rPr>
        <w:drawing>
          <wp:anchor distT="0" distB="0" distL="114300" distR="114300" simplePos="0" relativeHeight="251662336" behindDoc="0" locked="0" layoutInCell="1" allowOverlap="1">
            <wp:simplePos x="0" y="0"/>
            <wp:positionH relativeFrom="column">
              <wp:posOffset>1102995</wp:posOffset>
            </wp:positionH>
            <wp:positionV relativeFrom="paragraph">
              <wp:posOffset>1303655</wp:posOffset>
            </wp:positionV>
            <wp:extent cx="4216400" cy="1932305"/>
            <wp:effectExtent l="1905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16400" cy="1932305"/>
                    </a:xfrm>
                    <a:prstGeom prst="rect">
                      <a:avLst/>
                    </a:prstGeom>
                  </pic:spPr>
                </pic:pic>
              </a:graphicData>
            </a:graphic>
          </wp:anchor>
        </w:drawing>
      </w:r>
      <w:r w:rsidR="00C4634C">
        <w:rPr>
          <w:color w:val="002060"/>
        </w:rPr>
        <w:t xml:space="preserve">Cette découverte a un impact sur l’offre car la nouvelle variété de tomates </w:t>
      </w:r>
      <w:r w:rsidR="00C4634C">
        <w:rPr>
          <w:rFonts w:ascii="Arial" w:eastAsia="Apple Color Emoji" w:hAnsi="Arial" w:cs="Arial"/>
          <w:color w:val="002060"/>
        </w:rPr>
        <w:t>🍅</w:t>
      </w:r>
      <w:r w:rsidR="00C4634C">
        <w:rPr>
          <w:color w:val="002060"/>
        </w:rPr>
        <w:t xml:space="preserve"> permet d’augmenter la quantité produite pour une même surface cultivée et une même quantité de travail. Les agriculteurs peuvent donc proposer plus de tomates </w:t>
      </w:r>
      <w:r w:rsidR="00C4634C">
        <w:rPr>
          <w:rFonts w:ascii="Arial" w:eastAsia="Apple Color Emoji" w:hAnsi="Arial" w:cs="Arial"/>
          <w:color w:val="002060"/>
        </w:rPr>
        <w:t>🍅</w:t>
      </w:r>
      <w:r w:rsidR="00C4634C">
        <w:rPr>
          <w:color w:val="002060"/>
        </w:rPr>
        <w:t xml:space="preserve"> donc l’offre augmente. On parle de choc d’offre positif. Par contre, du côté de la demande, cette découverte n’a rien changé car les consommateurs</w:t>
      </w:r>
      <w:r w:rsidR="00F84F71">
        <w:rPr>
          <w:color w:val="002060"/>
        </w:rPr>
        <w:t xml:space="preserve"> </w:t>
      </w:r>
      <w:r w:rsidR="00C4634C" w:rsidRPr="00F84F71">
        <w:rPr>
          <w:color w:val="002060"/>
        </w:rPr>
        <w:lastRenderedPageBreak/>
        <w:t>ne vont pas manger d’avantage de tomates du seul fait de l’introduction d’une variété plus productive.</w:t>
      </w:r>
      <w:r w:rsidR="00F84F71" w:rsidRPr="00F84F71">
        <w:rPr>
          <w:noProof/>
        </w:rPr>
        <w:t xml:space="preserve"> </w:t>
      </w:r>
    </w:p>
    <w:p w:rsidR="00C4634C" w:rsidRPr="00A22115" w:rsidRDefault="00C4634C" w:rsidP="00A22115">
      <w:pPr>
        <w:pStyle w:val="ListParagraph"/>
        <w:ind w:left="1800"/>
        <w:rPr>
          <w:color w:val="002060"/>
        </w:rPr>
      </w:pPr>
      <w:r>
        <w:rPr>
          <w:color w:val="002060"/>
        </w:rPr>
        <w:t>Ce choc d’offre positif a pour effet de déplacer la courbe d’offre vers la droite. Ainsi, pour chaque niveau de prix, les producteurs de tomates peuvent offrir d’avantage.</w:t>
      </w:r>
    </w:p>
    <w:p w:rsidR="00C4634C" w:rsidRPr="00A22115" w:rsidRDefault="00C4634C" w:rsidP="00A22115">
      <w:pPr>
        <w:ind w:left="1800"/>
        <w:rPr>
          <w:color w:val="002060"/>
        </w:rPr>
      </w:pPr>
      <w:r w:rsidRPr="00A22115">
        <w:rPr>
          <w:color w:val="002060"/>
        </w:rPr>
        <w:t>L’équilibre initial entre l’offre et la demande est rompu, le prix est poussé à la baisse à cause d’un excès de l’offre. Si ce choc d’offre positif se propage à l’ensemble de l’économie, c’est-à-dire dépasse le cadre d’un seul marché</w:t>
      </w:r>
      <w:r w:rsidR="00056631" w:rsidRPr="00A22115">
        <w:rPr>
          <w:color w:val="002060"/>
        </w:rPr>
        <w:t>, cela peut créer</w:t>
      </w:r>
      <w:r w:rsidR="008A4854" w:rsidRPr="00A22115">
        <w:rPr>
          <w:color w:val="002060"/>
        </w:rPr>
        <w:t xml:space="preserve"> une hausse générale de la production donc déclencher une reprise et basculer dans une phase d’expansion et de croissance.</w:t>
      </w:r>
      <w:r w:rsidR="008B64B5" w:rsidRPr="00A22115">
        <w:rPr>
          <w:color w:val="002060"/>
        </w:rPr>
        <w:t xml:space="preserve"> Ex : </w:t>
      </w:r>
      <w:r w:rsidR="0064655F" w:rsidRPr="00A22115">
        <w:rPr>
          <w:color w:val="002060"/>
        </w:rPr>
        <w:t>toutes les innovations qui amènent à une aug° de la PGF.</w:t>
      </w:r>
    </w:p>
    <w:p w:rsidR="0064655F" w:rsidRDefault="0064655F" w:rsidP="001617F5">
      <w:pPr>
        <w:pStyle w:val="ListParagraph"/>
        <w:ind w:left="1800"/>
        <w:rPr>
          <w:color w:val="002060"/>
        </w:rPr>
      </w:pPr>
    </w:p>
    <w:p w:rsidR="0064655F" w:rsidRDefault="00DE6CA0" w:rsidP="0064655F">
      <w:pPr>
        <w:pStyle w:val="ListParagraph"/>
        <w:numPr>
          <w:ilvl w:val="0"/>
          <w:numId w:val="10"/>
        </w:numPr>
        <w:rPr>
          <w:b/>
          <w:color w:val="1A1A1A" w:themeColor="background1" w:themeShade="1A"/>
          <w:u w:val="single"/>
        </w:rPr>
      </w:pPr>
      <w:r>
        <w:rPr>
          <w:b/>
          <w:color w:val="1A1A1A" w:themeColor="background1" w:themeShade="1A"/>
          <w:u w:val="single"/>
        </w:rPr>
        <w:t>Quelles sont les conséquences des chocs d’offre négatif ?</w:t>
      </w:r>
    </w:p>
    <w:p w:rsidR="00DE6CA0" w:rsidRDefault="00DE6CA0" w:rsidP="00DE6CA0">
      <w:pPr>
        <w:pStyle w:val="ListParagraph"/>
        <w:ind w:left="1800"/>
        <w:rPr>
          <w:color w:val="002060"/>
        </w:rPr>
      </w:pPr>
    </w:p>
    <w:p w:rsidR="00A22115" w:rsidRDefault="006703F4" w:rsidP="00DE6CA0">
      <w:pPr>
        <w:pStyle w:val="ListParagraph"/>
        <w:ind w:left="1800"/>
        <w:rPr>
          <w:color w:val="002060"/>
        </w:rPr>
      </w:pPr>
      <w:r>
        <w:rPr>
          <w:color w:val="002060"/>
        </w:rPr>
        <w:t>Le choc pétrolier de 1973, est un choc d’offre négatif. L’augmentation du prix du pétrole a provoqué une forte hausse des coûts de production des entreprises. Globalement, cela a baissé la production. Dans ce cas, la courbe d’offre s’est déplacée vers la gauche. Pour chaque niveau de prix, l’offre diminue.</w:t>
      </w:r>
      <w:r w:rsidR="00A22115">
        <w:rPr>
          <w:color w:val="002060"/>
        </w:rPr>
        <w:t xml:space="preserve"> </w:t>
      </w:r>
    </w:p>
    <w:p w:rsidR="00A22115" w:rsidRDefault="00926878" w:rsidP="00DE6CA0">
      <w:pPr>
        <w:pStyle w:val="ListParagraph"/>
        <w:ind w:left="1800"/>
        <w:rPr>
          <w:color w:val="002060"/>
        </w:rPr>
      </w:pPr>
      <w:r>
        <w:rPr>
          <w:noProof/>
          <w:color w:val="002060"/>
          <w:lang w:eastAsia="fr-FR"/>
        </w:rPr>
        <w:drawing>
          <wp:anchor distT="0" distB="0" distL="114300" distR="114300" simplePos="0" relativeHeight="251663360" behindDoc="0" locked="0" layoutInCell="1" allowOverlap="1">
            <wp:simplePos x="0" y="0"/>
            <wp:positionH relativeFrom="column">
              <wp:posOffset>1085850</wp:posOffset>
            </wp:positionH>
            <wp:positionV relativeFrom="paragraph">
              <wp:posOffset>175260</wp:posOffset>
            </wp:positionV>
            <wp:extent cx="3905885" cy="2251075"/>
            <wp:effectExtent l="1905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05885" cy="2251075"/>
                    </a:xfrm>
                    <a:prstGeom prst="rect">
                      <a:avLst/>
                    </a:prstGeom>
                  </pic:spPr>
                </pic:pic>
              </a:graphicData>
            </a:graphic>
          </wp:anchor>
        </w:drawing>
      </w:r>
    </w:p>
    <w:p w:rsidR="00A22115" w:rsidRPr="00926878" w:rsidRDefault="00A22115" w:rsidP="00926878">
      <w:pPr>
        <w:rPr>
          <w:color w:val="002060"/>
        </w:rPr>
      </w:pPr>
    </w:p>
    <w:p w:rsidR="00DE6CA0" w:rsidRDefault="00A22115" w:rsidP="00DE6CA0">
      <w:pPr>
        <w:pStyle w:val="ListParagraph"/>
        <w:ind w:left="1800"/>
        <w:rPr>
          <w:color w:val="002060"/>
        </w:rPr>
      </w:pPr>
      <w:r>
        <w:rPr>
          <w:color w:val="002060"/>
        </w:rPr>
        <w:t>On constate que le prix d’équilibre augmente et que les quantités échangées diminuent.</w:t>
      </w:r>
      <w:r w:rsidR="00AC2E42">
        <w:rPr>
          <w:color w:val="002060"/>
        </w:rPr>
        <w:t xml:space="preserve"> Si ce choc d’offre négatif se généralise à l’ensemble de l’économie, c’est-à-dire </w:t>
      </w:r>
      <w:r w:rsidR="00D07CD4">
        <w:rPr>
          <w:color w:val="002060"/>
        </w:rPr>
        <w:t>qu’il dépasse le cadre d’un seul marché, alors il y aura une baisse générale de la production, ce qui provoquera une phase de récession voire de dépression. Ex : tout ce qui peut renchérir les coûts de production comme l’augmentation du SMIC…</w:t>
      </w:r>
    </w:p>
    <w:p w:rsidR="00E37238" w:rsidRDefault="00E37238" w:rsidP="00DE6CA0">
      <w:pPr>
        <w:pStyle w:val="ListParagraph"/>
        <w:ind w:left="1800"/>
        <w:rPr>
          <w:color w:val="002060"/>
        </w:rPr>
      </w:pPr>
    </w:p>
    <w:p w:rsidR="00E37238" w:rsidRPr="00E37238" w:rsidRDefault="00E37238" w:rsidP="00E37238">
      <w:pPr>
        <w:pStyle w:val="ListParagraph"/>
        <w:numPr>
          <w:ilvl w:val="0"/>
          <w:numId w:val="9"/>
        </w:numPr>
        <w:rPr>
          <w:b/>
          <w:color w:val="538135" w:themeColor="accent6" w:themeShade="BF"/>
          <w:u w:val="single"/>
        </w:rPr>
      </w:pPr>
      <w:r w:rsidRPr="00E37238">
        <w:rPr>
          <w:b/>
          <w:color w:val="538135" w:themeColor="accent6" w:themeShade="BF"/>
          <w:u w:val="single"/>
        </w:rPr>
        <w:t xml:space="preserve">Les chocs de demande ont un impact sur la croissance </w:t>
      </w:r>
    </w:p>
    <w:p w:rsidR="006703F4" w:rsidRPr="00E37238" w:rsidRDefault="006703F4" w:rsidP="00DE6CA0">
      <w:pPr>
        <w:pStyle w:val="ListParagraph"/>
        <w:ind w:left="1800"/>
        <w:rPr>
          <w:b/>
          <w:color w:val="538135" w:themeColor="accent6" w:themeShade="BF"/>
          <w:u w:val="single"/>
        </w:rPr>
      </w:pPr>
    </w:p>
    <w:p w:rsidR="006703F4" w:rsidRDefault="001D7822" w:rsidP="00985D68">
      <w:pPr>
        <w:pStyle w:val="ListParagraph"/>
        <w:numPr>
          <w:ilvl w:val="0"/>
          <w:numId w:val="14"/>
        </w:numPr>
        <w:rPr>
          <w:b/>
          <w:color w:val="1A1A1A" w:themeColor="background1" w:themeShade="1A"/>
          <w:u w:val="single"/>
        </w:rPr>
      </w:pPr>
      <w:r w:rsidRPr="00DA5B02">
        <w:rPr>
          <w:b/>
          <w:color w:val="1A1A1A" w:themeColor="background1" w:themeShade="1A"/>
          <w:u w:val="single"/>
        </w:rPr>
        <w:t>Qu’est ce qu’un choc de demande ?</w:t>
      </w:r>
    </w:p>
    <w:p w:rsidR="001B6A9B" w:rsidRDefault="001B6A9B" w:rsidP="001B6A9B">
      <w:pPr>
        <w:pStyle w:val="ListParagraph"/>
        <w:ind w:left="1800"/>
        <w:rPr>
          <w:b/>
          <w:color w:val="1A1A1A" w:themeColor="background1" w:themeShade="1A"/>
          <w:u w:val="single"/>
        </w:rPr>
      </w:pPr>
    </w:p>
    <w:p w:rsidR="001B6A9B" w:rsidRDefault="001B6A9B" w:rsidP="001B6A9B">
      <w:pPr>
        <w:pStyle w:val="ListParagraph"/>
        <w:ind w:left="1800"/>
        <w:rPr>
          <w:color w:val="002060"/>
        </w:rPr>
      </w:pPr>
      <w:r>
        <w:rPr>
          <w:color w:val="002060"/>
        </w:rPr>
        <w:t>C’est un événement qui déplace la courbe de demande, autrement dit, c’est un événement qui modifie les quantités que les consommateurs sont prêts à acheter. Il peut être positif, c’est un choc qui stimule la demande (ex : augmentation du SMIC…) mais il peut être négatif, cad qu’il déprime la demande (ex : une augmentation des prix, baisse des revenus…)</w:t>
      </w:r>
    </w:p>
    <w:p w:rsidR="0085192A" w:rsidRDefault="0085192A" w:rsidP="001B6A9B">
      <w:pPr>
        <w:pStyle w:val="ListParagraph"/>
        <w:ind w:left="1800"/>
        <w:rPr>
          <w:color w:val="002060"/>
        </w:rPr>
      </w:pPr>
    </w:p>
    <w:p w:rsidR="0085192A" w:rsidRDefault="0085192A" w:rsidP="0085192A">
      <w:pPr>
        <w:pStyle w:val="ListParagraph"/>
        <w:numPr>
          <w:ilvl w:val="0"/>
          <w:numId w:val="14"/>
        </w:numPr>
        <w:rPr>
          <w:b/>
          <w:color w:val="1A1A1A" w:themeColor="background1" w:themeShade="1A"/>
          <w:u w:val="single"/>
        </w:rPr>
      </w:pPr>
      <w:r w:rsidRPr="0085192A">
        <w:rPr>
          <w:b/>
          <w:color w:val="1A1A1A" w:themeColor="background1" w:themeShade="1A"/>
          <w:u w:val="single"/>
        </w:rPr>
        <w:t>Quelles sont les conséquences d’un choc de demande positif ?</w:t>
      </w:r>
    </w:p>
    <w:p w:rsidR="0085192A" w:rsidRPr="0085192A" w:rsidRDefault="0085192A" w:rsidP="0085192A">
      <w:pPr>
        <w:pStyle w:val="ListParagraph"/>
        <w:ind w:left="1800"/>
        <w:rPr>
          <w:b/>
          <w:color w:val="1A1A1A" w:themeColor="background1" w:themeShade="1A"/>
          <w:u w:val="single"/>
        </w:rPr>
      </w:pPr>
    </w:p>
    <w:p w:rsidR="006703F4" w:rsidRDefault="006703F4" w:rsidP="00EA18C9">
      <w:pPr>
        <w:rPr>
          <w:color w:val="002060"/>
        </w:rPr>
      </w:pPr>
    </w:p>
    <w:p w:rsidR="00B16DAD" w:rsidRDefault="00B16DAD" w:rsidP="00EA18C9">
      <w:pPr>
        <w:rPr>
          <w:color w:val="002060"/>
        </w:rPr>
      </w:pPr>
    </w:p>
    <w:p w:rsidR="00B16DAD" w:rsidRDefault="00360B2E" w:rsidP="00EA18C9">
      <w:pPr>
        <w:rPr>
          <w:color w:val="002060"/>
        </w:rPr>
      </w:pPr>
      <w:r>
        <w:rPr>
          <w:color w:val="002060"/>
        </w:rPr>
        <w:t>Activité 8</w:t>
      </w:r>
    </w:p>
    <w:p w:rsidR="00360B2E" w:rsidRPr="008E5C35" w:rsidRDefault="00360B2E" w:rsidP="008E5C35">
      <w:pPr>
        <w:pStyle w:val="ListParagraph"/>
        <w:numPr>
          <w:ilvl w:val="0"/>
          <w:numId w:val="15"/>
        </w:numPr>
        <w:rPr>
          <w:color w:val="002060"/>
          <w:u w:val="single"/>
        </w:rPr>
      </w:pPr>
      <w:r w:rsidRPr="008E5C35">
        <w:rPr>
          <w:color w:val="002060"/>
          <w:u w:val="single"/>
        </w:rPr>
        <w:t>Constat :</w:t>
      </w:r>
    </w:p>
    <w:p w:rsidR="00360B2E" w:rsidRDefault="00D66603" w:rsidP="00EA18C9">
      <w:pPr>
        <w:rPr>
          <w:color w:val="002060"/>
        </w:rPr>
      </w:pPr>
      <w:r>
        <w:rPr>
          <w:color w:val="002060"/>
        </w:rPr>
        <w:t>Quand le PIB augmente</w:t>
      </w:r>
      <w:r w:rsidR="00B51A66">
        <w:rPr>
          <w:color w:val="002060"/>
        </w:rPr>
        <w:t xml:space="preserve">, il y a une augmentation des crédits accordés par les banques. Il y a donc une corrélation positive entre ces 2 variables économiques. Les banques accordent des crédits lorsque les individus sont solvables, cad lorsque les entreprises/ménages ont la capacité de rembourser leur dette. Donc les banques vont considérer qu’en période d’expansion, cad d’aug° du PIB, les clients sont plus solvables, donc elles prennent plus de risques en augmentant les crédits accordés. Et c’est l’inverse en période de récession, cad que les banques considèrent que les ménages/entreprises sont moins solvables et vont restreindre les crédits accordés. </w:t>
      </w:r>
    </w:p>
    <w:p w:rsidR="00B51A66" w:rsidRPr="00003075" w:rsidRDefault="00B51A66" w:rsidP="00003075">
      <w:pPr>
        <w:pStyle w:val="ListParagraph"/>
        <w:numPr>
          <w:ilvl w:val="0"/>
          <w:numId w:val="16"/>
        </w:numPr>
        <w:rPr>
          <w:color w:val="002060"/>
        </w:rPr>
      </w:pPr>
      <w:r w:rsidRPr="00003075">
        <w:rPr>
          <w:color w:val="002060"/>
          <w:u w:val="single"/>
        </w:rPr>
        <w:t>Causes :</w:t>
      </w:r>
      <w:r w:rsidR="00003075">
        <w:rPr>
          <w:color w:val="002060"/>
        </w:rPr>
        <w:t xml:space="preserve"> </w:t>
      </w:r>
      <w:r w:rsidRPr="00003075">
        <w:rPr>
          <w:color w:val="002060"/>
        </w:rPr>
        <w:t>Explication de la corrélation positive entre PIB et crédits.</w:t>
      </w:r>
    </w:p>
    <w:p w:rsidR="00B51A66" w:rsidRDefault="00B51A66" w:rsidP="00EA18C9">
      <w:pPr>
        <w:rPr>
          <w:color w:val="002060"/>
        </w:rPr>
      </w:pPr>
      <w:r>
        <w:rPr>
          <w:color w:val="002060"/>
        </w:rPr>
        <w:t>Des économistes expliquent les fluctuations de l’économie par le cycle du crédit</w:t>
      </w:r>
      <w:r w:rsidR="008E5C35">
        <w:rPr>
          <w:color w:val="002060"/>
        </w:rPr>
        <w:t xml:space="preserve">, cad que c’est l’octroi de crédit qui détermine les phases d’expansion et les phases de récession. </w:t>
      </w:r>
    </w:p>
    <w:p w:rsidR="008E5C35" w:rsidRDefault="008E5C35" w:rsidP="00EA18C9">
      <w:pPr>
        <w:rPr>
          <w:color w:val="002060"/>
        </w:rPr>
      </w:pPr>
      <w:r>
        <w:rPr>
          <w:color w:val="002060"/>
        </w:rPr>
        <w:t>Les phases d’expansion :</w:t>
      </w:r>
      <w:r w:rsidR="00003075">
        <w:rPr>
          <w:color w:val="002060"/>
        </w:rPr>
        <w:t xml:space="preserve"> Les banques baissent le taux d’intérêt —&gt; aug° des demandes de crédit des ménages et entreprises —&gt; aug° consommation et aug° investissement —&gt; </w:t>
      </w:r>
      <w:r w:rsidR="00B54A7A">
        <w:rPr>
          <w:color w:val="002060"/>
        </w:rPr>
        <w:t>aug° de la demande globale —&gt; aug° prod° —&gt; croissance</w:t>
      </w:r>
      <w:r w:rsidR="00FE6680">
        <w:rPr>
          <w:color w:val="002060"/>
        </w:rPr>
        <w:t>.</w:t>
      </w:r>
    </w:p>
    <w:p w:rsidR="00BC313D" w:rsidRDefault="001058DA" w:rsidP="00BC313D">
      <w:pPr>
        <w:pStyle w:val="ListParagraph"/>
        <w:numPr>
          <w:ilvl w:val="0"/>
          <w:numId w:val="17"/>
        </w:numPr>
        <w:rPr>
          <w:color w:val="002060"/>
        </w:rPr>
      </w:pPr>
      <w:r>
        <w:rPr>
          <w:color w:val="002060"/>
        </w:rPr>
        <w:t xml:space="preserve">La bonne santé de l’économie —&gt; les banques ont confiance dans les emprunteurs </w:t>
      </w:r>
      <w:r w:rsidR="00F4562E">
        <w:rPr>
          <w:color w:val="002060"/>
        </w:rPr>
        <w:t>qui sont jugés solvables —&gt; baisse des taux d’intérêt —&gt; aug° de la conso° et investissement —&gt; aug° de la prod° —&gt; croissance…</w:t>
      </w:r>
    </w:p>
    <w:p w:rsidR="00F4562E" w:rsidRPr="002268E9" w:rsidRDefault="00AB5B42" w:rsidP="002268E9">
      <w:pPr>
        <w:rPr>
          <w:color w:val="002060"/>
        </w:rPr>
      </w:pPr>
      <w:r w:rsidRPr="002268E9">
        <w:rPr>
          <w:color w:val="002060"/>
        </w:rPr>
        <w:t>Phases de récession :</w:t>
      </w:r>
    </w:p>
    <w:p w:rsidR="00AB5B42" w:rsidRPr="00AB5B42" w:rsidRDefault="006B34FD" w:rsidP="00AB5B42">
      <w:pPr>
        <w:rPr>
          <w:color w:val="002060"/>
        </w:rPr>
      </w:pPr>
      <w:r>
        <w:rPr>
          <w:noProof/>
          <w:color w:val="002060"/>
        </w:rPr>
        <mc:AlternateContent>
          <mc:Choice Requires="wpi">
            <w:drawing>
              <wp:anchor distT="0" distB="0" distL="114300" distR="114300" simplePos="0" relativeHeight="251666432" behindDoc="0" locked="0" layoutInCell="1" allowOverlap="1">
                <wp:simplePos x="0" y="0"/>
                <wp:positionH relativeFrom="column">
                  <wp:posOffset>-405155</wp:posOffset>
                </wp:positionH>
                <wp:positionV relativeFrom="paragraph">
                  <wp:posOffset>138089</wp:posOffset>
                </wp:positionV>
                <wp:extent cx="2636280" cy="513720"/>
                <wp:effectExtent l="38100" t="38100" r="31115" b="32385"/>
                <wp:wrapNone/>
                <wp:docPr id="9" name="Ink 9"/>
                <wp:cNvGraphicFramePr/>
                <a:graphic xmlns:a="http://schemas.openxmlformats.org/drawingml/2006/main">
                  <a:graphicData uri="http://schemas.microsoft.com/office/word/2010/wordprocessingInk">
                    <w14:contentPart bwMode="auto" r:id="rId9">
                      <w14:nvContentPartPr>
                        <w14:cNvContentPartPr/>
                      </w14:nvContentPartPr>
                      <w14:xfrm>
                        <a:off x="0" y="0"/>
                        <a:ext cx="2636280" cy="513720"/>
                      </w14:xfrm>
                    </w14:contentPart>
                  </a:graphicData>
                </a:graphic>
              </wp:anchor>
            </w:drawing>
          </mc:Choice>
          <mc:Fallback>
            <w:pict>
              <v:shapetype w14:anchorId="2F4A489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32.25pt;margin-top:10.5pt;width:208.3pt;height:41.1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">
                <v:imagedata r:id="rId10" o:title=""/>
              </v:shape>
            </w:pict>
          </mc:Fallback>
        </mc:AlternateContent>
      </w:r>
      <w:r w:rsidR="00E60FE3">
        <w:rPr>
          <w:noProof/>
          <w:color w:val="002060"/>
        </w:rPr>
        <mc:AlternateContent>
          <mc:Choice Requires="wpi">
            <w:drawing>
              <wp:anchor distT="0" distB="0" distL="114300" distR="114300" simplePos="0" relativeHeight="251665408" behindDoc="0" locked="0" layoutInCell="1" allowOverlap="1">
                <wp:simplePos x="0" y="0"/>
                <wp:positionH relativeFrom="column">
                  <wp:posOffset>-176195</wp:posOffset>
                </wp:positionH>
                <wp:positionV relativeFrom="paragraph">
                  <wp:posOffset>27569</wp:posOffset>
                </wp:positionV>
                <wp:extent cx="120600" cy="255240"/>
                <wp:effectExtent l="38100" t="38100" r="0" b="37465"/>
                <wp:wrapNone/>
                <wp:docPr id="7" name="Ink 7"/>
                <wp:cNvGraphicFramePr/>
                <a:graphic xmlns:a="http://schemas.openxmlformats.org/drawingml/2006/main">
                  <a:graphicData uri="http://schemas.microsoft.com/office/word/2010/wordprocessingInk">
                    <w14:contentPart bwMode="auto" r:id="rId11">
                      <w14:nvContentPartPr>
                        <w14:cNvContentPartPr/>
                      </w14:nvContentPartPr>
                      <w14:xfrm>
                        <a:off x="0" y="0"/>
                        <a:ext cx="120600" cy="255240"/>
                      </w14:xfrm>
                    </w14:contentPart>
                  </a:graphicData>
                </a:graphic>
              </wp:anchor>
            </w:drawing>
          </mc:Choice>
          <mc:Fallback>
            <w:pict>
              <v:shape w14:anchorId="6E8EA643" id="Ink 7" o:spid="_x0000_s1026" type="#_x0000_t75" style="position:absolute;margin-left:-14.2pt;margin-top:1.8pt;width:10.25pt;height:20.8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">
                <v:imagedata r:id="rId12" o:title=""/>
              </v:shape>
            </w:pict>
          </mc:Fallback>
        </mc:AlternateContent>
      </w:r>
      <w:r w:rsidR="00AB5B42">
        <w:rPr>
          <w:color w:val="002060"/>
        </w:rPr>
        <w:t xml:space="preserve">Baisse croissance —&gt; aug° des risques de défaillance </w:t>
      </w:r>
      <w:r w:rsidR="00E60FE3">
        <w:rPr>
          <w:color w:val="002060"/>
        </w:rPr>
        <w:t xml:space="preserve">des emprunteurs —&gt; banques aug taux d’intérêt —&gt; baisse de la demande des crédits des ménages et entreprises —&gt; baisse la conso et investissement —&gt; baisse la prod° </w:t>
      </w:r>
    </w:p>
    <w:p w:rsidR="00B51A66" w:rsidRDefault="001058DA" w:rsidP="00EA18C9">
      <w:pPr>
        <w:rPr>
          <w:color w:val="002060"/>
        </w:rPr>
      </w:pPr>
      <w:r>
        <w:rPr>
          <w:color w:val="002060"/>
        </w:rPr>
        <w:t xml:space="preserve"> </w:t>
      </w:r>
    </w:p>
    <w:p w:rsidR="006B34FD" w:rsidRDefault="006B34FD" w:rsidP="00EA18C9">
      <w:pPr>
        <w:rPr>
          <w:color w:val="002060"/>
        </w:rPr>
      </w:pPr>
    </w:p>
    <w:p w:rsidR="001B6A9B" w:rsidRDefault="00715041" w:rsidP="001B6A9B">
      <w:pPr>
        <w:pStyle w:val="ListParagraph"/>
        <w:numPr>
          <w:ilvl w:val="0"/>
          <w:numId w:val="16"/>
        </w:numPr>
        <w:rPr>
          <w:color w:val="002060"/>
        </w:rPr>
      </w:pPr>
      <w:r>
        <w:rPr>
          <w:color w:val="002060"/>
        </w:rPr>
        <w:t xml:space="preserve">Illustration : le cycle du crédit est au </w:t>
      </w:r>
      <w:r w:rsidR="000A66F4">
        <w:rPr>
          <mc:AlternateContent>
            <mc:Choice Requires="w16se"/>
            <mc:Fallback>
              <w:rFonts w:ascii="Apple Color Emoji" w:eastAsia="Apple Color Emoji" w:hAnsi="Apple Color Emoji" w:cs="Apple Color Emoji"/>
            </mc:Fallback>
          </mc:AlternateContent>
          <w:color w:val="002060"/>
        </w:rPr>
        <mc:AlternateContent>
          <mc:Choice Requires="w16se">
            <w16se:symEx w16se:font="Apple Color Emoji" w16se:char="2764"/>
          </mc:Choice>
          <mc:Fallback>
            <w:t>❤</w:t>
          </mc:Fallback>
        </mc:AlternateContent>
      </w:r>
      <w:r w:rsidR="000A66F4">
        <w:rPr>
          <w:color w:val="002060"/>
        </w:rPr>
        <w:t>️</w:t>
      </w:r>
      <w:r>
        <w:rPr>
          <w:color w:val="002060"/>
        </w:rPr>
        <w:t xml:space="preserve"> </w:t>
      </w:r>
      <w:r w:rsidR="000A66F4">
        <w:rPr>
          <w:color w:val="002060"/>
        </w:rPr>
        <w:t>de la crise des subprimes</w:t>
      </w:r>
    </w:p>
    <w:p w:rsidR="001B6A9B" w:rsidRDefault="001B6A9B" w:rsidP="001B6A9B">
      <w:pPr>
        <w:pStyle w:val="ListParagraph"/>
        <w:rPr>
          <w:color w:val="002060"/>
        </w:rPr>
      </w:pPr>
    </w:p>
    <w:p w:rsidR="001B6A9B" w:rsidRDefault="001B6A9B" w:rsidP="001B6A9B">
      <w:pPr>
        <w:pStyle w:val="ListParagraph"/>
        <w:rPr>
          <w:color w:val="002060"/>
        </w:rPr>
      </w:pPr>
      <w:r>
        <w:rPr>
          <w:color w:val="002060"/>
        </w:rPr>
        <w:t>Schéma</w:t>
      </w:r>
    </w:p>
    <w:p w:rsidR="001B6A9B" w:rsidRDefault="001B6A9B" w:rsidP="001B6A9B">
      <w:pPr>
        <w:pStyle w:val="ListParagraph"/>
        <w:rPr>
          <w:color w:val="002060"/>
        </w:rPr>
      </w:pPr>
    </w:p>
    <w:p w:rsidR="001B6A9B" w:rsidRDefault="0009755E" w:rsidP="0009755E">
      <w:pPr>
        <w:pStyle w:val="ListParagraph"/>
        <w:numPr>
          <w:ilvl w:val="0"/>
          <w:numId w:val="4"/>
        </w:numPr>
        <w:rPr>
          <w:b/>
          <w:color w:val="FF0000"/>
          <w:u w:val="single"/>
        </w:rPr>
      </w:pPr>
      <w:r>
        <w:rPr>
          <w:b/>
          <w:color w:val="FF0000"/>
          <w:u w:val="single"/>
        </w:rPr>
        <w:t xml:space="preserve">Cette instabilité </w:t>
      </w:r>
      <w:r w:rsidR="00EF16AC">
        <w:rPr>
          <w:b/>
          <w:color w:val="FF0000"/>
          <w:u w:val="single"/>
        </w:rPr>
        <w:t>génère d’autres déséquilibres : dépression, déflation, chômage.</w:t>
      </w:r>
    </w:p>
    <w:p w:rsidR="00EF16AC" w:rsidRDefault="00EF16AC" w:rsidP="00EF16AC">
      <w:pPr>
        <w:pStyle w:val="ListParagraph"/>
        <w:ind w:left="1080"/>
        <w:rPr>
          <w:b/>
          <w:color w:val="FF0000"/>
          <w:u w:val="single"/>
        </w:rPr>
      </w:pPr>
    </w:p>
    <w:p w:rsidR="00EF16AC" w:rsidRDefault="00311085" w:rsidP="00EF16AC">
      <w:pPr>
        <w:pStyle w:val="ListParagraph"/>
        <w:numPr>
          <w:ilvl w:val="0"/>
          <w:numId w:val="18"/>
        </w:numPr>
        <w:rPr>
          <w:b/>
          <w:color w:val="538135" w:themeColor="accent6" w:themeShade="BF"/>
          <w:u w:val="single"/>
        </w:rPr>
      </w:pPr>
      <w:r>
        <w:rPr>
          <w:b/>
          <w:color w:val="538135" w:themeColor="accent6" w:themeShade="BF"/>
          <w:u w:val="single"/>
        </w:rPr>
        <w:t>De la récession à la dépression</w:t>
      </w:r>
    </w:p>
    <w:p w:rsidR="00311085" w:rsidRDefault="00311085" w:rsidP="00311085">
      <w:pPr>
        <w:pStyle w:val="ListParagraph"/>
        <w:ind w:left="1440"/>
        <w:rPr>
          <w:b/>
          <w:color w:val="538135" w:themeColor="accent6" w:themeShade="BF"/>
          <w:u w:val="single"/>
        </w:rPr>
      </w:pPr>
    </w:p>
    <w:p w:rsidR="00311085" w:rsidRDefault="00A54C24" w:rsidP="00311085">
      <w:pPr>
        <w:pStyle w:val="ListParagraph"/>
        <w:ind w:left="1440"/>
        <w:rPr>
          <w:color w:val="002060"/>
        </w:rPr>
      </w:pPr>
      <w:r>
        <w:rPr>
          <w:color w:val="002060"/>
        </w:rPr>
        <w:t xml:space="preserve">La récession est un phénomène de </w:t>
      </w:r>
      <w:r w:rsidR="00A11268">
        <w:rPr>
          <w:color w:val="002060"/>
        </w:rPr>
        <w:t>ralentissement de la croissance sur le court terme.</w:t>
      </w:r>
      <w:r w:rsidR="008C1C22">
        <w:rPr>
          <w:color w:val="002060"/>
        </w:rPr>
        <w:t xml:space="preserve"> Si elle se prolonge et s’aggrave, </w:t>
      </w:r>
      <w:r w:rsidR="00C967C9">
        <w:rPr>
          <w:color w:val="002060"/>
        </w:rPr>
        <w:t>cad si le taux de croissance devient négatif</w:t>
      </w:r>
      <w:r w:rsidR="00197894">
        <w:rPr>
          <w:color w:val="002060"/>
        </w:rPr>
        <w:t>, et bien l’économie tombe dans la dépression. Et la dépression peut provoquer de la déflation.</w:t>
      </w:r>
    </w:p>
    <w:p w:rsidR="00197894" w:rsidRDefault="00197894" w:rsidP="00311085">
      <w:pPr>
        <w:pStyle w:val="ListParagraph"/>
        <w:ind w:left="1440"/>
        <w:rPr>
          <w:color w:val="002060"/>
        </w:rPr>
      </w:pPr>
    </w:p>
    <w:p w:rsidR="00197894" w:rsidRDefault="00D51CE6" w:rsidP="00197894">
      <w:pPr>
        <w:pStyle w:val="ListParagraph"/>
        <w:numPr>
          <w:ilvl w:val="0"/>
          <w:numId w:val="18"/>
        </w:numPr>
        <w:rPr>
          <w:b/>
          <w:color w:val="538135" w:themeColor="accent6" w:themeShade="BF"/>
          <w:u w:val="single"/>
        </w:rPr>
      </w:pPr>
      <w:r>
        <w:rPr>
          <w:b/>
          <w:color w:val="538135" w:themeColor="accent6" w:themeShade="BF"/>
          <w:u w:val="single"/>
        </w:rPr>
        <w:t>De la dépression à la déflation</w:t>
      </w:r>
    </w:p>
    <w:p w:rsidR="00D51CE6" w:rsidRDefault="00D51CE6" w:rsidP="00D51CE6">
      <w:pPr>
        <w:pStyle w:val="ListParagraph"/>
        <w:ind w:left="1440"/>
        <w:rPr>
          <w:b/>
          <w:color w:val="538135" w:themeColor="accent6" w:themeShade="BF"/>
          <w:u w:val="single"/>
        </w:rPr>
      </w:pPr>
    </w:p>
    <w:p w:rsidR="00D51CE6" w:rsidRDefault="00D51CE6" w:rsidP="00D51CE6">
      <w:pPr>
        <w:pStyle w:val="ListParagraph"/>
        <w:ind w:left="1440"/>
        <w:rPr>
          <w:color w:val="002060"/>
        </w:rPr>
      </w:pPr>
      <w:r>
        <w:rPr>
          <w:color w:val="002060"/>
        </w:rPr>
        <w:t>Activité 9</w:t>
      </w:r>
    </w:p>
    <w:p w:rsidR="00D51CE6" w:rsidRDefault="006B5C3B" w:rsidP="00D51CE6">
      <w:pPr>
        <w:pStyle w:val="ListParagraph"/>
        <w:ind w:left="1440"/>
        <w:rPr>
          <w:color w:val="002060"/>
        </w:rPr>
      </w:pPr>
      <w:r>
        <w:rPr>
          <w:color w:val="002060"/>
        </w:rPr>
        <w:t>Définitions :</w:t>
      </w:r>
    </w:p>
    <w:p w:rsidR="003A1A9C" w:rsidRDefault="003A1A9C" w:rsidP="003A1A9C">
      <w:pPr>
        <w:pStyle w:val="ListParagraph"/>
        <w:numPr>
          <w:ilvl w:val="0"/>
          <w:numId w:val="8"/>
        </w:numPr>
        <w:rPr>
          <w:color w:val="002060"/>
        </w:rPr>
      </w:pPr>
      <w:r>
        <w:rPr>
          <w:color w:val="002060"/>
        </w:rPr>
        <w:t xml:space="preserve">Inflation : hausse </w:t>
      </w:r>
      <w:r w:rsidR="00F14443">
        <w:rPr>
          <w:color w:val="002060"/>
        </w:rPr>
        <w:t>générale et durable des prix</w:t>
      </w:r>
    </w:p>
    <w:p w:rsidR="00F14443" w:rsidRDefault="00F14443" w:rsidP="003A1A9C">
      <w:pPr>
        <w:pStyle w:val="ListParagraph"/>
        <w:numPr>
          <w:ilvl w:val="0"/>
          <w:numId w:val="8"/>
        </w:numPr>
        <w:rPr>
          <w:color w:val="002060"/>
        </w:rPr>
      </w:pPr>
      <w:r>
        <w:rPr>
          <w:color w:val="002060"/>
        </w:rPr>
        <w:t>Désinflation : ralentissement de l’inflation</w:t>
      </w:r>
    </w:p>
    <w:p w:rsidR="00F14443" w:rsidRDefault="00F14443" w:rsidP="003A1A9C">
      <w:pPr>
        <w:pStyle w:val="ListParagraph"/>
        <w:numPr>
          <w:ilvl w:val="0"/>
          <w:numId w:val="8"/>
        </w:numPr>
        <w:rPr>
          <w:color w:val="002060"/>
        </w:rPr>
      </w:pPr>
      <w:r>
        <w:rPr>
          <w:color w:val="002060"/>
        </w:rPr>
        <w:t>Déflation : baisse durable et généralisée des prix (lorsque le taux est négatif)</w:t>
      </w:r>
    </w:p>
    <w:p w:rsidR="00F14443" w:rsidRDefault="00F14443" w:rsidP="00F14443">
      <w:pPr>
        <w:ind w:left="1440"/>
        <w:rPr>
          <w:color w:val="002060"/>
        </w:rPr>
      </w:pPr>
      <w:r>
        <w:rPr>
          <w:color w:val="002060"/>
        </w:rPr>
        <w:t xml:space="preserve">Dans contexte </w:t>
      </w:r>
      <w:r w:rsidR="005E3A61">
        <w:rPr>
          <w:color w:val="002060"/>
        </w:rPr>
        <w:t>de dépression, les économies risquent de tomber dans une spirale déflationniste.</w:t>
      </w:r>
    </w:p>
    <w:p w:rsidR="005E3A61" w:rsidRDefault="005E3A61" w:rsidP="00F14443">
      <w:pPr>
        <w:ind w:left="1440"/>
        <w:rPr>
          <w:color w:val="002060"/>
        </w:rPr>
      </w:pPr>
      <w:r>
        <w:rPr>
          <w:color w:val="002060"/>
        </w:rPr>
        <w:t>Spirale déflationniste :</w:t>
      </w:r>
    </w:p>
    <w:p w:rsidR="005E3A61" w:rsidRDefault="005E3A61" w:rsidP="00F14443">
      <w:pPr>
        <w:ind w:left="1440"/>
        <w:rPr>
          <w:color w:val="002060"/>
        </w:rPr>
      </w:pPr>
      <w:r>
        <w:rPr>
          <w:noProof/>
          <w:color w:val="002060"/>
        </w:rPr>
        <w:lastRenderedPageBreak/>
        <mc:AlternateContent>
          <mc:Choice Requires="wpi">
            <w:drawing>
              <wp:anchor distT="0" distB="0" distL="114300" distR="114300" simplePos="0" relativeHeight="251668480" behindDoc="0" locked="0" layoutInCell="1" allowOverlap="1">
                <wp:simplePos x="0" y="0"/>
                <wp:positionH relativeFrom="column">
                  <wp:posOffset>724339</wp:posOffset>
                </wp:positionH>
                <wp:positionV relativeFrom="paragraph">
                  <wp:posOffset>113361</wp:posOffset>
                </wp:positionV>
                <wp:extent cx="138960" cy="203400"/>
                <wp:effectExtent l="38100" t="38100" r="26670" b="38100"/>
                <wp:wrapNone/>
                <wp:docPr id="14" name="Ink 14"/>
                <wp:cNvGraphicFramePr/>
                <a:graphic xmlns:a="http://schemas.openxmlformats.org/drawingml/2006/main">
                  <a:graphicData uri="http://schemas.microsoft.com/office/word/2010/wordprocessingInk">
                    <w14:contentPart bwMode="auto" r:id="rId13">
                      <w14:nvContentPartPr>
                        <w14:cNvContentPartPr/>
                      </w14:nvContentPartPr>
                      <w14:xfrm>
                        <a:off x="0" y="0"/>
                        <a:ext cx="138960" cy="203400"/>
                      </w14:xfrm>
                    </w14:contentPart>
                  </a:graphicData>
                </a:graphic>
              </wp:anchor>
            </w:drawing>
          </mc:Choice>
          <mc:Fallback>
            <w:pict>
              <v:shapetype w14:anchorId="7BBCF15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26" type="#_x0000_t75" style="position:absolute;margin-left:56.7pt;margin-top:8.6pt;width:11.65pt;height:16.7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">
                <v:imagedata r:id="rId14" o:title=""/>
              </v:shape>
            </w:pict>
          </mc:Fallback>
        </mc:AlternateContent>
      </w:r>
      <w:r>
        <w:rPr>
          <w:noProof/>
          <w:color w:val="002060"/>
        </w:rPr>
        <mc:AlternateContent>
          <mc:Choice Requires="wpi">
            <w:drawing>
              <wp:anchor distT="0" distB="0" distL="114300" distR="114300" simplePos="0" relativeHeight="251667456" behindDoc="0" locked="0" layoutInCell="1" allowOverlap="1">
                <wp:simplePos x="0" y="0"/>
                <wp:positionH relativeFrom="column">
                  <wp:posOffset>536059</wp:posOffset>
                </wp:positionH>
                <wp:positionV relativeFrom="paragraph">
                  <wp:posOffset>190761</wp:posOffset>
                </wp:positionV>
                <wp:extent cx="1296360" cy="483840"/>
                <wp:effectExtent l="38100" t="38100" r="24765" b="37465"/>
                <wp:wrapNone/>
                <wp:docPr id="11" name="Ink 11"/>
                <wp:cNvGraphicFramePr/>
                <a:graphic xmlns:a="http://schemas.openxmlformats.org/drawingml/2006/main">
                  <a:graphicData uri="http://schemas.microsoft.com/office/word/2010/wordprocessingInk">
                    <w14:contentPart bwMode="auto" r:id="rId15">
                      <w14:nvContentPartPr>
                        <w14:cNvContentPartPr/>
                      </w14:nvContentPartPr>
                      <w14:xfrm>
                        <a:off x="0" y="0"/>
                        <a:ext cx="1296360" cy="483840"/>
                      </w14:xfrm>
                    </w14:contentPart>
                  </a:graphicData>
                </a:graphic>
              </wp:anchor>
            </w:drawing>
          </mc:Choice>
          <mc:Fallback>
            <w:pict>
              <v:shape w14:anchorId="399EEFDF" id="Ink 11" o:spid="_x0000_s1026" type="#_x0000_t75" style="position:absolute;margin-left:41.85pt;margin-top:14.65pt;width:102.8pt;height:38.8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">
                <v:imagedata r:id="rId16" o:title=""/>
              </v:shape>
            </w:pict>
          </mc:Fallback>
        </mc:AlternateContent>
      </w:r>
      <w:r>
        <w:rPr>
          <w:color w:val="002060"/>
        </w:rPr>
        <w:t xml:space="preserve">Dépression = baisse de la prod° —&gt; baisse de l’emploi —&gt; baisse de la demande —&gt; D &lt; O —&gt; baisse du niveau général des prix = déflation —&gt; réduc° de la prod° = dépression </w:t>
      </w:r>
    </w:p>
    <w:p w:rsidR="008830A0" w:rsidRDefault="00467123" w:rsidP="00F14443">
      <w:pPr>
        <w:ind w:left="1440"/>
        <w:rPr>
          <w:color w:val="002060"/>
        </w:rPr>
      </w:pPr>
      <w:r>
        <w:rPr>
          <w:color w:val="002060"/>
        </w:rPr>
        <w:t xml:space="preserve">Dépression </w:t>
      </w:r>
      <w:r w:rsidRPr="00467123">
        <w:rPr>
          <w:color w:val="002060"/>
        </w:rPr>
        <w:sym w:font="Wingdings" w:char="F0F3"/>
      </w:r>
      <w:r>
        <w:rPr>
          <w:color w:val="002060"/>
        </w:rPr>
        <w:t xml:space="preserve"> Déflation </w:t>
      </w:r>
    </w:p>
    <w:p w:rsidR="00467123" w:rsidRDefault="00467123" w:rsidP="00F14443">
      <w:pPr>
        <w:ind w:left="1440"/>
        <w:rPr>
          <w:color w:val="002060"/>
        </w:rPr>
      </w:pPr>
      <w:r>
        <w:rPr>
          <w:color w:val="002060"/>
        </w:rPr>
        <w:t>Dépression et déflation s’auto-entretiennent.</w:t>
      </w:r>
    </w:p>
    <w:p w:rsidR="00467123" w:rsidRDefault="00467123" w:rsidP="00F14443">
      <w:pPr>
        <w:ind w:left="1440"/>
        <w:rPr>
          <w:color w:val="002060"/>
        </w:rPr>
      </w:pPr>
      <w:r>
        <w:rPr>
          <w:color w:val="002060"/>
        </w:rPr>
        <w:t xml:space="preserve">Remarques : </w:t>
      </w:r>
    </w:p>
    <w:p w:rsidR="004745E8" w:rsidRDefault="004745E8" w:rsidP="004745E8">
      <w:pPr>
        <w:pStyle w:val="ListParagraph"/>
        <w:numPr>
          <w:ilvl w:val="0"/>
          <w:numId w:val="19"/>
        </w:numPr>
        <w:rPr>
          <w:color w:val="002060"/>
        </w:rPr>
      </w:pPr>
      <w:r>
        <w:rPr>
          <w:color w:val="002060"/>
        </w:rPr>
        <w:t>Les politiques d’austérité de l’Etat alimentent la déflation :</w:t>
      </w:r>
    </w:p>
    <w:p w:rsidR="00112E36" w:rsidRDefault="004745E8" w:rsidP="00112E36">
      <w:pPr>
        <w:pStyle w:val="ListParagraph"/>
        <w:ind w:left="1800"/>
        <w:rPr>
          <w:color w:val="002060"/>
        </w:rPr>
      </w:pPr>
      <w:r>
        <w:rPr>
          <w:color w:val="002060"/>
        </w:rPr>
        <w:t>Schéma</w:t>
      </w:r>
    </w:p>
    <w:p w:rsidR="004745E8" w:rsidRDefault="00112E36" w:rsidP="00112E36">
      <w:pPr>
        <w:pStyle w:val="ListParagraph"/>
        <w:numPr>
          <w:ilvl w:val="0"/>
          <w:numId w:val="19"/>
        </w:numPr>
        <w:rPr>
          <w:color w:val="002060"/>
        </w:rPr>
      </w:pPr>
      <w:r>
        <w:rPr>
          <w:color w:val="002060"/>
        </w:rPr>
        <w:t xml:space="preserve">En situation de déflation, le comportement des ménages peut alimenter la déflation : déflation —&gt; les consommateurs anticipent une baisse future des prix —&gt; report de leurs achats —&gt; si généralisation de ce comportement —&gt; baisse de la D —&gt; D &lt; O —&gt; baisse des prix = déflation </w:t>
      </w:r>
    </w:p>
    <w:p w:rsidR="00112E36" w:rsidRDefault="00112E36" w:rsidP="00112E36">
      <w:pPr>
        <w:rPr>
          <w:color w:val="002060"/>
        </w:rPr>
      </w:pPr>
    </w:p>
    <w:p w:rsidR="00112E36" w:rsidRDefault="00B947A0" w:rsidP="00112E36">
      <w:pPr>
        <w:pStyle w:val="ListParagraph"/>
        <w:numPr>
          <w:ilvl w:val="0"/>
          <w:numId w:val="18"/>
        </w:numPr>
        <w:rPr>
          <w:b/>
          <w:color w:val="538135" w:themeColor="accent6" w:themeShade="BF"/>
          <w:u w:val="single"/>
        </w:rPr>
      </w:pPr>
      <w:r>
        <w:rPr>
          <w:b/>
          <w:color w:val="538135" w:themeColor="accent6" w:themeShade="BF"/>
          <w:u w:val="single"/>
        </w:rPr>
        <w:t>La dépression s’accompagne d’une hausse du chômage</w:t>
      </w:r>
    </w:p>
    <w:p w:rsidR="00B947A0" w:rsidRDefault="00B947A0" w:rsidP="00B947A0">
      <w:pPr>
        <w:pStyle w:val="ListParagraph"/>
        <w:ind w:left="1440"/>
        <w:rPr>
          <w:b/>
          <w:color w:val="538135" w:themeColor="accent6" w:themeShade="BF"/>
          <w:u w:val="single"/>
        </w:rPr>
      </w:pPr>
    </w:p>
    <w:p w:rsidR="00B947A0" w:rsidRDefault="00BB709F" w:rsidP="00B947A0">
      <w:pPr>
        <w:pStyle w:val="ListParagraph"/>
        <w:ind w:left="1440"/>
        <w:rPr>
          <w:color w:val="002060"/>
        </w:rPr>
      </w:pPr>
      <w:r>
        <w:rPr>
          <w:color w:val="002060"/>
        </w:rPr>
        <w:t>Activité 10</w:t>
      </w:r>
      <w:r w:rsidR="00204502">
        <w:rPr>
          <w:color w:val="002060"/>
        </w:rPr>
        <w:t xml:space="preserve"> pour mercredi</w:t>
      </w:r>
    </w:p>
    <w:p w:rsidR="00E4132F" w:rsidRDefault="00E4132F" w:rsidP="00B947A0">
      <w:pPr>
        <w:pStyle w:val="ListParagraph"/>
        <w:ind w:left="1440"/>
        <w:rPr>
          <w:color w:val="002060"/>
        </w:rPr>
      </w:pPr>
      <w:r>
        <w:rPr>
          <w:color w:val="002060"/>
        </w:rPr>
        <w:t xml:space="preserve">Il existe une corrélation négative </w:t>
      </w:r>
      <w:r w:rsidR="00B67E21">
        <w:rPr>
          <w:color w:val="002060"/>
        </w:rPr>
        <w:t>entre le taux de chômage et le taux de croissance : Hausse taux de chômage =&gt; baisse D =&gt; D&lt;O =&gt; baisse O =&gt; baisse croissance</w:t>
      </w:r>
    </w:p>
    <w:p w:rsidR="004541B9" w:rsidRPr="00B947A0" w:rsidRDefault="004541B9" w:rsidP="00B947A0">
      <w:pPr>
        <w:pStyle w:val="ListParagraph"/>
        <w:ind w:left="1440"/>
        <w:rPr>
          <w:color w:val="002060"/>
        </w:rPr>
      </w:pPr>
      <w:r>
        <w:rPr>
          <w:color w:val="002060"/>
        </w:rPr>
        <w:t>Et inversement : baisse taux de chômage =&gt; aug° D =&gt; D&gt;O =&gt; aug° O =&gt; aug° croissance.</w:t>
      </w:r>
    </w:p>
    <w:p w:rsidR="00B10D6F" w:rsidRDefault="00E47CAE" w:rsidP="00B10D6F">
      <w:pPr>
        <w:rPr>
          <w:color w:val="002060"/>
        </w:rPr>
      </w:pPr>
      <w:r>
        <w:rPr>
          <w:noProof/>
          <w:color w:val="002060"/>
        </w:rPr>
        <w:drawing>
          <wp:anchor distT="0" distB="0" distL="114300" distR="114300" simplePos="0" relativeHeight="251669504" behindDoc="0" locked="0" layoutInCell="1" allowOverlap="1">
            <wp:simplePos x="0" y="0"/>
            <wp:positionH relativeFrom="column">
              <wp:posOffset>535387</wp:posOffset>
            </wp:positionH>
            <wp:positionV relativeFrom="paragraph">
              <wp:posOffset>231611</wp:posOffset>
            </wp:positionV>
            <wp:extent cx="3155950" cy="2099310"/>
            <wp:effectExtent l="0" t="0" r="635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55950" cy="2099310"/>
                    </a:xfrm>
                    <a:prstGeom prst="rect">
                      <a:avLst/>
                    </a:prstGeom>
                  </pic:spPr>
                </pic:pic>
              </a:graphicData>
            </a:graphic>
            <wp14:sizeRelH relativeFrom="margin">
              <wp14:pctWidth>0</wp14:pctWidth>
            </wp14:sizeRelH>
            <wp14:sizeRelV relativeFrom="margin">
              <wp14:pctHeight>0</wp14:pctHeight>
            </wp14:sizeRelV>
          </wp:anchor>
        </w:drawing>
      </w:r>
    </w:p>
    <w:p w:rsidR="004A6DD0" w:rsidRDefault="00E47CAE" w:rsidP="00B10D6F">
      <w:pPr>
        <w:rPr>
          <w:color w:val="002060"/>
        </w:rPr>
      </w:pPr>
      <w:bookmarkStart w:id="0" w:name="_GoBack"/>
      <w:r>
        <w:rPr>
          <w:noProof/>
          <w:color w:val="002060"/>
        </w:rPr>
        <w:drawing>
          <wp:anchor distT="0" distB="0" distL="114300" distR="114300" simplePos="0" relativeHeight="251670528" behindDoc="0" locked="0" layoutInCell="1" allowOverlap="1">
            <wp:simplePos x="0" y="0"/>
            <wp:positionH relativeFrom="column">
              <wp:posOffset>2560832</wp:posOffset>
            </wp:positionH>
            <wp:positionV relativeFrom="paragraph">
              <wp:posOffset>2391083</wp:posOffset>
            </wp:positionV>
            <wp:extent cx="3163570" cy="211391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3570" cy="2113915"/>
                    </a:xfrm>
                    <a:prstGeom prst="rect">
                      <a:avLst/>
                    </a:prstGeom>
                  </pic:spPr>
                </pic:pic>
              </a:graphicData>
            </a:graphic>
            <wp14:sizeRelH relativeFrom="margin">
              <wp14:pctWidth>0</wp14:pctWidth>
            </wp14:sizeRelH>
            <wp14:sizeRelV relativeFrom="margin">
              <wp14:pctHeight>0</wp14:pctHeight>
            </wp14:sizeRelV>
          </wp:anchor>
        </w:drawing>
      </w:r>
      <w:bookmarkEnd w:id="0"/>
    </w:p>
    <w:p w:rsidR="004A6DD0" w:rsidRDefault="004A6DD0" w:rsidP="00B10D6F">
      <w:pPr>
        <w:rPr>
          <w:color w:val="002060"/>
        </w:rPr>
      </w:pPr>
    </w:p>
    <w:p w:rsidR="004A6DD0" w:rsidRPr="00B10D6F" w:rsidRDefault="004A6DD0" w:rsidP="00B10D6F">
      <w:pPr>
        <w:rPr>
          <w:color w:val="002060"/>
        </w:rPr>
      </w:pPr>
    </w:p>
    <w:sectPr w:rsidR="004A6DD0" w:rsidRPr="00B10D6F" w:rsidSect="004D13B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03462"/>
    <w:multiLevelType w:val="hybridMultilevel"/>
    <w:tmpl w:val="B75E1A04"/>
    <w:lvl w:ilvl="0" w:tplc="FFFFFFF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13C35071"/>
    <w:multiLevelType w:val="hybridMultilevel"/>
    <w:tmpl w:val="FB9E9E90"/>
    <w:lvl w:ilvl="0" w:tplc="AAB8F1F8">
      <w:start w:val="1"/>
      <w:numFmt w:val="upperRoman"/>
      <w:lvlText w:val="%1-"/>
      <w:lvlJc w:val="left"/>
      <w:pPr>
        <w:ind w:left="1080" w:hanging="720"/>
      </w:pPr>
      <w:rPr>
        <w:rFonts w:hint="default"/>
        <w:b/>
        <w:i w:val="0"/>
        <w:color w:val="FF000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C46CDC"/>
    <w:multiLevelType w:val="hybridMultilevel"/>
    <w:tmpl w:val="F03A6B8E"/>
    <w:lvl w:ilvl="0" w:tplc="FFFFFFFF">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22F12839"/>
    <w:multiLevelType w:val="hybridMultilevel"/>
    <w:tmpl w:val="8E92ECD4"/>
    <w:lvl w:ilvl="0" w:tplc="08090011">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 w15:restartNumberingAfterBreak="0">
    <w:nsid w:val="311A7A2D"/>
    <w:multiLevelType w:val="hybridMultilevel"/>
    <w:tmpl w:val="3416AD0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344863E0"/>
    <w:multiLevelType w:val="hybridMultilevel"/>
    <w:tmpl w:val="AA1A5164"/>
    <w:lvl w:ilvl="0" w:tplc="FFFFFFFF">
      <w:start w:val="1"/>
      <w:numFmt w:val="upperRoman"/>
      <w:lvlText w:val="%1-"/>
      <w:lvlJc w:val="left"/>
      <w:pPr>
        <w:ind w:left="1080" w:hanging="720"/>
      </w:pPr>
      <w:rPr>
        <w:rFonts w:hint="default"/>
        <w:b/>
        <w:i w:val="0"/>
        <w:color w:val="FF0000"/>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630260"/>
    <w:multiLevelType w:val="hybridMultilevel"/>
    <w:tmpl w:val="31C49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800B8A"/>
    <w:multiLevelType w:val="hybridMultilevel"/>
    <w:tmpl w:val="BFCEB74A"/>
    <w:lvl w:ilvl="0" w:tplc="FFFFFFFF">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DE1619"/>
    <w:multiLevelType w:val="hybridMultilevel"/>
    <w:tmpl w:val="FA2883F8"/>
    <w:lvl w:ilvl="0" w:tplc="FFFFFFFF">
      <w:start w:val="1"/>
      <w:numFmt w:val="decimal"/>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9" w15:restartNumberingAfterBreak="0">
    <w:nsid w:val="38955DE9"/>
    <w:multiLevelType w:val="hybridMultilevel"/>
    <w:tmpl w:val="15B29DD4"/>
    <w:lvl w:ilvl="0" w:tplc="08090005">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0" w15:restartNumberingAfterBreak="0">
    <w:nsid w:val="3A813844"/>
    <w:multiLevelType w:val="hybridMultilevel"/>
    <w:tmpl w:val="054A3488"/>
    <w:lvl w:ilvl="0" w:tplc="08090009">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42C13A10"/>
    <w:multiLevelType w:val="hybridMultilevel"/>
    <w:tmpl w:val="5C2EB9D4"/>
    <w:lvl w:ilvl="0" w:tplc="FFFFFFF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470268A2"/>
    <w:multiLevelType w:val="hybridMultilevel"/>
    <w:tmpl w:val="98B6F884"/>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FE61AA"/>
    <w:multiLevelType w:val="hybridMultilevel"/>
    <w:tmpl w:val="F59C1BD6"/>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C582203"/>
    <w:multiLevelType w:val="hybridMultilevel"/>
    <w:tmpl w:val="FB98A1DC"/>
    <w:lvl w:ilvl="0" w:tplc="FFFFFFF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4DD10561"/>
    <w:multiLevelType w:val="hybridMultilevel"/>
    <w:tmpl w:val="2B604B72"/>
    <w:lvl w:ilvl="0" w:tplc="FFFFFFFF">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54B03074"/>
    <w:multiLevelType w:val="hybridMultilevel"/>
    <w:tmpl w:val="1D606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5E1FB3"/>
    <w:multiLevelType w:val="hybridMultilevel"/>
    <w:tmpl w:val="A6A22424"/>
    <w:lvl w:ilvl="0" w:tplc="FFFFFFFF">
      <w:start w:val="2"/>
      <w:numFmt w:val="bullet"/>
      <w:lvlText w:val="-"/>
      <w:lvlJc w:val="left"/>
      <w:pPr>
        <w:ind w:left="2520" w:hanging="360"/>
      </w:pPr>
      <w:rPr>
        <w:rFonts w:ascii="Calibri" w:eastAsiaTheme="minorEastAsia" w:hAnsi="Calibri" w:cstheme="minorBidi" w:hint="default"/>
      </w:rPr>
    </w:lvl>
    <w:lvl w:ilvl="1" w:tplc="08090003">
      <w:start w:val="1"/>
      <w:numFmt w:val="bullet"/>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0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8" w15:restartNumberingAfterBreak="0">
    <w:nsid w:val="786E5AD1"/>
    <w:multiLevelType w:val="hybridMultilevel"/>
    <w:tmpl w:val="9DC2832C"/>
    <w:lvl w:ilvl="0" w:tplc="FFFFFFFF">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2"/>
  </w:num>
  <w:num w:numId="2">
    <w:abstractNumId w:val="13"/>
  </w:num>
  <w:num w:numId="3">
    <w:abstractNumId w:val="5"/>
  </w:num>
  <w:num w:numId="4">
    <w:abstractNumId w:val="1"/>
  </w:num>
  <w:num w:numId="5">
    <w:abstractNumId w:val="2"/>
  </w:num>
  <w:num w:numId="6">
    <w:abstractNumId w:val="14"/>
  </w:num>
  <w:num w:numId="7">
    <w:abstractNumId w:val="4"/>
  </w:num>
  <w:num w:numId="8">
    <w:abstractNumId w:val="17"/>
  </w:num>
  <w:num w:numId="9">
    <w:abstractNumId w:val="15"/>
  </w:num>
  <w:num w:numId="10">
    <w:abstractNumId w:val="0"/>
  </w:num>
  <w:num w:numId="11">
    <w:abstractNumId w:val="9"/>
  </w:num>
  <w:num w:numId="12">
    <w:abstractNumId w:val="3"/>
  </w:num>
  <w:num w:numId="13">
    <w:abstractNumId w:val="8"/>
  </w:num>
  <w:num w:numId="14">
    <w:abstractNumId w:val="11"/>
  </w:num>
  <w:num w:numId="15">
    <w:abstractNumId w:val="16"/>
  </w:num>
  <w:num w:numId="16">
    <w:abstractNumId w:val="6"/>
  </w:num>
  <w:num w:numId="17">
    <w:abstractNumId w:val="7"/>
  </w:num>
  <w:num w:numId="18">
    <w:abstractNumId w:val="18"/>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5A9"/>
    <w:rsid w:val="00003075"/>
    <w:rsid w:val="00023A1C"/>
    <w:rsid w:val="000375AD"/>
    <w:rsid w:val="00043A6E"/>
    <w:rsid w:val="00056631"/>
    <w:rsid w:val="00084045"/>
    <w:rsid w:val="0009755E"/>
    <w:rsid w:val="000A66F4"/>
    <w:rsid w:val="000B2720"/>
    <w:rsid w:val="000E50C3"/>
    <w:rsid w:val="000E6BFB"/>
    <w:rsid w:val="000F7410"/>
    <w:rsid w:val="001058DA"/>
    <w:rsid w:val="00112E36"/>
    <w:rsid w:val="0012685C"/>
    <w:rsid w:val="001617F5"/>
    <w:rsid w:val="001855A9"/>
    <w:rsid w:val="001938DD"/>
    <w:rsid w:val="0019525A"/>
    <w:rsid w:val="00197894"/>
    <w:rsid w:val="001B479B"/>
    <w:rsid w:val="001B6A9B"/>
    <w:rsid w:val="001C6E32"/>
    <w:rsid w:val="001D7822"/>
    <w:rsid w:val="001E774C"/>
    <w:rsid w:val="00204502"/>
    <w:rsid w:val="00215CB2"/>
    <w:rsid w:val="002268E9"/>
    <w:rsid w:val="00276CAE"/>
    <w:rsid w:val="002B57E3"/>
    <w:rsid w:val="00311085"/>
    <w:rsid w:val="00320248"/>
    <w:rsid w:val="00360B2E"/>
    <w:rsid w:val="003614E3"/>
    <w:rsid w:val="00361644"/>
    <w:rsid w:val="003760AA"/>
    <w:rsid w:val="00384952"/>
    <w:rsid w:val="00385708"/>
    <w:rsid w:val="003A1A9C"/>
    <w:rsid w:val="003A7CA0"/>
    <w:rsid w:val="003E261E"/>
    <w:rsid w:val="00404131"/>
    <w:rsid w:val="00416226"/>
    <w:rsid w:val="004362F5"/>
    <w:rsid w:val="004541B9"/>
    <w:rsid w:val="00467123"/>
    <w:rsid w:val="00467351"/>
    <w:rsid w:val="004745E8"/>
    <w:rsid w:val="004A6DD0"/>
    <w:rsid w:val="004D13B7"/>
    <w:rsid w:val="004D5E36"/>
    <w:rsid w:val="004E310C"/>
    <w:rsid w:val="00523F0B"/>
    <w:rsid w:val="005E3A61"/>
    <w:rsid w:val="0064655F"/>
    <w:rsid w:val="00667FC1"/>
    <w:rsid w:val="006703F4"/>
    <w:rsid w:val="00673415"/>
    <w:rsid w:val="006B34FD"/>
    <w:rsid w:val="006B5C3B"/>
    <w:rsid w:val="006C5D3D"/>
    <w:rsid w:val="006D49C9"/>
    <w:rsid w:val="00710DE1"/>
    <w:rsid w:val="00715041"/>
    <w:rsid w:val="00745A52"/>
    <w:rsid w:val="00753595"/>
    <w:rsid w:val="007B2FFD"/>
    <w:rsid w:val="007B4358"/>
    <w:rsid w:val="00801AD1"/>
    <w:rsid w:val="0081168C"/>
    <w:rsid w:val="00815424"/>
    <w:rsid w:val="00823414"/>
    <w:rsid w:val="00837071"/>
    <w:rsid w:val="0085192A"/>
    <w:rsid w:val="00876FAD"/>
    <w:rsid w:val="008830A0"/>
    <w:rsid w:val="008A4854"/>
    <w:rsid w:val="008B64B5"/>
    <w:rsid w:val="008C1C22"/>
    <w:rsid w:val="008D5C19"/>
    <w:rsid w:val="008E5C35"/>
    <w:rsid w:val="00921597"/>
    <w:rsid w:val="009251EE"/>
    <w:rsid w:val="00926878"/>
    <w:rsid w:val="009663DB"/>
    <w:rsid w:val="0096776A"/>
    <w:rsid w:val="00985D68"/>
    <w:rsid w:val="009970AC"/>
    <w:rsid w:val="009C1D80"/>
    <w:rsid w:val="009C3D74"/>
    <w:rsid w:val="009C5946"/>
    <w:rsid w:val="009D047B"/>
    <w:rsid w:val="009E6B11"/>
    <w:rsid w:val="00A0025A"/>
    <w:rsid w:val="00A0029C"/>
    <w:rsid w:val="00A11268"/>
    <w:rsid w:val="00A129F0"/>
    <w:rsid w:val="00A22115"/>
    <w:rsid w:val="00A54C24"/>
    <w:rsid w:val="00A5629A"/>
    <w:rsid w:val="00A82378"/>
    <w:rsid w:val="00AA6732"/>
    <w:rsid w:val="00AA67EB"/>
    <w:rsid w:val="00AB3D38"/>
    <w:rsid w:val="00AB5B42"/>
    <w:rsid w:val="00AB74E5"/>
    <w:rsid w:val="00AC2E42"/>
    <w:rsid w:val="00AC2F5F"/>
    <w:rsid w:val="00AC37D6"/>
    <w:rsid w:val="00AF6FFF"/>
    <w:rsid w:val="00B10D6F"/>
    <w:rsid w:val="00B158AF"/>
    <w:rsid w:val="00B16DAD"/>
    <w:rsid w:val="00B51A66"/>
    <w:rsid w:val="00B54A7A"/>
    <w:rsid w:val="00B63E48"/>
    <w:rsid w:val="00B67E21"/>
    <w:rsid w:val="00B947A0"/>
    <w:rsid w:val="00BA09F7"/>
    <w:rsid w:val="00BB709F"/>
    <w:rsid w:val="00BC313D"/>
    <w:rsid w:val="00BC45BB"/>
    <w:rsid w:val="00BF0EF5"/>
    <w:rsid w:val="00C10742"/>
    <w:rsid w:val="00C150A2"/>
    <w:rsid w:val="00C158F0"/>
    <w:rsid w:val="00C22A64"/>
    <w:rsid w:val="00C40E6D"/>
    <w:rsid w:val="00C4634C"/>
    <w:rsid w:val="00C74A7D"/>
    <w:rsid w:val="00C80BAB"/>
    <w:rsid w:val="00C967C9"/>
    <w:rsid w:val="00C97D0E"/>
    <w:rsid w:val="00CA23B0"/>
    <w:rsid w:val="00CB3433"/>
    <w:rsid w:val="00CC7E88"/>
    <w:rsid w:val="00CF7A1B"/>
    <w:rsid w:val="00D036BF"/>
    <w:rsid w:val="00D05EB6"/>
    <w:rsid w:val="00D07CD4"/>
    <w:rsid w:val="00D146BD"/>
    <w:rsid w:val="00D370E4"/>
    <w:rsid w:val="00D51CE6"/>
    <w:rsid w:val="00D57E0A"/>
    <w:rsid w:val="00D66603"/>
    <w:rsid w:val="00D91778"/>
    <w:rsid w:val="00D92F12"/>
    <w:rsid w:val="00DA5B02"/>
    <w:rsid w:val="00DB0772"/>
    <w:rsid w:val="00DB59D3"/>
    <w:rsid w:val="00DE6CA0"/>
    <w:rsid w:val="00E07195"/>
    <w:rsid w:val="00E24214"/>
    <w:rsid w:val="00E30F58"/>
    <w:rsid w:val="00E37238"/>
    <w:rsid w:val="00E37C04"/>
    <w:rsid w:val="00E4132F"/>
    <w:rsid w:val="00E47CAE"/>
    <w:rsid w:val="00E54FA2"/>
    <w:rsid w:val="00E60FE3"/>
    <w:rsid w:val="00EA18C9"/>
    <w:rsid w:val="00EA4FB5"/>
    <w:rsid w:val="00EE4005"/>
    <w:rsid w:val="00EF16AC"/>
    <w:rsid w:val="00F14443"/>
    <w:rsid w:val="00F303D5"/>
    <w:rsid w:val="00F30BEE"/>
    <w:rsid w:val="00F4562E"/>
    <w:rsid w:val="00F50778"/>
    <w:rsid w:val="00F57028"/>
    <w:rsid w:val="00F644AE"/>
    <w:rsid w:val="00F7192C"/>
    <w:rsid w:val="00F84F71"/>
    <w:rsid w:val="00FC7120"/>
    <w:rsid w:val="00FE6680"/>
    <w:rsid w:val="00FE70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948A7"/>
  <w15:docId w15:val="{B02093AE-C6FD-E84E-B1BE-23C4FF864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13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1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urfulAccent21">
    <w:name w:val="Grid Table 6 Colourful – Accent 21"/>
    <w:basedOn w:val="TableNormal"/>
    <w:uiPriority w:val="51"/>
    <w:rsid w:val="003614E3"/>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21">
    <w:name w:val="List Table 2 - Accent 21"/>
    <w:basedOn w:val="TableNormal"/>
    <w:uiPriority w:val="47"/>
    <w:rsid w:val="00C97D0E"/>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7ColourfulAccent21">
    <w:name w:val="List Table 7 Colourful – Accent 21"/>
    <w:basedOn w:val="TableNormal"/>
    <w:uiPriority w:val="52"/>
    <w:rsid w:val="00C97D0E"/>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6ColourfulAccent21">
    <w:name w:val="List Table 6 Colourful – Accent 21"/>
    <w:basedOn w:val="TableNormal"/>
    <w:uiPriority w:val="51"/>
    <w:rsid w:val="00C97D0E"/>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7ColourfulAccent21">
    <w:name w:val="Grid Table 7 Colourful – Accent 21"/>
    <w:basedOn w:val="TableNormal"/>
    <w:uiPriority w:val="52"/>
    <w:rsid w:val="00C97D0E"/>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2-Accent21">
    <w:name w:val="Grid Table 2 - Accent 21"/>
    <w:basedOn w:val="TableNormal"/>
    <w:uiPriority w:val="47"/>
    <w:rsid w:val="00C97D0E"/>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Paragraph">
    <w:name w:val="List Paragraph"/>
    <w:basedOn w:val="Normal"/>
    <w:uiPriority w:val="34"/>
    <w:qFormat/>
    <w:rsid w:val="00023A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ink/ink3.xml"/><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ink/ink2.xml"/><Relationship Id="rId5" Type="http://schemas.openxmlformats.org/officeDocument/2006/relationships/image" Target="media/image1.png"/><Relationship Id="rId15" Type="http://schemas.openxmlformats.org/officeDocument/2006/relationships/customXml" Target="ink/ink4.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image" Target="media/image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1-09T12:02:39.414"/>
    </inkml:context>
    <inkml:brush xml:id="br0">
      <inkml:brushProperty name="width" value="0.025" units="cm"/>
      <inkml:brushProperty name="height" value="0.025" units="cm"/>
    </inkml:brush>
  </inkml:definitions>
  <inkml:trace contextRef="#ctx0" brushRef="#br0">6851 831 24575,'57'6'0,"-2"-1"0,1-5 0,-3 0 0,7 4 0,-7 16 0,-7 2 0,-1 14 0,-23-5 0,-2 4 0,-16-3 0,-4 3 0,-13 0 0,-23 2 0,-26-1 0,-17 0 0,32-20 0,-2-2 0,-40 13 0,-7-7 0,3-1 0,1-7 0,9-2 0,2-1 0,9-8 0,-4 9 0,7-5 0,-10 5 0,15 5 0,-11-8 0,7 11 0,1-15 0,-8 10 0,11-7 0,-16 0 0,12-2 0,-8-4 0,-1 0 0,-5 0 0,-10 0 0,-1 0 0,40 0 0,0 0 0,-46 0 0,43 0 0,0 0 0,2 0 0,0 0 0,0 0 0,-1 0 0,-3 0 0,0 0 0,4 0 0,-1 0 0,-6 0 0,0 0 0,1 0 0,1 0 0,0 0 0,0 0 0,-2 0 0,0 0 0,-1 0 0,1 0 0,-1 0 0,0 0 0,-2 0 0,0 0 0,-2 0 0,0 0 0,3 1 0,0-2 0,-5-1 0,0 0 0,3-1 0,1 0 0,-3-2 0,1 0 0,-1 0 0,0-1 0,-1 2 0,-2-2 0,1-1 0,-1-1 0,-1 0 0,-1 0 0,0 3 0,0-1 0,0-1 0,1 0 0,1 4 0,1 1 0,-3-3 0,1-1 0,4 3 0,0 1 0,0-1 0,1 1 0,-1 0 0,1 0 0,8 1 0,1 0 0,-4-1 0,1 0 0,8 2 0,1 0 0,-3-2 0,1-1 0,1 3 0,1-1 0,-42-8 0,6 3 0,11-8 0,13 2 0,3-7 0,13 3 0,-3-5 0,3-4 0,-4-5 0,4-2 0,-3-4 0,12 6 0,-6-6 0,17 0 0,-3-10 0,14-1 0,1-4 0,5 9 0,0-2 0,-1 12 0,6-4 0,0 10 0,5 1 0,0 5 0,0-5 0,0 3 0,0-8 0,9 9 0,7-9 0,1 4 0,12 0 0,-8-9 0,6 13 0,-2-13 0,-5 14 0,1-4 0,-1 4 0,1 1 0,4-1 0,-3 5 0,7-3 0,-7 3 0,7 0 0,-2 1 0,3 0 0,-8 4 0,7-4 0,-12 0 0,12 4 0,-7-4 0,8 5 0,-9 0 0,9-1 0,-9 1 0,9 4 0,-8 2 0,3 4 0,-5 0 0,1 0 0,-1 0 0,-4 0 0,8 0 0,-11 0 0,6 0 0,-4 0 0,-4 0 0,4 0 0,-5 0 0,1 0 0,-1 4 0,5 11 0,1 7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1-09T12:02:26.980"/>
    </inkml:context>
    <inkml:brush xml:id="br0">
      <inkml:brushProperty name="width" value="0.025" units="cm"/>
      <inkml:brushProperty name="height" value="0.025" units="cm"/>
    </inkml:brush>
  </inkml:definitions>
  <inkml:trace contextRef="#ctx0" brushRef="#br0">62 0 24575,'23'5'0,"5"5"0,17 15 0,-2 2 0,-2 18 0,-6-12 0,-13 2 0,-3-10 0,-9-4 0,-4-5 0,-11 3 0,-6-3 0,-19 18 0,-6 4 0,-11 27 0,0-1 0,2 7 0,13-9 0,2-15 0,10-12 0,4-24 0,1-7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1-09T12:43:17.585"/>
    </inkml:context>
    <inkml:brush xml:id="br0">
      <inkml:brushProperty name="width" value="0.025" units="cm"/>
      <inkml:brushProperty name="height" value="0.025" units="cm"/>
    </inkml:brush>
  </inkml:definitions>
  <inkml:trace contextRef="#ctx0" brushRef="#br0">1 544 24575,'41'11'0,"0"-2"0,0-13 0,0-2 0,-5-9 0,0 8 0,-10-11 0,-6 11 0,4-7 0,-11 3 0,11 6 0,-8-5 0,0 9 0,-6-8 0,-15 3 0,-11-8 0,-14-7 0,-7-5 0,1-5 0,-4-9 0,3-6 0,-4-11 0,5-5 0,1 10 0,17 11 0,-13 6 0,8 9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1-09T12:43:09.064"/>
    </inkml:context>
    <inkml:brush xml:id="br0">
      <inkml:brushProperty name="width" value="0.025" units="cm"/>
      <inkml:brushProperty name="height" value="0.025" units="cm"/>
    </inkml:brush>
  </inkml:definitions>
  <inkml:trace contextRef="#ctx0" brushRef="#br0">3170 636 24575,'75'40'0,"-7"-8"0,-18-32 0,3 0 0,4 14 0,-6 8 0,-15 19 0,-10 1 0,-16 8 0,-6-8 0,-26 8 0,-25-8 0,4-16 0,-6-2 0,-11 0 0,-5-1 0,-10 3 0,-4-1 0,-2 2 0,-3-2 0,-7-1 0,-1-2 0,-1-2 0,0-3 0,-2-1 0,0-2 0,-4-7 0,0-3 0,1 1 0,0-1 0,31-4 0,0-1 0,0-3 0,0 0 0,1-3 0,0-1 0,-30-5 0,1-6 0,30 1 0,1-3 0,0 0 0,-31-9 0,4-4 0,9-7 0,2-3 0,-1 3 0,3-2 0,14-2 0,2-2 0,-2 3 0,1 0 0,7 3 0,3 0 0,6 3 0,2 0 0,1 2 0,3 0 0,5-2 0,3 0 0,-28-35 0,20 6 0,16-3 0,14 17 0,7-3 0,4 15 0,0 5 0,4 6 0,20 3 0,5 2 0,21 14 0,-3-3 0,4 13 0,0-3 0,-4 4 0,-2 0 0,-4 0 0,0 4 0,0-3 0,-4 4 0,-6-1 0,-6 2 0,-9 0 0,-1 3 0,-5-8 0,18 22 0,5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7</Pages>
  <Words>1901</Words>
  <Characters>10838</Characters>
  <Application>Microsoft Office Word</Application>
  <DocSecurity>0</DocSecurity>
  <Lines>90</Lines>
  <Paragraphs>25</Paragraphs>
  <ScaleCrop>false</ScaleCrop>
  <Company/>
  <LinksUpToDate>false</LinksUpToDate>
  <CharactersWithSpaces>12714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mary.stvns@aol.fr</dc:creator>
  <cp:keywords/>
  <dc:description/>
  <cp:lastModifiedBy>mary.stvns@aol.fr</cp:lastModifiedBy>
  <cp:revision>47</cp:revision>
  <dcterms:created xsi:type="dcterms:W3CDTF">2018-11-08T17:54:00Z</dcterms:created>
  <dcterms:modified xsi:type="dcterms:W3CDTF">2018-11-15T20:53:00Z</dcterms:modified>
</cp:coreProperties>
</file>