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CDC" w:rsidRPr="009E2CDC" w:rsidRDefault="009E2CDC" w:rsidP="009E2CDC">
      <w:pPr>
        <w:shd w:val="clear" w:color="auto" w:fill="C13D1F"/>
        <w:spacing w:line="336" w:lineRule="atLeast"/>
        <w:jc w:val="center"/>
        <w:textAlignment w:val="baseline"/>
        <w:outlineLvl w:val="0"/>
        <w:rPr>
          <w:rFonts w:ascii="Quicksand" w:eastAsia="Times New Roman" w:hAnsi="Quicksand" w:cs="Open Sans"/>
          <w:b/>
          <w:bCs/>
          <w:color w:val="FFFFFF"/>
          <w:spacing w:val="-16"/>
          <w:kern w:val="36"/>
          <w:sz w:val="41"/>
          <w:szCs w:val="41"/>
          <w:lang w:eastAsia="fr-FR"/>
        </w:rPr>
      </w:pPr>
      <w:r w:rsidRPr="009E2CDC">
        <w:rPr>
          <w:rFonts w:ascii="Quicksand" w:eastAsia="Times New Roman" w:hAnsi="Quicksand" w:cs="Open Sans"/>
          <w:b/>
          <w:bCs/>
          <w:color w:val="FFFFFF"/>
          <w:spacing w:val="-16"/>
          <w:kern w:val="36"/>
          <w:sz w:val="41"/>
          <w:szCs w:val="41"/>
          <w:lang w:eastAsia="fr-FR"/>
        </w:rPr>
        <w:t>Des cépages résistants aux maladies fongiques classés pour 2018</w:t>
      </w:r>
    </w:p>
    <w:p w:rsidR="009E2CDC" w:rsidRDefault="009E2CDC" w:rsidP="009E2CDC">
      <w:pPr>
        <w:spacing w:line="312" w:lineRule="atLeast"/>
        <w:textAlignment w:val="baseline"/>
        <w:rPr>
          <w:rFonts w:ascii="Quicksand" w:eastAsia="Times New Roman" w:hAnsi="Quicksand" w:cs="Arial"/>
          <w:color w:val="656565"/>
          <w:sz w:val="23"/>
          <w:szCs w:val="23"/>
          <w:lang w:eastAsia="fr-FR"/>
        </w:rPr>
      </w:pPr>
    </w:p>
    <w:p w:rsidR="009E2CDC" w:rsidRPr="009E2CDC" w:rsidRDefault="009E2CDC" w:rsidP="009E2CDC">
      <w:pPr>
        <w:spacing w:line="312" w:lineRule="atLeast"/>
        <w:textAlignment w:val="baseline"/>
        <w:rPr>
          <w:rFonts w:ascii="Quicksand" w:eastAsia="Times New Roman" w:hAnsi="Quicksand" w:cs="Arial"/>
          <w:color w:val="656565"/>
          <w:sz w:val="24"/>
          <w:szCs w:val="24"/>
          <w:lang w:eastAsia="fr-FR"/>
        </w:rPr>
      </w:pPr>
      <w:r w:rsidRPr="009E2CDC">
        <w:rPr>
          <w:rFonts w:ascii="Quicksand" w:eastAsia="Times New Roman" w:hAnsi="Quicksand" w:cs="Arial"/>
          <w:color w:val="656565"/>
          <w:sz w:val="24"/>
          <w:szCs w:val="24"/>
          <w:lang w:eastAsia="fr-FR"/>
        </w:rPr>
        <w:t>20 %   des produits phytosanitaires consommés en France sont dédiés à la vigne alors qu’elle n’occupe que 3 % de la surface agricole utile. Dans l’objectif du plan Ecophyto, la réduction d’usage des pesticides pour cette culture est impérative. L’Inra, l’IFV et les viticulteurs ont développé de nouveaux cépages résistants aux maladies fongiques, classées « vignes à raisin de cuve » pour la campagne 2018.</w:t>
      </w:r>
    </w:p>
    <w:p w:rsidR="009E2CDC" w:rsidRDefault="009E2CDC" w:rsidP="009E2CDC">
      <w:pPr>
        <w:spacing w:line="336" w:lineRule="atLeast"/>
        <w:ind w:left="96" w:right="96"/>
        <w:textAlignment w:val="baseline"/>
        <w:outlineLvl w:val="1"/>
        <w:rPr>
          <w:rFonts w:ascii="Quicksand" w:eastAsia="Times New Roman" w:hAnsi="Quicksand" w:cs="Arial"/>
          <w:color w:val="000000"/>
          <w:sz w:val="15"/>
          <w:szCs w:val="15"/>
          <w:lang w:eastAsia="fr-FR"/>
        </w:rPr>
      </w:pPr>
      <w:bookmarkStart w:id="0" w:name="eztoc4670611_1"/>
      <w:bookmarkEnd w:id="0"/>
    </w:p>
    <w:p w:rsidR="009E2CDC" w:rsidRPr="009E2CDC" w:rsidRDefault="009E2CDC" w:rsidP="009E2CDC">
      <w:pPr>
        <w:spacing w:line="336" w:lineRule="atLeast"/>
        <w:ind w:left="96" w:right="96"/>
        <w:jc w:val="center"/>
        <w:textAlignment w:val="baseline"/>
        <w:outlineLvl w:val="1"/>
        <w:rPr>
          <w:rFonts w:ascii="Quicksand" w:eastAsia="Times New Roman" w:hAnsi="Quicksand" w:cs="Open Sans"/>
          <w:b/>
          <w:bCs/>
          <w:sz w:val="24"/>
          <w:szCs w:val="24"/>
          <w:lang w:eastAsia="fr-FR"/>
        </w:rPr>
      </w:pPr>
      <w:r w:rsidRPr="009E2CDC">
        <w:rPr>
          <w:rFonts w:ascii="Quicksand" w:eastAsia="Times New Roman" w:hAnsi="Quicksand" w:cs="Open Sans"/>
          <w:b/>
          <w:bCs/>
          <w:sz w:val="24"/>
          <w:szCs w:val="24"/>
          <w:lang w:eastAsia="fr-FR"/>
        </w:rPr>
        <w:t>De la résistance monogénique à polygénique</w:t>
      </w:r>
    </w:p>
    <w:p w:rsidR="009E2CDC" w:rsidRDefault="009E2CDC" w:rsidP="009E2CDC">
      <w:pPr>
        <w:spacing w:line="336" w:lineRule="atLeast"/>
        <w:textAlignment w:val="baseline"/>
        <w:rPr>
          <w:rFonts w:ascii="Quicksand" w:eastAsia="Times New Roman" w:hAnsi="Quicksand" w:cs="Arial"/>
          <w:color w:val="565656"/>
          <w:sz w:val="24"/>
          <w:szCs w:val="24"/>
          <w:lang w:eastAsia="fr-FR"/>
        </w:rPr>
      </w:pPr>
      <w:r w:rsidRPr="009E2CDC">
        <w:rPr>
          <w:rFonts w:ascii="Quicksand" w:eastAsia="Times New Roman" w:hAnsi="Quicksand" w:cs="Arial"/>
          <w:color w:val="565656"/>
          <w:sz w:val="24"/>
          <w:szCs w:val="24"/>
          <w:lang w:eastAsia="fr-FR"/>
        </w:rPr>
        <w:t>Mildiou (</w:t>
      </w:r>
      <w:r w:rsidRPr="009E2CDC">
        <w:rPr>
          <w:rFonts w:ascii="Quicksand" w:eastAsia="Times New Roman" w:hAnsi="Quicksand" w:cs="Arial"/>
          <w:i/>
          <w:iCs/>
          <w:color w:val="565656"/>
          <w:sz w:val="24"/>
          <w:szCs w:val="24"/>
          <w:lang w:eastAsia="fr-FR"/>
        </w:rPr>
        <w:t>Plasmopara viticola</w:t>
      </w:r>
      <w:r w:rsidRPr="009E2CDC">
        <w:rPr>
          <w:rFonts w:ascii="Quicksand" w:eastAsia="Times New Roman" w:hAnsi="Quicksand" w:cs="Arial"/>
          <w:color w:val="565656"/>
          <w:sz w:val="24"/>
          <w:szCs w:val="24"/>
          <w:lang w:eastAsia="fr-FR"/>
        </w:rPr>
        <w:t>) et oïdium (</w:t>
      </w:r>
      <w:r w:rsidRPr="009E2CDC">
        <w:rPr>
          <w:rFonts w:ascii="Quicksand" w:eastAsia="Times New Roman" w:hAnsi="Quicksand" w:cs="Arial"/>
          <w:i/>
          <w:iCs/>
          <w:color w:val="565656"/>
          <w:sz w:val="24"/>
          <w:szCs w:val="24"/>
          <w:lang w:eastAsia="fr-FR"/>
        </w:rPr>
        <w:t>Erysiphe necator</w:t>
      </w:r>
      <w:r w:rsidRPr="009E2CDC">
        <w:rPr>
          <w:rFonts w:ascii="Quicksand" w:eastAsia="Times New Roman" w:hAnsi="Quicksand" w:cs="Arial"/>
          <w:color w:val="565656"/>
          <w:sz w:val="24"/>
          <w:szCs w:val="24"/>
          <w:lang w:eastAsia="fr-FR"/>
        </w:rPr>
        <w:t>) sont les deux principales maladies cryptogamiques foliaires de la vigne (</w:t>
      </w:r>
      <w:r w:rsidRPr="009E2CDC">
        <w:rPr>
          <w:rFonts w:ascii="Quicksand" w:eastAsia="Times New Roman" w:hAnsi="Quicksand" w:cs="Arial"/>
          <w:i/>
          <w:iCs/>
          <w:color w:val="565656"/>
          <w:sz w:val="24"/>
          <w:szCs w:val="24"/>
          <w:lang w:eastAsia="fr-FR"/>
        </w:rPr>
        <w:t>Vitis vinifera</w:t>
      </w:r>
      <w:r w:rsidRPr="009E2CDC">
        <w:rPr>
          <w:rFonts w:ascii="Quicksand" w:eastAsia="Times New Roman" w:hAnsi="Quicksand" w:cs="Arial"/>
          <w:color w:val="565656"/>
          <w:sz w:val="24"/>
          <w:szCs w:val="24"/>
          <w:lang w:eastAsia="fr-FR"/>
        </w:rPr>
        <w:t>) à l’origine de nombreux traitements phytosanitaires. Pour y pallier, la recherche s’est orientée depuis les années 1970, vers la création de vignes résistantes, par l’introgression</w:t>
      </w:r>
      <w:bookmarkStart w:id="1" w:name="_GoBack"/>
      <w:bookmarkEnd w:id="1"/>
      <w:r w:rsidRPr="009E2CDC">
        <w:rPr>
          <w:rFonts w:ascii="Quicksand" w:eastAsia="Times New Roman" w:hAnsi="Quicksand" w:cs="Arial"/>
          <w:color w:val="565656"/>
          <w:sz w:val="24"/>
          <w:szCs w:val="24"/>
          <w:lang w:eastAsia="fr-FR"/>
        </w:rPr>
        <w:t xml:space="preserve"> successive de facteurs de résistance issus de vignes sauvages, américaines ou asiatiques. 25 ans plus tard, dans les cépages commercialisés (variétés « </w:t>
      </w:r>
      <w:r w:rsidRPr="009E2CDC">
        <w:rPr>
          <w:rFonts w:ascii="Quicksand" w:eastAsia="Times New Roman" w:hAnsi="Quicksand" w:cs="Arial"/>
          <w:i/>
          <w:iCs/>
          <w:color w:val="565656"/>
          <w:sz w:val="24"/>
          <w:szCs w:val="24"/>
          <w:lang w:eastAsia="fr-FR"/>
        </w:rPr>
        <w:t>Bouquet </w:t>
      </w:r>
      <w:r w:rsidRPr="009E2CDC">
        <w:rPr>
          <w:rFonts w:ascii="Quicksand" w:eastAsia="Times New Roman" w:hAnsi="Quicksand" w:cs="Arial"/>
          <w:color w:val="565656"/>
          <w:sz w:val="24"/>
          <w:szCs w:val="24"/>
          <w:lang w:eastAsia="fr-FR"/>
        </w:rPr>
        <w:t>»), la résistance aux maladies fongiques était portée par un seul gène par maladie. Mais pour conforter la durabilité des résistances aux pathogènes, la compilation de plusieurs gènes s’est avérée nécessaire et, dans les années 2000, les variétés RESDUR sont alors apparues. Avec le soutien de l’interprofession, </w:t>
      </w:r>
      <w:hyperlink r:id="rId4" w:tgtFrame="_blank" w:history="1">
        <w:r w:rsidRPr="009E2CDC">
          <w:rPr>
            <w:rFonts w:ascii="Quicksand" w:eastAsia="Times New Roman" w:hAnsi="Quicksand" w:cs="Arial"/>
            <w:color w:val="444444"/>
            <w:sz w:val="24"/>
            <w:szCs w:val="24"/>
            <w:u w:val="single"/>
            <w:bdr w:val="none" w:sz="0" w:space="0" w:color="auto" w:frame="1"/>
            <w:lang w:eastAsia="fr-FR"/>
          </w:rPr>
          <w:t>ces variétés</w:t>
        </w:r>
      </w:hyperlink>
      <w:r w:rsidRPr="009E2CDC">
        <w:rPr>
          <w:rFonts w:ascii="Quicksand" w:eastAsia="Times New Roman" w:hAnsi="Quicksand" w:cs="Arial"/>
          <w:color w:val="565656"/>
          <w:sz w:val="24"/>
          <w:szCs w:val="24"/>
          <w:lang w:eastAsia="fr-FR"/>
        </w:rPr>
        <w:t> sont aujourd’hui déployées prioritairement par l’Inra.</w:t>
      </w:r>
    </w:p>
    <w:p w:rsidR="009E2CDC" w:rsidRPr="009E2CDC" w:rsidRDefault="009E2CDC" w:rsidP="009E2CDC">
      <w:pPr>
        <w:spacing w:line="336" w:lineRule="atLeast"/>
        <w:textAlignment w:val="baseline"/>
        <w:rPr>
          <w:rFonts w:ascii="Quicksand" w:eastAsia="Times New Roman" w:hAnsi="Quicksand" w:cs="Arial"/>
          <w:color w:val="565656"/>
          <w:sz w:val="24"/>
          <w:szCs w:val="24"/>
          <w:lang w:eastAsia="fr-FR"/>
        </w:rPr>
      </w:pPr>
    </w:p>
    <w:p w:rsidR="009E2CDC" w:rsidRPr="009E2CDC" w:rsidRDefault="009E2CDC" w:rsidP="009E2CDC">
      <w:pPr>
        <w:spacing w:line="336" w:lineRule="atLeast"/>
        <w:ind w:left="96" w:right="96"/>
        <w:jc w:val="center"/>
        <w:textAlignment w:val="baseline"/>
        <w:outlineLvl w:val="1"/>
        <w:rPr>
          <w:rFonts w:ascii="Quicksand" w:eastAsia="Times New Roman" w:hAnsi="Quicksand" w:cs="Open Sans"/>
          <w:b/>
          <w:bCs/>
          <w:sz w:val="24"/>
          <w:szCs w:val="24"/>
          <w:lang w:eastAsia="fr-FR"/>
        </w:rPr>
      </w:pPr>
      <w:bookmarkStart w:id="2" w:name="eztoc4670611_2"/>
      <w:bookmarkEnd w:id="2"/>
      <w:r w:rsidRPr="009E2CDC">
        <w:rPr>
          <w:rFonts w:ascii="Quicksand" w:eastAsia="Times New Roman" w:hAnsi="Quicksand" w:cs="Open Sans"/>
          <w:b/>
          <w:bCs/>
          <w:sz w:val="24"/>
          <w:szCs w:val="24"/>
          <w:lang w:eastAsia="fr-FR"/>
        </w:rPr>
        <w:t>Des programmes d’hybridation spécifiques aux typicités régionales</w:t>
      </w:r>
    </w:p>
    <w:p w:rsidR="009E2CDC" w:rsidRDefault="009E2CDC" w:rsidP="009E2CDC">
      <w:pPr>
        <w:spacing w:line="336" w:lineRule="atLeast"/>
        <w:textAlignment w:val="baseline"/>
        <w:rPr>
          <w:rFonts w:ascii="Quicksand" w:eastAsia="Times New Roman" w:hAnsi="Quicksand" w:cs="Arial"/>
          <w:color w:val="565656"/>
          <w:sz w:val="24"/>
          <w:szCs w:val="24"/>
          <w:lang w:eastAsia="fr-FR"/>
        </w:rPr>
      </w:pPr>
      <w:r w:rsidRPr="009E2CDC">
        <w:rPr>
          <w:rFonts w:ascii="Quicksand" w:eastAsia="Times New Roman" w:hAnsi="Quicksand" w:cs="Arial"/>
          <w:color w:val="565656"/>
          <w:sz w:val="24"/>
          <w:szCs w:val="24"/>
          <w:lang w:eastAsia="fr-FR"/>
        </w:rPr>
        <w:t>L’Inra recherche en continu de nouvelles résistances dans les vignes sauvages pour les introduire dans les cépages cultivés par Sélection Assistée par Marqueurs (</w:t>
      </w:r>
      <w:r w:rsidRPr="009E2CDC">
        <w:rPr>
          <w:rFonts w:ascii="Quicksand" w:eastAsia="Times New Roman" w:hAnsi="Quicksand" w:cs="Arial"/>
          <w:i/>
          <w:iCs/>
          <w:color w:val="565656"/>
          <w:sz w:val="24"/>
          <w:szCs w:val="24"/>
          <w:lang w:eastAsia="fr-FR"/>
        </w:rPr>
        <w:t>SAM</w:t>
      </w:r>
      <w:r w:rsidRPr="009E2CDC">
        <w:rPr>
          <w:rFonts w:ascii="Quicksand" w:eastAsia="Times New Roman" w:hAnsi="Quicksand" w:cs="Arial"/>
          <w:color w:val="565656"/>
          <w:sz w:val="24"/>
          <w:szCs w:val="24"/>
          <w:lang w:eastAsia="fr-FR"/>
        </w:rPr>
        <w:t>) : l’acquisition de nouvelles connaissances sur les gènes de résistance permet ainsi de créer de nouveaux génotypes résistants à incorporer dans les cépages viticoles emblématiques. Actuellement, six programmes de sélection sont portés par l’Inra et l’IFV, en associant dans une recherche participative, les viticulteurs. Ces programmes correspondent aux caractéristiques des terroirs français (Alsace, Bordelais, Champagne, Cognac, Provence et Rhône). Ils expérimentent en grandeur réelle, durabilité et adaptation des variétés aux climats et terroirs viticoles ainsi qu’aux conditions de production viti-vinicoles et aux pratiques œnologiques.</w:t>
      </w:r>
    </w:p>
    <w:p w:rsidR="009E2CDC" w:rsidRPr="009E2CDC" w:rsidRDefault="009E2CDC" w:rsidP="009E2CDC">
      <w:pPr>
        <w:spacing w:line="336" w:lineRule="atLeast"/>
        <w:textAlignment w:val="baseline"/>
        <w:rPr>
          <w:rFonts w:ascii="Quicksand" w:eastAsia="Times New Roman" w:hAnsi="Quicksand" w:cs="Arial"/>
          <w:color w:val="565656"/>
          <w:sz w:val="24"/>
          <w:szCs w:val="24"/>
          <w:lang w:eastAsia="fr-FR"/>
        </w:rPr>
      </w:pPr>
    </w:p>
    <w:p w:rsidR="009E2CDC" w:rsidRPr="009E2CDC" w:rsidRDefault="009E2CDC" w:rsidP="009E2CDC">
      <w:pPr>
        <w:spacing w:line="336" w:lineRule="atLeast"/>
        <w:ind w:left="96" w:right="96"/>
        <w:jc w:val="center"/>
        <w:textAlignment w:val="baseline"/>
        <w:outlineLvl w:val="1"/>
        <w:rPr>
          <w:rFonts w:ascii="Quicksand" w:eastAsia="Times New Roman" w:hAnsi="Quicksand" w:cs="Open Sans"/>
          <w:b/>
          <w:bCs/>
          <w:sz w:val="24"/>
          <w:szCs w:val="24"/>
          <w:lang w:eastAsia="fr-FR"/>
        </w:rPr>
      </w:pPr>
      <w:bookmarkStart w:id="3" w:name="eztoc4670611_3"/>
      <w:bookmarkEnd w:id="3"/>
      <w:r w:rsidRPr="009E2CDC">
        <w:rPr>
          <w:rFonts w:ascii="Quicksand" w:eastAsia="Times New Roman" w:hAnsi="Quicksand" w:cs="Open Sans"/>
          <w:b/>
          <w:bCs/>
          <w:sz w:val="24"/>
          <w:szCs w:val="24"/>
          <w:lang w:eastAsia="fr-FR"/>
        </w:rPr>
        <w:t>RESDUR : les nouveaux cépages de demain</w:t>
      </w:r>
    </w:p>
    <w:p w:rsidR="009E2CDC" w:rsidRPr="009E2CDC" w:rsidRDefault="009E2CDC" w:rsidP="009E2CDC">
      <w:pPr>
        <w:spacing w:line="336" w:lineRule="atLeast"/>
        <w:textAlignment w:val="baseline"/>
        <w:rPr>
          <w:rFonts w:ascii="Quicksand" w:eastAsia="Times New Roman" w:hAnsi="Quicksand" w:cs="Arial"/>
          <w:color w:val="565656"/>
          <w:sz w:val="24"/>
          <w:szCs w:val="24"/>
          <w:lang w:eastAsia="fr-FR"/>
        </w:rPr>
      </w:pPr>
      <w:r w:rsidRPr="009E2CDC">
        <w:rPr>
          <w:rFonts w:ascii="Quicksand" w:eastAsia="Times New Roman" w:hAnsi="Quicksand" w:cs="Arial"/>
          <w:color w:val="565656"/>
          <w:sz w:val="24"/>
          <w:szCs w:val="24"/>
          <w:lang w:eastAsia="fr-FR"/>
        </w:rPr>
        <w:t xml:space="preserve">Les cépages résistants mis au point par l’Inra avec l’appui de ses partenaires ont vocation à être commercialisés et ainsi déployés sur l’ensemble du vignoble français à l’horizon 2030. Une trentaine de variétés « RESDUR » sont en étude pour une inscription au catalogue officiel en 2017, tandis que 7 variétés de raisin </w:t>
      </w:r>
      <w:r w:rsidRPr="009E2CDC">
        <w:rPr>
          <w:rFonts w:ascii="Quicksand" w:eastAsia="Times New Roman" w:hAnsi="Quicksand" w:cs="Arial"/>
          <w:color w:val="565656"/>
          <w:sz w:val="24"/>
          <w:szCs w:val="24"/>
          <w:lang w:eastAsia="fr-FR"/>
        </w:rPr>
        <w:lastRenderedPageBreak/>
        <w:t>de cuve du type « Bouquet » sont déposées pour inscription au catalogue officiel, les premières devraient intervenir fin 2017, et les premiers classements en 2018.</w:t>
      </w:r>
    </w:p>
    <w:p w:rsidR="009E2CDC" w:rsidRDefault="009E2CDC" w:rsidP="009E2CDC">
      <w:pPr>
        <w:spacing w:line="336" w:lineRule="atLeast"/>
        <w:ind w:left="96" w:right="96"/>
        <w:textAlignment w:val="baseline"/>
        <w:outlineLvl w:val="1"/>
        <w:rPr>
          <w:rFonts w:ascii="Quicksand" w:eastAsia="Times New Roman" w:hAnsi="Quicksand" w:cs="Open Sans"/>
          <w:b/>
          <w:bCs/>
          <w:sz w:val="24"/>
          <w:szCs w:val="24"/>
          <w:lang w:eastAsia="fr-FR"/>
        </w:rPr>
      </w:pPr>
      <w:bookmarkStart w:id="4" w:name="eztoc4670611_4"/>
      <w:bookmarkEnd w:id="4"/>
    </w:p>
    <w:p w:rsidR="009E2CDC" w:rsidRPr="009E2CDC" w:rsidRDefault="009E2CDC" w:rsidP="009E2CDC">
      <w:pPr>
        <w:spacing w:line="336" w:lineRule="atLeast"/>
        <w:ind w:left="96" w:right="96"/>
        <w:jc w:val="center"/>
        <w:textAlignment w:val="baseline"/>
        <w:outlineLvl w:val="1"/>
        <w:rPr>
          <w:rFonts w:ascii="Quicksand" w:eastAsia="Times New Roman" w:hAnsi="Quicksand" w:cs="Open Sans"/>
          <w:b/>
          <w:bCs/>
          <w:sz w:val="24"/>
          <w:szCs w:val="24"/>
          <w:lang w:eastAsia="fr-FR"/>
        </w:rPr>
      </w:pPr>
      <w:r w:rsidRPr="009E2CDC">
        <w:rPr>
          <w:rFonts w:ascii="Quicksand" w:eastAsia="Times New Roman" w:hAnsi="Quicksand" w:cs="Open Sans"/>
          <w:b/>
          <w:bCs/>
          <w:sz w:val="24"/>
          <w:szCs w:val="24"/>
          <w:lang w:eastAsia="fr-FR"/>
        </w:rPr>
        <w:t>Valeurs ajoutées économique et environnementale des nouvelles variétés Resdur</w:t>
      </w:r>
    </w:p>
    <w:p w:rsidR="009E2CDC" w:rsidRPr="009E2CDC" w:rsidRDefault="009E2CDC" w:rsidP="009E2CDC">
      <w:pPr>
        <w:spacing w:line="336" w:lineRule="atLeast"/>
        <w:textAlignment w:val="baseline"/>
        <w:rPr>
          <w:rFonts w:ascii="Quicksand" w:eastAsia="Times New Roman" w:hAnsi="Quicksand" w:cs="Arial"/>
          <w:color w:val="565656"/>
          <w:sz w:val="24"/>
          <w:szCs w:val="24"/>
          <w:lang w:eastAsia="fr-FR"/>
        </w:rPr>
      </w:pPr>
      <w:r w:rsidRPr="009E2CDC">
        <w:rPr>
          <w:rFonts w:ascii="Quicksand" w:eastAsia="Times New Roman" w:hAnsi="Quicksand" w:cs="Arial"/>
          <w:color w:val="565656"/>
          <w:sz w:val="24"/>
          <w:szCs w:val="24"/>
          <w:lang w:eastAsia="fr-FR"/>
        </w:rPr>
        <w:t>La résistance polygénique des variétés représente un levier efficace de baisse des charges d’exploitation en utilisation de produits phytosanitaires (diminution de 96 % de la fréquence des traitements en fongicides, herbicides et insecticides). Par ailleurs, grâce à ces variétés, la filière viti-vinicole se donne la capacité de maintenir dans le temps son image de qualité et d’excellence dans un contexte de sensibilité accrue du consommateur vis-à-vis des questions environnementales liées à l’usage des nombreux traitements. Ces travaux sont potentiellement très intéressants pour l’ensemble des producteurs et viticulteurs en France et potentiellement dans les autres régions viti-vinicoles à travers le monde.</w:t>
      </w:r>
    </w:p>
    <w:p w:rsidR="008F371C" w:rsidRDefault="008F371C">
      <w:pPr>
        <w:rPr>
          <w:sz w:val="24"/>
          <w:szCs w:val="24"/>
        </w:rPr>
      </w:pPr>
    </w:p>
    <w:p w:rsidR="009E2CDC" w:rsidRPr="009E2CDC" w:rsidRDefault="009E2CDC">
      <w:pPr>
        <w:rPr>
          <w:sz w:val="24"/>
          <w:szCs w:val="24"/>
        </w:rPr>
      </w:pPr>
    </w:p>
    <w:sectPr w:rsidR="009E2CDC" w:rsidRPr="009E2CDC" w:rsidSect="009E2CDC">
      <w:pgSz w:w="11906" w:h="16838" w:code="9"/>
      <w:pgMar w:top="1418" w:right="1191" w:bottom="1418"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icksand">
    <w:panose1 w:val="02070303000000060000"/>
    <w:charset w:val="00"/>
    <w:family w:val="roman"/>
    <w:notTrueType/>
    <w:pitch w:val="variable"/>
    <w:sig w:usb0="A00000AF" w:usb1="00000008" w:usb2="00000000" w:usb3="00000000" w:csb0="0000011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CDC"/>
    <w:rsid w:val="000A05EC"/>
    <w:rsid w:val="008F371C"/>
    <w:rsid w:val="00917637"/>
    <w:rsid w:val="009E2CDC"/>
    <w:rsid w:val="00AA30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DE45"/>
  <w15:chartTrackingRefBased/>
  <w15:docId w15:val="{74A8FE34-566E-4103-AF15-DE3E6A3DB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lang w:val="fr-F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9E2CDC"/>
    <w:pPr>
      <w:spacing w:before="100" w:beforeAutospacing="1" w:after="100" w:afterAutospacing="1"/>
      <w:jc w:val="left"/>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9E2CDC"/>
    <w:pPr>
      <w:spacing w:before="100" w:beforeAutospacing="1" w:after="100" w:afterAutospacing="1"/>
      <w:jc w:val="left"/>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E2CDC"/>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9E2CDC"/>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9E2CDC"/>
    <w:pPr>
      <w:spacing w:before="100" w:beforeAutospacing="1" w:after="100" w:afterAutospacing="1"/>
      <w:jc w:val="left"/>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9E2C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629085">
      <w:bodyDiv w:val="1"/>
      <w:marLeft w:val="0"/>
      <w:marRight w:val="0"/>
      <w:marTop w:val="0"/>
      <w:marBottom w:val="0"/>
      <w:divBdr>
        <w:top w:val="none" w:sz="0" w:space="0" w:color="auto"/>
        <w:left w:val="none" w:sz="0" w:space="0" w:color="auto"/>
        <w:bottom w:val="none" w:sz="0" w:space="0" w:color="auto"/>
        <w:right w:val="none" w:sz="0" w:space="0" w:color="auto"/>
      </w:divBdr>
      <w:divsChild>
        <w:div w:id="2002349998">
          <w:marLeft w:val="0"/>
          <w:marRight w:val="0"/>
          <w:marTop w:val="0"/>
          <w:marBottom w:val="0"/>
          <w:divBdr>
            <w:top w:val="none" w:sz="0" w:space="0" w:color="auto"/>
            <w:left w:val="none" w:sz="0" w:space="0" w:color="auto"/>
            <w:bottom w:val="none" w:sz="0" w:space="0" w:color="auto"/>
            <w:right w:val="none" w:sz="0" w:space="0" w:color="auto"/>
          </w:divBdr>
        </w:div>
        <w:div w:id="1218052916">
          <w:marLeft w:val="0"/>
          <w:marRight w:val="0"/>
          <w:marTop w:val="276"/>
          <w:marBottom w:val="276"/>
          <w:divBdr>
            <w:top w:val="none" w:sz="0" w:space="0" w:color="auto"/>
            <w:left w:val="none" w:sz="0" w:space="0" w:color="auto"/>
            <w:bottom w:val="none" w:sz="0" w:space="0" w:color="auto"/>
            <w:right w:val="none" w:sz="0" w:space="0" w:color="auto"/>
          </w:divBdr>
          <w:divsChild>
            <w:div w:id="438793563">
              <w:marLeft w:val="0"/>
              <w:marRight w:val="0"/>
              <w:marTop w:val="0"/>
              <w:marBottom w:val="0"/>
              <w:divBdr>
                <w:top w:val="none" w:sz="0" w:space="0" w:color="auto"/>
                <w:left w:val="none" w:sz="0" w:space="0" w:color="auto"/>
                <w:bottom w:val="none" w:sz="0" w:space="0" w:color="auto"/>
                <w:right w:val="none" w:sz="0" w:space="0" w:color="auto"/>
              </w:divBdr>
            </w:div>
            <w:div w:id="2089647259">
              <w:marLeft w:val="0"/>
              <w:marRight w:val="0"/>
              <w:marTop w:val="0"/>
              <w:marBottom w:val="0"/>
              <w:divBdr>
                <w:top w:val="single" w:sz="6" w:space="0" w:color="E5E5E5"/>
                <w:left w:val="none" w:sz="0" w:space="0" w:color="auto"/>
                <w:bottom w:val="single" w:sz="6" w:space="0" w:color="E5E5E5"/>
                <w:right w:val="none" w:sz="0" w:space="0" w:color="auto"/>
              </w:divBdr>
              <w:divsChild>
                <w:div w:id="1280795741">
                  <w:marLeft w:val="0"/>
                  <w:marRight w:val="0"/>
                  <w:marTop w:val="48"/>
                  <w:marBottom w:val="48"/>
                  <w:divBdr>
                    <w:top w:val="none" w:sz="0" w:space="6" w:color="auto"/>
                    <w:left w:val="none" w:sz="0" w:space="8" w:color="auto"/>
                    <w:bottom w:val="none" w:sz="0" w:space="6" w:color="auto"/>
                    <w:right w:val="single" w:sz="6" w:space="8" w:color="E5E5E5"/>
                  </w:divBdr>
                </w:div>
                <w:div w:id="2032340066">
                  <w:marLeft w:val="0"/>
                  <w:marRight w:val="0"/>
                  <w:marTop w:val="48"/>
                  <w:marBottom w:val="48"/>
                  <w:divBdr>
                    <w:top w:val="none" w:sz="0" w:space="6" w:color="auto"/>
                    <w:left w:val="single" w:sz="6" w:space="8" w:color="E5E5E5"/>
                    <w:bottom w:val="none" w:sz="0" w:space="6" w:color="auto"/>
                    <w:right w:val="none" w:sz="0" w:space="8" w:color="auto"/>
                  </w:divBdr>
                </w:div>
                <w:div w:id="545020734">
                  <w:marLeft w:val="0"/>
                  <w:marRight w:val="0"/>
                  <w:marTop w:val="48"/>
                  <w:marBottom w:val="48"/>
                  <w:divBdr>
                    <w:top w:val="none" w:sz="0" w:space="6" w:color="auto"/>
                    <w:left w:val="single" w:sz="6" w:space="8" w:color="E5E5E5"/>
                    <w:bottom w:val="none" w:sz="0" w:space="6" w:color="auto"/>
                    <w:right w:val="none" w:sz="0" w:space="8" w:color="auto"/>
                  </w:divBdr>
                </w:div>
              </w:divsChild>
            </w:div>
            <w:div w:id="1810973162">
              <w:marLeft w:val="0"/>
              <w:marRight w:val="0"/>
              <w:marTop w:val="48"/>
              <w:marBottom w:val="48"/>
              <w:divBdr>
                <w:top w:val="none" w:sz="0" w:space="6" w:color="auto"/>
                <w:left w:val="none" w:sz="0" w:space="8" w:color="auto"/>
                <w:bottom w:val="single" w:sz="6" w:space="6" w:color="E5E5E5"/>
                <w:right w:val="none" w:sz="0" w:space="8" w:color="auto"/>
              </w:divBdr>
            </w:div>
          </w:divsChild>
        </w:div>
        <w:div w:id="181648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lmar.inra.fr/Toutes-les-actualites/Vignes-des-varietes-resistantes-au-mildiou-et-a-l-oidiu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572</Words>
  <Characters>3151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Joël Durier</dc:creator>
  <cp:keywords/>
  <dc:description/>
  <cp:lastModifiedBy>Joël Durier</cp:lastModifiedBy>
  <cp:revision>2</cp:revision>
  <dcterms:created xsi:type="dcterms:W3CDTF">2019-04-10T04:32:00Z</dcterms:created>
  <dcterms:modified xsi:type="dcterms:W3CDTF">2019-04-10T04:38:00Z</dcterms:modified>
</cp:coreProperties>
</file>