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sz w:val="72"/>
          <w:szCs w:val="72"/>
          <w:u w:val="single"/>
          <w:vertAlign w:val="baseline"/>
          <w:rtl w:val="1"/>
        </w:rPr>
        <w:t xml:space="preserve">المدرسة</w:t>
      </w:r>
      <w:r w:rsidDel="00000000" w:rsidR="00000000" w:rsidRPr="00000000">
        <w:rPr>
          <w:sz w:val="72"/>
          <w:szCs w:val="7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72"/>
          <w:szCs w:val="72"/>
          <w:u w:val="single"/>
          <w:vertAlign w:val="baseline"/>
          <w:rtl w:val="1"/>
        </w:rPr>
        <w:t xml:space="preserve">والسلوك</w:t>
      </w:r>
      <w:r w:rsidDel="00000000" w:rsidR="00000000" w:rsidRPr="00000000">
        <w:rPr>
          <w:sz w:val="72"/>
          <w:szCs w:val="7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sz w:val="72"/>
          <w:szCs w:val="72"/>
          <w:u w:val="single"/>
          <w:vertAlign w:val="baseline"/>
          <w:rtl w:val="1"/>
        </w:rPr>
        <w:t xml:space="preserve">المدني</w:t>
      </w:r>
      <w:r w:rsidDel="00000000" w:rsidR="00000000" w:rsidRPr="00000000">
        <w:rPr>
          <w:sz w:val="72"/>
          <w:szCs w:val="7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sz w:val="27"/>
          <w:szCs w:val="27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مقدمة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: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يكتسي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التفكير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موضوع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أهمية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كبرى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بالنظر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لعلاقته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العضوية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بمنظومات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القيم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جهة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وبتطور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المجتمعات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وبدرجات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بمكانة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الأفراد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وموقع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المؤسسات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داخلها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وبنوعية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العلاقات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تربط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فيما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بينهم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جهة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ثانية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 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كما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تعبر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تنمية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الحاجة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ترسيخ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علاقة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واضحة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وواعية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فيما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الأفراد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وبينهم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مؤسسات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المجتمع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ومؤسسات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الدولة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تنبني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احترام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الحقوق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والواجبات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الدينية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والقانونية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والأخلاقية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... 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ولا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شك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هذا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الموضوع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يستمد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وجاهته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بالنظر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عوامل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أساسية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:</w:t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عامل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كوني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يتجلى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تطور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المجتمعات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والحضارات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الإنسانية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والوعي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المتزايد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بأهمية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الإنسان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كقيمة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حد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ذاته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؛ </w:t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عامل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محلي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يظهر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التحول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الاجتماعي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الذي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أفرزه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التطور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التاريخي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للمجتمع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المغربي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؛ </w:t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عامل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تربوي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يتجلى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دور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وأهمية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مؤسسات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والتكوين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تنمية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كمؤشر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بالحقوق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والواجبات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وباعتبار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أهمية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وفعالية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القيم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التغيرات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والتحولات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تشهدها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المجتمعات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مسار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تاريخها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الاجتماعي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فإن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الاهتمام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بموضوع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يشكل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لحظة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تأمل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ضرورية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تستدعي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معرفة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ملامح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ومظاهر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التحول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الاجتماعي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الذي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يعيشه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المجتمع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المغربي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كما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تستحضر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نوعية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التغير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الذي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يطال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منظومة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القيم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وذلك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بالعلاقة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التحولات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الكاسحة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يعرفها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العالم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مستوى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القيم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والأنظمة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المرجعية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الثقافية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والاجتماعية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أفق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بناء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الإنسان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المواطن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الذي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عليه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تنمية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الوطن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وتحقيق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نهضته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 </w:t>
        <w:br w:type="textWrapping"/>
        <w:br w:type="textWrapping"/>
        <w:br w:type="textWrapping"/>
        <w:t xml:space="preserve">1.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دلالات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المفهوم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وتجلياته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:</w:t>
        <w:br w:type="textWrapping"/>
        <w:br w:type="textWrapping"/>
        <w:t xml:space="preserve">1.1.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التعدد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الدلالي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محاولة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التحديد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الإجرائي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يندرج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مفهوم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"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"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شبكة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مفاهيمية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واسعة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تتداخل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المعاني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وتتعدد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الدلالات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وإذا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هذا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المفهوم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بمكونيه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: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والمدنية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يحيلان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نفس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الوقت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الأخلاق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والإيتيقا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وإلى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التمدن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كحالة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مجتمعية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ترادف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التحضر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؛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فإنه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يستدعي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الآن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ذاته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مفاهيم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أخرى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محورية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مثل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: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الديموقراطية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والمواطنة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والوطنية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واحترام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حقوق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الإنسان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والمدنية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والحس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والتربية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أو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المواطنة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أو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حقوق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الإنسان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لذلك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تعكس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المصطلحات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المستعملة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مجاله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الواسع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والمرادفات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يحيل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عليها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أحيان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كثيرة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؛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تطورا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تاريخيا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وسياسيا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للمجتمع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وكذا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تحولا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القيم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الأخلاقية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والإنسانية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؛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فإذا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الحس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مثلا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يعبر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الفضائل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الضرورية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الفردي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والجماعي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فإن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المواطنة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تهدف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تحديد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وفهم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العلاقات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القانونية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تضبطها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قوانين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وتشريعات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الدولة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بينما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تسعى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حقوق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الإنسان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التعلق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بالقيم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الكونية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للإنسانية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جمعاء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وهكذا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فإن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مصطلح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المصطلحات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المذكورة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معناه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وهدفه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الخاص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وسياقه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التاريخي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هناك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إذن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معنيان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يعكسان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تطور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المفهوم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: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معنى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يشمل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واجبات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المواطن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(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)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ومسؤولياته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علاقته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بالدولة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جهة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وبالمواطنين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جهة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ثانية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ومعنى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خاص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يحدد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الفضائل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الضرورية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الواجبة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تنشئة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المواطن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(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)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الصالح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المتمتع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بالحس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والانضباط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والإخلاص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للمجموعة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الوطنية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هذه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المعاني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ارتبطت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بتطور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المفهوم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الثقافات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الغربية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اليونانية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واللاتينية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والمعاصرة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تظهر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بوضوح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مفهوم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الثقافة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التراث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الإسلامي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الديني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والفكري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فهي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تعني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التأديب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جهة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والتهذيب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جهة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ثانية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فالتأديب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هو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توجيه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الطفل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(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)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نحو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الانضباط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والانتظام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تلقينه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قواعد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الضبط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الأخلاقي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الاجتماعي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أما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التهذيب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فغايته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طبع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النفس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البشرية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بالفضائل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الدينية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والأخلاقية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وهي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فضائل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أخلاقية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وعقلية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نفس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الوقت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فغاية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الإسلامية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هي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توجيه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الفردي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جهة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وتنظيم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الحياة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الاجتماعية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جهة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ثانية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هذا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التعدد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الدلالي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الذي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يرتبط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بمفهوم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تنمية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والذي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يحيل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حقول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واسعة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مثل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القانون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والأخلاق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وقواعد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وأنماط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بقدر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يغنى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تحديد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المفهوم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نظريا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بقدر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يجعل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تحديده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صعيد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الممارسة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صعبا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وغير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يسير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هناك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مجموعة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التحديدات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الأولية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تمكن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تشخيص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هذا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المفهوم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عمليات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أساسية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بعدها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التربوي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مثل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:</w:t>
        <w:br w:type="textWrapping"/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ترسيخ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مبادئ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وقيم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المجتمع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انفتاحها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القيم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الكونية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معرفة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المؤسسات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والقوانين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والمعايير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الوطنية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والالتزام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بقواعدها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فهم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قواعد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الحياة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المجتمعية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بمعناها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الواسع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واكتساب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حس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المسؤولية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الفردية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والجماعية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بالحرية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التفكير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والتعبير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ممارسة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الحياة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العامة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والخاصة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احترام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حرية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الآخرين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إعمال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الفكر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النقدي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والدفاع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الرأي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 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وذلك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اعتبار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تأسيسها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قاعدة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قبول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الآخر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والحق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الاختلاف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عنه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وانطلاقها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المبادئ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العامة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لانتظام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الحياة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المشتركة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الأفراد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</w:t>
        <w:br w:type="textWrapping"/>
        <w:br w:type="textWrapping"/>
        <w:br w:type="textWrapping"/>
        <w:t xml:space="preserve">1.2.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التجليات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الأساسية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للمفهوم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يتجلى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مفهوم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أساسا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:</w:t>
        <w:br w:type="textWrapping"/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احترام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الفرد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لمبادئ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ومقومات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وثوابت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مجتمعه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ووطنه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وهويته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وأرضه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وبيئته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إدراك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الفرد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لوجوده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كعضو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داخل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جماعة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(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الجماعة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بمفهومها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الواسع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الحديث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تبدأ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بالأسرة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وتنتهي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بالمجتمع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الإنساني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) 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استحضار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الوازع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الأخلاقي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الالتزام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بالواجبات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واحترام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الحقوق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اعتماد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مبادئ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العدالة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والديموقراطية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والإنتاجية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والتضامن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اجتماعيا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وسياسيا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وتربويا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ممارسة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الحرية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إطار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المسؤولية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احترام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الأفراد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والجماعة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لمبادئ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وقيم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حقوق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الإنسان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المشاركة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الحياة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العامة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والاهتمام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بالشأن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وبشكل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تتجلى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تنمية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"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إكساب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أفراد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المجتمع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بطريقة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عملية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وفعالة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مبادئ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الاجتماعي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البيت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والمدرسة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والشارع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والأماكن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العامة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وعند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ممارسة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المهنة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وكذلك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مبادئ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احترام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الغير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وتقبل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رأيه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ومساعدته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والتضامن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معه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وتجنب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إلحاق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الضرر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وذلك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بخلق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ضمير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اجتماعي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لدى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مواطن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(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)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يستند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قيم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التعاون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والعدالة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والديموقراطية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وحب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الوطن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والغيرة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عليه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وتوظيف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الطاقات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لبنائه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ورفعته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لأداء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رسالته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الحضارية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كجزء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الحضارة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الإنسانية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".</w:t>
        <w:br w:type="textWrapping"/>
        <w:br w:type="textWrapping"/>
        <w:br w:type="textWrapping"/>
        <w:t xml:space="preserve">1.3.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المقصود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بتنمية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؟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حين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يتعلق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الأمر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بتنمية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ٍ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فإن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ذلك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يحيل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مباشرة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مسألتين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أساسيتين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:</w:t>
        <w:br w:type="textWrapping"/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كون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هذا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مكتسب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عن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طريق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التنشئة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المجتمعية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وكونه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حاضر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بتجلياته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ومظاهره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العلاقات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الأفراد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وبينهم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المؤسسات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: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مؤسسات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الدولة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ومؤسسات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المجتمع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؛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كونه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كسلوك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فردي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واجتماعي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غير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مطلق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وغير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ثابت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هو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قابل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للتطور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ثم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تنميته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وفتح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آفاق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استثماره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لترسيخ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التمدن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وقواعد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المدنية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داخل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المجتمع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وإن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الحركية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المكتسب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وبين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تنميته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وترسيخه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تندرج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مباشرة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مجال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باعتبارها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تنشئة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اجتماعية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وتحيل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إلى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مؤسسات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التربية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وأدوارها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الأساسية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والمركزية</w:t>
      </w:r>
      <w:r w:rsidDel="00000000" w:rsidR="00000000" w:rsidRPr="00000000">
        <w:rPr>
          <w:color w:val="000000"/>
          <w:sz w:val="27"/>
          <w:szCs w:val="27"/>
          <w:vertAlign w:val="baseline"/>
          <w:rtl w:val="1"/>
        </w:rPr>
        <w:t xml:space="preserve">.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33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