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" w:type="dxa"/>
        <w:jc w:val="center"/>
        <w:tblLayout w:type="fixed"/>
        <w:tblLook w:val="0400"/>
      </w:tblPr>
      <w:tblGrid>
        <w:gridCol w:w="8130"/>
        <w:gridCol w:w="180"/>
        <w:tblGridChange w:id="0">
          <w:tblGrid>
            <w:gridCol w:w="8130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البيداغوجيات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الحديثة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5250" cy="285750"/>
                  <wp:effectExtent b="0" l="0" r="0" t="0"/>
                  <wp:docPr descr="http://www.khayma.com/machreq/images/machreq-14.jpg" id="1" name="image1.jpg"/>
                  <a:graphic>
                    <a:graphicData uri="http://schemas.openxmlformats.org/drawingml/2006/picture">
                      <pic:pic>
                        <pic:nvPicPr>
                          <pic:cNvPr descr="http://www.khayma.com/machreq/images/machreq-14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30.0" w:type="dxa"/>
        <w:jc w:val="center"/>
        <w:tblLayout w:type="fixed"/>
        <w:tblLook w:val="0400"/>
      </w:tblPr>
      <w:tblGrid>
        <w:gridCol w:w="150"/>
        <w:gridCol w:w="7980"/>
        <w:tblGridChange w:id="0">
          <w:tblGrid>
            <w:gridCol w:w="150"/>
            <w:gridCol w:w="79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تقريب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حكاية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مسافرا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لزيارة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أقاربه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يكتشف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عطبا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سيارته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اضطر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بإحدى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تفكير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طويل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خريطة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استخدمها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ميكانيكي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لإصلاح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أخبره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الإصلاح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ستستغرق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الخريطة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ليخبر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أقاربه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بتأخره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الأبناك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لسحب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النقود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لإصلاح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السيارة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وعندما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والجوع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دخول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مطعم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واحتسى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فنجانا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القهوة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ليدفع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الميكانيكي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سفره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."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الحكاية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الحكاية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وأبعادا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تدبير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وسبل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مجابهة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حكاية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نسج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الخيال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بالرغم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لمصادفة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مشاكل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عرفها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فقط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يبقى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المطروح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قادرون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مشاكل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اليومية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بنجاح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وبمعنى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يملكون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؟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لنترك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الجواب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ولنعد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حكاية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صاحبنا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بنجاح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السيارة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تحكمه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صاحبنا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تعبئة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إدماج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خريطة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إرشادات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التصاميم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والخرائط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الطبوغرافيا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  <w:br w:type="textWrapping"/>
              <w:t xml:space="preserve">   </w:t>
              <w:br w:type="textWrapping"/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المنطلق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تعيين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وظفها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بحثه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لمشكلته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كالتالي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التعبئة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Mobilisation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بسيرورة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تمارس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كالانتقاء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والفرز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والتصنيف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أهبة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لإيجاد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الإدماج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Integration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متفرقة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إكسابها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وظيفية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تستخدم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ضمنية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قابلة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Adaptation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النتيجة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للعمليتين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السالفتين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وعودة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لاستقرارها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والمعرفي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أضف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المشابهة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قابلها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سفره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الموظفة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قابلة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تنسحب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عريضة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المتشابهة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    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سيسعفنا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كثيرا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الخروج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ملائم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ننطلق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المرجعي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وكذا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مسوغات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تبنيه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الخصوص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وهكذا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مواجهة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محددة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تعبئة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وإدماج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والتصرفات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إنجاز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فيندرج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منظور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بوصفه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نموذجا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نماذجه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تعديله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وتحيينه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للانتقادات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بسبب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أصاب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انغلاق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نزعة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إجرائية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سلوكية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حولت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البيداغوجي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تعودي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إشراطي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التكرار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والمعاودة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ويلغي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الابتكار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والإبداع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برزت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شمولية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سوسيوبنائي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يروم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سلبيات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الإجرائية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وطبيعتها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التفتيتية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ويصبو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الوقت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تمكين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الاندماج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تصادفه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إشكالية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إشكالية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"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"،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تخدم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المكتسبة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أغراضا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مدرسية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نقط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النجاح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الامتحانات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يعجز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مكتسباتهم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حقيقية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وواقعية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تكتسب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تمكين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ليست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بالضرورة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طبيعة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مدرسية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تنتمي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ميادين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تعقيداتها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والحقيقة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جاءت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وتأهيل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للانخراط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مشاكله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التنموية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بوصفها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والتكوين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النظر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ممارساتها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وتجدد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مقارباتها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ظل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الدعوة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تجاوز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الإجرائية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اعتبار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فالكل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نسقا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أجزائه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بديلا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ناجعا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يتوخى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المردودية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ويتطلع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ربطا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ووظيفيا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  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ونظرا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تكتسيها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الباحثون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محاولات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طالت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الخصوص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أوردناه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أعلاه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بأنها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تعبئة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لمواجهة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Philippe Perrenoud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بيرنو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فصيلة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مطابق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غزلان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توزان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Tousain Ghislain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حصيلة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ومهارات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إنجازات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  <w:br w:type="textWrapping"/>
              <w:t xml:space="preserve">    </w:t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لوبوتيرف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 Boterf .Guy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فيعتبر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التحويل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الاقتصار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إنجاز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وحيدة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تتكرر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اعتيادي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تكييف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ومجابهة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وتختلط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أحيانا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تمييزها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وتوضيح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الأكثر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التباسا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يغدو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والكفاية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المفهومين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بكونها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نشاطا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فكريا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ثابتا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قابلا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حقول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تظهر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تطبيقها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محتويات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متعددة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فمثلا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تبرز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تطبيقها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أدبي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 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مكتسبة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بتناسق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وإتقان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وذكاء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وسهولة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مثلا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يدوية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رياضية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تحقيقه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آنيا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يستطيع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الملاحظ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الخارجي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يسجله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بأكبر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الوضوح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كثيرا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إمكانات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بالقوة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متعددة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ظروف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صنفين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أساسيين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دراسية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أمثلتها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مقارنة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طبيعية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وترتيبها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تصاعديا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وتنازليا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هندسية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                 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بواسطة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الممتدة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مرتبطة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بعينه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تمتد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لتشمل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مثلا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امتلاك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آليات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والتركيب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وتتخذ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المنهاج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طابعا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استراتيجيا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تواصليا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ثقافيا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تكنولوجيا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تستوجب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وتطويرها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وبالنسبة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للمؤسسات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المجتمعية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المؤسسة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المنتظرات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والاتجاهات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والسلوكات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يفرضه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تطور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والعقليات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التواصلية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معالجتها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شمولي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تؤدي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إتقان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وتخصيص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الأمازيغية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الأجنبية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المؤسسة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وخارجها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تستهدف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إكساب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للتفكيروتطوير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مدارجه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وخارجه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وشؤونه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ووقته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وتدبير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تكوينه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ومشاريعه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الشخصية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تشمل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رمزيا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مرتبطا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الرصيد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الثقافي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وتوسيع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دائرة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أحاسيسه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وتصوراته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ورؤيته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للعالم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وللحضارة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بتناغم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تفتح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شخصيته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مكوناتها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وبترسيخ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هويته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كمواطن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مغربي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وكإنسان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منسجم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بيئته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موسوعيا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متصلا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التكنولوجية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واعتبارا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أصبحت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ملتقى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التخصصات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ونظرا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كونها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حقلا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خصبا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بفضل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والتطبيقات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المستديمة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التكنولوجية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تعتمد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وإبداع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التقنية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والمعايرة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مراقبة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بالتوقعات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والاستشراف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وتكييفها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الحاجيات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والمتطلبات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المتجددة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 </w:t>
              <w:br w:type="textWrapping"/>
              <w:t xml:space="preserve">   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المهن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والحرف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والأخلاقيات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بالتطور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والتكنولوجي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بارتباط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منظومة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الدينية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والحضارية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المواطنة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حقوق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الإنسان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ومبادئها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الكونية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2-2-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وخاصة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لممارسة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أطراف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ثلاثة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بروسو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Brousseau.G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مشروعا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اجتماعيا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يروم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إكساب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  <w:br w:type="textWrapping"/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وانسجاما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عنصرا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السادسة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لارتكازها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المنحى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البنائي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والاستكشافي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ومساهمتها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تنشيط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ميكانيزمات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واستثارة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الحوافز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للطفل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لغوي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تمثيلي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تجسدها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العناصرأو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فقط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  <w:br w:type="textWrapping"/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أهدافها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المنشودة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بمعيش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الطفل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محتواها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جزءا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واقعه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تكتسب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الدلالة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لتشويق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وجلبهم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للانخراط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والاكتساب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والتجاوب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ثوابته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ومتغيراته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تخلو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التعقيد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والتشويش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بكاملها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الإدراكي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يساعدهم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إدراك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ودمج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ومثيرات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تسعفهم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فضول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وتخلق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لديهم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تساؤلات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 </w:t>
              <w:br w:type="textWrapping"/>
              <w:t xml:space="preserve">  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بعائق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للتخطي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فيكوتسكي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Vygotsky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بجعله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يجابه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نموه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العقلي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معقول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يؤكد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يتوفر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الصعوبة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تتجاوز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بنيتها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العقلية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قطيعة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قطائع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تفكيك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نماذجهم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التفسيرية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وتدفعهم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بنائها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المقبولة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وتوسل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الممكنة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 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تؤول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إكساب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صبغة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شمولية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قوانين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...).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التخطيط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مطمح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كامنا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واكتساب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يظل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رهينا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بجودة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التخطيط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الهيكلي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مضمون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مراحل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التخطيط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نوجزها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يأتي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   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اكتسابها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تترجم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سيتعلمه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هؤلاء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 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  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بعدما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ينتقل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بتحفيز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فضول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إلباس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لبوسا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ملائما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ودلالة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يغدو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مطالبا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بالاستناد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ثلاثة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   </w:t>
              <w:br w:type="textWrapping"/>
              <w:t xml:space="preserve"> 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Acceptation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مشكلا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بدافع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 </w:t>
              <w:br w:type="textWrapping"/>
              <w:t xml:space="preserve"> 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Blocage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يستطيع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نماذجه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المألوفة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يتوفر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جاهزة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   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الاستقصاء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noExplorati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الدافع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يحفز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يجعله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لمعالجة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  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اتباع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         </w:t>
              <w:br w:type="textWrapping"/>
              <w:t xml:space="preserve">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ويقصد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المتغيرات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المتحكمة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إبعاد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التشويش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التفاعلات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المكونة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     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الأدوار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والمهام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تشترط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فاعلين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سيضطلع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للتأثير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والتأثر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      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حدوث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معطيات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منتظمة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غالبا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تعترضه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طوارئ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منتظرة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مخطط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سواء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احتمال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بروز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الممكنة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والتفكير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كيفيات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التخفيف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تأثيراتها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3-2-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غالبا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أكثر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بوصفه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بديلا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مألوف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سائر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النماذج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المتمركزة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ينطلق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تنظر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المجهود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لجماعة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تؤسس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ممارستها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ترتكز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مطروحة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".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وتتدرج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المشكلة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يواجه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تدفعهم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الشعور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 </w:t>
              <w:br w:type="textWrapping"/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الفرضيات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يقترح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مؤقتة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ونماذج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تفسيرية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بمثابة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للمشكلة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تمحيص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الفرضيات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الأجوبة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المؤقتة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قيام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بمناولات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تجارب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استطلاعات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 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الإعلان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أبحاثهم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بالتوصل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والنتائج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المرجوة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معالجة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خصوصا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مدعو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استلهام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واستثمارها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اقتضت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طبيعة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4-2-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لطالما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اعتبر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ذنبا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يغتفر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ومؤشرا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الفشل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والإخفاق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علاوة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الكلاسيكية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كانت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أخطائهم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وتفسرها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بغياب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الحوافز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النقص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انعكاس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الأطفال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لديهم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الشعور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بالإحباط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والإقصاء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والدونية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وكرس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نفوسهم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الرغبة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العزوف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سرعان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عرفت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نوعيا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أضحت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تعبيرا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مكتملة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طبيعية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مراحل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واستراتيجية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للتحصيل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وتنظم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يقطعه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لاكتساب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والسلوكات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يتخلل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وتعتمد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مبادئ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 </w:t>
              <w:br w:type="textWrapping"/>
              <w:t xml:space="preserve">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موضعة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 </w:t>
              <w:br w:type="textWrapping"/>
              <w:t xml:space="preserve">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تمثلاته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 </w:t>
              <w:br w:type="textWrapping"/>
              <w:t xml:space="preserve">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أخطائه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تكفل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أربعة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رئيسية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نلخصها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الآتي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tbl>
            <w:tblPr>
              <w:tblStyle w:val="Table3"/>
              <w:bidiVisual w:val="1"/>
              <w:tblW w:w="7964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325"/>
              <w:gridCol w:w="4003"/>
              <w:gridCol w:w="1636"/>
              <w:tblGridChange w:id="0">
                <w:tblGrid>
                  <w:gridCol w:w="2325"/>
                  <w:gridCol w:w="4003"/>
                  <w:gridCol w:w="1636"/>
                </w:tblGrid>
              </w:tblGridChange>
            </w:tblGrid>
            <w:t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سبل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استثماره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تجليــاتــــه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مجال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الخطأ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2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تغيير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أشكال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تقديم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التمارين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استبدال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وسائل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ديداكتيكية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 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بأخرى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التفكير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وضعيات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قريبة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معيش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التلاميذ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تنويع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طرائق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التعليم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وأساليب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التقويم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مساعدة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التلاميذ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تنويع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أساليبهم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المعرفية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بتمكينهم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الوسائل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تحقق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2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8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 </w:t>
                  </w:r>
                </w:p>
                <w:p w:rsidR="00000000" w:rsidDel="00000000" w:rsidP="00000000" w:rsidRDefault="00000000" w:rsidRPr="00000000" w14:paraId="0000002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جديدة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بالنسبة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للتلميذ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طريقة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تقديم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التمرين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مختلفة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وسائل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جديدة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السياق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الثقافي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مألوف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لغة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معتادة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تحول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دون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إنجاز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العمل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المطلوب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مألوفة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لدى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التلميذ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ولكنها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تتطلب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نوعا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خاصا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التفكير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استدلالا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متحكم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تمثل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خاطئ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للعمل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المراد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إنجازه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 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مألوفة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أنها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تفرض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إكراهات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هامة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كإنجاز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العمل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زمنية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محددة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تمارين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عديدة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مستوى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الصعوبة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تمارين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تحيل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تعلمات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مجالات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مختلفة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الوضعية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المعطاة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2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اعتبار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قراءة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التوجيهات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المرتبطة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بالتمارين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مرحلة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زمنية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 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أساسية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وضرورية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مساعدة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التلاميذ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التساؤل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معنى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الأسئلة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المطروحة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تعرف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الكلمات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المفاتيح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السؤال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الأسئلة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التمثل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الذهني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للعمل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المراد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إنجازه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2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8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صياغة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الأسئلة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أسئلة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قابلة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للتأويل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–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غامضة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استعمال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مفردات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صعبة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</w:t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فهم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المهمة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مشكل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القراءة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إضافة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حذف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استبدال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)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السلوك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تجاه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المهمة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ضعف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الاستقلالية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استباق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تسرع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نسيان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عدم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إعادة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قراءة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السؤال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المهمة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المراد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إنجازها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3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تدريب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التلاميذ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تكوين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صورة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ذهنية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للمعرفة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المراد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اكتسابها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تكثيف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أنشطة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الفرز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والتصنيف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والمقارنة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والترتيب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الحد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السلوك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الاندفاعي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والحض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التفكير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والتركيز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تقوية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المعارف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الأساسية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باعتماد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أسلوب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التدريب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والتكرار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3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يمكن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ترد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الأخطاء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العمليات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الذهنية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الموظفة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وضعية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معطاة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التكرار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نقل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إعادة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إنتاج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استظهار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...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المفهمة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Conceptualisation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الانتقال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الإدراك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المحسوس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لأشياء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وقائع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معينة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تمثيلاتها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العامة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والمجردة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التطبيق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استعمال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القواعد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المعارف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المكتسبة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مجال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وتطبيقها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مجال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آخر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الاستقصاء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استخراج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عنصر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مجموعة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معطاة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التعبئة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استحضار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حصيلة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المكتسبات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انتقاء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العناصر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الملائمة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للوضعية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الجديدة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الاستثمار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نقل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معرفة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وضعية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تعلم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مألوفة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وضعية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جديدة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جزئيا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كليا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العمليات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الذهنية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3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اعتبار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الفروق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الفردية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والتركيز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الكفايات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النوعية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المؤدية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اكتساب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الكفايات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الأساسية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مساعدة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التلاميذ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الكشف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تمثلاتهم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ليتمكنوا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تعرفها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والتخلي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عنها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بوصفها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ذات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جدوى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 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وإمدادهم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بالإمكانات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والوسائل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تكفل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لهم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تصحيحها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تقديم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تمارين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للدعم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متدرجة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حيث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الصعوبة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</w:tcPr>
                <w:p w:rsidR="00000000" w:rsidDel="00000000" w:rsidP="00000000" w:rsidRDefault="00000000" w:rsidRPr="00000000" w14:paraId="0000003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8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 </w:t>
                  </w:r>
                </w:p>
                <w:p w:rsidR="00000000" w:rsidDel="00000000" w:rsidP="00000000" w:rsidRDefault="00000000" w:rsidRPr="00000000" w14:paraId="0000003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80" w:before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 </w:t>
                  </w:r>
                </w:p>
                <w:p w:rsidR="00000000" w:rsidDel="00000000" w:rsidP="00000000" w:rsidRDefault="00000000" w:rsidRPr="00000000" w14:paraId="0000003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التعلمات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السابقة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الجزئية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متينة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بما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الكفاية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خاطئة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</w:t>
                    <w:br w:type="textWrapping"/>
                    <w:t xml:space="preserve">-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عدم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اكتساب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المعرفة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1"/>
                    </w:rPr>
                    <w:t xml:space="preserve">.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100" w:before="100"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المكتسبات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1"/>
                    </w:rPr>
                    <w:t xml:space="preserve">السابقة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ولعل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الوضعية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المسألة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لاستثمار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خصوصا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تلمساتهم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بخصوص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إيجاد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المطروح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للأستاذ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تثمين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محللا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إياها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يسعفه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باكتشاف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السحنات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للأطفال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Profils cognitifs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br w:type="textWrapping"/>
              <w:t xml:space="preserve"> </w:t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5-2-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الفارقية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عبارة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ممارسات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الوسط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تتجلى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          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فوارق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اختلاف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إيقاع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واللاتطابق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 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فوارق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سوسيو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ثقافية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ترتبط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والمعتقدات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وأنماط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التنشئة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والخصوصيات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    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فوارق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سيكولوجية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تلميذ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شخصية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تميزه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وكيانا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وجدانيا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تغذيه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العواطف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المكتسبة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تتحكم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السلوكات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والتصرفات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وردود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الصادرة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الشخصية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إزاء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الفارقية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الاستئناس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تحقيقها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وواضح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تنويع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...              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رصد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وخاصة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 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صعوبات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وتعثرات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           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ضوء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المرصودة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؛</w:t>
              <w:br w:type="textWrapping"/>
              <w:t xml:space="preserve">  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تدبير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وظيفية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ومرنة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التصرف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مستويي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وملاءمتها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http://acha.ifrance.com/choixpedagogiques.html</w:t>
              </w:r>
            </w:hyperlink>
            <w:r w:rsidDel="00000000" w:rsidR="00000000" w:rsidRPr="00000000">
              <w:fldChar w:fldCharType="begin"/>
              <w:instrText xml:space="preserve"> HYPERLINK "http://acha.ifrance.com/choixpedagogiques.html"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acha.ifrance.com/choixpedagogiqu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