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D62" w:rsidRPr="005B7D62" w:rsidRDefault="005B7D62">
      <w:pPr>
        <w:rPr>
          <w:rFonts w:eastAsia="Calibri" w:cstheme="minorHAnsi"/>
          <w:b/>
          <w:bCs/>
        </w:rPr>
      </w:pPr>
      <w:r w:rsidRPr="005B7D62">
        <w:rPr>
          <w:rFonts w:eastAsia="Calibri" w:cstheme="minorHAnsi"/>
          <w:b/>
          <w:bCs/>
        </w:rPr>
        <w:t>Questions/réponse Activité France</w:t>
      </w:r>
    </w:p>
    <w:p w:rsidR="00E97CB5" w:rsidRDefault="00E97CB5">
      <w:pPr>
        <w:rPr>
          <w:rFonts w:eastAsia="Calibri" w:cstheme="minorHAnsi"/>
          <w:b/>
          <w:bCs/>
          <w:color w:val="4472C4" w:themeColor="accent1"/>
        </w:rPr>
      </w:pPr>
      <w:r w:rsidRPr="00E97CB5">
        <w:rPr>
          <w:rFonts w:eastAsia="Calibri" w:cstheme="minorHAnsi"/>
          <w:b/>
          <w:bCs/>
          <w:color w:val="4472C4" w:themeColor="accent1"/>
        </w:rPr>
        <w:t>Question 1 :</w:t>
      </w:r>
      <w:r w:rsidRPr="00E97CB5">
        <w:rPr>
          <w:rFonts w:eastAsia="Calibri" w:cstheme="minorHAnsi"/>
          <w:bCs/>
          <w:color w:val="4472C4" w:themeColor="accent1"/>
        </w:rPr>
        <w:t xml:space="preserve"> </w:t>
      </w:r>
      <w:r w:rsidRPr="00E97CB5">
        <w:rPr>
          <w:rFonts w:eastAsia="Calibri" w:cstheme="minorHAnsi"/>
          <w:b/>
          <w:bCs/>
          <w:color w:val="4472C4" w:themeColor="accent1"/>
        </w:rPr>
        <w:t xml:space="preserve">Conception fabrication d’un produit permettant de scanner des véhicules pour vérifier leur état. Quid des </w:t>
      </w:r>
      <w:r w:rsidRPr="00E97CB5">
        <w:rPr>
          <w:rFonts w:eastAsia="Calibri" w:cstheme="minorHAnsi"/>
          <w:b/>
          <w:bCs/>
          <w:color w:val="4472C4" w:themeColor="accent1"/>
        </w:rPr>
        <w:t>réglementations ?</w:t>
      </w:r>
    </w:p>
    <w:p w:rsidR="00E97CB5" w:rsidRPr="00E97CB5" w:rsidRDefault="00E97CB5">
      <w:pPr>
        <w:rPr>
          <w:rFonts w:eastAsia="Calibri" w:cstheme="minorHAnsi"/>
          <w:b/>
          <w:bCs/>
          <w:color w:val="92D050"/>
        </w:rPr>
      </w:pPr>
      <w:r w:rsidRPr="00E97CB5">
        <w:rPr>
          <w:rFonts w:eastAsia="Calibri" w:cstheme="minorHAnsi"/>
          <w:b/>
          <w:bCs/>
          <w:color w:val="92D050"/>
        </w:rPr>
        <w:t>Réponse EEN :</w:t>
      </w:r>
    </w:p>
    <w:p w:rsidR="00E97CB5" w:rsidRDefault="00E97CB5" w:rsidP="00E97CB5">
      <w:pPr>
        <w:pStyle w:val="Sansinterligne"/>
      </w:pPr>
      <w:r>
        <w:t>Bonjour Anton,</w:t>
      </w:r>
    </w:p>
    <w:p w:rsidR="00E97CB5" w:rsidRDefault="00E97CB5" w:rsidP="00E97CB5">
      <w:pPr>
        <w:pStyle w:val="Sansinterligne"/>
      </w:pPr>
      <w:r>
        <w:t>Comme convenu je t’envoie une série de documents qui te permettront d’avoir une information ciblée et à jour sur le marquage CE.</w:t>
      </w:r>
    </w:p>
    <w:p w:rsidR="00E97CB5" w:rsidRDefault="00E97CB5" w:rsidP="00E97CB5">
      <w:pPr>
        <w:pStyle w:val="Sansinterligne"/>
      </w:pPr>
      <w:r>
        <w:t xml:space="preserve">Sur la base des éléments que tu m’as donnés, le dispositif </w:t>
      </w:r>
      <w:proofErr w:type="spellStart"/>
      <w:r>
        <w:t>Tchek</w:t>
      </w:r>
      <w:proofErr w:type="spellEnd"/>
      <w:r>
        <w:t xml:space="preserve"> doit être marqué CE et donc faire l’objet d’une documentation technique et d’une déclaration UE de conformité.</w:t>
      </w:r>
    </w:p>
    <w:p w:rsidR="00E97CB5" w:rsidRDefault="00E97CB5" w:rsidP="00E97CB5">
      <w:pPr>
        <w:pStyle w:val="Sansinterligne"/>
      </w:pPr>
      <w:r>
        <w:t>Plusieurs directives sont à prendre en considération :</w:t>
      </w:r>
    </w:p>
    <w:p w:rsidR="00E97CB5" w:rsidRDefault="00E97CB5" w:rsidP="00E97CB5">
      <w:pPr>
        <w:pStyle w:val="Sansinterligne"/>
        <w:rPr>
          <w:rFonts w:eastAsia="Times New Roman"/>
        </w:rPr>
      </w:pPr>
      <w:r>
        <w:rPr>
          <w:rFonts w:eastAsia="Times New Roman"/>
        </w:rPr>
        <w:t xml:space="preserve">La </w:t>
      </w:r>
      <w:hyperlink r:id="rId5" w:history="1">
        <w:r>
          <w:rPr>
            <w:rStyle w:val="Lienhypertexte"/>
            <w:rFonts w:eastAsia="Times New Roman"/>
          </w:rPr>
          <w:t>Directive basse tension</w:t>
        </w:r>
      </w:hyperlink>
      <w:r>
        <w:rPr>
          <w:rFonts w:eastAsia="Times New Roman"/>
        </w:rPr>
        <w:t xml:space="preserve"> (BT)</w:t>
      </w:r>
    </w:p>
    <w:p w:rsidR="00E97CB5" w:rsidRDefault="00E97CB5" w:rsidP="00E97CB5">
      <w:pPr>
        <w:pStyle w:val="Sansinterligne"/>
        <w:rPr>
          <w:rFonts w:eastAsia="Times New Roman"/>
        </w:rPr>
      </w:pPr>
      <w:r>
        <w:rPr>
          <w:rFonts w:eastAsia="Times New Roman"/>
        </w:rPr>
        <w:t xml:space="preserve">La </w:t>
      </w:r>
      <w:hyperlink r:id="rId6" w:history="1">
        <w:r>
          <w:rPr>
            <w:rStyle w:val="Lienhypertexte"/>
            <w:rFonts w:eastAsia="Times New Roman"/>
          </w:rPr>
          <w:t>Directive CEM</w:t>
        </w:r>
      </w:hyperlink>
      <w:r>
        <w:rPr>
          <w:rFonts w:eastAsia="Times New Roman"/>
        </w:rPr>
        <w:t xml:space="preserve"> (Compatibilité électromagnétique)</w:t>
      </w:r>
    </w:p>
    <w:p w:rsidR="00E97CB5" w:rsidRPr="00E97CB5" w:rsidRDefault="00E97CB5" w:rsidP="00E97CB5">
      <w:pPr>
        <w:pStyle w:val="Sansinterligne"/>
        <w:rPr>
          <w:rFonts w:eastAsia="Times New Roman"/>
        </w:rPr>
      </w:pPr>
      <w:r>
        <w:rPr>
          <w:rFonts w:eastAsia="Times New Roman"/>
        </w:rPr>
        <w:t xml:space="preserve">Et la directive </w:t>
      </w:r>
      <w:hyperlink r:id="rId7" w:history="1">
        <w:r>
          <w:rPr>
            <w:rStyle w:val="Lienhypertexte"/>
            <w:rFonts w:eastAsia="Times New Roman"/>
          </w:rPr>
          <w:t>ROHS</w:t>
        </w:r>
      </w:hyperlink>
    </w:p>
    <w:p w:rsidR="00E97CB5" w:rsidRDefault="00E97CB5" w:rsidP="00E97CB5">
      <w:pPr>
        <w:pStyle w:val="Sansinterligne"/>
        <w:rPr>
          <w:rFonts w:ascii="Calibri" w:hAnsi="Calibri"/>
        </w:rPr>
      </w:pPr>
      <w:r>
        <w:rPr>
          <w:rFonts w:ascii="Calibri" w:hAnsi="Calibri"/>
        </w:rPr>
        <w:t>Les directives CEM et BT n’imposent pas l’intervention d’une organisme tiers officiellement compétent (on parle d’</w:t>
      </w:r>
      <w:proofErr w:type="spellStart"/>
      <w:r>
        <w:rPr>
          <w:rFonts w:ascii="Calibri" w:hAnsi="Calibri"/>
        </w:rPr>
        <w:t>autocertification</w:t>
      </w:r>
      <w:proofErr w:type="spellEnd"/>
      <w:r>
        <w:rPr>
          <w:rFonts w:ascii="Calibri" w:hAnsi="Calibri"/>
        </w:rPr>
        <w:t xml:space="preserve">) mais le fabricant doit prouver que le produit qu’il met sur le marché respecte les exigences essentielles décrites dans ces deux directives. Cela passe par des phases de tests dont les résultats seront intégrés à la documentation technique. Si l’entreprise n’a pas les moyens techniques de réaliser ces tests, elle s’adresse à des laboratoires. </w:t>
      </w:r>
    </w:p>
    <w:p w:rsidR="00E97CB5" w:rsidRDefault="00E97CB5" w:rsidP="00E97CB5">
      <w:pPr>
        <w:pStyle w:val="Sansinterligne"/>
        <w:rPr>
          <w:rFonts w:ascii="Calibri" w:hAnsi="Calibri"/>
        </w:rPr>
      </w:pPr>
      <w:r>
        <w:rPr>
          <w:rFonts w:ascii="Calibri" w:hAnsi="Calibri"/>
        </w:rPr>
        <w:t>Comme je te l’ai dit au téléphone, je travaille souvent avec EMITECH. Hormis l’aspect pratique de par leur proximité géographique, ils sont bien équipés et très compétents</w:t>
      </w:r>
      <w:r>
        <w:t xml:space="preserve">. </w:t>
      </w:r>
    </w:p>
    <w:p w:rsidR="00E97CB5" w:rsidRPr="00E97CB5" w:rsidRDefault="00E97CB5" w:rsidP="00E97CB5">
      <w:pPr>
        <w:pStyle w:val="Sansinterligne"/>
        <w:rPr>
          <w:rFonts w:ascii="Calibri" w:hAnsi="Calibri"/>
        </w:rPr>
      </w:pPr>
      <w:r>
        <w:t>Tu peux contacter Olivier HEYER de ma part mais il est en déplacement jusqu’à vendredi ou Régis Gonzalez.</w:t>
      </w:r>
    </w:p>
    <w:p w:rsidR="00E97CB5" w:rsidRDefault="00E97CB5" w:rsidP="00E97CB5">
      <w:pPr>
        <w:pStyle w:val="Sansinterligne"/>
        <w:rPr>
          <w:lang w:eastAsia="fr-FR"/>
        </w:rPr>
      </w:pPr>
      <w:r>
        <w:rPr>
          <w:b/>
          <w:bCs/>
          <w:lang w:eastAsia="fr-FR"/>
        </w:rPr>
        <w:t xml:space="preserve">Olivier HEYER - </w:t>
      </w:r>
      <w:r>
        <w:rPr>
          <w:lang w:eastAsia="fr-FR"/>
        </w:rPr>
        <w:t> Responsable de Centre</w:t>
      </w:r>
    </w:p>
    <w:p w:rsidR="00E97CB5" w:rsidRDefault="00E97CB5" w:rsidP="00E97CB5">
      <w:pPr>
        <w:pStyle w:val="Sansinterligne"/>
        <w:rPr>
          <w:u w:val="single"/>
          <w:lang w:eastAsia="fr-FR"/>
        </w:rPr>
      </w:pPr>
      <w:hyperlink r:id="rId8" w:history="1">
        <w:r>
          <w:rPr>
            <w:rStyle w:val="Lienhypertexte"/>
            <w:lang w:eastAsia="fr-FR"/>
          </w:rPr>
          <w:t>o.heyer@emitech.fr</w:t>
        </w:r>
      </w:hyperlink>
    </w:p>
    <w:p w:rsidR="00E97CB5" w:rsidRDefault="00E97CB5" w:rsidP="00E97CB5">
      <w:pPr>
        <w:pStyle w:val="Sansinterligne"/>
        <w:rPr>
          <w:b/>
          <w:bCs/>
          <w:lang w:eastAsia="fr-FR"/>
        </w:rPr>
      </w:pPr>
      <w:r>
        <w:rPr>
          <w:b/>
          <w:bCs/>
          <w:lang w:eastAsia="fr-FR"/>
        </w:rPr>
        <w:t xml:space="preserve">Régis GONZALEZ </w:t>
      </w:r>
    </w:p>
    <w:p w:rsidR="00E97CB5" w:rsidRDefault="00E97CB5" w:rsidP="00E97CB5">
      <w:pPr>
        <w:pStyle w:val="Sansinterligne"/>
        <w:rPr>
          <w:lang w:eastAsia="fr-FR"/>
        </w:rPr>
      </w:pPr>
      <w:hyperlink r:id="rId9" w:history="1">
        <w:r>
          <w:rPr>
            <w:rStyle w:val="Lienhypertexte"/>
            <w:lang w:eastAsia="fr-FR"/>
          </w:rPr>
          <w:t>r.gonzalez@emitech.fr</w:t>
        </w:r>
      </w:hyperlink>
    </w:p>
    <w:p w:rsidR="00E97CB5" w:rsidRDefault="00E97CB5" w:rsidP="00E97CB5">
      <w:pPr>
        <w:pStyle w:val="Sansinterligne"/>
        <w:rPr>
          <w:lang w:eastAsia="fr-FR"/>
        </w:rPr>
      </w:pPr>
      <w:r>
        <w:rPr>
          <w:lang w:eastAsia="fr-FR"/>
        </w:rPr>
        <w:t xml:space="preserve">Z.I. de la Vallée du Salaison - 145, rue du </w:t>
      </w:r>
      <w:proofErr w:type="spellStart"/>
      <w:r>
        <w:rPr>
          <w:lang w:eastAsia="fr-FR"/>
        </w:rPr>
        <w:t>Massacan</w:t>
      </w:r>
      <w:proofErr w:type="spellEnd"/>
      <w:r>
        <w:rPr>
          <w:lang w:eastAsia="fr-FR"/>
        </w:rPr>
        <w:t xml:space="preserve"> – BP 80025 – 34741 VENDARGUES Cedex</w:t>
      </w:r>
    </w:p>
    <w:p w:rsidR="00E97CB5" w:rsidRDefault="00E97CB5" w:rsidP="00E97CB5">
      <w:pPr>
        <w:pStyle w:val="Sansinterligne"/>
        <w:rPr>
          <w:lang w:eastAsia="fr-FR"/>
        </w:rPr>
      </w:pPr>
      <w:r>
        <w:rPr>
          <w:b/>
          <w:bCs/>
          <w:lang w:eastAsia="fr-FR"/>
        </w:rPr>
        <w:t>T</w:t>
      </w:r>
      <w:r>
        <w:rPr>
          <w:lang w:eastAsia="fr-FR"/>
        </w:rPr>
        <w:t xml:space="preserve"> 33 4 67 87 11 02 - </w:t>
      </w:r>
      <w:r>
        <w:rPr>
          <w:b/>
          <w:bCs/>
          <w:lang w:eastAsia="fr-FR"/>
        </w:rPr>
        <w:t xml:space="preserve">F </w:t>
      </w:r>
      <w:r>
        <w:rPr>
          <w:lang w:eastAsia="fr-FR"/>
        </w:rPr>
        <w:t xml:space="preserve">33 4 67 70 94 55 - </w:t>
      </w:r>
      <w:r>
        <w:rPr>
          <w:b/>
          <w:bCs/>
          <w:lang w:eastAsia="fr-FR"/>
        </w:rPr>
        <w:t>E-mail</w:t>
      </w:r>
      <w:r>
        <w:rPr>
          <w:lang w:eastAsia="fr-FR"/>
        </w:rPr>
        <w:t xml:space="preserve"> </w:t>
      </w:r>
      <w:r>
        <w:rPr>
          <w:b/>
          <w:bCs/>
          <w:lang w:eastAsia="fr-FR"/>
        </w:rPr>
        <w:t>Web</w:t>
      </w:r>
      <w:r>
        <w:rPr>
          <w:lang w:eastAsia="fr-FR"/>
        </w:rPr>
        <w:t xml:space="preserve"> </w:t>
      </w:r>
      <w:hyperlink r:id="rId10" w:history="1">
        <w:r>
          <w:rPr>
            <w:rStyle w:val="Lienhypertexte"/>
            <w:color w:val="auto"/>
            <w:lang w:eastAsia="fr-FR"/>
          </w:rPr>
          <w:t>www.emitech.fr</w:t>
        </w:r>
      </w:hyperlink>
    </w:p>
    <w:p w:rsidR="00E97CB5" w:rsidRDefault="00E97CB5" w:rsidP="00E97CB5">
      <w:pPr>
        <w:pStyle w:val="Sansinterligne"/>
        <w:rPr>
          <w:rFonts w:ascii="Calibri" w:hAnsi="Calibri"/>
          <w:color w:val="000000"/>
        </w:rPr>
      </w:pPr>
      <w:r>
        <w:rPr>
          <w:rFonts w:ascii="Calibri" w:hAnsi="Calibri"/>
          <w:color w:val="000000"/>
        </w:rPr>
        <w:t>Concernant les directives ci-dessus, pour ce qui concerne la BT et la CEM, tu trouveras les exigences essentielles auxquelles doivent répondre le produit dans les annexes I, le contenu de la documentation technique dans les annexes II (CEM) et III (BT), et le contenu de la déclaration UE de conformité dans les annexes IV.</w:t>
      </w:r>
    </w:p>
    <w:p w:rsidR="00E97CB5" w:rsidRPr="00E97CB5" w:rsidRDefault="00E97CB5" w:rsidP="00E97CB5">
      <w:pPr>
        <w:pStyle w:val="Sansinterligne"/>
        <w:rPr>
          <w:rFonts w:ascii="Calibri" w:hAnsi="Calibri"/>
          <w:color w:val="000000"/>
        </w:rPr>
      </w:pPr>
      <w:r>
        <w:rPr>
          <w:rFonts w:ascii="Calibri" w:hAnsi="Calibri"/>
        </w:rPr>
        <w:t xml:space="preserve">La directive ROHS concerne </w:t>
      </w:r>
      <w:proofErr w:type="gramStart"/>
      <w:r>
        <w:rPr>
          <w:rFonts w:ascii="Calibri" w:hAnsi="Calibri"/>
        </w:rPr>
        <w:t>le limitation</w:t>
      </w:r>
      <w:proofErr w:type="gramEnd"/>
      <w:r>
        <w:rPr>
          <w:rFonts w:ascii="Calibri" w:hAnsi="Calibri"/>
        </w:rPr>
        <w:t xml:space="preserve"> de certaines substances dangereuses dans les équipements électriques et électroniques (plomb, cadmium, mercure…). Tu devras donc t’assurer auprès de tes fournisseurs de composants et équipements électriques et électroniques avec lesquels tu fabriques ton dispositif, que leurs produits respectent ces limitations.</w:t>
      </w:r>
    </w:p>
    <w:p w:rsidR="00E97CB5" w:rsidRDefault="00E97CB5" w:rsidP="00E97CB5">
      <w:pPr>
        <w:pStyle w:val="Sansinterligne"/>
        <w:rPr>
          <w:rFonts w:ascii="Calibri" w:hAnsi="Calibri"/>
        </w:rPr>
      </w:pPr>
      <w:r>
        <w:rPr>
          <w:rFonts w:ascii="Calibri" w:hAnsi="Calibri"/>
        </w:rPr>
        <w:t>Tu pourras rédiger une seule déclaration UE de conformité dans laquelle tu mentionneras les 3 directives et les normes harmonisées éventuellement appliquées.</w:t>
      </w:r>
    </w:p>
    <w:p w:rsidR="00E97CB5" w:rsidRDefault="00E97CB5" w:rsidP="00E97CB5">
      <w:pPr>
        <w:pStyle w:val="Sansinterligne"/>
        <w:rPr>
          <w:rFonts w:ascii="Calibri" w:hAnsi="Calibri"/>
        </w:rPr>
      </w:pPr>
      <w:r>
        <w:rPr>
          <w:rFonts w:ascii="Calibri" w:hAnsi="Calibri"/>
        </w:rPr>
        <w:t>Je joins ci-dessous la liste des références de normes harmonisées qui lorsqu’elles sont appliquées donnent présomption de conformité. Attention ces listes évoluent régulièrement et les normes peuvent être soit consultées dans les locaux de l’Afnor avenue du Prado, soit achetées en ligne sur le site AFNOR.</w:t>
      </w:r>
    </w:p>
    <w:p w:rsidR="00E97CB5" w:rsidRDefault="00E97CB5" w:rsidP="00E97CB5">
      <w:pPr>
        <w:pStyle w:val="Sansinterligne"/>
        <w:rPr>
          <w:rFonts w:ascii="Calibri" w:hAnsi="Calibri"/>
        </w:rPr>
      </w:pPr>
      <w:r>
        <w:rPr>
          <w:rFonts w:ascii="Calibri" w:hAnsi="Calibri"/>
        </w:rPr>
        <w:t xml:space="preserve">CEM : </w:t>
      </w:r>
      <w:hyperlink r:id="rId11" w:history="1">
        <w:r>
          <w:rPr>
            <w:rStyle w:val="Lienhypertexte"/>
            <w:rFonts w:ascii="Calibri" w:hAnsi="Calibri"/>
          </w:rPr>
          <w:t>liste normes harmonisées</w:t>
        </w:r>
      </w:hyperlink>
    </w:p>
    <w:p w:rsidR="00E97CB5" w:rsidRDefault="00E97CB5" w:rsidP="00E97CB5">
      <w:pPr>
        <w:pStyle w:val="Sansinterligne"/>
        <w:rPr>
          <w:rFonts w:ascii="Calibri" w:hAnsi="Calibri"/>
        </w:rPr>
      </w:pPr>
      <w:r>
        <w:rPr>
          <w:rFonts w:ascii="Calibri" w:hAnsi="Calibri"/>
        </w:rPr>
        <w:t xml:space="preserve">BT : </w:t>
      </w:r>
      <w:hyperlink r:id="rId12" w:history="1">
        <w:r>
          <w:rPr>
            <w:rStyle w:val="Lienhypertexte"/>
            <w:rFonts w:ascii="Calibri" w:hAnsi="Calibri"/>
          </w:rPr>
          <w:t>liste normes harmonisées</w:t>
        </w:r>
      </w:hyperlink>
    </w:p>
    <w:p w:rsidR="00E97CB5" w:rsidRDefault="00E97CB5" w:rsidP="00E97CB5">
      <w:pPr>
        <w:pStyle w:val="Sansinterligne"/>
        <w:rPr>
          <w:rFonts w:ascii="Calibri" w:hAnsi="Calibri"/>
        </w:rPr>
      </w:pPr>
      <w:r>
        <w:rPr>
          <w:rFonts w:ascii="Calibri" w:hAnsi="Calibri"/>
        </w:rPr>
        <w:t>Je reste à ta disposition si tu as d’autres questions.</w:t>
      </w:r>
    </w:p>
    <w:p w:rsidR="00E97CB5" w:rsidRDefault="00E97CB5" w:rsidP="00E97CB5">
      <w:pPr>
        <w:pStyle w:val="Sansinterligne"/>
        <w:rPr>
          <w:rFonts w:ascii="Calibri" w:hAnsi="Calibri"/>
        </w:rPr>
      </w:pPr>
      <w:r>
        <w:rPr>
          <w:rFonts w:ascii="Calibri" w:hAnsi="Calibri"/>
        </w:rPr>
        <w:t xml:space="preserve">On pourrait aussi se rencontrer comme tu le suggérais, cela me permettrait de te présenter </w:t>
      </w:r>
      <w:hyperlink r:id="rId13" w:history="1">
        <w:r>
          <w:rPr>
            <w:rStyle w:val="Lienhypertexte"/>
            <w:rFonts w:ascii="Calibri" w:hAnsi="Calibri"/>
          </w:rPr>
          <w:t>Enterprise Europe Network.</w:t>
        </w:r>
      </w:hyperlink>
    </w:p>
    <w:p w:rsidR="00E97CB5" w:rsidRDefault="00E97CB5" w:rsidP="00E97CB5">
      <w:pPr>
        <w:pStyle w:val="Sansinterligne"/>
        <w:rPr>
          <w:rFonts w:ascii="Calibri" w:hAnsi="Calibri"/>
        </w:rPr>
      </w:pPr>
      <w:r>
        <w:rPr>
          <w:rFonts w:ascii="Calibri" w:hAnsi="Calibri"/>
        </w:rPr>
        <w:t>A bientôt peut-être.</w:t>
      </w:r>
    </w:p>
    <w:p w:rsidR="00732F08" w:rsidRDefault="00E97CB5" w:rsidP="00732F08">
      <w:pPr>
        <w:rPr>
          <w:rFonts w:eastAsia="Calibri" w:cstheme="minorHAnsi"/>
          <w:color w:val="002060"/>
        </w:rPr>
      </w:pPr>
      <w:r w:rsidRPr="00E97CB5">
        <w:rPr>
          <w:rFonts w:eastAsia="Calibri" w:cstheme="minorHAnsi"/>
          <w:color w:val="4472C4" w:themeColor="accent1"/>
        </w:rPr>
        <w:lastRenderedPageBreak/>
        <w:t xml:space="preserve">Question 2 : </w:t>
      </w:r>
      <w:r w:rsidR="00732F08">
        <w:rPr>
          <w:rFonts w:eastAsia="Calibri" w:cstheme="minorHAnsi"/>
          <w:color w:val="4472C4" w:themeColor="accent1"/>
        </w:rPr>
        <w:t>Conception pour vente en ligne de jeux « éducatifs » et « ludiques », difficulté à définir si ce sont des jouets ou non (produits frontières)</w:t>
      </w:r>
    </w:p>
    <w:p w:rsidR="00732F08" w:rsidRPr="00732F08" w:rsidRDefault="00732F08" w:rsidP="00732F08">
      <w:pPr>
        <w:rPr>
          <w:rFonts w:eastAsia="Calibri" w:cstheme="minorHAnsi"/>
          <w:color w:val="002060"/>
        </w:rPr>
      </w:pPr>
      <w:r w:rsidRPr="00732F08">
        <w:rPr>
          <w:rFonts w:eastAsia="Calibri" w:cstheme="minorHAnsi"/>
          <w:b/>
          <w:color w:val="92D050"/>
        </w:rPr>
        <w:t>Réponse EEN grâce</w:t>
      </w:r>
      <w:r>
        <w:rPr>
          <w:rFonts w:eastAsia="Calibri" w:cstheme="minorHAnsi"/>
          <w:b/>
          <w:color w:val="92D050"/>
        </w:rPr>
        <w:t xml:space="preserve"> intervention</w:t>
      </w:r>
      <w:r w:rsidRPr="00732F08">
        <w:rPr>
          <w:rFonts w:eastAsia="Calibri" w:cstheme="minorHAnsi"/>
          <w:b/>
          <w:color w:val="92D050"/>
        </w:rPr>
        <w:t xml:space="preserve"> du Ministère de l’Economie</w:t>
      </w:r>
      <w:r w:rsidR="00E97CB5" w:rsidRPr="00E97CB5">
        <w:rPr>
          <w:rFonts w:eastAsia="Calibri" w:cstheme="minorHAnsi"/>
          <w:color w:val="002060"/>
        </w:rPr>
        <w:br/>
      </w:r>
      <w:r>
        <w:rPr>
          <w:b/>
          <w:bCs/>
          <w:lang w:eastAsia="fr-FR"/>
        </w:rPr>
        <w:t>À :</w:t>
      </w:r>
      <w:r>
        <w:rPr>
          <w:lang w:eastAsia="fr-FR"/>
        </w:rPr>
        <w:t xml:space="preserve"> DEVE Dominique &lt;</w:t>
      </w:r>
      <w:hyperlink r:id="rId14" w:history="1">
        <w:r>
          <w:rPr>
            <w:rStyle w:val="Lienhypertexte"/>
            <w:lang w:eastAsia="fr-FR"/>
          </w:rPr>
          <w:t>Dominique.DEVE@paca.cci.fr</w:t>
        </w:r>
      </w:hyperlink>
      <w:r>
        <w:rPr>
          <w:lang w:eastAsia="fr-FR"/>
        </w:rPr>
        <w:t>&gt;</w:t>
      </w:r>
      <w:r>
        <w:rPr>
          <w:lang w:eastAsia="fr-FR"/>
        </w:rPr>
        <w:br/>
      </w:r>
      <w:r>
        <w:rPr>
          <w:b/>
          <w:bCs/>
          <w:lang w:eastAsia="fr-FR"/>
        </w:rPr>
        <w:t>Cc :</w:t>
      </w:r>
      <w:r>
        <w:rPr>
          <w:lang w:eastAsia="fr-FR"/>
        </w:rPr>
        <w:t xml:space="preserve"> Alain FRANCAIX &lt;</w:t>
      </w:r>
      <w:hyperlink r:id="rId15" w:history="1">
        <w:r>
          <w:rPr>
            <w:rStyle w:val="Lienhypertexte"/>
            <w:lang w:eastAsia="fr-FR"/>
          </w:rPr>
          <w:t>alain.francaix@dgccrf.finances.gouv.fr</w:t>
        </w:r>
      </w:hyperlink>
      <w:r>
        <w:rPr>
          <w:lang w:eastAsia="fr-FR"/>
        </w:rPr>
        <w:t>&gt;; Bertrand HOAREAU &lt;</w:t>
      </w:r>
      <w:hyperlink r:id="rId16" w:history="1">
        <w:r>
          <w:rPr>
            <w:rStyle w:val="Lienhypertexte"/>
            <w:lang w:eastAsia="fr-FR"/>
          </w:rPr>
          <w:t>bertrand.hoareau@scl.finances.gouv.fr</w:t>
        </w:r>
      </w:hyperlink>
      <w:r>
        <w:rPr>
          <w:lang w:eastAsia="fr-FR"/>
        </w:rPr>
        <w:t>&gt;; Claude LAFORGE &lt;</w:t>
      </w:r>
      <w:hyperlink r:id="rId17" w:history="1">
        <w:r>
          <w:rPr>
            <w:rStyle w:val="Lienhypertexte"/>
            <w:lang w:eastAsia="fr-FR"/>
          </w:rPr>
          <w:t>claude.laforge@scl.finances.gouv.fr</w:t>
        </w:r>
      </w:hyperlink>
      <w:r>
        <w:rPr>
          <w:lang w:eastAsia="fr-FR"/>
        </w:rPr>
        <w:t xml:space="preserve">&gt;; </w:t>
      </w:r>
      <w:proofErr w:type="spellStart"/>
      <w:r>
        <w:rPr>
          <w:lang w:eastAsia="fr-FR"/>
        </w:rPr>
        <w:t>denis</w:t>
      </w:r>
      <w:proofErr w:type="spellEnd"/>
      <w:r>
        <w:rPr>
          <w:lang w:eastAsia="fr-FR"/>
        </w:rPr>
        <w:t xml:space="preserve"> OLLIVIER &lt;</w:t>
      </w:r>
      <w:hyperlink r:id="rId18" w:history="1">
        <w:r>
          <w:rPr>
            <w:rStyle w:val="Lienhypertexte"/>
            <w:lang w:eastAsia="fr-FR"/>
          </w:rPr>
          <w:t>denis.ollivier@scl.finances.gouv.fr</w:t>
        </w:r>
      </w:hyperlink>
      <w:r>
        <w:rPr>
          <w:lang w:eastAsia="fr-FR"/>
        </w:rPr>
        <w:t>&gt;; Julie CHATEIGNER &lt;</w:t>
      </w:r>
      <w:hyperlink r:id="rId19" w:history="1">
        <w:r>
          <w:rPr>
            <w:rStyle w:val="Lienhypertexte"/>
            <w:lang w:eastAsia="fr-FR"/>
          </w:rPr>
          <w:t>julie.chateigner@scl.finances.gouv.fr</w:t>
        </w:r>
      </w:hyperlink>
      <w:r>
        <w:rPr>
          <w:lang w:eastAsia="fr-FR"/>
        </w:rPr>
        <w:t>&gt;; LARHER Tanguy &lt;</w:t>
      </w:r>
      <w:hyperlink r:id="rId20" w:history="1">
        <w:r>
          <w:rPr>
            <w:rStyle w:val="Lienhypertexte"/>
            <w:lang w:eastAsia="fr-FR"/>
          </w:rPr>
          <w:t>tanguy.larher@finances.gouv.fr</w:t>
        </w:r>
      </w:hyperlink>
      <w:r>
        <w:rPr>
          <w:lang w:eastAsia="fr-FR"/>
        </w:rPr>
        <w:t>&gt;; Mathieu VERNET &lt;</w:t>
      </w:r>
      <w:hyperlink r:id="rId21" w:history="1">
        <w:r>
          <w:rPr>
            <w:rStyle w:val="Lienhypertexte"/>
            <w:lang w:eastAsia="fr-FR"/>
          </w:rPr>
          <w:t>Mathieu.VERNET@scl.finances.gouv.fr</w:t>
        </w:r>
      </w:hyperlink>
      <w:r>
        <w:rPr>
          <w:lang w:eastAsia="fr-FR"/>
        </w:rPr>
        <w:t>&gt;; Nathalie MICHEL &lt;</w:t>
      </w:r>
      <w:hyperlink r:id="rId22" w:history="1">
        <w:r>
          <w:rPr>
            <w:rStyle w:val="Lienhypertexte"/>
            <w:lang w:eastAsia="fr-FR"/>
          </w:rPr>
          <w:t>nathalie.michel@dgccrf.finances.gouv.fr</w:t>
        </w:r>
      </w:hyperlink>
      <w:r>
        <w:rPr>
          <w:lang w:eastAsia="fr-FR"/>
        </w:rPr>
        <w:t>&gt;; Olivier DUJARDIN &lt;</w:t>
      </w:r>
      <w:hyperlink r:id="rId23" w:history="1">
        <w:r>
          <w:rPr>
            <w:rStyle w:val="Lienhypertexte"/>
            <w:lang w:eastAsia="fr-FR"/>
          </w:rPr>
          <w:t>olivier.dujardin@scl.finances.gouv.fr</w:t>
        </w:r>
      </w:hyperlink>
      <w:r>
        <w:rPr>
          <w:lang w:eastAsia="fr-FR"/>
        </w:rPr>
        <w:t>&gt;; PETITCOL Caroline &lt;</w:t>
      </w:r>
      <w:hyperlink r:id="rId24" w:history="1">
        <w:r>
          <w:rPr>
            <w:rStyle w:val="Lienhypertexte"/>
            <w:lang w:eastAsia="fr-FR"/>
          </w:rPr>
          <w:t>caroline.petitcol@douane.finances.gouv.fr</w:t>
        </w:r>
      </w:hyperlink>
      <w:r>
        <w:rPr>
          <w:lang w:eastAsia="fr-FR"/>
        </w:rPr>
        <w:t>&gt;; SARC Douane &lt;</w:t>
      </w:r>
      <w:hyperlink r:id="rId25" w:history="1">
        <w:r>
          <w:rPr>
            <w:rStyle w:val="Lienhypertexte"/>
            <w:lang w:eastAsia="fr-FR"/>
          </w:rPr>
          <w:t>sarc-pce-pi@douane.finances.gouv.fr</w:t>
        </w:r>
      </w:hyperlink>
      <w:r>
        <w:rPr>
          <w:lang w:eastAsia="fr-FR"/>
        </w:rPr>
        <w:t>&gt;; SOU Philippe &lt;</w:t>
      </w:r>
      <w:hyperlink r:id="rId26" w:history="1">
        <w:r>
          <w:rPr>
            <w:rStyle w:val="Lienhypertexte"/>
            <w:lang w:eastAsia="fr-FR"/>
          </w:rPr>
          <w:t>philippe.sou@douane.finances.gouv.fr</w:t>
        </w:r>
      </w:hyperlink>
      <w:r>
        <w:rPr>
          <w:lang w:eastAsia="fr-FR"/>
        </w:rPr>
        <w:t>&gt;</w:t>
      </w:r>
      <w:r>
        <w:rPr>
          <w:lang w:eastAsia="fr-FR"/>
        </w:rPr>
        <w:br/>
      </w:r>
      <w:r>
        <w:rPr>
          <w:b/>
          <w:bCs/>
          <w:lang w:eastAsia="fr-FR"/>
        </w:rPr>
        <w:t>Objet :</w:t>
      </w:r>
      <w:r>
        <w:rPr>
          <w:lang w:eastAsia="fr-FR"/>
        </w:rPr>
        <w:t xml:space="preserve"> RE: Jouet coffret</w:t>
      </w:r>
    </w:p>
    <w:p w:rsidR="00732F08" w:rsidRDefault="00732F08" w:rsidP="00732F08">
      <w:pPr>
        <w:rPr>
          <w:color w:val="1F497D"/>
        </w:rPr>
      </w:pPr>
      <w:bookmarkStart w:id="0" w:name="OLE_LINK9"/>
      <w:bookmarkStart w:id="1" w:name="OLE_LINK10"/>
      <w:bookmarkStart w:id="2" w:name="OLE_LINK13"/>
      <w:bookmarkStart w:id="3" w:name="OLE_LINK5"/>
      <w:bookmarkStart w:id="4" w:name="OLE_LINK7"/>
      <w:bookmarkStart w:id="5" w:name="OLE_LINK6"/>
      <w:bookmarkStart w:id="6" w:name="OLE_LINK3"/>
      <w:bookmarkStart w:id="7" w:name="OLE_LINK2"/>
      <w:bookmarkStart w:id="8" w:name="OLE_LINK4"/>
      <w:bookmarkStart w:id="9" w:name="OLE_LINK8"/>
      <w:bookmarkStart w:id="10" w:name="OLE_LINK1"/>
      <w:bookmarkStart w:id="11" w:name="OLE_LINK11"/>
      <w:bookmarkStart w:id="12" w:name="OLE_LINK12"/>
      <w:bookmarkEnd w:id="0"/>
      <w:bookmarkEnd w:id="1"/>
      <w:bookmarkEnd w:id="2"/>
      <w:bookmarkEnd w:id="3"/>
      <w:bookmarkEnd w:id="4"/>
      <w:bookmarkEnd w:id="5"/>
      <w:bookmarkEnd w:id="6"/>
      <w:bookmarkEnd w:id="7"/>
      <w:bookmarkEnd w:id="8"/>
      <w:bookmarkEnd w:id="9"/>
      <w:bookmarkEnd w:id="10"/>
      <w:bookmarkEnd w:id="11"/>
      <w:r>
        <w:rPr>
          <w:color w:val="1F497D"/>
        </w:rPr>
        <w:t>Bonjour,</w:t>
      </w:r>
      <w:bookmarkEnd w:id="12"/>
    </w:p>
    <w:p w:rsidR="00732F08" w:rsidRDefault="00732F08" w:rsidP="00732F08">
      <w:pPr>
        <w:rPr>
          <w:color w:val="1F497D"/>
        </w:rPr>
      </w:pPr>
      <w:r>
        <w:rPr>
          <w:color w:val="1F497D"/>
        </w:rPr>
        <w:t>Les compléments que vous apportez permettent de classer les deux produits comme suit :</w:t>
      </w:r>
    </w:p>
    <w:p w:rsidR="00732F08" w:rsidRDefault="00732F08" w:rsidP="00732F08">
      <w:pPr>
        <w:numPr>
          <w:ilvl w:val="0"/>
          <w:numId w:val="3"/>
        </w:numPr>
        <w:spacing w:after="0" w:line="240" w:lineRule="auto"/>
        <w:rPr>
          <w:rFonts w:eastAsia="Times New Roman"/>
          <w:color w:val="1F497D"/>
        </w:rPr>
      </w:pPr>
      <w:r>
        <w:rPr>
          <w:rFonts w:eastAsia="Times New Roman"/>
          <w:color w:val="1F497D"/>
        </w:rPr>
        <w:t>La pochette « découverte des sens » n’est pas considérée comme du jouet au sens du décret 2010-166 du 22 février 2010 compte tenu de sa vocation éducative et non ludique des activités proposées.</w:t>
      </w:r>
    </w:p>
    <w:p w:rsidR="00732F08" w:rsidRDefault="00732F08" w:rsidP="00732F08">
      <w:pPr>
        <w:pStyle w:val="Paragraphedeliste"/>
        <w:rPr>
          <w:color w:val="1F497D"/>
        </w:rPr>
      </w:pPr>
      <w:r>
        <w:rPr>
          <w:color w:val="1F497D"/>
        </w:rPr>
        <w:t xml:space="preserve">Elle est soumise à l’obligation générale de sécurité et ne porte pas de marquage CE au titre de la réglementation sur la sécurité des jouets. </w:t>
      </w:r>
    </w:p>
    <w:p w:rsidR="00732F08" w:rsidRDefault="00732F08" w:rsidP="00732F08">
      <w:pPr>
        <w:pStyle w:val="Paragraphedeliste"/>
        <w:rPr>
          <w:color w:val="1F497D"/>
        </w:rPr>
      </w:pPr>
    </w:p>
    <w:p w:rsidR="00732F08" w:rsidRDefault="00732F08" w:rsidP="00732F08">
      <w:pPr>
        <w:numPr>
          <w:ilvl w:val="0"/>
          <w:numId w:val="3"/>
        </w:numPr>
        <w:spacing w:after="0" w:line="240" w:lineRule="auto"/>
        <w:rPr>
          <w:rFonts w:eastAsia="Times New Roman"/>
          <w:color w:val="1F497D"/>
        </w:rPr>
      </w:pPr>
      <w:r>
        <w:rPr>
          <w:rFonts w:eastAsia="Times New Roman"/>
          <w:color w:val="1F497D"/>
        </w:rPr>
        <w:t xml:space="preserve">La pochette « découvrir une sortie mystère » présente un aspect ludique dans la recherche, à partir d’indices à piocher, de la découverte d’une activité à réaliser. </w:t>
      </w:r>
    </w:p>
    <w:p w:rsidR="00732F08" w:rsidRDefault="00732F08" w:rsidP="00732F08">
      <w:pPr>
        <w:pStyle w:val="Paragraphedeliste"/>
        <w:rPr>
          <w:color w:val="1F497D"/>
        </w:rPr>
      </w:pPr>
      <w:r>
        <w:rPr>
          <w:color w:val="1F497D"/>
        </w:rPr>
        <w:t xml:space="preserve">Elle est considérée comme du jouet destiné à des enfants de plus de trois ans au sens du décret 2010-166 du 22 février 2010 sur la sécurité des jouets. </w:t>
      </w:r>
    </w:p>
    <w:p w:rsidR="00732F08" w:rsidRDefault="00732F08" w:rsidP="00732F08">
      <w:pPr>
        <w:pStyle w:val="Paragraphedeliste"/>
        <w:rPr>
          <w:color w:val="1F497D"/>
        </w:rPr>
      </w:pPr>
      <w:r>
        <w:rPr>
          <w:color w:val="1F497D"/>
        </w:rPr>
        <w:t>Elle doit :</w:t>
      </w:r>
    </w:p>
    <w:p w:rsidR="00732F08" w:rsidRPr="00732F08" w:rsidRDefault="00732F08" w:rsidP="00732F08">
      <w:pPr>
        <w:rPr>
          <w:color w:val="1F497D"/>
        </w:rPr>
      </w:pPr>
      <w:r>
        <w:rPr>
          <w:color w:val="1F497D"/>
        </w:rPr>
        <w:t>-  satisfaire aux exigences essentielles de sécurité énoncées par le décret précité, sa conformité aux prescriptions réglementaires devant être attestée selon </w:t>
      </w:r>
      <w:r>
        <w:rPr>
          <w:color w:val="1F497D"/>
        </w:rPr>
        <w:t>les articles 8 et 9 du décret ;</w:t>
      </w:r>
      <w:r>
        <w:rPr>
          <w:color w:val="1F497D"/>
        </w:rPr>
        <w:br/>
        <w:t>-  porter une référen</w:t>
      </w:r>
      <w:r>
        <w:rPr>
          <w:color w:val="1F497D"/>
        </w:rPr>
        <w:t>ce permettant de l’identifier ;</w:t>
      </w:r>
      <w:r>
        <w:rPr>
          <w:color w:val="1F497D"/>
        </w:rPr>
        <w:br/>
        <w:t>-  porter le marquage CE, et les autres marquages réglementaires prévus à l’article 4 du texte</w:t>
      </w:r>
    </w:p>
    <w:p w:rsidR="00732F08" w:rsidRDefault="00732F08" w:rsidP="00732F08">
      <w:pPr>
        <w:rPr>
          <w:color w:val="1F497D"/>
        </w:rPr>
      </w:pPr>
      <w:r>
        <w:rPr>
          <w:color w:val="1F497D"/>
        </w:rPr>
        <w:t>Si l’entreprise considère que les documents rassemblés auprès des fournisseurs présentent toutes les garanties pour attester de la conformité des produits au regard de la réglementation sur la sécurité des jouets alors elle peut les intégrer dans la documentation technique du produit. En tant que fabricant au sens du décret 2010-166 du 22 février 2010 sur la sécurité des jouets, elle en assume toutes les obligations.</w:t>
      </w:r>
    </w:p>
    <w:p w:rsidR="00732F08" w:rsidRDefault="00732F08" w:rsidP="00732F08">
      <w:pPr>
        <w:rPr>
          <w:color w:val="1F497D"/>
          <w:lang w:eastAsia="fr-FR"/>
        </w:rPr>
      </w:pPr>
      <w:r>
        <w:rPr>
          <w:rFonts w:ascii="Arial" w:hAnsi="Arial" w:cs="Arial"/>
          <w:color w:val="1F497D"/>
          <w:sz w:val="20"/>
          <w:szCs w:val="20"/>
          <w:lang w:eastAsia="fr-FR"/>
        </w:rPr>
        <w:t>Cor</w:t>
      </w:r>
      <w:r>
        <w:rPr>
          <w:rFonts w:ascii="Arial" w:hAnsi="Arial" w:cs="Arial"/>
          <w:color w:val="1F497D"/>
          <w:sz w:val="20"/>
          <w:szCs w:val="20"/>
          <w:lang w:eastAsia="fr-FR"/>
        </w:rPr>
        <w:t>dialement</w:t>
      </w:r>
    </w:p>
    <w:p w:rsidR="00732F08" w:rsidRPr="00732F08" w:rsidRDefault="00732F08" w:rsidP="00732F08">
      <w:pPr>
        <w:pStyle w:val="Sansinterligne"/>
        <w:rPr>
          <w:lang w:eastAsia="fr-FR"/>
        </w:rPr>
      </w:pPr>
      <w:r>
        <w:rPr>
          <w:b/>
          <w:bCs/>
          <w:sz w:val="20"/>
          <w:szCs w:val="20"/>
          <w:lang w:eastAsia="fr-FR"/>
        </w:rPr>
        <w:t>SQUALPI JOUET</w:t>
      </w:r>
      <w:r>
        <w:rPr>
          <w:rFonts w:ascii="Arial Black" w:hAnsi="Arial Black"/>
          <w:sz w:val="20"/>
          <w:szCs w:val="20"/>
          <w:lang w:eastAsia="fr-FR"/>
        </w:rPr>
        <w:t> </w:t>
      </w:r>
      <w:r>
        <w:rPr>
          <w:lang w:eastAsia="fr-FR"/>
        </w:rPr>
        <w:t xml:space="preserve">| Tél. + 33 1 44 97 31 13| </w:t>
      </w:r>
      <w:hyperlink r:id="rId27" w:history="1">
        <w:r>
          <w:rPr>
            <w:rStyle w:val="Lienhypertexte"/>
            <w:rFonts w:ascii="Arial" w:hAnsi="Arial" w:cs="Arial"/>
            <w:sz w:val="15"/>
            <w:szCs w:val="15"/>
            <w:lang w:eastAsia="fr-FR"/>
          </w:rPr>
          <w:t>jouets.squalpi@finances.gouv.fr</w:t>
        </w:r>
      </w:hyperlink>
      <w:r>
        <w:rPr>
          <w:lang w:eastAsia="fr-FR"/>
        </w:rPr>
        <w:t> | chargée de mission directive sécurité des jouets</w:t>
      </w:r>
    </w:p>
    <w:p w:rsidR="00732F08" w:rsidRDefault="00732F08" w:rsidP="00732F08">
      <w:pPr>
        <w:pStyle w:val="Sansinterligne"/>
        <w:rPr>
          <w:b/>
          <w:bCs/>
          <w:lang w:eastAsia="fr-FR"/>
        </w:rPr>
      </w:pPr>
      <w:r>
        <w:rPr>
          <w:b/>
          <w:bCs/>
          <w:lang w:eastAsia="fr-FR"/>
        </w:rPr>
        <w:t>SQUALPI</w:t>
      </w:r>
      <w:r>
        <w:rPr>
          <w:b/>
          <w:bCs/>
          <w:i/>
          <w:iCs/>
          <w:lang w:eastAsia="fr-FR"/>
        </w:rPr>
        <w:t xml:space="preserve"> </w:t>
      </w:r>
      <w:r>
        <w:rPr>
          <w:b/>
          <w:bCs/>
          <w:lang w:eastAsia="fr-FR"/>
        </w:rPr>
        <w:t>| bureau de la réglementation des produits</w:t>
      </w:r>
    </w:p>
    <w:p w:rsidR="00732F08" w:rsidRDefault="00732F08" w:rsidP="00732F08">
      <w:pPr>
        <w:pStyle w:val="Sansinterligne"/>
        <w:rPr>
          <w:b/>
          <w:bCs/>
          <w:lang w:eastAsia="fr-FR"/>
        </w:rPr>
      </w:pPr>
      <w:r>
        <w:rPr>
          <w:b/>
          <w:bCs/>
          <w:lang w:eastAsia="fr-FR"/>
        </w:rPr>
        <w:t>Direction générale des Entreprises </w:t>
      </w:r>
    </w:p>
    <w:p w:rsidR="00732F08" w:rsidRDefault="00732F08" w:rsidP="00732F08">
      <w:pPr>
        <w:pStyle w:val="Sansinterligne"/>
        <w:rPr>
          <w:b/>
          <w:bCs/>
          <w:lang w:eastAsia="fr-FR"/>
        </w:rPr>
      </w:pPr>
      <w:r>
        <w:rPr>
          <w:b/>
          <w:bCs/>
          <w:lang w:eastAsia="fr-FR"/>
        </w:rPr>
        <w:t>Ministère de l’Economie, de l’Industrie et</w:t>
      </w:r>
      <w:r>
        <w:rPr>
          <w:rFonts w:ascii="Arial Black" w:hAnsi="Arial Black"/>
          <w:b/>
          <w:bCs/>
          <w:lang w:eastAsia="fr-FR"/>
        </w:rPr>
        <w:t xml:space="preserve"> </w:t>
      </w:r>
      <w:r>
        <w:rPr>
          <w:b/>
          <w:bCs/>
          <w:lang w:eastAsia="fr-FR"/>
        </w:rPr>
        <w:t>du</w:t>
      </w:r>
      <w:r>
        <w:rPr>
          <w:rFonts w:ascii="Arial Black" w:hAnsi="Arial Black"/>
          <w:b/>
          <w:bCs/>
          <w:lang w:eastAsia="fr-FR"/>
        </w:rPr>
        <w:t xml:space="preserve"> </w:t>
      </w:r>
      <w:r>
        <w:rPr>
          <w:b/>
          <w:bCs/>
          <w:lang w:eastAsia="fr-FR"/>
        </w:rPr>
        <w:t xml:space="preserve">Numérique </w:t>
      </w:r>
    </w:p>
    <w:p w:rsidR="00732F08" w:rsidRDefault="00732F08" w:rsidP="00732F08">
      <w:pPr>
        <w:pStyle w:val="Sansinterligne"/>
        <w:rPr>
          <w:b/>
          <w:bCs/>
          <w:lang w:eastAsia="fr-FR"/>
        </w:rPr>
      </w:pPr>
      <w:r>
        <w:rPr>
          <w:b/>
          <w:bCs/>
          <w:lang w:eastAsia="fr-FR"/>
        </w:rPr>
        <w:t xml:space="preserve">61, boulevard Vincent Auriol 75 013 Paris - </w:t>
      </w:r>
      <w:proofErr w:type="spellStart"/>
      <w:r>
        <w:rPr>
          <w:b/>
          <w:bCs/>
          <w:lang w:eastAsia="fr-FR"/>
        </w:rPr>
        <w:t>Télédoc</w:t>
      </w:r>
      <w:proofErr w:type="spellEnd"/>
      <w:r>
        <w:rPr>
          <w:b/>
          <w:bCs/>
          <w:lang w:eastAsia="fr-FR"/>
        </w:rPr>
        <w:t xml:space="preserve"> 151 </w:t>
      </w:r>
    </w:p>
    <w:p w:rsidR="00446B4D" w:rsidRPr="00732F08" w:rsidRDefault="00732F08" w:rsidP="00732F08">
      <w:pPr>
        <w:pStyle w:val="Sansinterligne"/>
        <w:rPr>
          <w:sz w:val="18"/>
          <w:szCs w:val="18"/>
          <w:lang w:eastAsia="fr-FR"/>
        </w:rPr>
      </w:pPr>
      <w:hyperlink r:id="rId28" w:history="1">
        <w:r>
          <w:rPr>
            <w:rStyle w:val="Lienhypertexte"/>
            <w:sz w:val="16"/>
            <w:szCs w:val="16"/>
            <w:lang w:eastAsia="fr-FR"/>
          </w:rPr>
          <w:t>http://www.entreprises.gouv.fr/politique-et-enjeux/qualite/securite/secteur-economique-joue</w:t>
        </w:r>
        <w:r>
          <w:rPr>
            <w:rStyle w:val="Lienhypertexte"/>
            <w:sz w:val="18"/>
            <w:szCs w:val="18"/>
            <w:lang w:eastAsia="fr-FR"/>
          </w:rPr>
          <w:t>t</w:t>
        </w:r>
      </w:hyperlink>
      <w:bookmarkStart w:id="13" w:name="_GoBack"/>
      <w:bookmarkEnd w:id="13"/>
      <w:r w:rsidR="005B7D62" w:rsidRPr="00E97CB5">
        <w:rPr>
          <w:rFonts w:eastAsia="Calibri" w:cstheme="minorHAnsi"/>
          <w:bCs/>
          <w:color w:val="002060"/>
        </w:rPr>
        <w:br/>
      </w:r>
      <w:r w:rsidR="005B7D62" w:rsidRPr="00E97CB5">
        <w:rPr>
          <w:rFonts w:eastAsia="Calibri" w:cstheme="minorHAnsi"/>
          <w:color w:val="002060"/>
        </w:rPr>
        <w:br/>
      </w:r>
    </w:p>
    <w:sectPr w:rsidR="00446B4D" w:rsidRPr="00732F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UAlbertina">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A2CDC"/>
    <w:multiLevelType w:val="hybridMultilevel"/>
    <w:tmpl w:val="FF3C404A"/>
    <w:lvl w:ilvl="0" w:tplc="FB6AC4A2">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17FB1E74"/>
    <w:multiLevelType w:val="multilevel"/>
    <w:tmpl w:val="1E5AC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E87DEE"/>
    <w:multiLevelType w:val="hybridMultilevel"/>
    <w:tmpl w:val="3BA46AEC"/>
    <w:lvl w:ilvl="0" w:tplc="36142AB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62"/>
    <w:rsid w:val="00446B4D"/>
    <w:rsid w:val="005B7D62"/>
    <w:rsid w:val="00732F08"/>
    <w:rsid w:val="00E97C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4A17"/>
  <w15:chartTrackingRefBased/>
  <w15:docId w15:val="{F4DCA3F4-8987-484C-BCDF-136AA2C3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B7D62"/>
    <w:rPr>
      <w:color w:val="0563C1"/>
      <w:u w:val="single"/>
    </w:rPr>
  </w:style>
  <w:style w:type="paragraph" w:styleId="NormalWeb">
    <w:name w:val="Normal (Web)"/>
    <w:basedOn w:val="Normal"/>
    <w:uiPriority w:val="99"/>
    <w:unhideWhenUsed/>
    <w:rsid w:val="005B7D62"/>
    <w:pPr>
      <w:spacing w:before="100" w:beforeAutospacing="1" w:after="100" w:afterAutospacing="1" w:line="240" w:lineRule="auto"/>
    </w:pPr>
    <w:rPr>
      <w:rFonts w:ascii="Calibri" w:hAnsi="Calibri" w:cs="Calibri"/>
      <w:lang w:eastAsia="fr-FR"/>
    </w:rPr>
  </w:style>
  <w:style w:type="character" w:styleId="lev">
    <w:name w:val="Strong"/>
    <w:basedOn w:val="Policepardfaut"/>
    <w:uiPriority w:val="22"/>
    <w:qFormat/>
    <w:rsid w:val="005B7D62"/>
    <w:rPr>
      <w:b/>
      <w:bCs/>
    </w:rPr>
  </w:style>
  <w:style w:type="paragraph" w:styleId="Sansinterligne">
    <w:name w:val="No Spacing"/>
    <w:uiPriority w:val="1"/>
    <w:qFormat/>
    <w:rsid w:val="00E97CB5"/>
    <w:pPr>
      <w:spacing w:after="0" w:line="240" w:lineRule="auto"/>
    </w:pPr>
  </w:style>
  <w:style w:type="paragraph" w:customStyle="1" w:styleId="Default">
    <w:name w:val="Default"/>
    <w:basedOn w:val="Normal"/>
    <w:rsid w:val="00E97CB5"/>
    <w:pPr>
      <w:autoSpaceDE w:val="0"/>
      <w:autoSpaceDN w:val="0"/>
      <w:spacing w:after="0" w:line="240" w:lineRule="auto"/>
    </w:pPr>
    <w:rPr>
      <w:rFonts w:ascii="EUAlbertina" w:hAnsi="EUAlbertina" w:cs="Calibri"/>
      <w:color w:val="000000"/>
      <w:sz w:val="24"/>
      <w:szCs w:val="24"/>
    </w:rPr>
  </w:style>
  <w:style w:type="paragraph" w:customStyle="1" w:styleId="CM1">
    <w:name w:val="CM1"/>
    <w:basedOn w:val="Normal"/>
    <w:uiPriority w:val="99"/>
    <w:rsid w:val="00E97CB5"/>
    <w:pPr>
      <w:autoSpaceDE w:val="0"/>
      <w:autoSpaceDN w:val="0"/>
      <w:spacing w:after="0" w:line="240" w:lineRule="auto"/>
    </w:pPr>
    <w:rPr>
      <w:rFonts w:ascii="EUAlbertina" w:hAnsi="EUAlbertina" w:cs="Calibri"/>
      <w:sz w:val="24"/>
      <w:szCs w:val="24"/>
    </w:rPr>
  </w:style>
  <w:style w:type="paragraph" w:styleId="Paragraphedeliste">
    <w:name w:val="List Paragraph"/>
    <w:basedOn w:val="Normal"/>
    <w:uiPriority w:val="34"/>
    <w:qFormat/>
    <w:rsid w:val="00732F08"/>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757035">
      <w:bodyDiv w:val="1"/>
      <w:marLeft w:val="0"/>
      <w:marRight w:val="0"/>
      <w:marTop w:val="0"/>
      <w:marBottom w:val="0"/>
      <w:divBdr>
        <w:top w:val="none" w:sz="0" w:space="0" w:color="auto"/>
        <w:left w:val="none" w:sz="0" w:space="0" w:color="auto"/>
        <w:bottom w:val="none" w:sz="0" w:space="0" w:color="auto"/>
        <w:right w:val="none" w:sz="0" w:space="0" w:color="auto"/>
      </w:divBdr>
    </w:div>
    <w:div w:id="595284479">
      <w:bodyDiv w:val="1"/>
      <w:marLeft w:val="0"/>
      <w:marRight w:val="0"/>
      <w:marTop w:val="0"/>
      <w:marBottom w:val="0"/>
      <w:divBdr>
        <w:top w:val="none" w:sz="0" w:space="0" w:color="auto"/>
        <w:left w:val="none" w:sz="0" w:space="0" w:color="auto"/>
        <w:bottom w:val="none" w:sz="0" w:space="0" w:color="auto"/>
        <w:right w:val="none" w:sz="0" w:space="0" w:color="auto"/>
      </w:divBdr>
    </w:div>
    <w:div w:id="12683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heyer@emitech.fr" TargetMode="External"/><Relationship Id="rId13" Type="http://schemas.openxmlformats.org/officeDocument/2006/relationships/hyperlink" Target="https://een.ec.europa.eu/" TargetMode="External"/><Relationship Id="rId18" Type="http://schemas.openxmlformats.org/officeDocument/2006/relationships/hyperlink" Target="mailto:denis.ollivier@scl.finances.gouv.fr" TargetMode="External"/><Relationship Id="rId26" Type="http://schemas.openxmlformats.org/officeDocument/2006/relationships/hyperlink" Target="mailto:philippe.sou@douane.finances.gouv.fr" TargetMode="External"/><Relationship Id="rId3" Type="http://schemas.openxmlformats.org/officeDocument/2006/relationships/settings" Target="settings.xml"/><Relationship Id="rId21" Type="http://schemas.openxmlformats.org/officeDocument/2006/relationships/hyperlink" Target="mailto:Mathieu.VERNET@scl.finances.gouv.fr" TargetMode="External"/><Relationship Id="rId7" Type="http://schemas.openxmlformats.org/officeDocument/2006/relationships/hyperlink" Target="https://eur-lex.europa.eu/legal-content/FR/TXT/PDF/?uri=CELEX:32011L0065&amp;from=FR" TargetMode="External"/><Relationship Id="rId12" Type="http://schemas.openxmlformats.org/officeDocument/2006/relationships/hyperlink" Target="https://eur-lex.europa.eu/legal-content/FR/TXT/PDF/?uri=OJ:C:2017:298:FULL&amp;from=FR" TargetMode="External"/><Relationship Id="rId17" Type="http://schemas.openxmlformats.org/officeDocument/2006/relationships/hyperlink" Target="mailto:claude.laforge@scl.finances.gouv.fr" TargetMode="External"/><Relationship Id="rId25" Type="http://schemas.openxmlformats.org/officeDocument/2006/relationships/hyperlink" Target="mailto:sarc-pce-pi@douane.finances.gouv.fr" TargetMode="External"/><Relationship Id="rId2" Type="http://schemas.openxmlformats.org/officeDocument/2006/relationships/styles" Target="styles.xml"/><Relationship Id="rId16" Type="http://schemas.openxmlformats.org/officeDocument/2006/relationships/hyperlink" Target="mailto:bertrand.hoareau@scl.finances.gouv.fr" TargetMode="External"/><Relationship Id="rId20" Type="http://schemas.openxmlformats.org/officeDocument/2006/relationships/hyperlink" Target="mailto:tanguy.larher@finances.gouv.f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ur-lex.europa.eu/legal-content/FR/TXT/PDF/?uri=CELEX:32014L0030&amp;from=FR" TargetMode="External"/><Relationship Id="rId11" Type="http://schemas.openxmlformats.org/officeDocument/2006/relationships/hyperlink" Target="relative%20&#224;%20la%20limitation%20de%20l&#8217;utilisation%20de%20certaines%20substances%20dangereuses%20dans%20les%20&#233;quipements%20&#233;lectriques%20et%20&#233;lectroniques" TargetMode="External"/><Relationship Id="rId24" Type="http://schemas.openxmlformats.org/officeDocument/2006/relationships/hyperlink" Target="mailto:caroline.petitcol@douane.finances.gouv.fr" TargetMode="External"/><Relationship Id="rId5" Type="http://schemas.openxmlformats.org/officeDocument/2006/relationships/hyperlink" Target="https://eur-lex.europa.eu/legal-content/FR/TXT/PDF/?uri=CELEX:32014L0035&amp;from=FR" TargetMode="External"/><Relationship Id="rId15" Type="http://schemas.openxmlformats.org/officeDocument/2006/relationships/hyperlink" Target="mailto:alain.francaix@dgccrf.finances.gouv.fr" TargetMode="External"/><Relationship Id="rId23" Type="http://schemas.openxmlformats.org/officeDocument/2006/relationships/hyperlink" Target="mailto:olivier.dujardin@scl.finances.gouv.fr" TargetMode="External"/><Relationship Id="rId28" Type="http://schemas.openxmlformats.org/officeDocument/2006/relationships/hyperlink" Target="http://www.entreprises.gouv.fr/politique-et-enjeux/qualite/securite/secteur-economique-jouet" TargetMode="External"/><Relationship Id="rId10" Type="http://schemas.openxmlformats.org/officeDocument/2006/relationships/hyperlink" Target="http://www.emitech.fr/" TargetMode="External"/><Relationship Id="rId19" Type="http://schemas.openxmlformats.org/officeDocument/2006/relationships/hyperlink" Target="mailto:julie.chateigner@scl.finances.gouv.fr" TargetMode="External"/><Relationship Id="rId4" Type="http://schemas.openxmlformats.org/officeDocument/2006/relationships/webSettings" Target="webSettings.xml"/><Relationship Id="rId9" Type="http://schemas.openxmlformats.org/officeDocument/2006/relationships/hyperlink" Target="mailto:r.gonzalez@emitech.fr" TargetMode="External"/><Relationship Id="rId14" Type="http://schemas.openxmlformats.org/officeDocument/2006/relationships/hyperlink" Target="mailto:Dominique.DEVE@paca.cci.fr" TargetMode="External"/><Relationship Id="rId22" Type="http://schemas.openxmlformats.org/officeDocument/2006/relationships/hyperlink" Target="mailto:nathalie.michel@dgccrf.finances.gouv.fr" TargetMode="External"/><Relationship Id="rId27" Type="http://schemas.openxmlformats.org/officeDocument/2006/relationships/hyperlink" Target="mailto:jouets.squalpi@finances.gouv.fr"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1178</Words>
  <Characters>6483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 Dominique</dc:creator>
  <cp:keywords/>
  <dc:description/>
  <cp:lastModifiedBy>DEVE Dominique</cp:lastModifiedBy>
  <cp:revision>1</cp:revision>
  <dcterms:created xsi:type="dcterms:W3CDTF">2018-11-22T13:50:00Z</dcterms:created>
  <dcterms:modified xsi:type="dcterms:W3CDTF">2018-11-22T14:25:00Z</dcterms:modified>
</cp:coreProperties>
</file>