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22338" w14:textId="77777777" w:rsidR="00DB0986" w:rsidRPr="00DB0986" w:rsidRDefault="00D548D9" w:rsidP="00DB0986">
      <w:pPr>
        <w:spacing w:line="360" w:lineRule="auto"/>
        <w:jc w:val="center"/>
        <w:rPr>
          <w:rFonts w:ascii="Arial" w:hAnsi="Arial"/>
          <w:b/>
          <w:sz w:val="28"/>
        </w:rPr>
      </w:pPr>
      <w:r>
        <w:rPr>
          <w:rFonts w:ascii="Arial" w:hAnsi="Arial"/>
          <w:noProof/>
          <w:sz w:val="28"/>
          <w:lang w:val="en-US"/>
        </w:rPr>
        <w:drawing>
          <wp:anchor distT="0" distB="0" distL="114300" distR="114300" simplePos="0" relativeHeight="251659264" behindDoc="1" locked="0" layoutInCell="1" allowOverlap="1" wp14:anchorId="0D851E1C" wp14:editId="46E0CE32">
            <wp:simplePos x="0" y="0"/>
            <wp:positionH relativeFrom="column">
              <wp:posOffset>5143500</wp:posOffset>
            </wp:positionH>
            <wp:positionV relativeFrom="paragraph">
              <wp:posOffset>-685800</wp:posOffset>
            </wp:positionV>
            <wp:extent cx="1028065" cy="1003935"/>
            <wp:effectExtent l="0" t="0" r="0" b="0"/>
            <wp:wrapNone/>
            <wp:docPr id="2" name="Picture 2" descr="Macintosh HD:Users:eric:Downloads:Logo_Fac_dentaire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Downloads:Logo_Fac_dentaire_rv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065" cy="1003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b/>
          <w:noProof/>
          <w:sz w:val="28"/>
          <w:lang w:val="en-US"/>
        </w:rPr>
        <w:drawing>
          <wp:anchor distT="0" distB="0" distL="114300" distR="114300" simplePos="0" relativeHeight="251658240" behindDoc="1" locked="0" layoutInCell="1" allowOverlap="1" wp14:anchorId="39532C95" wp14:editId="46E2107E">
            <wp:simplePos x="0" y="0"/>
            <wp:positionH relativeFrom="column">
              <wp:posOffset>-914400</wp:posOffset>
            </wp:positionH>
            <wp:positionV relativeFrom="paragraph">
              <wp:posOffset>-685800</wp:posOffset>
            </wp:positionV>
            <wp:extent cx="1743075" cy="800100"/>
            <wp:effectExtent l="0" t="0" r="9525" b="12700"/>
            <wp:wrapNone/>
            <wp:docPr id="1" name="Picture 1" descr="Macintosh HD:Users:eric:Downloads:University_of_Strasbourg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wnloads:University_of_Strasbourg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B0986" w:rsidRPr="00DB0986">
        <w:rPr>
          <w:rFonts w:ascii="Arial" w:hAnsi="Arial"/>
          <w:b/>
          <w:sz w:val="28"/>
        </w:rPr>
        <w:t>UNIVERSITE DE STRASBOURG</w:t>
      </w:r>
    </w:p>
    <w:p w14:paraId="257DF123" w14:textId="77777777" w:rsidR="00DB0986" w:rsidRPr="00DB0986" w:rsidRDefault="00DB0986" w:rsidP="00DB0986">
      <w:pPr>
        <w:spacing w:line="360" w:lineRule="auto"/>
        <w:jc w:val="center"/>
        <w:rPr>
          <w:rFonts w:ascii="Arial" w:hAnsi="Arial"/>
          <w:sz w:val="28"/>
        </w:rPr>
      </w:pPr>
    </w:p>
    <w:p w14:paraId="6B98A4BA" w14:textId="77777777" w:rsidR="00DB0986" w:rsidRPr="00DB0986" w:rsidRDefault="00DB0986" w:rsidP="00DB0986">
      <w:pPr>
        <w:spacing w:line="360" w:lineRule="auto"/>
        <w:jc w:val="center"/>
        <w:rPr>
          <w:rFonts w:ascii="Arial" w:hAnsi="Arial"/>
          <w:sz w:val="28"/>
        </w:rPr>
      </w:pPr>
      <w:r w:rsidRPr="00DB0986">
        <w:rPr>
          <w:rFonts w:ascii="Arial" w:hAnsi="Arial"/>
          <w:sz w:val="28"/>
        </w:rPr>
        <w:t>FACULTE DE CHIRURGIE DENTAIRE</w:t>
      </w:r>
    </w:p>
    <w:p w14:paraId="59F46BAE" w14:textId="77777777" w:rsidR="00DB0986" w:rsidRPr="00DB0986" w:rsidRDefault="00DB0986" w:rsidP="00DB0986">
      <w:pPr>
        <w:spacing w:line="360" w:lineRule="auto"/>
        <w:jc w:val="center"/>
        <w:rPr>
          <w:rFonts w:ascii="Arial" w:hAnsi="Arial"/>
          <w:sz w:val="28"/>
        </w:rPr>
      </w:pPr>
    </w:p>
    <w:p w14:paraId="10D3D2A6" w14:textId="77777777" w:rsidR="00DB0986" w:rsidRDefault="00DB0986" w:rsidP="00DB0986">
      <w:pPr>
        <w:pBdr>
          <w:bottom w:val="single" w:sz="6" w:space="1" w:color="auto"/>
        </w:pBdr>
        <w:spacing w:line="360" w:lineRule="auto"/>
        <w:jc w:val="center"/>
        <w:rPr>
          <w:rFonts w:ascii="Arial" w:hAnsi="Arial"/>
          <w:sz w:val="28"/>
        </w:rPr>
      </w:pPr>
      <w:r w:rsidRPr="00DB0986">
        <w:rPr>
          <w:rFonts w:ascii="Arial" w:hAnsi="Arial"/>
          <w:sz w:val="28"/>
        </w:rPr>
        <w:t xml:space="preserve">Année </w:t>
      </w:r>
      <w:r w:rsidRPr="006466F9">
        <w:rPr>
          <w:rFonts w:ascii="Arial" w:hAnsi="Arial"/>
          <w:sz w:val="32"/>
        </w:rPr>
        <w:t xml:space="preserve">2018 </w:t>
      </w:r>
      <w:r w:rsidRPr="006466F9">
        <w:rPr>
          <w:rFonts w:ascii="Arial" w:hAnsi="Arial"/>
          <w:sz w:val="32"/>
        </w:rPr>
        <w:tab/>
      </w:r>
      <w:r>
        <w:rPr>
          <w:rFonts w:ascii="Arial" w:hAnsi="Arial"/>
          <w:sz w:val="28"/>
        </w:rPr>
        <w:tab/>
      </w:r>
      <w:r>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r>
      <w:r w:rsidRPr="00DB0986">
        <w:rPr>
          <w:rFonts w:ascii="Arial" w:hAnsi="Arial"/>
          <w:sz w:val="28"/>
        </w:rPr>
        <w:tab/>
        <w:t>N°…</w:t>
      </w:r>
    </w:p>
    <w:p w14:paraId="2944D504" w14:textId="77777777" w:rsidR="009A47D9" w:rsidRPr="00DB0986" w:rsidRDefault="009A47D9" w:rsidP="00DB0986">
      <w:pPr>
        <w:spacing w:line="360" w:lineRule="auto"/>
        <w:jc w:val="center"/>
        <w:rPr>
          <w:rFonts w:ascii="Arial" w:hAnsi="Arial"/>
          <w:sz w:val="28"/>
        </w:rPr>
      </w:pPr>
    </w:p>
    <w:p w14:paraId="50ACC275" w14:textId="77777777" w:rsidR="00DB0986" w:rsidRPr="00DB0986" w:rsidRDefault="00DB0986" w:rsidP="00DB0986">
      <w:pPr>
        <w:spacing w:line="360" w:lineRule="auto"/>
        <w:jc w:val="center"/>
        <w:rPr>
          <w:rFonts w:ascii="Arial" w:hAnsi="Arial"/>
          <w:sz w:val="28"/>
        </w:rPr>
      </w:pPr>
    </w:p>
    <w:p w14:paraId="0EACF1B3" w14:textId="77777777" w:rsidR="00DB0986" w:rsidRPr="00DB0986" w:rsidRDefault="00DB0986" w:rsidP="00DB0986">
      <w:pPr>
        <w:spacing w:line="360" w:lineRule="auto"/>
        <w:jc w:val="center"/>
        <w:rPr>
          <w:rFonts w:ascii="Arial" w:hAnsi="Arial"/>
          <w:sz w:val="28"/>
        </w:rPr>
      </w:pPr>
    </w:p>
    <w:p w14:paraId="1BC128C9" w14:textId="77777777" w:rsidR="00DB0986" w:rsidRPr="00DB0986" w:rsidRDefault="00DB0986" w:rsidP="00DB0986">
      <w:pPr>
        <w:spacing w:line="360" w:lineRule="auto"/>
        <w:jc w:val="center"/>
        <w:rPr>
          <w:rFonts w:ascii="Arial" w:hAnsi="Arial"/>
          <w:b/>
          <w:sz w:val="32"/>
        </w:rPr>
      </w:pPr>
      <w:r w:rsidRPr="00DB0986">
        <w:rPr>
          <w:rFonts w:ascii="Arial" w:hAnsi="Arial"/>
          <w:b/>
          <w:sz w:val="32"/>
        </w:rPr>
        <w:t>THESE</w:t>
      </w:r>
    </w:p>
    <w:p w14:paraId="5C4668CE" w14:textId="77777777" w:rsidR="00DB0986" w:rsidRPr="00DB0986" w:rsidRDefault="00DB0986" w:rsidP="00DB0986">
      <w:pPr>
        <w:spacing w:line="360" w:lineRule="auto"/>
        <w:jc w:val="center"/>
        <w:rPr>
          <w:rFonts w:ascii="Arial" w:hAnsi="Arial"/>
          <w:sz w:val="28"/>
        </w:rPr>
      </w:pPr>
      <w:r w:rsidRPr="00DB0986">
        <w:rPr>
          <w:rFonts w:ascii="Arial" w:hAnsi="Arial"/>
          <w:sz w:val="28"/>
        </w:rPr>
        <w:t>Présentée pour le Diplôme d’Etat de Docteur en Chirurgie Dentaire</w:t>
      </w:r>
    </w:p>
    <w:p w14:paraId="142F931C" w14:textId="77777777" w:rsidR="00DB0986" w:rsidRPr="00DB0986" w:rsidRDefault="00D63B6C" w:rsidP="00DB0986">
      <w:pPr>
        <w:spacing w:line="360" w:lineRule="auto"/>
        <w:jc w:val="center"/>
        <w:rPr>
          <w:rFonts w:ascii="Arial" w:hAnsi="Arial"/>
          <w:sz w:val="28"/>
        </w:rPr>
      </w:pPr>
      <w:r>
        <w:rPr>
          <w:rFonts w:ascii="Arial" w:hAnsi="Arial"/>
          <w:sz w:val="28"/>
        </w:rPr>
        <w:t xml:space="preserve">soutenue </w:t>
      </w:r>
      <w:r w:rsidR="00DB0986" w:rsidRPr="00DB0986">
        <w:rPr>
          <w:rFonts w:ascii="Arial" w:hAnsi="Arial"/>
          <w:sz w:val="28"/>
        </w:rPr>
        <w:t>le …</w:t>
      </w:r>
    </w:p>
    <w:p w14:paraId="002B5EB6" w14:textId="77777777" w:rsidR="00DB0986" w:rsidRPr="00DB0986" w:rsidRDefault="00DB0986" w:rsidP="00DB0986">
      <w:pPr>
        <w:spacing w:line="360" w:lineRule="auto"/>
        <w:jc w:val="center"/>
        <w:rPr>
          <w:rFonts w:ascii="Arial" w:hAnsi="Arial"/>
          <w:sz w:val="28"/>
        </w:rPr>
      </w:pPr>
    </w:p>
    <w:p w14:paraId="1ADD0ED0" w14:textId="77777777" w:rsidR="00DB0986" w:rsidRPr="00DB0986" w:rsidRDefault="00DB0986" w:rsidP="00DB0986">
      <w:pPr>
        <w:spacing w:line="360" w:lineRule="auto"/>
        <w:jc w:val="center"/>
        <w:rPr>
          <w:rFonts w:ascii="Arial" w:hAnsi="Arial"/>
          <w:sz w:val="28"/>
        </w:rPr>
      </w:pPr>
      <w:r w:rsidRPr="00DB0986">
        <w:rPr>
          <w:rFonts w:ascii="Arial" w:hAnsi="Arial"/>
          <w:sz w:val="28"/>
        </w:rPr>
        <w:t>par</w:t>
      </w:r>
    </w:p>
    <w:p w14:paraId="2D8DF8DD" w14:textId="77777777" w:rsidR="00DB0986" w:rsidRPr="00DB0986" w:rsidRDefault="00DB0986" w:rsidP="00DB0986">
      <w:pPr>
        <w:spacing w:line="360" w:lineRule="auto"/>
        <w:jc w:val="center"/>
        <w:rPr>
          <w:rFonts w:ascii="Arial" w:hAnsi="Arial"/>
          <w:sz w:val="28"/>
        </w:rPr>
      </w:pPr>
    </w:p>
    <w:p w14:paraId="3A90FA19" w14:textId="77777777" w:rsidR="00DB0986" w:rsidRPr="00DB0986" w:rsidRDefault="00DB0986" w:rsidP="00DB0986">
      <w:pPr>
        <w:spacing w:line="360" w:lineRule="auto"/>
        <w:jc w:val="center"/>
        <w:rPr>
          <w:rFonts w:ascii="Arial" w:hAnsi="Arial"/>
          <w:b/>
          <w:sz w:val="32"/>
        </w:rPr>
      </w:pPr>
      <w:r w:rsidRPr="00DB0986">
        <w:rPr>
          <w:rFonts w:ascii="Arial" w:hAnsi="Arial"/>
          <w:b/>
          <w:sz w:val="32"/>
        </w:rPr>
        <w:t>LARDERET Alexia</w:t>
      </w:r>
    </w:p>
    <w:p w14:paraId="66D75351" w14:textId="77777777" w:rsidR="00DB0986" w:rsidRPr="00DB0986" w:rsidRDefault="00DB0986" w:rsidP="00DB0986">
      <w:pPr>
        <w:spacing w:line="360" w:lineRule="auto"/>
        <w:jc w:val="center"/>
        <w:rPr>
          <w:rFonts w:ascii="Arial" w:hAnsi="Arial"/>
          <w:sz w:val="28"/>
        </w:rPr>
      </w:pPr>
    </w:p>
    <w:p w14:paraId="6DA43A24" w14:textId="77777777" w:rsidR="00DB0986" w:rsidRPr="00DB0986" w:rsidRDefault="00DB0986" w:rsidP="00DB0986">
      <w:pPr>
        <w:spacing w:line="360" w:lineRule="auto"/>
        <w:jc w:val="center"/>
        <w:rPr>
          <w:rFonts w:ascii="Arial" w:hAnsi="Arial"/>
          <w:sz w:val="28"/>
        </w:rPr>
      </w:pPr>
      <w:r w:rsidRPr="00DB0986">
        <w:rPr>
          <w:rFonts w:ascii="Arial" w:hAnsi="Arial"/>
          <w:sz w:val="28"/>
        </w:rPr>
        <w:t>née de 14/10/1993 à Dijon</w:t>
      </w:r>
    </w:p>
    <w:p w14:paraId="5057709C" w14:textId="77777777" w:rsidR="00DB0986" w:rsidRPr="00DB0986" w:rsidRDefault="00DB0986" w:rsidP="00DB0986">
      <w:pPr>
        <w:spacing w:line="360" w:lineRule="auto"/>
        <w:jc w:val="center"/>
        <w:rPr>
          <w:rFonts w:ascii="Arial" w:hAnsi="Arial"/>
          <w:sz w:val="28"/>
        </w:rPr>
      </w:pPr>
    </w:p>
    <w:p w14:paraId="4588027D" w14:textId="77777777" w:rsidR="00DB0986" w:rsidRPr="00DB0986" w:rsidRDefault="00DB0986" w:rsidP="00DB0986">
      <w:pPr>
        <w:pBdr>
          <w:top w:val="single" w:sz="4" w:space="1" w:color="auto"/>
          <w:left w:val="single" w:sz="4" w:space="4" w:color="auto"/>
          <w:bottom w:val="single" w:sz="4" w:space="1" w:color="auto"/>
          <w:right w:val="single" w:sz="4" w:space="4" w:color="auto"/>
        </w:pBdr>
        <w:spacing w:line="360" w:lineRule="auto"/>
        <w:jc w:val="center"/>
        <w:rPr>
          <w:rFonts w:ascii="Arial" w:hAnsi="Arial"/>
          <w:b/>
          <w:sz w:val="32"/>
        </w:rPr>
      </w:pPr>
      <w:r w:rsidRPr="00DB0986">
        <w:rPr>
          <w:rFonts w:ascii="Arial" w:hAnsi="Arial"/>
          <w:b/>
          <w:sz w:val="32"/>
        </w:rPr>
        <w:t>MODULATION DE LA REPONSE INFLAMMATOIRE EN PARODONTOLOGIE : UNE NOUVELLE APPROCHE THERAPEUTIQUE</w:t>
      </w:r>
    </w:p>
    <w:p w14:paraId="0DD44BE1" w14:textId="77777777" w:rsidR="00DB0986" w:rsidRPr="00DB0986" w:rsidRDefault="00DB0986" w:rsidP="00DB0986">
      <w:pPr>
        <w:spacing w:line="360" w:lineRule="auto"/>
        <w:jc w:val="center"/>
        <w:rPr>
          <w:rFonts w:ascii="Arial" w:hAnsi="Arial"/>
          <w:sz w:val="28"/>
        </w:rPr>
      </w:pPr>
    </w:p>
    <w:p w14:paraId="246FC1BE" w14:textId="77777777" w:rsidR="00DB0986" w:rsidRDefault="00DB0986" w:rsidP="00DB0986">
      <w:pPr>
        <w:spacing w:line="360" w:lineRule="auto"/>
        <w:rPr>
          <w:rFonts w:ascii="Arial" w:hAnsi="Arial"/>
          <w:sz w:val="28"/>
        </w:rPr>
      </w:pPr>
    </w:p>
    <w:p w14:paraId="6E68690B" w14:textId="77777777" w:rsidR="00DB0986" w:rsidRPr="00DB0986" w:rsidRDefault="00DB0986" w:rsidP="00DB0986">
      <w:pPr>
        <w:spacing w:line="360" w:lineRule="auto"/>
        <w:rPr>
          <w:rFonts w:ascii="Arial" w:hAnsi="Arial"/>
          <w:sz w:val="28"/>
        </w:rPr>
      </w:pPr>
      <w:r w:rsidRPr="00DB0986">
        <w:rPr>
          <w:rFonts w:ascii="Arial" w:hAnsi="Arial"/>
          <w:sz w:val="28"/>
        </w:rPr>
        <w:t>Président : Professeur Olivier HUCK</w:t>
      </w:r>
    </w:p>
    <w:p w14:paraId="3692AEBA" w14:textId="77777777" w:rsidR="00DB0986" w:rsidRPr="00DB0986" w:rsidRDefault="00DB0986" w:rsidP="00DB0986">
      <w:pPr>
        <w:spacing w:line="360" w:lineRule="auto"/>
        <w:rPr>
          <w:rFonts w:ascii="Arial" w:hAnsi="Arial"/>
          <w:sz w:val="28"/>
        </w:rPr>
      </w:pPr>
      <w:r w:rsidRPr="00DB0986">
        <w:rPr>
          <w:rFonts w:ascii="Arial" w:hAnsi="Arial"/>
          <w:sz w:val="28"/>
        </w:rPr>
        <w:t xml:space="preserve">Assesseurs : </w:t>
      </w:r>
      <w:r w:rsidRPr="00DB0986">
        <w:rPr>
          <w:rFonts w:ascii="Arial" w:hAnsi="Arial"/>
          <w:sz w:val="28"/>
          <w:u w:val="single"/>
        </w:rPr>
        <w:t>Professeur Olivier HUCK</w:t>
      </w:r>
    </w:p>
    <w:p w14:paraId="3445E66B" w14:textId="77777777" w:rsidR="00DB0986" w:rsidRPr="00DB0986" w:rsidRDefault="00DB0986" w:rsidP="00DB0986">
      <w:pPr>
        <w:spacing w:line="360" w:lineRule="auto"/>
        <w:ind w:left="1701"/>
        <w:rPr>
          <w:rFonts w:ascii="Arial" w:hAnsi="Arial"/>
          <w:sz w:val="28"/>
        </w:rPr>
      </w:pPr>
      <w:r w:rsidRPr="00DB0986">
        <w:rPr>
          <w:rFonts w:ascii="Arial" w:hAnsi="Arial"/>
          <w:sz w:val="28"/>
        </w:rPr>
        <w:t>Docteur François CLAUSS</w:t>
      </w:r>
    </w:p>
    <w:p w14:paraId="78A57055" w14:textId="77777777" w:rsidR="006466F9" w:rsidRDefault="00DB0986" w:rsidP="006466F9">
      <w:pPr>
        <w:spacing w:line="360" w:lineRule="auto"/>
        <w:ind w:left="1701"/>
        <w:rPr>
          <w:rFonts w:ascii="Arial" w:hAnsi="Arial"/>
          <w:sz w:val="28"/>
        </w:rPr>
      </w:pPr>
      <w:r w:rsidRPr="00DB0986">
        <w:rPr>
          <w:rFonts w:ascii="Arial" w:hAnsi="Arial"/>
          <w:sz w:val="28"/>
        </w:rPr>
        <w:t>Docteur Florence FIORETTI</w:t>
      </w:r>
    </w:p>
    <w:p w14:paraId="7DD3686F" w14:textId="690E4EBF" w:rsidR="009A47D9" w:rsidRDefault="00E158A2" w:rsidP="00E158A2">
      <w:pPr>
        <w:spacing w:line="360" w:lineRule="auto"/>
        <w:ind w:left="1701"/>
        <w:rPr>
          <w:rFonts w:ascii="Arial" w:hAnsi="Arial"/>
          <w:sz w:val="28"/>
        </w:rPr>
      </w:pPr>
      <w:r>
        <w:rPr>
          <w:rFonts w:ascii="Arial" w:hAnsi="Arial"/>
          <w:sz w:val="28"/>
        </w:rPr>
        <w:t>Docteur Catherine PETIT</w:t>
      </w:r>
    </w:p>
    <w:p w14:paraId="644D8CBA" w14:textId="0E1C9E1B" w:rsidR="00947792" w:rsidRPr="00947792" w:rsidRDefault="006466F9" w:rsidP="00947792">
      <w:pPr>
        <w:pBdr>
          <w:bottom w:val="single" w:sz="6" w:space="1" w:color="auto"/>
        </w:pBdr>
        <w:spacing w:line="360" w:lineRule="auto"/>
        <w:jc w:val="center"/>
        <w:rPr>
          <w:rFonts w:ascii="Arial" w:hAnsi="Arial"/>
          <w:b/>
          <w:sz w:val="28"/>
        </w:rPr>
      </w:pPr>
      <w:r w:rsidRPr="009A47D9">
        <w:rPr>
          <w:rFonts w:ascii="Arial" w:hAnsi="Arial"/>
          <w:b/>
          <w:sz w:val="28"/>
        </w:rPr>
        <w:lastRenderedPageBreak/>
        <w:t>S</w:t>
      </w:r>
      <w:r w:rsidR="00827194" w:rsidRPr="009A47D9">
        <w:rPr>
          <w:rFonts w:ascii="Arial" w:hAnsi="Arial"/>
          <w:b/>
          <w:sz w:val="28"/>
        </w:rPr>
        <w:t>OMMAIRE</w:t>
      </w:r>
    </w:p>
    <w:p w14:paraId="3B25A9A8" w14:textId="77777777" w:rsidR="0094071B" w:rsidRDefault="0094071B">
      <w:pPr>
        <w:pStyle w:val="TOC1"/>
        <w:tabs>
          <w:tab w:val="left" w:pos="368"/>
          <w:tab w:val="right" w:leader="dot" w:pos="8290"/>
        </w:tabs>
        <w:rPr>
          <w:b w:val="0"/>
          <w:caps w:val="0"/>
          <w:noProof/>
          <w:sz w:val="24"/>
          <w:szCs w:val="24"/>
          <w:lang w:eastAsia="ja-JP"/>
        </w:rPr>
      </w:pPr>
      <w:r>
        <w:rPr>
          <w:rFonts w:ascii="Arial" w:hAnsi="Arial"/>
          <w:sz w:val="28"/>
        </w:rPr>
        <w:fldChar w:fldCharType="begin"/>
      </w:r>
      <w:r>
        <w:rPr>
          <w:rFonts w:ascii="Arial" w:hAnsi="Arial"/>
          <w:sz w:val="28"/>
        </w:rPr>
        <w:instrText xml:space="preserve"> TOC \t "Style1;1;Style2;2;Style3;3" </w:instrText>
      </w:r>
      <w:r>
        <w:rPr>
          <w:rFonts w:ascii="Arial" w:hAnsi="Arial"/>
          <w:sz w:val="28"/>
        </w:rPr>
        <w:fldChar w:fldCharType="separate"/>
      </w:r>
      <w:r>
        <w:rPr>
          <w:noProof/>
        </w:rPr>
        <w:t>I.</w:t>
      </w:r>
      <w:r>
        <w:rPr>
          <w:b w:val="0"/>
          <w:caps w:val="0"/>
          <w:noProof/>
          <w:sz w:val="24"/>
          <w:szCs w:val="24"/>
          <w:lang w:eastAsia="ja-JP"/>
        </w:rPr>
        <w:tab/>
      </w:r>
      <w:r>
        <w:rPr>
          <w:noProof/>
        </w:rPr>
        <w:t>INTRODUCTION</w:t>
      </w:r>
      <w:r>
        <w:rPr>
          <w:noProof/>
        </w:rPr>
        <w:tab/>
      </w:r>
      <w:r>
        <w:rPr>
          <w:noProof/>
        </w:rPr>
        <w:fldChar w:fldCharType="begin"/>
      </w:r>
      <w:r>
        <w:rPr>
          <w:noProof/>
        </w:rPr>
        <w:instrText xml:space="preserve"> PAGEREF _Toc384826787 \h </w:instrText>
      </w:r>
      <w:r>
        <w:rPr>
          <w:noProof/>
        </w:rPr>
      </w:r>
      <w:r>
        <w:rPr>
          <w:noProof/>
        </w:rPr>
        <w:fldChar w:fldCharType="separate"/>
      </w:r>
      <w:r>
        <w:rPr>
          <w:noProof/>
        </w:rPr>
        <w:t>7</w:t>
      </w:r>
      <w:r>
        <w:rPr>
          <w:noProof/>
        </w:rPr>
        <w:fldChar w:fldCharType="end"/>
      </w:r>
    </w:p>
    <w:p w14:paraId="2EEA5624"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La parodontite</w:t>
      </w:r>
      <w:r>
        <w:rPr>
          <w:noProof/>
        </w:rPr>
        <w:tab/>
      </w:r>
      <w:r>
        <w:rPr>
          <w:noProof/>
        </w:rPr>
        <w:fldChar w:fldCharType="begin"/>
      </w:r>
      <w:r>
        <w:rPr>
          <w:noProof/>
        </w:rPr>
        <w:instrText xml:space="preserve"> PAGEREF _Toc384826788 \h </w:instrText>
      </w:r>
      <w:r>
        <w:rPr>
          <w:noProof/>
        </w:rPr>
      </w:r>
      <w:r>
        <w:rPr>
          <w:noProof/>
        </w:rPr>
        <w:fldChar w:fldCharType="separate"/>
      </w:r>
      <w:r>
        <w:rPr>
          <w:noProof/>
        </w:rPr>
        <w:t>8</w:t>
      </w:r>
      <w:r>
        <w:rPr>
          <w:noProof/>
        </w:rPr>
        <w:fldChar w:fldCharType="end"/>
      </w:r>
    </w:p>
    <w:p w14:paraId="6EF7812F"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Thérapeutiques conventionnelles</w:t>
      </w:r>
      <w:r>
        <w:rPr>
          <w:noProof/>
        </w:rPr>
        <w:tab/>
      </w:r>
      <w:r>
        <w:rPr>
          <w:noProof/>
        </w:rPr>
        <w:fldChar w:fldCharType="begin"/>
      </w:r>
      <w:r>
        <w:rPr>
          <w:noProof/>
        </w:rPr>
        <w:instrText xml:space="preserve"> PAGEREF _Toc384826789 \h </w:instrText>
      </w:r>
      <w:r>
        <w:rPr>
          <w:noProof/>
        </w:rPr>
      </w:r>
      <w:r>
        <w:rPr>
          <w:noProof/>
        </w:rPr>
        <w:fldChar w:fldCharType="separate"/>
      </w:r>
      <w:r>
        <w:rPr>
          <w:noProof/>
        </w:rPr>
        <w:t>9</w:t>
      </w:r>
      <w:r>
        <w:rPr>
          <w:noProof/>
        </w:rPr>
        <w:fldChar w:fldCharType="end"/>
      </w:r>
    </w:p>
    <w:p w14:paraId="2823EDAC"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Notion de régénération parodontale</w:t>
      </w:r>
      <w:r>
        <w:rPr>
          <w:noProof/>
        </w:rPr>
        <w:tab/>
      </w:r>
      <w:r>
        <w:rPr>
          <w:noProof/>
        </w:rPr>
        <w:fldChar w:fldCharType="begin"/>
      </w:r>
      <w:r>
        <w:rPr>
          <w:noProof/>
        </w:rPr>
        <w:instrText xml:space="preserve"> PAGEREF _Toc384826790 \h </w:instrText>
      </w:r>
      <w:r>
        <w:rPr>
          <w:noProof/>
        </w:rPr>
      </w:r>
      <w:r>
        <w:rPr>
          <w:noProof/>
        </w:rPr>
        <w:fldChar w:fldCharType="separate"/>
      </w:r>
      <w:r>
        <w:rPr>
          <w:noProof/>
        </w:rPr>
        <w:t>10</w:t>
      </w:r>
      <w:r>
        <w:rPr>
          <w:noProof/>
        </w:rPr>
        <w:fldChar w:fldCharType="end"/>
      </w:r>
    </w:p>
    <w:p w14:paraId="0561B43B" w14:textId="77777777" w:rsidR="0094071B" w:rsidRDefault="0094071B">
      <w:pPr>
        <w:pStyle w:val="TOC1"/>
        <w:tabs>
          <w:tab w:val="left" w:pos="445"/>
          <w:tab w:val="right" w:leader="dot" w:pos="8290"/>
        </w:tabs>
        <w:rPr>
          <w:b w:val="0"/>
          <w:caps w:val="0"/>
          <w:noProof/>
          <w:sz w:val="24"/>
          <w:szCs w:val="24"/>
          <w:lang w:eastAsia="ja-JP"/>
        </w:rPr>
      </w:pPr>
      <w:r>
        <w:rPr>
          <w:noProof/>
        </w:rPr>
        <w:t>II.</w:t>
      </w:r>
      <w:r>
        <w:rPr>
          <w:b w:val="0"/>
          <w:caps w:val="0"/>
          <w:noProof/>
          <w:sz w:val="24"/>
          <w:szCs w:val="24"/>
          <w:lang w:eastAsia="ja-JP"/>
        </w:rPr>
        <w:tab/>
      </w:r>
      <w:r>
        <w:rPr>
          <w:noProof/>
        </w:rPr>
        <w:t>LA CICATRISATION PARODONTALE</w:t>
      </w:r>
      <w:r>
        <w:rPr>
          <w:noProof/>
        </w:rPr>
        <w:tab/>
      </w:r>
      <w:r>
        <w:rPr>
          <w:noProof/>
        </w:rPr>
        <w:fldChar w:fldCharType="begin"/>
      </w:r>
      <w:r>
        <w:rPr>
          <w:noProof/>
        </w:rPr>
        <w:instrText xml:space="preserve"> PAGEREF _Toc384826791 \h </w:instrText>
      </w:r>
      <w:r>
        <w:rPr>
          <w:noProof/>
        </w:rPr>
      </w:r>
      <w:r>
        <w:rPr>
          <w:noProof/>
        </w:rPr>
        <w:fldChar w:fldCharType="separate"/>
      </w:r>
      <w:r>
        <w:rPr>
          <w:noProof/>
        </w:rPr>
        <w:t>12</w:t>
      </w:r>
      <w:r>
        <w:rPr>
          <w:noProof/>
        </w:rPr>
        <w:fldChar w:fldCharType="end"/>
      </w:r>
    </w:p>
    <w:p w14:paraId="104BFF9F"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_Toc384826792 \h </w:instrText>
      </w:r>
      <w:r>
        <w:rPr>
          <w:noProof/>
        </w:rPr>
      </w:r>
      <w:r>
        <w:rPr>
          <w:noProof/>
        </w:rPr>
        <w:fldChar w:fldCharType="separate"/>
      </w:r>
      <w:r>
        <w:rPr>
          <w:noProof/>
        </w:rPr>
        <w:t>13</w:t>
      </w:r>
      <w:r>
        <w:rPr>
          <w:noProof/>
        </w:rPr>
        <w:fldChar w:fldCharType="end"/>
      </w:r>
    </w:p>
    <w:p w14:paraId="4E9A357A"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Voies moléculaires de la cicatrisation parodontale</w:t>
      </w:r>
      <w:r>
        <w:rPr>
          <w:noProof/>
        </w:rPr>
        <w:tab/>
      </w:r>
      <w:r>
        <w:rPr>
          <w:noProof/>
        </w:rPr>
        <w:fldChar w:fldCharType="begin"/>
      </w:r>
      <w:r>
        <w:rPr>
          <w:noProof/>
        </w:rPr>
        <w:instrText xml:space="preserve"> PAGEREF _Toc384826793 \h </w:instrText>
      </w:r>
      <w:r>
        <w:rPr>
          <w:noProof/>
        </w:rPr>
      </w:r>
      <w:r>
        <w:rPr>
          <w:noProof/>
        </w:rPr>
        <w:fldChar w:fldCharType="separate"/>
      </w:r>
      <w:r>
        <w:rPr>
          <w:noProof/>
        </w:rPr>
        <w:t>13</w:t>
      </w:r>
      <w:r>
        <w:rPr>
          <w:noProof/>
        </w:rPr>
        <w:fldChar w:fldCharType="end"/>
      </w:r>
    </w:p>
    <w:p w14:paraId="0D026470"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La cicatrisation orale : un exemple de rapidité et d’efficacité</w:t>
      </w:r>
      <w:r>
        <w:rPr>
          <w:noProof/>
        </w:rPr>
        <w:tab/>
      </w:r>
      <w:r>
        <w:rPr>
          <w:noProof/>
        </w:rPr>
        <w:fldChar w:fldCharType="begin"/>
      </w:r>
      <w:r>
        <w:rPr>
          <w:noProof/>
        </w:rPr>
        <w:instrText xml:space="preserve"> PAGEREF _Toc384826794 \h </w:instrText>
      </w:r>
      <w:r>
        <w:rPr>
          <w:noProof/>
        </w:rPr>
      </w:r>
      <w:r>
        <w:rPr>
          <w:noProof/>
        </w:rPr>
        <w:fldChar w:fldCharType="separate"/>
      </w:r>
      <w:r>
        <w:rPr>
          <w:noProof/>
        </w:rPr>
        <w:t>16</w:t>
      </w:r>
      <w:r>
        <w:rPr>
          <w:noProof/>
        </w:rPr>
        <w:fldChar w:fldCharType="end"/>
      </w:r>
    </w:p>
    <w:p w14:paraId="2FD3CB5F" w14:textId="77777777" w:rsidR="0094071B" w:rsidRDefault="0094071B">
      <w:pPr>
        <w:pStyle w:val="TOC1"/>
        <w:tabs>
          <w:tab w:val="left" w:pos="522"/>
          <w:tab w:val="right" w:leader="dot" w:pos="8290"/>
        </w:tabs>
        <w:rPr>
          <w:b w:val="0"/>
          <w:caps w:val="0"/>
          <w:noProof/>
          <w:sz w:val="24"/>
          <w:szCs w:val="24"/>
          <w:lang w:eastAsia="ja-JP"/>
        </w:rPr>
      </w:pPr>
      <w:r>
        <w:rPr>
          <w:noProof/>
        </w:rPr>
        <w:t>III.</w:t>
      </w:r>
      <w:r>
        <w:rPr>
          <w:b w:val="0"/>
          <w:caps w:val="0"/>
          <w:noProof/>
          <w:sz w:val="24"/>
          <w:szCs w:val="24"/>
          <w:lang w:eastAsia="ja-JP"/>
        </w:rPr>
        <w:tab/>
      </w:r>
      <w:r>
        <w:rPr>
          <w:noProof/>
        </w:rPr>
        <w:t>LES ANTI-CYTOKINES</w:t>
      </w:r>
      <w:r>
        <w:rPr>
          <w:noProof/>
        </w:rPr>
        <w:tab/>
      </w:r>
      <w:r>
        <w:rPr>
          <w:noProof/>
        </w:rPr>
        <w:fldChar w:fldCharType="begin"/>
      </w:r>
      <w:r>
        <w:rPr>
          <w:noProof/>
        </w:rPr>
        <w:instrText xml:space="preserve"> PAGEREF _Toc384826795 \h </w:instrText>
      </w:r>
      <w:r>
        <w:rPr>
          <w:noProof/>
        </w:rPr>
      </w:r>
      <w:r>
        <w:rPr>
          <w:noProof/>
        </w:rPr>
        <w:fldChar w:fldCharType="separate"/>
      </w:r>
      <w:r>
        <w:rPr>
          <w:noProof/>
        </w:rPr>
        <w:t>19</w:t>
      </w:r>
      <w:r>
        <w:rPr>
          <w:noProof/>
        </w:rPr>
        <w:fldChar w:fldCharType="end"/>
      </w:r>
    </w:p>
    <w:p w14:paraId="6B2DB534"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Rôles spécifiques des cytokines dans la cicatrisation parodontale</w:t>
      </w:r>
      <w:r>
        <w:rPr>
          <w:noProof/>
        </w:rPr>
        <w:tab/>
      </w:r>
      <w:r>
        <w:rPr>
          <w:noProof/>
        </w:rPr>
        <w:fldChar w:fldCharType="begin"/>
      </w:r>
      <w:r>
        <w:rPr>
          <w:noProof/>
        </w:rPr>
        <w:instrText xml:space="preserve"> PAGEREF _Toc384826796 \h </w:instrText>
      </w:r>
      <w:r>
        <w:rPr>
          <w:noProof/>
        </w:rPr>
      </w:r>
      <w:r>
        <w:rPr>
          <w:noProof/>
        </w:rPr>
        <w:fldChar w:fldCharType="separate"/>
      </w:r>
      <w:r>
        <w:rPr>
          <w:noProof/>
        </w:rPr>
        <w:t>19</w:t>
      </w:r>
      <w:r>
        <w:rPr>
          <w:noProof/>
        </w:rPr>
        <w:fldChar w:fldCharType="end"/>
      </w:r>
    </w:p>
    <w:p w14:paraId="538D86D9"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TNF-α et IL-1</w:t>
      </w:r>
      <w:r>
        <w:rPr>
          <w:noProof/>
        </w:rPr>
        <w:tab/>
      </w:r>
      <w:r>
        <w:rPr>
          <w:noProof/>
        </w:rPr>
        <w:fldChar w:fldCharType="begin"/>
      </w:r>
      <w:r>
        <w:rPr>
          <w:noProof/>
        </w:rPr>
        <w:instrText xml:space="preserve"> PAGEREF _Toc384826797 \h </w:instrText>
      </w:r>
      <w:r>
        <w:rPr>
          <w:noProof/>
        </w:rPr>
      </w:r>
      <w:r>
        <w:rPr>
          <w:noProof/>
        </w:rPr>
        <w:fldChar w:fldCharType="separate"/>
      </w:r>
      <w:r>
        <w:rPr>
          <w:noProof/>
        </w:rPr>
        <w:t>19</w:t>
      </w:r>
      <w:r>
        <w:rPr>
          <w:noProof/>
        </w:rPr>
        <w:fldChar w:fldCharType="end"/>
      </w:r>
    </w:p>
    <w:p w14:paraId="777B0F8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IL-6</w:t>
      </w:r>
      <w:r>
        <w:rPr>
          <w:noProof/>
        </w:rPr>
        <w:tab/>
      </w:r>
      <w:r>
        <w:rPr>
          <w:noProof/>
        </w:rPr>
        <w:fldChar w:fldCharType="begin"/>
      </w:r>
      <w:r>
        <w:rPr>
          <w:noProof/>
        </w:rPr>
        <w:instrText xml:space="preserve"> PAGEREF _Toc384826798 \h </w:instrText>
      </w:r>
      <w:r>
        <w:rPr>
          <w:noProof/>
        </w:rPr>
      </w:r>
      <w:r>
        <w:rPr>
          <w:noProof/>
        </w:rPr>
        <w:fldChar w:fldCharType="separate"/>
      </w:r>
      <w:r>
        <w:rPr>
          <w:noProof/>
        </w:rPr>
        <w:t>20</w:t>
      </w:r>
      <w:r>
        <w:rPr>
          <w:noProof/>
        </w:rPr>
        <w:fldChar w:fldCharType="end"/>
      </w:r>
    </w:p>
    <w:p w14:paraId="470F2F3E"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TGF-β</w:t>
      </w:r>
      <w:r>
        <w:rPr>
          <w:noProof/>
        </w:rPr>
        <w:tab/>
      </w:r>
      <w:r>
        <w:rPr>
          <w:noProof/>
        </w:rPr>
        <w:fldChar w:fldCharType="begin"/>
      </w:r>
      <w:r>
        <w:rPr>
          <w:noProof/>
        </w:rPr>
        <w:instrText xml:space="preserve"> PAGEREF _Toc384826799 \h </w:instrText>
      </w:r>
      <w:r>
        <w:rPr>
          <w:noProof/>
        </w:rPr>
      </w:r>
      <w:r>
        <w:rPr>
          <w:noProof/>
        </w:rPr>
        <w:fldChar w:fldCharType="separate"/>
      </w:r>
      <w:r>
        <w:rPr>
          <w:noProof/>
        </w:rPr>
        <w:t>21</w:t>
      </w:r>
      <w:r>
        <w:rPr>
          <w:noProof/>
        </w:rPr>
        <w:fldChar w:fldCharType="end"/>
      </w:r>
    </w:p>
    <w:p w14:paraId="2C9433C4"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Cytokines et maladies inflammatoires</w:t>
      </w:r>
      <w:r>
        <w:rPr>
          <w:noProof/>
        </w:rPr>
        <w:tab/>
      </w:r>
      <w:r>
        <w:rPr>
          <w:noProof/>
        </w:rPr>
        <w:fldChar w:fldCharType="begin"/>
      </w:r>
      <w:r>
        <w:rPr>
          <w:noProof/>
        </w:rPr>
        <w:instrText xml:space="preserve"> PAGEREF _Toc384826800 \h </w:instrText>
      </w:r>
      <w:r>
        <w:rPr>
          <w:noProof/>
        </w:rPr>
      </w:r>
      <w:r>
        <w:rPr>
          <w:noProof/>
        </w:rPr>
        <w:fldChar w:fldCharType="separate"/>
      </w:r>
      <w:r>
        <w:rPr>
          <w:noProof/>
        </w:rPr>
        <w:t>23</w:t>
      </w:r>
      <w:r>
        <w:rPr>
          <w:noProof/>
        </w:rPr>
        <w:fldChar w:fldCharType="end"/>
      </w:r>
    </w:p>
    <w:p w14:paraId="4C92C2AA"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La thérapie aux anti-cytokines</w:t>
      </w:r>
      <w:r>
        <w:rPr>
          <w:noProof/>
        </w:rPr>
        <w:tab/>
      </w:r>
      <w:r>
        <w:rPr>
          <w:noProof/>
        </w:rPr>
        <w:fldChar w:fldCharType="begin"/>
      </w:r>
      <w:r>
        <w:rPr>
          <w:noProof/>
        </w:rPr>
        <w:instrText xml:space="preserve"> PAGEREF _Toc384826801 \h </w:instrText>
      </w:r>
      <w:r>
        <w:rPr>
          <w:noProof/>
        </w:rPr>
      </w:r>
      <w:r>
        <w:rPr>
          <w:noProof/>
        </w:rPr>
        <w:fldChar w:fldCharType="separate"/>
      </w:r>
      <w:r>
        <w:rPr>
          <w:noProof/>
        </w:rPr>
        <w:t>24</w:t>
      </w:r>
      <w:r>
        <w:rPr>
          <w:noProof/>
        </w:rPr>
        <w:fldChar w:fldCharType="end"/>
      </w:r>
    </w:p>
    <w:p w14:paraId="3542D324"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Anti-cytokines et maladies auto-immunes</w:t>
      </w:r>
      <w:r>
        <w:rPr>
          <w:noProof/>
        </w:rPr>
        <w:tab/>
      </w:r>
      <w:r>
        <w:rPr>
          <w:noProof/>
        </w:rPr>
        <w:fldChar w:fldCharType="begin"/>
      </w:r>
      <w:r>
        <w:rPr>
          <w:noProof/>
        </w:rPr>
        <w:instrText xml:space="preserve"> PAGEREF _Toc384826802 \h </w:instrText>
      </w:r>
      <w:r>
        <w:rPr>
          <w:noProof/>
        </w:rPr>
      </w:r>
      <w:r>
        <w:rPr>
          <w:noProof/>
        </w:rPr>
        <w:fldChar w:fldCharType="separate"/>
      </w:r>
      <w:r>
        <w:rPr>
          <w:noProof/>
        </w:rPr>
        <w:t>24</w:t>
      </w:r>
      <w:r>
        <w:rPr>
          <w:noProof/>
        </w:rPr>
        <w:fldChar w:fldCharType="end"/>
      </w:r>
    </w:p>
    <w:p w14:paraId="5FAAEEAF"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Limites des anti-cytokines</w:t>
      </w:r>
      <w:r>
        <w:rPr>
          <w:noProof/>
        </w:rPr>
        <w:tab/>
      </w:r>
      <w:r>
        <w:rPr>
          <w:noProof/>
        </w:rPr>
        <w:fldChar w:fldCharType="begin"/>
      </w:r>
      <w:r>
        <w:rPr>
          <w:noProof/>
        </w:rPr>
        <w:instrText xml:space="preserve"> PAGEREF _Toc384826803 \h </w:instrText>
      </w:r>
      <w:r>
        <w:rPr>
          <w:noProof/>
        </w:rPr>
      </w:r>
      <w:r>
        <w:rPr>
          <w:noProof/>
        </w:rPr>
        <w:fldChar w:fldCharType="separate"/>
      </w:r>
      <w:r>
        <w:rPr>
          <w:noProof/>
        </w:rPr>
        <w:t>25</w:t>
      </w:r>
      <w:r>
        <w:rPr>
          <w:noProof/>
        </w:rPr>
        <w:fldChar w:fldCharType="end"/>
      </w:r>
    </w:p>
    <w:p w14:paraId="3B938AEA" w14:textId="77777777" w:rsidR="0094071B" w:rsidRDefault="0094071B">
      <w:pPr>
        <w:pStyle w:val="TOC2"/>
        <w:tabs>
          <w:tab w:val="left" w:pos="647"/>
          <w:tab w:val="right" w:leader="dot" w:pos="8290"/>
        </w:tabs>
        <w:rPr>
          <w:smallCaps w:val="0"/>
          <w:noProof/>
          <w:sz w:val="24"/>
          <w:szCs w:val="24"/>
          <w:lang w:eastAsia="ja-JP"/>
        </w:rPr>
      </w:pPr>
      <w:r>
        <w:rPr>
          <w:noProof/>
        </w:rPr>
        <w:t>4.</w:t>
      </w:r>
      <w:r>
        <w:rPr>
          <w:smallCaps w:val="0"/>
          <w:noProof/>
          <w:sz w:val="24"/>
          <w:szCs w:val="24"/>
          <w:lang w:eastAsia="ja-JP"/>
        </w:rPr>
        <w:tab/>
      </w:r>
      <w:r>
        <w:rPr>
          <w:noProof/>
        </w:rPr>
        <w:t>Les anti-cytokines en parodontologie</w:t>
      </w:r>
      <w:r>
        <w:rPr>
          <w:noProof/>
        </w:rPr>
        <w:tab/>
      </w:r>
      <w:r>
        <w:rPr>
          <w:noProof/>
        </w:rPr>
        <w:fldChar w:fldCharType="begin"/>
      </w:r>
      <w:r>
        <w:rPr>
          <w:noProof/>
        </w:rPr>
        <w:instrText xml:space="preserve"> PAGEREF _Toc384826804 \h </w:instrText>
      </w:r>
      <w:r>
        <w:rPr>
          <w:noProof/>
        </w:rPr>
      </w:r>
      <w:r>
        <w:rPr>
          <w:noProof/>
        </w:rPr>
        <w:fldChar w:fldCharType="separate"/>
      </w:r>
      <w:r>
        <w:rPr>
          <w:noProof/>
        </w:rPr>
        <w:t>26</w:t>
      </w:r>
      <w:r>
        <w:rPr>
          <w:noProof/>
        </w:rPr>
        <w:fldChar w:fldCharType="end"/>
      </w:r>
    </w:p>
    <w:p w14:paraId="2644F698" w14:textId="77777777" w:rsidR="0094071B" w:rsidRDefault="0094071B">
      <w:pPr>
        <w:pStyle w:val="TOC1"/>
        <w:tabs>
          <w:tab w:val="left" w:pos="507"/>
          <w:tab w:val="right" w:leader="dot" w:pos="8290"/>
        </w:tabs>
        <w:rPr>
          <w:b w:val="0"/>
          <w:caps w:val="0"/>
          <w:noProof/>
          <w:sz w:val="24"/>
          <w:szCs w:val="24"/>
          <w:lang w:eastAsia="ja-JP"/>
        </w:rPr>
      </w:pPr>
      <w:r>
        <w:rPr>
          <w:noProof/>
        </w:rPr>
        <w:t>IV.</w:t>
      </w:r>
      <w:r>
        <w:rPr>
          <w:b w:val="0"/>
          <w:caps w:val="0"/>
          <w:noProof/>
          <w:sz w:val="24"/>
          <w:szCs w:val="24"/>
          <w:lang w:eastAsia="ja-JP"/>
        </w:rPr>
        <w:tab/>
      </w:r>
      <w:r>
        <w:rPr>
          <w:noProof/>
        </w:rPr>
        <w:t>LES AGENTS ANTI-INFLAMMATOIRES NON STEROIDIENS</w:t>
      </w:r>
      <w:r>
        <w:rPr>
          <w:noProof/>
        </w:rPr>
        <w:tab/>
      </w:r>
      <w:r>
        <w:rPr>
          <w:noProof/>
        </w:rPr>
        <w:fldChar w:fldCharType="begin"/>
      </w:r>
      <w:r>
        <w:rPr>
          <w:noProof/>
        </w:rPr>
        <w:instrText xml:space="preserve"> PAGEREF _Toc384826805 \h </w:instrText>
      </w:r>
      <w:r>
        <w:rPr>
          <w:noProof/>
        </w:rPr>
      </w:r>
      <w:r>
        <w:rPr>
          <w:noProof/>
        </w:rPr>
        <w:fldChar w:fldCharType="separate"/>
      </w:r>
      <w:r>
        <w:rPr>
          <w:noProof/>
        </w:rPr>
        <w:t>28</w:t>
      </w:r>
      <w:r>
        <w:rPr>
          <w:noProof/>
        </w:rPr>
        <w:fldChar w:fldCharType="end"/>
      </w:r>
    </w:p>
    <w:p w14:paraId="3EB4F8EA"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Prostaglandines et inflammation</w:t>
      </w:r>
      <w:r>
        <w:rPr>
          <w:noProof/>
        </w:rPr>
        <w:tab/>
      </w:r>
      <w:r>
        <w:rPr>
          <w:noProof/>
        </w:rPr>
        <w:fldChar w:fldCharType="begin"/>
      </w:r>
      <w:r>
        <w:rPr>
          <w:noProof/>
        </w:rPr>
        <w:instrText xml:space="preserve"> PAGEREF _Toc384826806 \h </w:instrText>
      </w:r>
      <w:r>
        <w:rPr>
          <w:noProof/>
        </w:rPr>
      </w:r>
      <w:r>
        <w:rPr>
          <w:noProof/>
        </w:rPr>
        <w:fldChar w:fldCharType="separate"/>
      </w:r>
      <w:r>
        <w:rPr>
          <w:noProof/>
        </w:rPr>
        <w:t>29</w:t>
      </w:r>
      <w:r>
        <w:rPr>
          <w:noProof/>
        </w:rPr>
        <w:fldChar w:fldCharType="end"/>
      </w:r>
    </w:p>
    <w:p w14:paraId="3FBDFEBA"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Biosynthèse des prostaglandines</w:t>
      </w:r>
      <w:r>
        <w:rPr>
          <w:noProof/>
        </w:rPr>
        <w:tab/>
      </w:r>
      <w:r>
        <w:rPr>
          <w:noProof/>
        </w:rPr>
        <w:fldChar w:fldCharType="begin"/>
      </w:r>
      <w:r>
        <w:rPr>
          <w:noProof/>
        </w:rPr>
        <w:instrText xml:space="preserve"> PAGEREF _Toc384826807 \h </w:instrText>
      </w:r>
      <w:r>
        <w:rPr>
          <w:noProof/>
        </w:rPr>
      </w:r>
      <w:r>
        <w:rPr>
          <w:noProof/>
        </w:rPr>
        <w:fldChar w:fldCharType="separate"/>
      </w:r>
      <w:r>
        <w:rPr>
          <w:noProof/>
        </w:rPr>
        <w:t>29</w:t>
      </w:r>
      <w:r>
        <w:rPr>
          <w:noProof/>
        </w:rPr>
        <w:fldChar w:fldCharType="end"/>
      </w:r>
    </w:p>
    <w:p w14:paraId="76E1F79D"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PGE</w:t>
      </w:r>
      <w:r w:rsidRPr="000409A6">
        <w:rPr>
          <w:noProof/>
          <w:vertAlign w:val="subscript"/>
        </w:rPr>
        <w:t>2</w:t>
      </w:r>
      <w:r>
        <w:rPr>
          <w:noProof/>
        </w:rPr>
        <w:tab/>
      </w:r>
      <w:r>
        <w:rPr>
          <w:noProof/>
        </w:rPr>
        <w:fldChar w:fldCharType="begin"/>
      </w:r>
      <w:r>
        <w:rPr>
          <w:noProof/>
        </w:rPr>
        <w:instrText xml:space="preserve"> PAGEREF _Toc384826808 \h </w:instrText>
      </w:r>
      <w:r>
        <w:rPr>
          <w:noProof/>
        </w:rPr>
      </w:r>
      <w:r>
        <w:rPr>
          <w:noProof/>
        </w:rPr>
        <w:fldChar w:fldCharType="separate"/>
      </w:r>
      <w:r>
        <w:rPr>
          <w:noProof/>
        </w:rPr>
        <w:t>30</w:t>
      </w:r>
      <w:r>
        <w:rPr>
          <w:noProof/>
        </w:rPr>
        <w:fldChar w:fldCharType="end"/>
      </w:r>
    </w:p>
    <w:p w14:paraId="55E53E44"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PGD</w:t>
      </w:r>
      <w:r w:rsidRPr="000409A6">
        <w:rPr>
          <w:noProof/>
          <w:vertAlign w:val="subscript"/>
        </w:rPr>
        <w:t>2</w:t>
      </w:r>
      <w:r>
        <w:rPr>
          <w:noProof/>
        </w:rPr>
        <w:tab/>
      </w:r>
      <w:r>
        <w:rPr>
          <w:noProof/>
        </w:rPr>
        <w:fldChar w:fldCharType="begin"/>
      </w:r>
      <w:r>
        <w:rPr>
          <w:noProof/>
        </w:rPr>
        <w:instrText xml:space="preserve"> PAGEREF _Toc384826809 \h </w:instrText>
      </w:r>
      <w:r>
        <w:rPr>
          <w:noProof/>
        </w:rPr>
      </w:r>
      <w:r>
        <w:rPr>
          <w:noProof/>
        </w:rPr>
        <w:fldChar w:fldCharType="separate"/>
      </w:r>
      <w:r>
        <w:rPr>
          <w:noProof/>
        </w:rPr>
        <w:t>31</w:t>
      </w:r>
      <w:r>
        <w:rPr>
          <w:noProof/>
        </w:rPr>
        <w:fldChar w:fldCharType="end"/>
      </w:r>
    </w:p>
    <w:p w14:paraId="569296D6"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COX-2 et switch inflammatoire</w:t>
      </w:r>
      <w:r>
        <w:rPr>
          <w:noProof/>
        </w:rPr>
        <w:tab/>
      </w:r>
      <w:r>
        <w:rPr>
          <w:noProof/>
        </w:rPr>
        <w:fldChar w:fldCharType="begin"/>
      </w:r>
      <w:r>
        <w:rPr>
          <w:noProof/>
        </w:rPr>
        <w:instrText xml:space="preserve"> PAGEREF _Toc384826810 \h </w:instrText>
      </w:r>
      <w:r>
        <w:rPr>
          <w:noProof/>
        </w:rPr>
      </w:r>
      <w:r>
        <w:rPr>
          <w:noProof/>
        </w:rPr>
        <w:fldChar w:fldCharType="separate"/>
      </w:r>
      <w:r>
        <w:rPr>
          <w:noProof/>
        </w:rPr>
        <w:t>32</w:t>
      </w:r>
      <w:r>
        <w:rPr>
          <w:noProof/>
        </w:rPr>
        <w:fldChar w:fldCharType="end"/>
      </w:r>
    </w:p>
    <w:p w14:paraId="50B16B4E"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Aspirine à faible dose au long court : études observationnelles</w:t>
      </w:r>
      <w:r>
        <w:rPr>
          <w:noProof/>
        </w:rPr>
        <w:tab/>
      </w:r>
      <w:r>
        <w:rPr>
          <w:noProof/>
        </w:rPr>
        <w:fldChar w:fldCharType="begin"/>
      </w:r>
      <w:r>
        <w:rPr>
          <w:noProof/>
        </w:rPr>
        <w:instrText xml:space="preserve"> PAGEREF _Toc384826811 \h </w:instrText>
      </w:r>
      <w:r>
        <w:rPr>
          <w:noProof/>
        </w:rPr>
      </w:r>
      <w:r>
        <w:rPr>
          <w:noProof/>
        </w:rPr>
        <w:fldChar w:fldCharType="separate"/>
      </w:r>
      <w:r>
        <w:rPr>
          <w:noProof/>
        </w:rPr>
        <w:t>32</w:t>
      </w:r>
      <w:r>
        <w:rPr>
          <w:noProof/>
        </w:rPr>
        <w:fldChar w:fldCharType="end"/>
      </w:r>
    </w:p>
    <w:p w14:paraId="416E67D4"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Aspirine et inhibiteurs non-sélectifs de COX-1 et COX-2 : études interventionnelles</w:t>
      </w:r>
      <w:r>
        <w:rPr>
          <w:noProof/>
        </w:rPr>
        <w:tab/>
      </w:r>
      <w:r>
        <w:rPr>
          <w:noProof/>
        </w:rPr>
        <w:fldChar w:fldCharType="begin"/>
      </w:r>
      <w:r>
        <w:rPr>
          <w:noProof/>
        </w:rPr>
        <w:instrText xml:space="preserve"> PAGEREF _Toc384826812 \h </w:instrText>
      </w:r>
      <w:r>
        <w:rPr>
          <w:noProof/>
        </w:rPr>
      </w:r>
      <w:r>
        <w:rPr>
          <w:noProof/>
        </w:rPr>
        <w:fldChar w:fldCharType="separate"/>
      </w:r>
      <w:r>
        <w:rPr>
          <w:noProof/>
        </w:rPr>
        <w:t>33</w:t>
      </w:r>
      <w:r>
        <w:rPr>
          <w:noProof/>
        </w:rPr>
        <w:fldChar w:fldCharType="end"/>
      </w:r>
    </w:p>
    <w:p w14:paraId="4391F759" w14:textId="77777777" w:rsidR="0094071B" w:rsidRDefault="0094071B">
      <w:pPr>
        <w:pStyle w:val="TOC2"/>
        <w:tabs>
          <w:tab w:val="left" w:pos="647"/>
          <w:tab w:val="right" w:leader="dot" w:pos="8290"/>
        </w:tabs>
        <w:rPr>
          <w:smallCaps w:val="0"/>
          <w:noProof/>
          <w:sz w:val="24"/>
          <w:szCs w:val="24"/>
          <w:lang w:eastAsia="ja-JP"/>
        </w:rPr>
      </w:pPr>
      <w:r>
        <w:rPr>
          <w:noProof/>
        </w:rPr>
        <w:t>4.</w:t>
      </w:r>
      <w:r>
        <w:rPr>
          <w:smallCaps w:val="0"/>
          <w:noProof/>
          <w:sz w:val="24"/>
          <w:szCs w:val="24"/>
          <w:lang w:eastAsia="ja-JP"/>
        </w:rPr>
        <w:tab/>
      </w:r>
      <w:r>
        <w:rPr>
          <w:noProof/>
        </w:rPr>
        <w:t>Inhibiteurs sélectifs de COX-2</w:t>
      </w:r>
      <w:r>
        <w:rPr>
          <w:noProof/>
        </w:rPr>
        <w:tab/>
      </w:r>
      <w:r>
        <w:rPr>
          <w:noProof/>
        </w:rPr>
        <w:fldChar w:fldCharType="begin"/>
      </w:r>
      <w:r>
        <w:rPr>
          <w:noProof/>
        </w:rPr>
        <w:instrText xml:space="preserve"> PAGEREF _Toc384826813 \h </w:instrText>
      </w:r>
      <w:r>
        <w:rPr>
          <w:noProof/>
        </w:rPr>
      </w:r>
      <w:r>
        <w:rPr>
          <w:noProof/>
        </w:rPr>
        <w:fldChar w:fldCharType="separate"/>
      </w:r>
      <w:r>
        <w:rPr>
          <w:noProof/>
        </w:rPr>
        <w:t>34</w:t>
      </w:r>
      <w:r>
        <w:rPr>
          <w:noProof/>
        </w:rPr>
        <w:fldChar w:fldCharType="end"/>
      </w:r>
    </w:p>
    <w:p w14:paraId="51CAE82C"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dérivés oxicam</w:t>
      </w:r>
      <w:r>
        <w:rPr>
          <w:noProof/>
        </w:rPr>
        <w:tab/>
      </w:r>
      <w:r>
        <w:rPr>
          <w:noProof/>
        </w:rPr>
        <w:fldChar w:fldCharType="begin"/>
      </w:r>
      <w:r>
        <w:rPr>
          <w:noProof/>
        </w:rPr>
        <w:instrText xml:space="preserve"> PAGEREF _Toc384826814 \h </w:instrText>
      </w:r>
      <w:r>
        <w:rPr>
          <w:noProof/>
        </w:rPr>
      </w:r>
      <w:r>
        <w:rPr>
          <w:noProof/>
        </w:rPr>
        <w:fldChar w:fldCharType="separate"/>
      </w:r>
      <w:r>
        <w:rPr>
          <w:noProof/>
        </w:rPr>
        <w:t>35</w:t>
      </w:r>
      <w:r>
        <w:rPr>
          <w:noProof/>
        </w:rPr>
        <w:fldChar w:fldCharType="end"/>
      </w:r>
    </w:p>
    <w:p w14:paraId="7039CDD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dérivés coxib</w:t>
      </w:r>
      <w:r>
        <w:rPr>
          <w:noProof/>
        </w:rPr>
        <w:tab/>
      </w:r>
      <w:r>
        <w:rPr>
          <w:noProof/>
        </w:rPr>
        <w:fldChar w:fldCharType="begin"/>
      </w:r>
      <w:r>
        <w:rPr>
          <w:noProof/>
        </w:rPr>
        <w:instrText xml:space="preserve"> PAGEREF _Toc384826815 \h </w:instrText>
      </w:r>
      <w:r>
        <w:rPr>
          <w:noProof/>
        </w:rPr>
      </w:r>
      <w:r>
        <w:rPr>
          <w:noProof/>
        </w:rPr>
        <w:fldChar w:fldCharType="separate"/>
      </w:r>
      <w:r>
        <w:rPr>
          <w:noProof/>
        </w:rPr>
        <w:t>36</w:t>
      </w:r>
      <w:r>
        <w:rPr>
          <w:noProof/>
        </w:rPr>
        <w:fldChar w:fldCharType="end"/>
      </w:r>
    </w:p>
    <w:p w14:paraId="749A22CB" w14:textId="77777777" w:rsidR="0094071B" w:rsidRDefault="0094071B">
      <w:pPr>
        <w:pStyle w:val="TOC2"/>
        <w:tabs>
          <w:tab w:val="left" w:pos="647"/>
          <w:tab w:val="right" w:leader="dot" w:pos="8290"/>
        </w:tabs>
        <w:rPr>
          <w:smallCaps w:val="0"/>
          <w:noProof/>
          <w:sz w:val="24"/>
          <w:szCs w:val="24"/>
          <w:lang w:eastAsia="ja-JP"/>
        </w:rPr>
      </w:pPr>
      <w:r>
        <w:rPr>
          <w:noProof/>
        </w:rPr>
        <w:t>5.</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_Toc384826816 \h </w:instrText>
      </w:r>
      <w:r>
        <w:rPr>
          <w:noProof/>
        </w:rPr>
      </w:r>
      <w:r>
        <w:rPr>
          <w:noProof/>
        </w:rPr>
        <w:fldChar w:fldCharType="separate"/>
      </w:r>
      <w:r>
        <w:rPr>
          <w:noProof/>
        </w:rPr>
        <w:t>38</w:t>
      </w:r>
      <w:r>
        <w:rPr>
          <w:noProof/>
        </w:rPr>
        <w:fldChar w:fldCharType="end"/>
      </w:r>
    </w:p>
    <w:p w14:paraId="5835AB6C" w14:textId="77777777" w:rsidR="0094071B" w:rsidRDefault="0094071B">
      <w:pPr>
        <w:pStyle w:val="TOC1"/>
        <w:tabs>
          <w:tab w:val="left" w:pos="431"/>
          <w:tab w:val="right" w:leader="dot" w:pos="8290"/>
        </w:tabs>
        <w:rPr>
          <w:b w:val="0"/>
          <w:caps w:val="0"/>
          <w:noProof/>
          <w:sz w:val="24"/>
          <w:szCs w:val="24"/>
          <w:lang w:eastAsia="ja-JP"/>
        </w:rPr>
      </w:pPr>
      <w:r>
        <w:rPr>
          <w:noProof/>
        </w:rPr>
        <w:t>V.</w:t>
      </w:r>
      <w:r>
        <w:rPr>
          <w:b w:val="0"/>
          <w:caps w:val="0"/>
          <w:noProof/>
          <w:sz w:val="24"/>
          <w:szCs w:val="24"/>
          <w:lang w:eastAsia="ja-JP"/>
        </w:rPr>
        <w:tab/>
      </w:r>
      <w:r>
        <w:rPr>
          <w:noProof/>
        </w:rPr>
        <w:t>LES MEDIATEURS LIPIDIQUES ENDOGENES</w:t>
      </w:r>
      <w:r>
        <w:rPr>
          <w:noProof/>
        </w:rPr>
        <w:tab/>
      </w:r>
      <w:r>
        <w:rPr>
          <w:noProof/>
        </w:rPr>
        <w:fldChar w:fldCharType="begin"/>
      </w:r>
      <w:r>
        <w:rPr>
          <w:noProof/>
        </w:rPr>
        <w:instrText xml:space="preserve"> PAGEREF _Toc384826817 \h </w:instrText>
      </w:r>
      <w:r>
        <w:rPr>
          <w:noProof/>
        </w:rPr>
      </w:r>
      <w:r>
        <w:rPr>
          <w:noProof/>
        </w:rPr>
        <w:fldChar w:fldCharType="separate"/>
      </w:r>
      <w:r>
        <w:rPr>
          <w:noProof/>
        </w:rPr>
        <w:t>39</w:t>
      </w:r>
      <w:r>
        <w:rPr>
          <w:noProof/>
        </w:rPr>
        <w:fldChar w:fldCharType="end"/>
      </w:r>
    </w:p>
    <w:p w14:paraId="1DFE3ACF"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Généralités</w:t>
      </w:r>
      <w:r>
        <w:rPr>
          <w:noProof/>
        </w:rPr>
        <w:tab/>
      </w:r>
      <w:r>
        <w:rPr>
          <w:noProof/>
        </w:rPr>
        <w:fldChar w:fldCharType="begin"/>
      </w:r>
      <w:r>
        <w:rPr>
          <w:noProof/>
        </w:rPr>
        <w:instrText xml:space="preserve"> PAGEREF _Toc384826818 \h </w:instrText>
      </w:r>
      <w:r>
        <w:rPr>
          <w:noProof/>
        </w:rPr>
      </w:r>
      <w:r>
        <w:rPr>
          <w:noProof/>
        </w:rPr>
        <w:fldChar w:fldCharType="separate"/>
      </w:r>
      <w:r>
        <w:rPr>
          <w:noProof/>
        </w:rPr>
        <w:t>40</w:t>
      </w:r>
      <w:r>
        <w:rPr>
          <w:noProof/>
        </w:rPr>
        <w:fldChar w:fldCharType="end"/>
      </w:r>
    </w:p>
    <w:p w14:paraId="3D22D23E"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lipoxines</w:t>
      </w:r>
      <w:r>
        <w:rPr>
          <w:noProof/>
        </w:rPr>
        <w:tab/>
      </w:r>
      <w:r>
        <w:rPr>
          <w:noProof/>
        </w:rPr>
        <w:fldChar w:fldCharType="begin"/>
      </w:r>
      <w:r>
        <w:rPr>
          <w:noProof/>
        </w:rPr>
        <w:instrText xml:space="preserve"> PAGEREF _Toc384826819 \h </w:instrText>
      </w:r>
      <w:r>
        <w:rPr>
          <w:noProof/>
        </w:rPr>
      </w:r>
      <w:r>
        <w:rPr>
          <w:noProof/>
        </w:rPr>
        <w:fldChar w:fldCharType="separate"/>
      </w:r>
      <w:r>
        <w:rPr>
          <w:noProof/>
        </w:rPr>
        <w:t>41</w:t>
      </w:r>
      <w:r>
        <w:rPr>
          <w:noProof/>
        </w:rPr>
        <w:fldChar w:fldCharType="end"/>
      </w:r>
    </w:p>
    <w:p w14:paraId="7BE8737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résolvines</w:t>
      </w:r>
      <w:r>
        <w:rPr>
          <w:noProof/>
        </w:rPr>
        <w:tab/>
      </w:r>
      <w:r>
        <w:rPr>
          <w:noProof/>
        </w:rPr>
        <w:fldChar w:fldCharType="begin"/>
      </w:r>
      <w:r>
        <w:rPr>
          <w:noProof/>
        </w:rPr>
        <w:instrText xml:space="preserve"> PAGEREF _Toc384826820 \h </w:instrText>
      </w:r>
      <w:r>
        <w:rPr>
          <w:noProof/>
        </w:rPr>
      </w:r>
      <w:r>
        <w:rPr>
          <w:noProof/>
        </w:rPr>
        <w:fldChar w:fldCharType="separate"/>
      </w:r>
      <w:r>
        <w:rPr>
          <w:noProof/>
        </w:rPr>
        <w:t>42</w:t>
      </w:r>
      <w:r>
        <w:rPr>
          <w:noProof/>
        </w:rPr>
        <w:fldChar w:fldCharType="end"/>
      </w:r>
    </w:p>
    <w:p w14:paraId="1FA22EAA"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Les protectines</w:t>
      </w:r>
      <w:r>
        <w:rPr>
          <w:noProof/>
        </w:rPr>
        <w:tab/>
      </w:r>
      <w:r>
        <w:rPr>
          <w:noProof/>
        </w:rPr>
        <w:fldChar w:fldCharType="begin"/>
      </w:r>
      <w:r>
        <w:rPr>
          <w:noProof/>
        </w:rPr>
        <w:instrText xml:space="preserve"> PAGEREF _Toc384826821 \h </w:instrText>
      </w:r>
      <w:r>
        <w:rPr>
          <w:noProof/>
        </w:rPr>
      </w:r>
      <w:r>
        <w:rPr>
          <w:noProof/>
        </w:rPr>
        <w:fldChar w:fldCharType="separate"/>
      </w:r>
      <w:r>
        <w:rPr>
          <w:noProof/>
        </w:rPr>
        <w:t>42</w:t>
      </w:r>
      <w:r>
        <w:rPr>
          <w:noProof/>
        </w:rPr>
        <w:fldChar w:fldCharType="end"/>
      </w:r>
    </w:p>
    <w:p w14:paraId="2BE4FD9C"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Les marésines</w:t>
      </w:r>
      <w:r>
        <w:rPr>
          <w:noProof/>
        </w:rPr>
        <w:tab/>
      </w:r>
      <w:r>
        <w:rPr>
          <w:noProof/>
        </w:rPr>
        <w:fldChar w:fldCharType="begin"/>
      </w:r>
      <w:r>
        <w:rPr>
          <w:noProof/>
        </w:rPr>
        <w:instrText xml:space="preserve"> PAGEREF _Toc384826822 \h </w:instrText>
      </w:r>
      <w:r>
        <w:rPr>
          <w:noProof/>
        </w:rPr>
      </w:r>
      <w:r>
        <w:rPr>
          <w:noProof/>
        </w:rPr>
        <w:fldChar w:fldCharType="separate"/>
      </w:r>
      <w:r>
        <w:rPr>
          <w:noProof/>
        </w:rPr>
        <w:t>42</w:t>
      </w:r>
      <w:r>
        <w:rPr>
          <w:noProof/>
        </w:rPr>
        <w:fldChar w:fldCharType="end"/>
      </w:r>
    </w:p>
    <w:p w14:paraId="0AE218F3"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Rôle des médiateurs lipidiques dans la maladie parodontale</w:t>
      </w:r>
      <w:r>
        <w:rPr>
          <w:noProof/>
        </w:rPr>
        <w:tab/>
      </w:r>
      <w:r>
        <w:rPr>
          <w:noProof/>
        </w:rPr>
        <w:fldChar w:fldCharType="begin"/>
      </w:r>
      <w:r>
        <w:rPr>
          <w:noProof/>
        </w:rPr>
        <w:instrText xml:space="preserve"> PAGEREF _Toc384826823 \h </w:instrText>
      </w:r>
      <w:r>
        <w:rPr>
          <w:noProof/>
        </w:rPr>
      </w:r>
      <w:r>
        <w:rPr>
          <w:noProof/>
        </w:rPr>
        <w:fldChar w:fldCharType="separate"/>
      </w:r>
      <w:r>
        <w:rPr>
          <w:noProof/>
        </w:rPr>
        <w:t>43</w:t>
      </w:r>
      <w:r>
        <w:rPr>
          <w:noProof/>
        </w:rPr>
        <w:fldChar w:fldCharType="end"/>
      </w:r>
    </w:p>
    <w:p w14:paraId="1EE3DC80"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_Toc384826824 \h </w:instrText>
      </w:r>
      <w:r>
        <w:rPr>
          <w:noProof/>
        </w:rPr>
      </w:r>
      <w:r>
        <w:rPr>
          <w:noProof/>
        </w:rPr>
        <w:fldChar w:fldCharType="separate"/>
      </w:r>
      <w:r>
        <w:rPr>
          <w:noProof/>
        </w:rPr>
        <w:t>45</w:t>
      </w:r>
      <w:r>
        <w:rPr>
          <w:noProof/>
        </w:rPr>
        <w:fldChar w:fldCharType="end"/>
      </w:r>
    </w:p>
    <w:p w14:paraId="268ED326" w14:textId="77777777" w:rsidR="0094071B" w:rsidRDefault="0094071B">
      <w:pPr>
        <w:pStyle w:val="TOC1"/>
        <w:tabs>
          <w:tab w:val="left" w:pos="507"/>
          <w:tab w:val="right" w:leader="dot" w:pos="8290"/>
        </w:tabs>
        <w:rPr>
          <w:b w:val="0"/>
          <w:caps w:val="0"/>
          <w:noProof/>
          <w:sz w:val="24"/>
          <w:szCs w:val="24"/>
          <w:lang w:eastAsia="ja-JP"/>
        </w:rPr>
      </w:pPr>
      <w:r>
        <w:rPr>
          <w:noProof/>
        </w:rPr>
        <w:t>VI.</w:t>
      </w:r>
      <w:r>
        <w:rPr>
          <w:b w:val="0"/>
          <w:caps w:val="0"/>
          <w:noProof/>
          <w:sz w:val="24"/>
          <w:szCs w:val="24"/>
          <w:lang w:eastAsia="ja-JP"/>
        </w:rPr>
        <w:tab/>
      </w:r>
      <w:r>
        <w:rPr>
          <w:noProof/>
        </w:rPr>
        <w:t>LES STATINES</w:t>
      </w:r>
      <w:r>
        <w:rPr>
          <w:noProof/>
        </w:rPr>
        <w:tab/>
      </w:r>
      <w:r>
        <w:rPr>
          <w:noProof/>
        </w:rPr>
        <w:fldChar w:fldCharType="begin"/>
      </w:r>
      <w:r>
        <w:rPr>
          <w:noProof/>
        </w:rPr>
        <w:instrText xml:space="preserve"> PAGEREF _Toc384826825 \h </w:instrText>
      </w:r>
      <w:r>
        <w:rPr>
          <w:noProof/>
        </w:rPr>
      </w:r>
      <w:r>
        <w:rPr>
          <w:noProof/>
        </w:rPr>
        <w:fldChar w:fldCharType="separate"/>
      </w:r>
      <w:r>
        <w:rPr>
          <w:noProof/>
        </w:rPr>
        <w:t>47</w:t>
      </w:r>
      <w:r>
        <w:rPr>
          <w:noProof/>
        </w:rPr>
        <w:fldChar w:fldCharType="end"/>
      </w:r>
    </w:p>
    <w:p w14:paraId="50471891"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_Toc384826826 \h </w:instrText>
      </w:r>
      <w:r>
        <w:rPr>
          <w:noProof/>
        </w:rPr>
      </w:r>
      <w:r>
        <w:rPr>
          <w:noProof/>
        </w:rPr>
        <w:fldChar w:fldCharType="separate"/>
      </w:r>
      <w:r>
        <w:rPr>
          <w:noProof/>
        </w:rPr>
        <w:t>47</w:t>
      </w:r>
      <w:r>
        <w:rPr>
          <w:noProof/>
        </w:rPr>
        <w:fldChar w:fldCharType="end"/>
      </w:r>
    </w:p>
    <w:p w14:paraId="5286629E"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Les statines en parodontologie</w:t>
      </w:r>
      <w:r>
        <w:rPr>
          <w:noProof/>
        </w:rPr>
        <w:tab/>
      </w:r>
      <w:r>
        <w:rPr>
          <w:noProof/>
        </w:rPr>
        <w:fldChar w:fldCharType="begin"/>
      </w:r>
      <w:r>
        <w:rPr>
          <w:noProof/>
        </w:rPr>
        <w:instrText xml:space="preserve"> PAGEREF _Toc384826827 \h </w:instrText>
      </w:r>
      <w:r>
        <w:rPr>
          <w:noProof/>
        </w:rPr>
      </w:r>
      <w:r>
        <w:rPr>
          <w:noProof/>
        </w:rPr>
        <w:fldChar w:fldCharType="separate"/>
      </w:r>
      <w:r>
        <w:rPr>
          <w:noProof/>
        </w:rPr>
        <w:t>48</w:t>
      </w:r>
      <w:r>
        <w:rPr>
          <w:noProof/>
        </w:rPr>
        <w:fldChar w:fldCharType="end"/>
      </w:r>
    </w:p>
    <w:p w14:paraId="08822F7A"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Simvastatine et régénération osseuse</w:t>
      </w:r>
      <w:r>
        <w:rPr>
          <w:noProof/>
        </w:rPr>
        <w:tab/>
      </w:r>
      <w:r>
        <w:rPr>
          <w:noProof/>
        </w:rPr>
        <w:fldChar w:fldCharType="begin"/>
      </w:r>
      <w:r>
        <w:rPr>
          <w:noProof/>
        </w:rPr>
        <w:instrText xml:space="preserve"> PAGEREF _Toc384826828 \h </w:instrText>
      </w:r>
      <w:r>
        <w:rPr>
          <w:noProof/>
        </w:rPr>
      </w:r>
      <w:r>
        <w:rPr>
          <w:noProof/>
        </w:rPr>
        <w:fldChar w:fldCharType="separate"/>
      </w:r>
      <w:r>
        <w:rPr>
          <w:noProof/>
        </w:rPr>
        <w:t>48</w:t>
      </w:r>
      <w:r>
        <w:rPr>
          <w:noProof/>
        </w:rPr>
        <w:fldChar w:fldCharType="end"/>
      </w:r>
    </w:p>
    <w:p w14:paraId="05641A4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Rôle des statines sur l’inflammation parodontale</w:t>
      </w:r>
      <w:r>
        <w:rPr>
          <w:noProof/>
        </w:rPr>
        <w:tab/>
      </w:r>
      <w:r>
        <w:rPr>
          <w:noProof/>
        </w:rPr>
        <w:fldChar w:fldCharType="begin"/>
      </w:r>
      <w:r>
        <w:rPr>
          <w:noProof/>
        </w:rPr>
        <w:instrText xml:space="preserve"> PAGEREF _Toc384826829 \h </w:instrText>
      </w:r>
      <w:r>
        <w:rPr>
          <w:noProof/>
        </w:rPr>
      </w:r>
      <w:r>
        <w:rPr>
          <w:noProof/>
        </w:rPr>
        <w:fldChar w:fldCharType="separate"/>
      </w:r>
      <w:r>
        <w:rPr>
          <w:noProof/>
        </w:rPr>
        <w:t>49</w:t>
      </w:r>
      <w:r>
        <w:rPr>
          <w:noProof/>
        </w:rPr>
        <w:fldChar w:fldCharType="end"/>
      </w:r>
    </w:p>
    <w:p w14:paraId="6C5045FE"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Statines et traitement des parodontites chroniques</w:t>
      </w:r>
      <w:r>
        <w:rPr>
          <w:noProof/>
        </w:rPr>
        <w:tab/>
      </w:r>
      <w:r>
        <w:rPr>
          <w:noProof/>
        </w:rPr>
        <w:fldChar w:fldCharType="begin"/>
      </w:r>
      <w:r>
        <w:rPr>
          <w:noProof/>
        </w:rPr>
        <w:instrText xml:space="preserve"> PAGEREF _Toc384826830 \h </w:instrText>
      </w:r>
      <w:r>
        <w:rPr>
          <w:noProof/>
        </w:rPr>
      </w:r>
      <w:r>
        <w:rPr>
          <w:noProof/>
        </w:rPr>
        <w:fldChar w:fldCharType="separate"/>
      </w:r>
      <w:r>
        <w:rPr>
          <w:noProof/>
        </w:rPr>
        <w:t>50</w:t>
      </w:r>
      <w:r>
        <w:rPr>
          <w:noProof/>
        </w:rPr>
        <w:fldChar w:fldCharType="end"/>
      </w:r>
    </w:p>
    <w:p w14:paraId="5E9A1051"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Conclusion</w:t>
      </w:r>
      <w:r>
        <w:rPr>
          <w:noProof/>
        </w:rPr>
        <w:tab/>
      </w:r>
      <w:r>
        <w:rPr>
          <w:noProof/>
        </w:rPr>
        <w:fldChar w:fldCharType="begin"/>
      </w:r>
      <w:r>
        <w:rPr>
          <w:noProof/>
        </w:rPr>
        <w:instrText xml:space="preserve"> PAGEREF _Toc384826831 \h </w:instrText>
      </w:r>
      <w:r>
        <w:rPr>
          <w:noProof/>
        </w:rPr>
      </w:r>
      <w:r>
        <w:rPr>
          <w:noProof/>
        </w:rPr>
        <w:fldChar w:fldCharType="separate"/>
      </w:r>
      <w:r>
        <w:rPr>
          <w:noProof/>
        </w:rPr>
        <w:t>51</w:t>
      </w:r>
      <w:r>
        <w:rPr>
          <w:noProof/>
        </w:rPr>
        <w:fldChar w:fldCharType="end"/>
      </w:r>
    </w:p>
    <w:p w14:paraId="5770D4C2" w14:textId="77777777" w:rsidR="0094071B" w:rsidRDefault="0094071B">
      <w:pPr>
        <w:pStyle w:val="TOC1"/>
        <w:tabs>
          <w:tab w:val="left" w:pos="584"/>
          <w:tab w:val="right" w:leader="dot" w:pos="8290"/>
        </w:tabs>
        <w:rPr>
          <w:b w:val="0"/>
          <w:caps w:val="0"/>
          <w:noProof/>
          <w:sz w:val="24"/>
          <w:szCs w:val="24"/>
          <w:lang w:eastAsia="ja-JP"/>
        </w:rPr>
      </w:pPr>
      <w:r>
        <w:rPr>
          <w:noProof/>
        </w:rPr>
        <w:t>VII.</w:t>
      </w:r>
      <w:r>
        <w:rPr>
          <w:b w:val="0"/>
          <w:caps w:val="0"/>
          <w:noProof/>
          <w:sz w:val="24"/>
          <w:szCs w:val="24"/>
          <w:lang w:eastAsia="ja-JP"/>
        </w:rPr>
        <w:tab/>
      </w:r>
      <w:r>
        <w:rPr>
          <w:noProof/>
        </w:rPr>
        <w:t>LES MEMBRANES NANOFIBREUSES BIOACTIVES</w:t>
      </w:r>
      <w:r>
        <w:rPr>
          <w:noProof/>
        </w:rPr>
        <w:tab/>
      </w:r>
      <w:r>
        <w:rPr>
          <w:noProof/>
        </w:rPr>
        <w:fldChar w:fldCharType="begin"/>
      </w:r>
      <w:r>
        <w:rPr>
          <w:noProof/>
        </w:rPr>
        <w:instrText xml:space="preserve"> PAGEREF _Toc384826832 \h </w:instrText>
      </w:r>
      <w:r>
        <w:rPr>
          <w:noProof/>
        </w:rPr>
      </w:r>
      <w:r>
        <w:rPr>
          <w:noProof/>
        </w:rPr>
        <w:fldChar w:fldCharType="separate"/>
      </w:r>
      <w:r>
        <w:rPr>
          <w:noProof/>
        </w:rPr>
        <w:t>52</w:t>
      </w:r>
      <w:r>
        <w:rPr>
          <w:noProof/>
        </w:rPr>
        <w:fldChar w:fldCharType="end"/>
      </w:r>
    </w:p>
    <w:p w14:paraId="1E9EEE72"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Introduction</w:t>
      </w:r>
      <w:r>
        <w:rPr>
          <w:noProof/>
        </w:rPr>
        <w:tab/>
      </w:r>
      <w:r>
        <w:rPr>
          <w:noProof/>
        </w:rPr>
        <w:fldChar w:fldCharType="begin"/>
      </w:r>
      <w:r>
        <w:rPr>
          <w:noProof/>
        </w:rPr>
        <w:instrText xml:space="preserve"> PAGEREF _Toc384826833 \h </w:instrText>
      </w:r>
      <w:r>
        <w:rPr>
          <w:noProof/>
        </w:rPr>
      </w:r>
      <w:r>
        <w:rPr>
          <w:noProof/>
        </w:rPr>
        <w:fldChar w:fldCharType="separate"/>
      </w:r>
      <w:r>
        <w:rPr>
          <w:noProof/>
        </w:rPr>
        <w:t>52</w:t>
      </w:r>
      <w:r>
        <w:rPr>
          <w:noProof/>
        </w:rPr>
        <w:fldChar w:fldCharType="end"/>
      </w:r>
    </w:p>
    <w:p w14:paraId="522E4854"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membranes</w:t>
      </w:r>
      <w:r>
        <w:rPr>
          <w:noProof/>
        </w:rPr>
        <w:tab/>
      </w:r>
      <w:r>
        <w:rPr>
          <w:noProof/>
        </w:rPr>
        <w:fldChar w:fldCharType="begin"/>
      </w:r>
      <w:r>
        <w:rPr>
          <w:noProof/>
        </w:rPr>
        <w:instrText xml:space="preserve"> PAGEREF _Toc384826834 \h </w:instrText>
      </w:r>
      <w:r>
        <w:rPr>
          <w:noProof/>
        </w:rPr>
      </w:r>
      <w:r>
        <w:rPr>
          <w:noProof/>
        </w:rPr>
        <w:fldChar w:fldCharType="separate"/>
      </w:r>
      <w:r>
        <w:rPr>
          <w:noProof/>
        </w:rPr>
        <w:t>52</w:t>
      </w:r>
      <w:r>
        <w:rPr>
          <w:noProof/>
        </w:rPr>
        <w:fldChar w:fldCharType="end"/>
      </w:r>
    </w:p>
    <w:p w14:paraId="5499B234"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cellules souches mésenchymateuses</w:t>
      </w:r>
      <w:r>
        <w:rPr>
          <w:noProof/>
        </w:rPr>
        <w:tab/>
      </w:r>
      <w:r>
        <w:rPr>
          <w:noProof/>
        </w:rPr>
        <w:fldChar w:fldCharType="begin"/>
      </w:r>
      <w:r>
        <w:rPr>
          <w:noProof/>
        </w:rPr>
        <w:instrText xml:space="preserve"> PAGEREF _Toc384826835 \h </w:instrText>
      </w:r>
      <w:r>
        <w:rPr>
          <w:noProof/>
        </w:rPr>
      </w:r>
      <w:r>
        <w:rPr>
          <w:noProof/>
        </w:rPr>
        <w:fldChar w:fldCharType="separate"/>
      </w:r>
      <w:r>
        <w:rPr>
          <w:noProof/>
        </w:rPr>
        <w:t>53</w:t>
      </w:r>
      <w:r>
        <w:rPr>
          <w:noProof/>
        </w:rPr>
        <w:fldChar w:fldCharType="end"/>
      </w:r>
    </w:p>
    <w:p w14:paraId="2756601D"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Conception nanofibreuse des biomatrices</w:t>
      </w:r>
      <w:r>
        <w:rPr>
          <w:noProof/>
        </w:rPr>
        <w:tab/>
      </w:r>
      <w:r>
        <w:rPr>
          <w:noProof/>
        </w:rPr>
        <w:fldChar w:fldCharType="begin"/>
      </w:r>
      <w:r>
        <w:rPr>
          <w:noProof/>
        </w:rPr>
        <w:instrText xml:space="preserve"> PAGEREF _Toc384826836 \h </w:instrText>
      </w:r>
      <w:r>
        <w:rPr>
          <w:noProof/>
        </w:rPr>
      </w:r>
      <w:r>
        <w:rPr>
          <w:noProof/>
        </w:rPr>
        <w:fldChar w:fldCharType="separate"/>
      </w:r>
      <w:r>
        <w:rPr>
          <w:noProof/>
        </w:rPr>
        <w:t>53</w:t>
      </w:r>
      <w:r>
        <w:rPr>
          <w:noProof/>
        </w:rPr>
        <w:fldChar w:fldCharType="end"/>
      </w:r>
    </w:p>
    <w:p w14:paraId="37B20F9A"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Délivrance de biofacteurs</w:t>
      </w:r>
      <w:r>
        <w:rPr>
          <w:noProof/>
        </w:rPr>
        <w:tab/>
      </w:r>
      <w:r>
        <w:rPr>
          <w:noProof/>
        </w:rPr>
        <w:fldChar w:fldCharType="begin"/>
      </w:r>
      <w:r>
        <w:rPr>
          <w:noProof/>
        </w:rPr>
        <w:instrText xml:space="preserve"> PAGEREF _Toc384826837 \h </w:instrText>
      </w:r>
      <w:r>
        <w:rPr>
          <w:noProof/>
        </w:rPr>
      </w:r>
      <w:r>
        <w:rPr>
          <w:noProof/>
        </w:rPr>
        <w:fldChar w:fldCharType="separate"/>
      </w:r>
      <w:r>
        <w:rPr>
          <w:noProof/>
        </w:rPr>
        <w:t>54</w:t>
      </w:r>
      <w:r>
        <w:rPr>
          <w:noProof/>
        </w:rPr>
        <w:fldChar w:fldCharType="end"/>
      </w:r>
    </w:p>
    <w:p w14:paraId="450D6355"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Membranes électrofilées biphasiques et régénération parodontale</w:t>
      </w:r>
      <w:r>
        <w:rPr>
          <w:noProof/>
        </w:rPr>
        <w:tab/>
      </w:r>
      <w:r>
        <w:rPr>
          <w:noProof/>
        </w:rPr>
        <w:fldChar w:fldCharType="begin"/>
      </w:r>
      <w:r>
        <w:rPr>
          <w:noProof/>
        </w:rPr>
        <w:instrText xml:space="preserve"> PAGEREF _Toc384826838 \h </w:instrText>
      </w:r>
      <w:r>
        <w:rPr>
          <w:noProof/>
        </w:rPr>
      </w:r>
      <w:r>
        <w:rPr>
          <w:noProof/>
        </w:rPr>
        <w:fldChar w:fldCharType="separate"/>
      </w:r>
      <w:r>
        <w:rPr>
          <w:noProof/>
        </w:rPr>
        <w:t>56</w:t>
      </w:r>
      <w:r>
        <w:rPr>
          <w:noProof/>
        </w:rPr>
        <w:fldChar w:fldCharType="end"/>
      </w:r>
    </w:p>
    <w:p w14:paraId="2DA88C4C"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L’electrospinning</w:t>
      </w:r>
      <w:r>
        <w:rPr>
          <w:noProof/>
        </w:rPr>
        <w:tab/>
      </w:r>
      <w:r>
        <w:rPr>
          <w:noProof/>
        </w:rPr>
        <w:fldChar w:fldCharType="begin"/>
      </w:r>
      <w:r>
        <w:rPr>
          <w:noProof/>
        </w:rPr>
        <w:instrText xml:space="preserve"> PAGEREF _Toc384826839 \h </w:instrText>
      </w:r>
      <w:r>
        <w:rPr>
          <w:noProof/>
        </w:rPr>
      </w:r>
      <w:r>
        <w:rPr>
          <w:noProof/>
        </w:rPr>
        <w:fldChar w:fldCharType="separate"/>
      </w:r>
      <w:r>
        <w:rPr>
          <w:noProof/>
        </w:rPr>
        <w:t>56</w:t>
      </w:r>
      <w:r>
        <w:rPr>
          <w:noProof/>
        </w:rPr>
        <w:fldChar w:fldCharType="end"/>
      </w:r>
    </w:p>
    <w:p w14:paraId="361AFFF9"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Compartimentation cellulaire et régénération simultanée des tissus parodontaux</w:t>
      </w:r>
      <w:r>
        <w:rPr>
          <w:noProof/>
        </w:rPr>
        <w:tab/>
      </w:r>
      <w:r>
        <w:rPr>
          <w:noProof/>
        </w:rPr>
        <w:fldChar w:fldCharType="begin"/>
      </w:r>
      <w:r>
        <w:rPr>
          <w:noProof/>
        </w:rPr>
        <w:instrText xml:space="preserve"> PAGEREF _Toc384826840 \h </w:instrText>
      </w:r>
      <w:r>
        <w:rPr>
          <w:noProof/>
        </w:rPr>
      </w:r>
      <w:r>
        <w:rPr>
          <w:noProof/>
        </w:rPr>
        <w:fldChar w:fldCharType="separate"/>
      </w:r>
      <w:r>
        <w:rPr>
          <w:noProof/>
        </w:rPr>
        <w:t>57</w:t>
      </w:r>
      <w:r>
        <w:rPr>
          <w:noProof/>
        </w:rPr>
        <w:fldChar w:fldCharType="end"/>
      </w:r>
    </w:p>
    <w:p w14:paraId="44DACE6C"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Intérêt des membranes PCL avec nanoréservoirs</w:t>
      </w:r>
      <w:r>
        <w:rPr>
          <w:noProof/>
        </w:rPr>
        <w:tab/>
      </w:r>
      <w:r>
        <w:rPr>
          <w:noProof/>
        </w:rPr>
        <w:fldChar w:fldCharType="begin"/>
      </w:r>
      <w:r>
        <w:rPr>
          <w:noProof/>
        </w:rPr>
        <w:instrText xml:space="preserve"> PAGEREF _Toc384826841 \h </w:instrText>
      </w:r>
      <w:r>
        <w:rPr>
          <w:noProof/>
        </w:rPr>
      </w:r>
      <w:r>
        <w:rPr>
          <w:noProof/>
        </w:rPr>
        <w:fldChar w:fldCharType="separate"/>
      </w:r>
      <w:r>
        <w:rPr>
          <w:noProof/>
        </w:rPr>
        <w:t>58</w:t>
      </w:r>
      <w:r>
        <w:rPr>
          <w:noProof/>
        </w:rPr>
        <w:fldChar w:fldCharType="end"/>
      </w:r>
    </w:p>
    <w:p w14:paraId="192DCC58" w14:textId="77777777" w:rsidR="0094071B" w:rsidRDefault="0094071B">
      <w:pPr>
        <w:pStyle w:val="TOC2"/>
        <w:tabs>
          <w:tab w:val="left" w:pos="647"/>
          <w:tab w:val="right" w:leader="dot" w:pos="8290"/>
        </w:tabs>
        <w:rPr>
          <w:smallCaps w:val="0"/>
          <w:noProof/>
          <w:sz w:val="24"/>
          <w:szCs w:val="24"/>
          <w:lang w:eastAsia="ja-JP"/>
        </w:rPr>
      </w:pPr>
      <w:r>
        <w:rPr>
          <w:noProof/>
        </w:rPr>
        <w:t>3.</w:t>
      </w:r>
      <w:r>
        <w:rPr>
          <w:smallCaps w:val="0"/>
          <w:noProof/>
          <w:sz w:val="24"/>
          <w:szCs w:val="24"/>
          <w:lang w:eastAsia="ja-JP"/>
        </w:rPr>
        <w:tab/>
      </w:r>
      <w:r>
        <w:rPr>
          <w:noProof/>
        </w:rPr>
        <w:t>Membranes PCL nanofibreuses fonctionnalisées avec de l’α-MSH</w:t>
      </w:r>
      <w:r>
        <w:rPr>
          <w:noProof/>
        </w:rPr>
        <w:tab/>
      </w:r>
      <w:r>
        <w:rPr>
          <w:noProof/>
        </w:rPr>
        <w:fldChar w:fldCharType="begin"/>
      </w:r>
      <w:r>
        <w:rPr>
          <w:noProof/>
        </w:rPr>
        <w:instrText xml:space="preserve"> PAGEREF _Toc384826842 \h </w:instrText>
      </w:r>
      <w:r>
        <w:rPr>
          <w:noProof/>
        </w:rPr>
      </w:r>
      <w:r>
        <w:rPr>
          <w:noProof/>
        </w:rPr>
        <w:fldChar w:fldCharType="separate"/>
      </w:r>
      <w:r>
        <w:rPr>
          <w:noProof/>
        </w:rPr>
        <w:t>58</w:t>
      </w:r>
      <w:r>
        <w:rPr>
          <w:noProof/>
        </w:rPr>
        <w:fldChar w:fldCharType="end"/>
      </w:r>
    </w:p>
    <w:p w14:paraId="0D050DE9"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Introduction</w:t>
      </w:r>
      <w:r>
        <w:rPr>
          <w:noProof/>
        </w:rPr>
        <w:tab/>
      </w:r>
      <w:r>
        <w:rPr>
          <w:noProof/>
        </w:rPr>
        <w:fldChar w:fldCharType="begin"/>
      </w:r>
      <w:r>
        <w:rPr>
          <w:noProof/>
        </w:rPr>
        <w:instrText xml:space="preserve"> PAGEREF _Toc384826843 \h </w:instrText>
      </w:r>
      <w:r>
        <w:rPr>
          <w:noProof/>
        </w:rPr>
      </w:r>
      <w:r>
        <w:rPr>
          <w:noProof/>
        </w:rPr>
        <w:fldChar w:fldCharType="separate"/>
      </w:r>
      <w:r>
        <w:rPr>
          <w:noProof/>
        </w:rPr>
        <w:t>58</w:t>
      </w:r>
      <w:r>
        <w:rPr>
          <w:noProof/>
        </w:rPr>
        <w:fldChar w:fldCharType="end"/>
      </w:r>
    </w:p>
    <w:p w14:paraId="15F35121"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Effets sur les cellules gingivales</w:t>
      </w:r>
      <w:r>
        <w:rPr>
          <w:noProof/>
        </w:rPr>
        <w:tab/>
      </w:r>
      <w:r>
        <w:rPr>
          <w:noProof/>
        </w:rPr>
        <w:fldChar w:fldCharType="begin"/>
      </w:r>
      <w:r>
        <w:rPr>
          <w:noProof/>
        </w:rPr>
        <w:instrText xml:space="preserve"> PAGEREF _Toc384826844 \h </w:instrText>
      </w:r>
      <w:r>
        <w:rPr>
          <w:noProof/>
        </w:rPr>
      </w:r>
      <w:r>
        <w:rPr>
          <w:noProof/>
        </w:rPr>
        <w:fldChar w:fldCharType="separate"/>
      </w:r>
      <w:r>
        <w:rPr>
          <w:noProof/>
        </w:rPr>
        <w:t>59</w:t>
      </w:r>
      <w:r>
        <w:rPr>
          <w:noProof/>
        </w:rPr>
        <w:fldChar w:fldCharType="end"/>
      </w:r>
    </w:p>
    <w:p w14:paraId="327C1C48"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Conclusion</w:t>
      </w:r>
      <w:r>
        <w:rPr>
          <w:noProof/>
        </w:rPr>
        <w:tab/>
      </w:r>
      <w:r>
        <w:rPr>
          <w:noProof/>
        </w:rPr>
        <w:fldChar w:fldCharType="begin"/>
      </w:r>
      <w:r>
        <w:rPr>
          <w:noProof/>
        </w:rPr>
        <w:instrText xml:space="preserve"> PAGEREF _Toc384826845 \h </w:instrText>
      </w:r>
      <w:r>
        <w:rPr>
          <w:noProof/>
        </w:rPr>
      </w:r>
      <w:r>
        <w:rPr>
          <w:noProof/>
        </w:rPr>
        <w:fldChar w:fldCharType="separate"/>
      </w:r>
      <w:r>
        <w:rPr>
          <w:noProof/>
        </w:rPr>
        <w:t>60</w:t>
      </w:r>
      <w:r>
        <w:rPr>
          <w:noProof/>
        </w:rPr>
        <w:fldChar w:fldCharType="end"/>
      </w:r>
    </w:p>
    <w:p w14:paraId="5E55BFF6" w14:textId="77777777" w:rsidR="0094071B" w:rsidRDefault="0094071B">
      <w:pPr>
        <w:pStyle w:val="TOC1"/>
        <w:tabs>
          <w:tab w:val="left" w:pos="661"/>
          <w:tab w:val="right" w:leader="dot" w:pos="8290"/>
        </w:tabs>
        <w:rPr>
          <w:b w:val="0"/>
          <w:caps w:val="0"/>
          <w:noProof/>
          <w:sz w:val="24"/>
          <w:szCs w:val="24"/>
          <w:lang w:eastAsia="ja-JP"/>
        </w:rPr>
      </w:pPr>
      <w:r>
        <w:rPr>
          <w:noProof/>
        </w:rPr>
        <w:t>VIII.</w:t>
      </w:r>
      <w:r>
        <w:rPr>
          <w:b w:val="0"/>
          <w:caps w:val="0"/>
          <w:noProof/>
          <w:sz w:val="24"/>
          <w:szCs w:val="24"/>
          <w:lang w:eastAsia="ja-JP"/>
        </w:rPr>
        <w:tab/>
      </w:r>
      <w:r>
        <w:rPr>
          <w:noProof/>
        </w:rPr>
        <w:t>CONCLUSION</w:t>
      </w:r>
      <w:r>
        <w:rPr>
          <w:noProof/>
        </w:rPr>
        <w:tab/>
      </w:r>
      <w:r>
        <w:rPr>
          <w:noProof/>
        </w:rPr>
        <w:fldChar w:fldCharType="begin"/>
      </w:r>
      <w:r>
        <w:rPr>
          <w:noProof/>
        </w:rPr>
        <w:instrText xml:space="preserve"> PAGEREF _Toc384826846 \h </w:instrText>
      </w:r>
      <w:r>
        <w:rPr>
          <w:noProof/>
        </w:rPr>
      </w:r>
      <w:r>
        <w:rPr>
          <w:noProof/>
        </w:rPr>
        <w:fldChar w:fldCharType="separate"/>
      </w:r>
      <w:r>
        <w:rPr>
          <w:noProof/>
        </w:rPr>
        <w:t>61</w:t>
      </w:r>
      <w:r>
        <w:rPr>
          <w:noProof/>
        </w:rPr>
        <w:fldChar w:fldCharType="end"/>
      </w:r>
    </w:p>
    <w:p w14:paraId="1AB216FD" w14:textId="77777777" w:rsidR="0094071B" w:rsidRDefault="0094071B">
      <w:pPr>
        <w:pStyle w:val="TOC2"/>
        <w:tabs>
          <w:tab w:val="left" w:pos="647"/>
          <w:tab w:val="right" w:leader="dot" w:pos="8290"/>
        </w:tabs>
        <w:rPr>
          <w:smallCaps w:val="0"/>
          <w:noProof/>
          <w:sz w:val="24"/>
          <w:szCs w:val="24"/>
          <w:lang w:eastAsia="ja-JP"/>
        </w:rPr>
      </w:pPr>
      <w:r>
        <w:rPr>
          <w:noProof/>
        </w:rPr>
        <w:t>1.</w:t>
      </w:r>
      <w:r>
        <w:rPr>
          <w:smallCaps w:val="0"/>
          <w:noProof/>
          <w:sz w:val="24"/>
          <w:szCs w:val="24"/>
          <w:lang w:eastAsia="ja-JP"/>
        </w:rPr>
        <w:tab/>
      </w:r>
      <w:r>
        <w:rPr>
          <w:noProof/>
        </w:rPr>
        <w:t>Résumé</w:t>
      </w:r>
      <w:r>
        <w:rPr>
          <w:noProof/>
        </w:rPr>
        <w:tab/>
      </w:r>
      <w:r>
        <w:rPr>
          <w:noProof/>
        </w:rPr>
        <w:fldChar w:fldCharType="begin"/>
      </w:r>
      <w:r>
        <w:rPr>
          <w:noProof/>
        </w:rPr>
        <w:instrText xml:space="preserve"> PAGEREF _Toc384826847 \h </w:instrText>
      </w:r>
      <w:r>
        <w:rPr>
          <w:noProof/>
        </w:rPr>
      </w:r>
      <w:r>
        <w:rPr>
          <w:noProof/>
        </w:rPr>
        <w:fldChar w:fldCharType="separate"/>
      </w:r>
      <w:r>
        <w:rPr>
          <w:noProof/>
        </w:rPr>
        <w:t>61</w:t>
      </w:r>
      <w:r>
        <w:rPr>
          <w:noProof/>
        </w:rPr>
        <w:fldChar w:fldCharType="end"/>
      </w:r>
    </w:p>
    <w:p w14:paraId="3D289A7D" w14:textId="77777777" w:rsidR="0094071B" w:rsidRDefault="0094071B">
      <w:pPr>
        <w:pStyle w:val="TOC2"/>
        <w:tabs>
          <w:tab w:val="left" w:pos="647"/>
          <w:tab w:val="right" w:leader="dot" w:pos="8290"/>
        </w:tabs>
        <w:rPr>
          <w:smallCaps w:val="0"/>
          <w:noProof/>
          <w:sz w:val="24"/>
          <w:szCs w:val="24"/>
          <w:lang w:eastAsia="ja-JP"/>
        </w:rPr>
      </w:pPr>
      <w:r>
        <w:rPr>
          <w:noProof/>
        </w:rPr>
        <w:t>2.</w:t>
      </w:r>
      <w:r>
        <w:rPr>
          <w:smallCaps w:val="0"/>
          <w:noProof/>
          <w:sz w:val="24"/>
          <w:szCs w:val="24"/>
          <w:lang w:eastAsia="ja-JP"/>
        </w:rPr>
        <w:tab/>
      </w:r>
      <w:r>
        <w:rPr>
          <w:noProof/>
        </w:rPr>
        <w:t>Perspectives thérapeutiques diverses en parodontologie</w:t>
      </w:r>
      <w:r>
        <w:rPr>
          <w:noProof/>
        </w:rPr>
        <w:tab/>
      </w:r>
      <w:r>
        <w:rPr>
          <w:noProof/>
        </w:rPr>
        <w:fldChar w:fldCharType="begin"/>
      </w:r>
      <w:r>
        <w:rPr>
          <w:noProof/>
        </w:rPr>
        <w:instrText xml:space="preserve"> PAGEREF _Toc384826848 \h </w:instrText>
      </w:r>
      <w:r>
        <w:rPr>
          <w:noProof/>
        </w:rPr>
      </w:r>
      <w:r>
        <w:rPr>
          <w:noProof/>
        </w:rPr>
        <w:fldChar w:fldCharType="separate"/>
      </w:r>
      <w:r>
        <w:rPr>
          <w:noProof/>
        </w:rPr>
        <w:t>62</w:t>
      </w:r>
      <w:r>
        <w:rPr>
          <w:noProof/>
        </w:rPr>
        <w:fldChar w:fldCharType="end"/>
      </w:r>
    </w:p>
    <w:p w14:paraId="59BB7830" w14:textId="77777777" w:rsidR="0094071B" w:rsidRDefault="0094071B">
      <w:pPr>
        <w:pStyle w:val="TOC3"/>
        <w:tabs>
          <w:tab w:val="left" w:pos="823"/>
          <w:tab w:val="right" w:leader="dot" w:pos="8290"/>
        </w:tabs>
        <w:rPr>
          <w:i w:val="0"/>
          <w:noProof/>
          <w:sz w:val="24"/>
          <w:szCs w:val="24"/>
          <w:lang w:eastAsia="ja-JP"/>
        </w:rPr>
      </w:pPr>
      <w:r>
        <w:rPr>
          <w:noProof/>
        </w:rPr>
        <w:t>i.</w:t>
      </w:r>
      <w:r>
        <w:rPr>
          <w:i w:val="0"/>
          <w:noProof/>
          <w:sz w:val="24"/>
          <w:szCs w:val="24"/>
          <w:lang w:eastAsia="ja-JP"/>
        </w:rPr>
        <w:tab/>
      </w:r>
      <w:r>
        <w:rPr>
          <w:noProof/>
        </w:rPr>
        <w:t>Les anti-cytokines</w:t>
      </w:r>
      <w:r>
        <w:rPr>
          <w:noProof/>
        </w:rPr>
        <w:tab/>
      </w:r>
      <w:r>
        <w:rPr>
          <w:noProof/>
        </w:rPr>
        <w:fldChar w:fldCharType="begin"/>
      </w:r>
      <w:r>
        <w:rPr>
          <w:noProof/>
        </w:rPr>
        <w:instrText xml:space="preserve"> PAGEREF _Toc384826849 \h </w:instrText>
      </w:r>
      <w:r>
        <w:rPr>
          <w:noProof/>
        </w:rPr>
      </w:r>
      <w:r>
        <w:rPr>
          <w:noProof/>
        </w:rPr>
        <w:fldChar w:fldCharType="separate"/>
      </w:r>
      <w:r>
        <w:rPr>
          <w:noProof/>
        </w:rPr>
        <w:t>62</w:t>
      </w:r>
      <w:r>
        <w:rPr>
          <w:noProof/>
        </w:rPr>
        <w:fldChar w:fldCharType="end"/>
      </w:r>
    </w:p>
    <w:p w14:paraId="07FEADEC" w14:textId="77777777" w:rsidR="0094071B" w:rsidRDefault="0094071B">
      <w:pPr>
        <w:pStyle w:val="TOC3"/>
        <w:tabs>
          <w:tab w:val="left" w:pos="883"/>
          <w:tab w:val="right" w:leader="dot" w:pos="8290"/>
        </w:tabs>
        <w:rPr>
          <w:i w:val="0"/>
          <w:noProof/>
          <w:sz w:val="24"/>
          <w:szCs w:val="24"/>
          <w:lang w:eastAsia="ja-JP"/>
        </w:rPr>
      </w:pPr>
      <w:r>
        <w:rPr>
          <w:noProof/>
        </w:rPr>
        <w:t>ii.</w:t>
      </w:r>
      <w:r>
        <w:rPr>
          <w:i w:val="0"/>
          <w:noProof/>
          <w:sz w:val="24"/>
          <w:szCs w:val="24"/>
          <w:lang w:eastAsia="ja-JP"/>
        </w:rPr>
        <w:tab/>
      </w:r>
      <w:r>
        <w:rPr>
          <w:noProof/>
        </w:rPr>
        <w:t>Les agents anti-inflammatoires non stéroïdiens</w:t>
      </w:r>
      <w:r>
        <w:rPr>
          <w:noProof/>
        </w:rPr>
        <w:tab/>
      </w:r>
      <w:r>
        <w:rPr>
          <w:noProof/>
        </w:rPr>
        <w:fldChar w:fldCharType="begin"/>
      </w:r>
      <w:r>
        <w:rPr>
          <w:noProof/>
        </w:rPr>
        <w:instrText xml:space="preserve"> PAGEREF _Toc384826850 \h </w:instrText>
      </w:r>
      <w:r>
        <w:rPr>
          <w:noProof/>
        </w:rPr>
      </w:r>
      <w:r>
        <w:rPr>
          <w:noProof/>
        </w:rPr>
        <w:fldChar w:fldCharType="separate"/>
      </w:r>
      <w:r>
        <w:rPr>
          <w:noProof/>
        </w:rPr>
        <w:t>63</w:t>
      </w:r>
      <w:r>
        <w:rPr>
          <w:noProof/>
        </w:rPr>
        <w:fldChar w:fldCharType="end"/>
      </w:r>
    </w:p>
    <w:p w14:paraId="5062DA1A" w14:textId="77777777" w:rsidR="0094071B" w:rsidRDefault="0094071B">
      <w:pPr>
        <w:pStyle w:val="TOC3"/>
        <w:tabs>
          <w:tab w:val="left" w:pos="943"/>
          <w:tab w:val="right" w:leader="dot" w:pos="8290"/>
        </w:tabs>
        <w:rPr>
          <w:i w:val="0"/>
          <w:noProof/>
          <w:sz w:val="24"/>
          <w:szCs w:val="24"/>
          <w:lang w:eastAsia="ja-JP"/>
        </w:rPr>
      </w:pPr>
      <w:r>
        <w:rPr>
          <w:noProof/>
        </w:rPr>
        <w:t>iii.</w:t>
      </w:r>
      <w:r>
        <w:rPr>
          <w:i w:val="0"/>
          <w:noProof/>
          <w:sz w:val="24"/>
          <w:szCs w:val="24"/>
          <w:lang w:eastAsia="ja-JP"/>
        </w:rPr>
        <w:tab/>
      </w:r>
      <w:r>
        <w:rPr>
          <w:noProof/>
        </w:rPr>
        <w:t>Les médiateurs lipidiques endogènes</w:t>
      </w:r>
      <w:r>
        <w:rPr>
          <w:noProof/>
        </w:rPr>
        <w:tab/>
      </w:r>
      <w:r>
        <w:rPr>
          <w:noProof/>
        </w:rPr>
        <w:fldChar w:fldCharType="begin"/>
      </w:r>
      <w:r>
        <w:rPr>
          <w:noProof/>
        </w:rPr>
        <w:instrText xml:space="preserve"> PAGEREF _Toc384826851 \h </w:instrText>
      </w:r>
      <w:r>
        <w:rPr>
          <w:noProof/>
        </w:rPr>
      </w:r>
      <w:r>
        <w:rPr>
          <w:noProof/>
        </w:rPr>
        <w:fldChar w:fldCharType="separate"/>
      </w:r>
      <w:r>
        <w:rPr>
          <w:noProof/>
        </w:rPr>
        <w:t>63</w:t>
      </w:r>
      <w:r>
        <w:rPr>
          <w:noProof/>
        </w:rPr>
        <w:fldChar w:fldCharType="end"/>
      </w:r>
    </w:p>
    <w:p w14:paraId="7B55E717" w14:textId="77777777" w:rsidR="0094071B" w:rsidRDefault="0094071B">
      <w:pPr>
        <w:pStyle w:val="TOC3"/>
        <w:tabs>
          <w:tab w:val="left" w:pos="925"/>
          <w:tab w:val="right" w:leader="dot" w:pos="8290"/>
        </w:tabs>
        <w:rPr>
          <w:i w:val="0"/>
          <w:noProof/>
          <w:sz w:val="24"/>
          <w:szCs w:val="24"/>
          <w:lang w:eastAsia="ja-JP"/>
        </w:rPr>
      </w:pPr>
      <w:r>
        <w:rPr>
          <w:noProof/>
        </w:rPr>
        <w:t>iv.</w:t>
      </w:r>
      <w:r>
        <w:rPr>
          <w:i w:val="0"/>
          <w:noProof/>
          <w:sz w:val="24"/>
          <w:szCs w:val="24"/>
          <w:lang w:eastAsia="ja-JP"/>
        </w:rPr>
        <w:tab/>
      </w:r>
      <w:r>
        <w:rPr>
          <w:noProof/>
        </w:rPr>
        <w:t>Les statines</w:t>
      </w:r>
      <w:r>
        <w:rPr>
          <w:noProof/>
        </w:rPr>
        <w:tab/>
      </w:r>
      <w:r>
        <w:rPr>
          <w:noProof/>
        </w:rPr>
        <w:fldChar w:fldCharType="begin"/>
      </w:r>
      <w:r>
        <w:rPr>
          <w:noProof/>
        </w:rPr>
        <w:instrText xml:space="preserve"> PAGEREF _Toc384826852 \h </w:instrText>
      </w:r>
      <w:r>
        <w:rPr>
          <w:noProof/>
        </w:rPr>
      </w:r>
      <w:r>
        <w:rPr>
          <w:noProof/>
        </w:rPr>
        <w:fldChar w:fldCharType="separate"/>
      </w:r>
      <w:r>
        <w:rPr>
          <w:noProof/>
        </w:rPr>
        <w:t>64</w:t>
      </w:r>
      <w:r>
        <w:rPr>
          <w:noProof/>
        </w:rPr>
        <w:fldChar w:fldCharType="end"/>
      </w:r>
    </w:p>
    <w:p w14:paraId="298F60C8" w14:textId="77777777" w:rsidR="0094071B" w:rsidRDefault="0094071B">
      <w:pPr>
        <w:pStyle w:val="TOC3"/>
        <w:tabs>
          <w:tab w:val="left" w:pos="865"/>
          <w:tab w:val="right" w:leader="dot" w:pos="8290"/>
        </w:tabs>
        <w:rPr>
          <w:i w:val="0"/>
          <w:noProof/>
          <w:sz w:val="24"/>
          <w:szCs w:val="24"/>
          <w:lang w:eastAsia="ja-JP"/>
        </w:rPr>
      </w:pPr>
      <w:r>
        <w:rPr>
          <w:noProof/>
        </w:rPr>
        <w:t>v.</w:t>
      </w:r>
      <w:r>
        <w:rPr>
          <w:i w:val="0"/>
          <w:noProof/>
          <w:sz w:val="24"/>
          <w:szCs w:val="24"/>
          <w:lang w:eastAsia="ja-JP"/>
        </w:rPr>
        <w:tab/>
      </w:r>
      <w:r>
        <w:rPr>
          <w:noProof/>
        </w:rPr>
        <w:t>Les membranes nanofibreuses bioactives</w:t>
      </w:r>
      <w:r>
        <w:rPr>
          <w:noProof/>
        </w:rPr>
        <w:tab/>
      </w:r>
      <w:r>
        <w:rPr>
          <w:noProof/>
        </w:rPr>
        <w:fldChar w:fldCharType="begin"/>
      </w:r>
      <w:r>
        <w:rPr>
          <w:noProof/>
        </w:rPr>
        <w:instrText xml:space="preserve"> PAGEREF _Toc384826853 \h </w:instrText>
      </w:r>
      <w:r>
        <w:rPr>
          <w:noProof/>
        </w:rPr>
      </w:r>
      <w:r>
        <w:rPr>
          <w:noProof/>
        </w:rPr>
        <w:fldChar w:fldCharType="separate"/>
      </w:r>
      <w:r>
        <w:rPr>
          <w:noProof/>
        </w:rPr>
        <w:t>64</w:t>
      </w:r>
      <w:r>
        <w:rPr>
          <w:noProof/>
        </w:rPr>
        <w:fldChar w:fldCharType="end"/>
      </w:r>
    </w:p>
    <w:p w14:paraId="2DEC34F4" w14:textId="569EB840" w:rsidR="006466F9" w:rsidRDefault="0094071B" w:rsidP="006466F9">
      <w:pPr>
        <w:spacing w:line="360" w:lineRule="auto"/>
        <w:rPr>
          <w:rFonts w:ascii="Arial" w:hAnsi="Arial"/>
          <w:sz w:val="28"/>
        </w:rPr>
      </w:pPr>
      <w:r>
        <w:rPr>
          <w:rFonts w:ascii="Arial" w:hAnsi="Arial"/>
          <w:sz w:val="28"/>
        </w:rPr>
        <w:fldChar w:fldCharType="end"/>
      </w:r>
    </w:p>
    <w:p w14:paraId="220F5767" w14:textId="77777777" w:rsidR="00832A09" w:rsidRDefault="00832A09" w:rsidP="006466F9">
      <w:pPr>
        <w:spacing w:line="360" w:lineRule="auto"/>
        <w:rPr>
          <w:rFonts w:ascii="Arial" w:hAnsi="Arial"/>
          <w:sz w:val="28"/>
        </w:rPr>
      </w:pPr>
    </w:p>
    <w:p w14:paraId="59B82E09" w14:textId="77777777" w:rsidR="006466F9" w:rsidRDefault="006466F9" w:rsidP="006466F9">
      <w:pPr>
        <w:spacing w:line="360" w:lineRule="auto"/>
        <w:rPr>
          <w:rFonts w:ascii="Arial" w:hAnsi="Arial"/>
          <w:sz w:val="28"/>
        </w:rPr>
      </w:pPr>
    </w:p>
    <w:p w14:paraId="09CAEE5B" w14:textId="77777777" w:rsidR="006466F9" w:rsidRDefault="006466F9" w:rsidP="006466F9">
      <w:pPr>
        <w:spacing w:line="360" w:lineRule="auto"/>
        <w:rPr>
          <w:rFonts w:ascii="Arial" w:hAnsi="Arial"/>
          <w:sz w:val="28"/>
        </w:rPr>
      </w:pPr>
    </w:p>
    <w:p w14:paraId="4926DFCA" w14:textId="77777777" w:rsidR="006466F9" w:rsidRDefault="006466F9" w:rsidP="006466F9">
      <w:pPr>
        <w:spacing w:line="360" w:lineRule="auto"/>
        <w:rPr>
          <w:rFonts w:ascii="Arial" w:hAnsi="Arial"/>
          <w:sz w:val="28"/>
        </w:rPr>
      </w:pPr>
    </w:p>
    <w:p w14:paraId="73643434" w14:textId="77777777" w:rsidR="006466F9" w:rsidRDefault="006466F9" w:rsidP="006466F9">
      <w:pPr>
        <w:spacing w:line="360" w:lineRule="auto"/>
        <w:rPr>
          <w:rFonts w:ascii="Arial" w:hAnsi="Arial"/>
          <w:sz w:val="28"/>
        </w:rPr>
      </w:pPr>
    </w:p>
    <w:p w14:paraId="66339757" w14:textId="77777777" w:rsidR="006466F9" w:rsidRDefault="006466F9" w:rsidP="006466F9">
      <w:pPr>
        <w:spacing w:line="360" w:lineRule="auto"/>
        <w:rPr>
          <w:rFonts w:ascii="Arial" w:hAnsi="Arial"/>
          <w:sz w:val="28"/>
        </w:rPr>
      </w:pPr>
    </w:p>
    <w:p w14:paraId="6441C689" w14:textId="77777777" w:rsidR="006466F9" w:rsidRDefault="006466F9" w:rsidP="006466F9">
      <w:pPr>
        <w:spacing w:line="360" w:lineRule="auto"/>
        <w:rPr>
          <w:rFonts w:ascii="Arial" w:hAnsi="Arial"/>
          <w:sz w:val="28"/>
        </w:rPr>
      </w:pPr>
    </w:p>
    <w:p w14:paraId="4A6A5F1E" w14:textId="77777777" w:rsidR="006466F9" w:rsidRDefault="006466F9" w:rsidP="006466F9">
      <w:pPr>
        <w:spacing w:line="360" w:lineRule="auto"/>
        <w:rPr>
          <w:rFonts w:ascii="Arial" w:hAnsi="Arial"/>
          <w:sz w:val="28"/>
        </w:rPr>
      </w:pPr>
    </w:p>
    <w:p w14:paraId="6DCFEA92" w14:textId="77777777" w:rsidR="006466F9" w:rsidRDefault="006466F9" w:rsidP="006466F9">
      <w:pPr>
        <w:spacing w:line="360" w:lineRule="auto"/>
        <w:rPr>
          <w:rFonts w:ascii="Arial" w:hAnsi="Arial"/>
          <w:sz w:val="28"/>
        </w:rPr>
      </w:pPr>
    </w:p>
    <w:p w14:paraId="5C66D9B9" w14:textId="77777777" w:rsidR="006466F9" w:rsidRDefault="006466F9" w:rsidP="006466F9">
      <w:pPr>
        <w:spacing w:line="360" w:lineRule="auto"/>
        <w:rPr>
          <w:rFonts w:ascii="Arial" w:hAnsi="Arial"/>
          <w:sz w:val="28"/>
        </w:rPr>
      </w:pPr>
    </w:p>
    <w:p w14:paraId="70BB839E" w14:textId="77777777" w:rsidR="006466F9" w:rsidRDefault="006466F9" w:rsidP="006466F9">
      <w:pPr>
        <w:spacing w:line="360" w:lineRule="auto"/>
        <w:rPr>
          <w:rFonts w:ascii="Arial" w:hAnsi="Arial"/>
          <w:sz w:val="28"/>
        </w:rPr>
      </w:pPr>
    </w:p>
    <w:p w14:paraId="64B53670" w14:textId="77777777" w:rsidR="006466F9" w:rsidRDefault="006466F9" w:rsidP="006466F9">
      <w:pPr>
        <w:spacing w:line="360" w:lineRule="auto"/>
        <w:rPr>
          <w:rFonts w:ascii="Arial" w:hAnsi="Arial"/>
          <w:sz w:val="28"/>
        </w:rPr>
      </w:pPr>
    </w:p>
    <w:p w14:paraId="0723F5AF" w14:textId="77777777" w:rsidR="006754BF" w:rsidRDefault="006754BF" w:rsidP="006466F9">
      <w:pPr>
        <w:spacing w:line="360" w:lineRule="auto"/>
        <w:rPr>
          <w:rFonts w:ascii="Arial" w:hAnsi="Arial"/>
          <w:sz w:val="28"/>
        </w:rPr>
      </w:pPr>
    </w:p>
    <w:p w14:paraId="0994EBE1" w14:textId="77777777" w:rsidR="006754BF" w:rsidRDefault="006754BF" w:rsidP="006466F9">
      <w:pPr>
        <w:spacing w:line="360" w:lineRule="auto"/>
        <w:rPr>
          <w:rFonts w:ascii="Arial" w:hAnsi="Arial"/>
          <w:sz w:val="28"/>
        </w:rPr>
      </w:pPr>
    </w:p>
    <w:p w14:paraId="3129DE25" w14:textId="77777777" w:rsidR="006754BF" w:rsidRDefault="006754BF" w:rsidP="006466F9">
      <w:pPr>
        <w:spacing w:line="360" w:lineRule="auto"/>
        <w:rPr>
          <w:rFonts w:ascii="Arial" w:hAnsi="Arial"/>
          <w:sz w:val="28"/>
        </w:rPr>
      </w:pPr>
    </w:p>
    <w:p w14:paraId="1AE13BD5" w14:textId="77777777" w:rsidR="004C6754" w:rsidRDefault="004C6754" w:rsidP="006466F9">
      <w:pPr>
        <w:spacing w:line="360" w:lineRule="auto"/>
        <w:rPr>
          <w:rFonts w:ascii="Arial" w:hAnsi="Arial"/>
          <w:sz w:val="28"/>
        </w:rPr>
      </w:pPr>
    </w:p>
    <w:p w14:paraId="3904E618" w14:textId="77777777" w:rsidR="006466F9" w:rsidRDefault="00827194" w:rsidP="006466F9">
      <w:pPr>
        <w:pBdr>
          <w:bottom w:val="single" w:sz="6" w:space="1" w:color="auto"/>
        </w:pBdr>
        <w:spacing w:line="360" w:lineRule="auto"/>
        <w:jc w:val="center"/>
        <w:rPr>
          <w:rFonts w:ascii="Arial" w:hAnsi="Arial"/>
          <w:b/>
          <w:sz w:val="28"/>
        </w:rPr>
      </w:pPr>
      <w:r w:rsidRPr="009A47D9">
        <w:rPr>
          <w:rFonts w:ascii="Arial" w:hAnsi="Arial"/>
          <w:b/>
          <w:sz w:val="28"/>
        </w:rPr>
        <w:t>LISTE DES FIGURES ET TABLES</w:t>
      </w:r>
    </w:p>
    <w:p w14:paraId="0BFBF001" w14:textId="77777777" w:rsidR="009A47D9" w:rsidRDefault="009A47D9" w:rsidP="009966BE">
      <w:pPr>
        <w:spacing w:line="360" w:lineRule="auto"/>
        <w:rPr>
          <w:rFonts w:ascii="Arial" w:hAnsi="Arial"/>
          <w:b/>
          <w:sz w:val="28"/>
        </w:rPr>
      </w:pPr>
    </w:p>
    <w:p w14:paraId="5B32FC33" w14:textId="77777777" w:rsidR="00BF5F49" w:rsidRDefault="009966BE" w:rsidP="009966BE">
      <w:pPr>
        <w:pStyle w:val="Stytleparagraphe"/>
      </w:pPr>
      <w:r>
        <w:t>Figure 1</w:t>
      </w:r>
      <w:r w:rsidR="00BF5F49">
        <w:t> : Parodontite chronique sévère généralisée au stade de maintenance</w:t>
      </w:r>
    </w:p>
    <w:p w14:paraId="4E022650" w14:textId="77777777" w:rsidR="009966BE" w:rsidRDefault="00BF5F49" w:rsidP="009966BE">
      <w:pPr>
        <w:pStyle w:val="Stytleparagraphe"/>
      </w:pPr>
      <w:r>
        <w:t xml:space="preserve">Figure 2 </w:t>
      </w:r>
      <w:r w:rsidR="009966BE">
        <w:t>: Phases principales de la cicatrisation parodontale</w:t>
      </w:r>
    </w:p>
    <w:p w14:paraId="4384B995" w14:textId="77777777" w:rsidR="00BF5F49" w:rsidRDefault="00BF5F49" w:rsidP="009966BE">
      <w:pPr>
        <w:pStyle w:val="Stytleparagraphe"/>
      </w:pPr>
      <w:r>
        <w:t>Table 1 : Déroulement de la cicatrisation parodontale</w:t>
      </w:r>
    </w:p>
    <w:p w14:paraId="296DAAB5" w14:textId="6F3AA69C" w:rsidR="004C27F0" w:rsidRPr="004159FB" w:rsidRDefault="004C27F0" w:rsidP="004159FB">
      <w:pPr>
        <w:pStyle w:val="Stytleparagraphe"/>
      </w:pPr>
      <w:r w:rsidRPr="004C27F0">
        <w:t xml:space="preserve">Table 2 : Principales différences entre la cicatrisation des plaies orales et </w:t>
      </w:r>
      <w:r w:rsidRPr="004159FB">
        <w:t>cutanées</w:t>
      </w:r>
    </w:p>
    <w:p w14:paraId="1036EE4F" w14:textId="24C5F033" w:rsidR="00CB6F65" w:rsidRPr="00E057E8" w:rsidRDefault="008105D4" w:rsidP="004159FB">
      <w:pPr>
        <w:pStyle w:val="Stytleparagraphe"/>
      </w:pPr>
      <w:r w:rsidRPr="004159FB">
        <w:t xml:space="preserve">Table 3 : Fonction et </w:t>
      </w:r>
      <w:r w:rsidRPr="00E057E8">
        <w:t>importanc</w:t>
      </w:r>
      <w:r w:rsidR="00CB6F65" w:rsidRPr="00E057E8">
        <w:t>e des cytokines dans les processus de cicatrisation</w:t>
      </w:r>
    </w:p>
    <w:p w14:paraId="06AB8C17" w14:textId="493EB967" w:rsidR="004159FB" w:rsidRPr="00E057E8" w:rsidRDefault="004159FB" w:rsidP="004159FB">
      <w:pPr>
        <w:pStyle w:val="Stytleparagraphe"/>
      </w:pPr>
      <w:r w:rsidRPr="00E057E8">
        <w:t xml:space="preserve">Figure 3 : Voie de signalisation des cytokines </w:t>
      </w:r>
    </w:p>
    <w:p w14:paraId="70BFDE7C" w14:textId="0BC726A6" w:rsidR="00932A0A" w:rsidRPr="00E057E8" w:rsidRDefault="00932A0A" w:rsidP="004159FB">
      <w:pPr>
        <w:pStyle w:val="Stytleparagraphe"/>
      </w:pPr>
      <w:r w:rsidRPr="00E057E8">
        <w:t>Figure 4 : Métabolisme de l’acide arachidonique</w:t>
      </w:r>
    </w:p>
    <w:p w14:paraId="1CE73F66" w14:textId="0CA99DD3" w:rsidR="00E057E8" w:rsidRDefault="00E057E8" w:rsidP="00E057E8">
      <w:pPr>
        <w:pStyle w:val="Stytleparagraphe"/>
      </w:pPr>
      <w:r w:rsidRPr="00E057E8">
        <w:t>Figure 5 : Résolution naturelle de l’inflammation</w:t>
      </w:r>
    </w:p>
    <w:p w14:paraId="6CEE70B6" w14:textId="116C4BE7" w:rsidR="002A4E9C" w:rsidRDefault="002A4E9C" w:rsidP="00E057E8">
      <w:pPr>
        <w:pStyle w:val="Stytleparagraphe"/>
      </w:pPr>
      <w:r w:rsidRPr="002A4E9C">
        <w:t>Figure 6 : Rôles des médiateurs lipidiques endogènes</w:t>
      </w:r>
    </w:p>
    <w:p w14:paraId="51B257F0" w14:textId="41E47BFD" w:rsidR="00B44CBF" w:rsidRPr="00B44CBF" w:rsidRDefault="00B44CBF" w:rsidP="00E057E8">
      <w:pPr>
        <w:pStyle w:val="Stytleparagraphe"/>
      </w:pPr>
      <w:r w:rsidRPr="00B44CBF">
        <w:t>Figure 7 : Délivrance des molécules bioactives par les biomatrices thérapeutiques</w:t>
      </w:r>
    </w:p>
    <w:p w14:paraId="549CC2BA" w14:textId="77777777" w:rsidR="00E057E8" w:rsidRDefault="00E057E8" w:rsidP="004159FB">
      <w:pPr>
        <w:pStyle w:val="Stytleparagraphe"/>
      </w:pPr>
    </w:p>
    <w:p w14:paraId="7ABB026F" w14:textId="77777777" w:rsidR="00B37626" w:rsidRDefault="00B37626" w:rsidP="004159FB">
      <w:pPr>
        <w:pStyle w:val="Stytleparagraphe"/>
      </w:pPr>
    </w:p>
    <w:p w14:paraId="7F783B4B" w14:textId="77777777" w:rsidR="00B37626" w:rsidRDefault="00B37626" w:rsidP="004159FB">
      <w:pPr>
        <w:pStyle w:val="Stytleparagraphe"/>
      </w:pPr>
    </w:p>
    <w:p w14:paraId="15446414" w14:textId="77777777" w:rsidR="006466F9" w:rsidRDefault="006466F9" w:rsidP="006466F9">
      <w:pPr>
        <w:spacing w:line="360" w:lineRule="auto"/>
        <w:rPr>
          <w:rFonts w:ascii="Arial" w:hAnsi="Arial"/>
          <w:sz w:val="28"/>
        </w:rPr>
      </w:pPr>
    </w:p>
    <w:p w14:paraId="6218652B" w14:textId="77777777" w:rsidR="00E057E8" w:rsidRDefault="00E057E8" w:rsidP="006466F9">
      <w:pPr>
        <w:spacing w:line="360" w:lineRule="auto"/>
        <w:rPr>
          <w:rFonts w:ascii="Arial" w:hAnsi="Arial"/>
          <w:sz w:val="28"/>
        </w:rPr>
      </w:pPr>
    </w:p>
    <w:p w14:paraId="2DE4AACC" w14:textId="77777777" w:rsidR="006466F9" w:rsidRDefault="006466F9" w:rsidP="006466F9">
      <w:pPr>
        <w:spacing w:line="360" w:lineRule="auto"/>
        <w:rPr>
          <w:rFonts w:ascii="Arial" w:hAnsi="Arial"/>
          <w:sz w:val="28"/>
        </w:rPr>
      </w:pPr>
    </w:p>
    <w:p w14:paraId="38792F86" w14:textId="77777777" w:rsidR="006466F9" w:rsidRDefault="006466F9" w:rsidP="006466F9">
      <w:pPr>
        <w:spacing w:line="360" w:lineRule="auto"/>
        <w:rPr>
          <w:rFonts w:ascii="Arial" w:hAnsi="Arial"/>
          <w:sz w:val="28"/>
        </w:rPr>
      </w:pPr>
    </w:p>
    <w:p w14:paraId="1C20F23C" w14:textId="77777777" w:rsidR="006466F9" w:rsidRDefault="006466F9" w:rsidP="006466F9">
      <w:pPr>
        <w:spacing w:line="360" w:lineRule="auto"/>
        <w:rPr>
          <w:rFonts w:ascii="Arial" w:hAnsi="Arial"/>
          <w:sz w:val="28"/>
        </w:rPr>
      </w:pPr>
    </w:p>
    <w:p w14:paraId="36F9B75F" w14:textId="77777777" w:rsidR="006466F9" w:rsidRDefault="006466F9" w:rsidP="006466F9">
      <w:pPr>
        <w:spacing w:line="360" w:lineRule="auto"/>
        <w:rPr>
          <w:rFonts w:ascii="Arial" w:hAnsi="Arial"/>
          <w:sz w:val="28"/>
        </w:rPr>
      </w:pPr>
    </w:p>
    <w:p w14:paraId="24FC8D9B" w14:textId="77777777" w:rsidR="006466F9" w:rsidRDefault="006466F9" w:rsidP="006466F9">
      <w:pPr>
        <w:spacing w:line="360" w:lineRule="auto"/>
        <w:rPr>
          <w:rFonts w:ascii="Arial" w:hAnsi="Arial"/>
          <w:sz w:val="28"/>
        </w:rPr>
      </w:pPr>
    </w:p>
    <w:p w14:paraId="07D141D6" w14:textId="77777777" w:rsidR="006466F9" w:rsidRDefault="006466F9" w:rsidP="006466F9">
      <w:pPr>
        <w:spacing w:line="360" w:lineRule="auto"/>
        <w:rPr>
          <w:rFonts w:ascii="Arial" w:hAnsi="Arial"/>
          <w:sz w:val="28"/>
        </w:rPr>
      </w:pPr>
    </w:p>
    <w:p w14:paraId="01D77002" w14:textId="77777777" w:rsidR="006466F9" w:rsidRDefault="006466F9" w:rsidP="006466F9">
      <w:pPr>
        <w:spacing w:line="360" w:lineRule="auto"/>
        <w:rPr>
          <w:rFonts w:ascii="Arial" w:hAnsi="Arial"/>
          <w:sz w:val="28"/>
        </w:rPr>
      </w:pPr>
    </w:p>
    <w:p w14:paraId="171FA302" w14:textId="77777777" w:rsidR="006466F9" w:rsidRDefault="006466F9" w:rsidP="006466F9">
      <w:pPr>
        <w:spacing w:line="360" w:lineRule="auto"/>
        <w:rPr>
          <w:rFonts w:ascii="Arial" w:hAnsi="Arial"/>
          <w:sz w:val="28"/>
        </w:rPr>
      </w:pPr>
    </w:p>
    <w:p w14:paraId="33BD4AAF" w14:textId="77777777" w:rsidR="006466F9" w:rsidRDefault="006466F9" w:rsidP="006466F9">
      <w:pPr>
        <w:spacing w:line="360" w:lineRule="auto"/>
        <w:rPr>
          <w:rFonts w:ascii="Arial" w:hAnsi="Arial"/>
          <w:sz w:val="28"/>
        </w:rPr>
      </w:pPr>
    </w:p>
    <w:p w14:paraId="678C9DB5" w14:textId="77777777" w:rsidR="006466F9" w:rsidRDefault="006466F9" w:rsidP="006466F9">
      <w:pPr>
        <w:spacing w:line="360" w:lineRule="auto"/>
        <w:rPr>
          <w:rFonts w:ascii="Arial" w:hAnsi="Arial"/>
          <w:sz w:val="28"/>
        </w:rPr>
      </w:pPr>
    </w:p>
    <w:p w14:paraId="188B24B0" w14:textId="77777777" w:rsidR="006466F9" w:rsidRDefault="006466F9" w:rsidP="006466F9">
      <w:pPr>
        <w:spacing w:line="360" w:lineRule="auto"/>
        <w:rPr>
          <w:rFonts w:ascii="Arial" w:hAnsi="Arial"/>
          <w:sz w:val="28"/>
        </w:rPr>
      </w:pPr>
    </w:p>
    <w:p w14:paraId="2D0B380C" w14:textId="77777777" w:rsidR="00AC571F" w:rsidRPr="00AC571F" w:rsidRDefault="00AC571F" w:rsidP="00AC571F">
      <w:pPr>
        <w:pBdr>
          <w:bottom w:val="single" w:sz="6" w:space="1" w:color="auto"/>
        </w:pBdr>
        <w:spacing w:line="360" w:lineRule="auto"/>
        <w:jc w:val="center"/>
        <w:rPr>
          <w:rFonts w:ascii="Arial" w:hAnsi="Arial"/>
          <w:b/>
          <w:sz w:val="28"/>
        </w:rPr>
      </w:pPr>
      <w:r w:rsidRPr="00AC571F">
        <w:rPr>
          <w:rFonts w:ascii="Arial" w:hAnsi="Arial"/>
          <w:b/>
          <w:sz w:val="28"/>
        </w:rPr>
        <w:t>LISTE DES ABREVIATIONS</w:t>
      </w:r>
    </w:p>
    <w:p w14:paraId="22720279" w14:textId="77777777" w:rsidR="00AC571F" w:rsidRDefault="00AC571F" w:rsidP="001B709E">
      <w:pPr>
        <w:pStyle w:val="Stytleparagraphe"/>
      </w:pPr>
    </w:p>
    <w:p w14:paraId="0DB120F9" w14:textId="4C99E3D7" w:rsidR="004909D0" w:rsidRDefault="004909D0" w:rsidP="001B709E">
      <w:pPr>
        <w:pStyle w:val="Stytleparagraphe"/>
      </w:pPr>
      <w:r>
        <w:t>α-MSH = alpha-melanocyte stimulating hormone</w:t>
      </w:r>
    </w:p>
    <w:p w14:paraId="3BDA4F56" w14:textId="61F8D1EA" w:rsidR="00401041" w:rsidRDefault="00401041" w:rsidP="001B709E">
      <w:pPr>
        <w:pStyle w:val="Stytleparagraphe"/>
      </w:pPr>
      <w:r>
        <w:t>AINS = anti-inflammatoires non stéroïdiens</w:t>
      </w:r>
    </w:p>
    <w:p w14:paraId="0AD594D5" w14:textId="77777777" w:rsidR="008D5AE4" w:rsidRDefault="008D5AE4" w:rsidP="001B709E">
      <w:pPr>
        <w:pStyle w:val="Stytleparagraphe"/>
      </w:pPr>
      <w:r>
        <w:t>bFGF = basic fibroblast growth factor</w:t>
      </w:r>
    </w:p>
    <w:p w14:paraId="65E04227" w14:textId="6756C508" w:rsidR="00A71702" w:rsidRDefault="00A71702" w:rsidP="001B709E">
      <w:pPr>
        <w:pStyle w:val="Stytleparagraphe"/>
      </w:pPr>
      <w:r>
        <w:t>BMD = bone mineral density</w:t>
      </w:r>
    </w:p>
    <w:p w14:paraId="3A9169B0" w14:textId="779068D0" w:rsidR="00DD6D2C" w:rsidRDefault="00DD6D2C" w:rsidP="001B709E">
      <w:pPr>
        <w:pStyle w:val="Stytleparagraphe"/>
      </w:pPr>
      <w:r>
        <w:t>BMP-2 = bone morphogenetic protein-2</w:t>
      </w:r>
    </w:p>
    <w:p w14:paraId="2881AEBD" w14:textId="121943C8" w:rsidR="00D41F54" w:rsidRDefault="00D41F54" w:rsidP="001B709E">
      <w:pPr>
        <w:pStyle w:val="Stytleparagraphe"/>
      </w:pPr>
      <w:r>
        <w:t>COX = cyclo-oxygénase</w:t>
      </w:r>
    </w:p>
    <w:p w14:paraId="3FE59A39" w14:textId="665A5BA4" w:rsidR="00124325" w:rsidRDefault="00124325" w:rsidP="001B709E">
      <w:pPr>
        <w:pStyle w:val="Stytleparagraphe"/>
      </w:pPr>
      <w:r>
        <w:t>CSM = cellules souches mésenchymateuses</w:t>
      </w:r>
    </w:p>
    <w:p w14:paraId="3EBB5DAF" w14:textId="77777777" w:rsidR="008D5AE4" w:rsidRDefault="008D5AE4" w:rsidP="001B709E">
      <w:pPr>
        <w:pStyle w:val="Stytleparagraphe"/>
      </w:pPr>
      <w:r>
        <w:t>EGF = endothelium growth factor</w:t>
      </w:r>
    </w:p>
    <w:p w14:paraId="14F8D73B" w14:textId="2965A875" w:rsidR="00545A07" w:rsidRDefault="00545A07" w:rsidP="001B709E">
      <w:pPr>
        <w:pStyle w:val="Stytleparagraphe"/>
      </w:pPr>
      <w:r>
        <w:t>GCF = gingival crevicular fluid</w:t>
      </w:r>
    </w:p>
    <w:p w14:paraId="6C2FAAC2" w14:textId="03C78EC3" w:rsidR="00C129F5" w:rsidRDefault="00C129F5" w:rsidP="001B709E">
      <w:pPr>
        <w:pStyle w:val="Stytleparagraphe"/>
      </w:pPr>
      <w:r>
        <w:t>INF-</w:t>
      </w:r>
      <w:r>
        <w:rPr>
          <w:rFonts w:cs="Arial"/>
        </w:rPr>
        <w:t>γ</w:t>
      </w:r>
      <w:r>
        <w:t xml:space="preserve"> = interféron gamma</w:t>
      </w:r>
    </w:p>
    <w:p w14:paraId="3505E628" w14:textId="77777777" w:rsidR="008D5AE4" w:rsidRDefault="008D5AE4" w:rsidP="001B709E">
      <w:pPr>
        <w:pStyle w:val="Stytleparagraphe"/>
      </w:pPr>
      <w:r>
        <w:t>IL-1 = interleukine-1</w:t>
      </w:r>
    </w:p>
    <w:p w14:paraId="3E5B4F5E" w14:textId="77777777" w:rsidR="008D5AE4" w:rsidRDefault="008D5AE4" w:rsidP="001B709E">
      <w:pPr>
        <w:pStyle w:val="Stytleparagraphe"/>
        <w:rPr>
          <w:rFonts w:cs="Arial"/>
        </w:rPr>
      </w:pPr>
      <w:r>
        <w:rPr>
          <w:rFonts w:cs="Arial"/>
        </w:rPr>
        <w:t>IL-1β = interleukine-1 beta</w:t>
      </w:r>
    </w:p>
    <w:p w14:paraId="5000A3E3" w14:textId="77777777" w:rsidR="008D5AE4" w:rsidRDefault="008D5AE4" w:rsidP="001B709E">
      <w:pPr>
        <w:pStyle w:val="Stytleparagraphe"/>
        <w:rPr>
          <w:rFonts w:cs="Arial"/>
        </w:rPr>
      </w:pPr>
      <w:r>
        <w:rPr>
          <w:rFonts w:cs="Arial"/>
        </w:rPr>
        <w:t>IL6 = interleukine-6</w:t>
      </w:r>
    </w:p>
    <w:p w14:paraId="439C1408" w14:textId="77777777" w:rsidR="008D5AE4" w:rsidRDefault="008D5AE4" w:rsidP="008D5AE4">
      <w:pPr>
        <w:pStyle w:val="Stytleparagraphe"/>
        <w:rPr>
          <w:rFonts w:cs="Arial"/>
        </w:rPr>
      </w:pPr>
      <w:r>
        <w:rPr>
          <w:rFonts w:cs="Arial"/>
        </w:rPr>
        <w:t>LT = lymphocytes T</w:t>
      </w:r>
    </w:p>
    <w:p w14:paraId="55B94535" w14:textId="77777777" w:rsidR="008D5AE4" w:rsidRDefault="008D5AE4" w:rsidP="001B709E">
      <w:pPr>
        <w:pStyle w:val="Stytleparagraphe"/>
        <w:rPr>
          <w:rFonts w:cs="Arial"/>
        </w:rPr>
      </w:pPr>
      <w:r>
        <w:rPr>
          <w:rFonts w:cs="Arial"/>
        </w:rPr>
        <w:t>LB = lymphocytes B</w:t>
      </w:r>
    </w:p>
    <w:p w14:paraId="45183913" w14:textId="4D52614C" w:rsidR="002F2D43" w:rsidRDefault="002F2D43" w:rsidP="001B709E">
      <w:pPr>
        <w:pStyle w:val="Stytleparagraphe"/>
        <w:rPr>
          <w:rFonts w:cs="Arial"/>
        </w:rPr>
      </w:pPr>
      <w:r>
        <w:rPr>
          <w:rFonts w:cs="Arial"/>
        </w:rPr>
        <w:t>LPS = lipopolysaccharide</w:t>
      </w:r>
    </w:p>
    <w:p w14:paraId="7B3DB817" w14:textId="09CC5115" w:rsidR="002D14E0" w:rsidRDefault="002D14E0" w:rsidP="001B709E">
      <w:pPr>
        <w:pStyle w:val="Stytleparagraphe"/>
        <w:rPr>
          <w:rFonts w:cs="Arial"/>
        </w:rPr>
      </w:pPr>
      <w:r>
        <w:rPr>
          <w:rFonts w:cs="Arial"/>
        </w:rPr>
        <w:t>LX = lipoxines</w:t>
      </w:r>
    </w:p>
    <w:p w14:paraId="3FA0D4FA" w14:textId="77777777" w:rsidR="001F28E7" w:rsidRDefault="001F28E7" w:rsidP="001B709E">
      <w:pPr>
        <w:pStyle w:val="Stytleparagraphe"/>
        <w:rPr>
          <w:rFonts w:cs="Arial"/>
        </w:rPr>
      </w:pPr>
      <w:r>
        <w:rPr>
          <w:rFonts w:cs="Arial"/>
        </w:rPr>
        <w:t>MEC = matrice extra-cellulaire</w:t>
      </w:r>
    </w:p>
    <w:p w14:paraId="181742AE" w14:textId="77777777" w:rsidR="001F28E7" w:rsidRDefault="001F28E7" w:rsidP="001B709E">
      <w:pPr>
        <w:pStyle w:val="Stytleparagraphe"/>
        <w:rPr>
          <w:rFonts w:cs="Arial"/>
        </w:rPr>
      </w:pPr>
      <w:r>
        <w:rPr>
          <w:rFonts w:cs="Arial"/>
        </w:rPr>
        <w:t>MMPs = métalloprotéases matricielles</w:t>
      </w:r>
    </w:p>
    <w:p w14:paraId="62B9730E" w14:textId="7F7FC370" w:rsidR="008E0174" w:rsidRDefault="008E0174" w:rsidP="001B709E">
      <w:pPr>
        <w:pStyle w:val="Stytleparagraphe"/>
        <w:rPr>
          <w:rFonts w:cs="Arial"/>
        </w:rPr>
      </w:pPr>
      <w:r>
        <w:rPr>
          <w:rFonts w:cs="Arial"/>
        </w:rPr>
        <w:t>MPO = myéloperoxydase</w:t>
      </w:r>
    </w:p>
    <w:p w14:paraId="1B50964A" w14:textId="7DA243C9" w:rsidR="00846890" w:rsidRDefault="00846890" w:rsidP="001B709E">
      <w:pPr>
        <w:pStyle w:val="Stytleparagraphe"/>
        <w:rPr>
          <w:rFonts w:cs="Arial"/>
        </w:rPr>
      </w:pPr>
      <w:r>
        <w:rPr>
          <w:rFonts w:cs="Arial"/>
        </w:rPr>
        <w:t>OPG = ostéoprotégérine</w:t>
      </w:r>
    </w:p>
    <w:p w14:paraId="0D65F5B7" w14:textId="1D752F56" w:rsidR="00A06C22" w:rsidRPr="008D5AE4" w:rsidRDefault="00A06C22" w:rsidP="001B709E">
      <w:pPr>
        <w:pStyle w:val="Stytleparagraphe"/>
      </w:pPr>
      <w:r>
        <w:rPr>
          <w:rFonts w:cs="Arial"/>
        </w:rPr>
        <w:t>PCL = poly-ε-caprolactone</w:t>
      </w:r>
    </w:p>
    <w:p w14:paraId="4F65C81B" w14:textId="77777777" w:rsidR="00AC571F" w:rsidRDefault="00AC571F" w:rsidP="001B709E">
      <w:pPr>
        <w:pStyle w:val="Stytleparagraphe"/>
      </w:pPr>
      <w:r>
        <w:t>PDGF = plated-derived growth factor</w:t>
      </w:r>
    </w:p>
    <w:p w14:paraId="692F9E3B" w14:textId="62D637DD" w:rsidR="00B80BD4" w:rsidRDefault="00B80BD4" w:rsidP="001B709E">
      <w:pPr>
        <w:pStyle w:val="Stytleparagraphe"/>
      </w:pPr>
      <w:r>
        <w:t>Pg = porphyromonas gingivalis</w:t>
      </w:r>
    </w:p>
    <w:p w14:paraId="718319B2" w14:textId="4D7DA71E" w:rsidR="00F84A9E" w:rsidRDefault="00F84A9E" w:rsidP="001B709E">
      <w:pPr>
        <w:pStyle w:val="Stytleparagraphe"/>
      </w:pPr>
      <w:r>
        <w:t>PG = prostaglandine</w:t>
      </w:r>
    </w:p>
    <w:p w14:paraId="482BAF03" w14:textId="3D865278" w:rsidR="00EE1683" w:rsidRDefault="00EE1683" w:rsidP="001B709E">
      <w:pPr>
        <w:pStyle w:val="Stytleparagraphe"/>
      </w:pPr>
      <w:r>
        <w:t>PGA = poly-L-glutamic acid</w:t>
      </w:r>
    </w:p>
    <w:p w14:paraId="2FF462C5" w14:textId="4D7DF86E" w:rsidR="00EA40A6" w:rsidRDefault="00EA40A6" w:rsidP="001B709E">
      <w:pPr>
        <w:pStyle w:val="Stytleparagraphe"/>
      </w:pPr>
      <w:r>
        <w:t>PMN = neutrophiles polymorphonucléaires</w:t>
      </w:r>
    </w:p>
    <w:p w14:paraId="06D1AF35" w14:textId="39EC4871" w:rsidR="00A71702" w:rsidRDefault="00A71702" w:rsidP="001B709E">
      <w:pPr>
        <w:pStyle w:val="Stytleparagraphe"/>
      </w:pPr>
      <w:r>
        <w:t>PR = polyarthrite rhumatoïde</w:t>
      </w:r>
    </w:p>
    <w:p w14:paraId="550F6AFB" w14:textId="6AA2FCFE" w:rsidR="00846890" w:rsidRDefault="00846890" w:rsidP="001B709E">
      <w:pPr>
        <w:pStyle w:val="Stytleparagraphe"/>
      </w:pPr>
      <w:r>
        <w:t>RANK = receptor activator of nucleo-factor kappa-B</w:t>
      </w:r>
    </w:p>
    <w:p w14:paraId="4B880DDA" w14:textId="201EA7E1" w:rsidR="00846890" w:rsidRDefault="00846890" w:rsidP="001B709E">
      <w:pPr>
        <w:pStyle w:val="Stytleparagraphe"/>
      </w:pPr>
      <w:r>
        <w:t>RANKL = receptor activator of nucleo-factor kappa-B ligand</w:t>
      </w:r>
    </w:p>
    <w:p w14:paraId="0EBA84CF" w14:textId="77777777" w:rsidR="008D5AE4" w:rsidRDefault="008D5AE4" w:rsidP="001B709E">
      <w:pPr>
        <w:pStyle w:val="Stytleparagraphe"/>
      </w:pPr>
      <w:r>
        <w:t>RTG = régénération tissulaire guidée</w:t>
      </w:r>
    </w:p>
    <w:p w14:paraId="2485BA3D" w14:textId="77777777" w:rsidR="00AC571F" w:rsidRDefault="00AC571F" w:rsidP="001B709E">
      <w:pPr>
        <w:pStyle w:val="Stytleparagraphe"/>
      </w:pPr>
      <w:r>
        <w:t>TGB-</w:t>
      </w:r>
      <w:r>
        <w:rPr>
          <w:rFonts w:cs="Arial"/>
        </w:rPr>
        <w:t>β</w:t>
      </w:r>
      <w:r>
        <w:t xml:space="preserve"> = tumor growth factor-beta</w:t>
      </w:r>
    </w:p>
    <w:p w14:paraId="3946831D" w14:textId="77777777" w:rsidR="001B709E" w:rsidRDefault="001B709E" w:rsidP="001B709E">
      <w:pPr>
        <w:pStyle w:val="Stytleparagraphe"/>
      </w:pPr>
      <w:r>
        <w:t>VEGF = vascular endothelium growth factor</w:t>
      </w:r>
    </w:p>
    <w:p w14:paraId="6120B7EA" w14:textId="77777777" w:rsidR="00847ABD" w:rsidRDefault="00847ABD" w:rsidP="001B709E">
      <w:pPr>
        <w:pStyle w:val="Stytleparagraphe"/>
        <w:rPr>
          <w:rFonts w:cs="Arial"/>
        </w:rPr>
      </w:pPr>
      <w:r>
        <w:t>TNF-</w:t>
      </w:r>
      <w:r>
        <w:rPr>
          <w:rFonts w:cs="Arial"/>
        </w:rPr>
        <w:t>α = tumor necrosis factor-alpha</w:t>
      </w:r>
    </w:p>
    <w:p w14:paraId="2CD91EAA" w14:textId="7A11F8A2" w:rsidR="001B709E" w:rsidRPr="00DD6D2C" w:rsidRDefault="00F84A9E" w:rsidP="00DD6D2C">
      <w:pPr>
        <w:pStyle w:val="Stytleparagraphe"/>
        <w:rPr>
          <w:rFonts w:cs="Arial"/>
        </w:rPr>
      </w:pPr>
      <w:r>
        <w:rPr>
          <w:rFonts w:cs="Arial"/>
        </w:rPr>
        <w:t>TXA2 = th</w:t>
      </w:r>
      <w:r w:rsidR="00C129F5">
        <w:rPr>
          <w:rFonts w:cs="Arial"/>
        </w:rPr>
        <w:t>r</w:t>
      </w:r>
      <w:r>
        <w:rPr>
          <w:rFonts w:cs="Arial"/>
        </w:rPr>
        <w:t>omboxane</w:t>
      </w:r>
      <w:r w:rsidR="00C129F5">
        <w:rPr>
          <w:rFonts w:cs="Arial"/>
        </w:rPr>
        <w:t xml:space="preserve"> A2</w:t>
      </w:r>
    </w:p>
    <w:p w14:paraId="5633BFE7" w14:textId="77777777" w:rsidR="001B709E" w:rsidRDefault="001B709E" w:rsidP="006466F9">
      <w:pPr>
        <w:spacing w:line="360" w:lineRule="auto"/>
        <w:rPr>
          <w:rFonts w:ascii="Arial" w:hAnsi="Arial"/>
          <w:sz w:val="28"/>
        </w:rPr>
      </w:pPr>
    </w:p>
    <w:p w14:paraId="1A55D2AB" w14:textId="77777777" w:rsidR="001B709E" w:rsidRDefault="001B709E" w:rsidP="006466F9">
      <w:pPr>
        <w:spacing w:line="360" w:lineRule="auto"/>
        <w:rPr>
          <w:rFonts w:ascii="Arial" w:hAnsi="Arial"/>
          <w:sz w:val="28"/>
        </w:rPr>
      </w:pPr>
    </w:p>
    <w:p w14:paraId="697FA41D" w14:textId="77777777" w:rsidR="001B709E" w:rsidRDefault="001B709E" w:rsidP="006466F9">
      <w:pPr>
        <w:spacing w:line="360" w:lineRule="auto"/>
        <w:rPr>
          <w:rFonts w:ascii="Arial" w:hAnsi="Arial"/>
          <w:sz w:val="28"/>
        </w:rPr>
      </w:pPr>
    </w:p>
    <w:p w14:paraId="60C7DD00" w14:textId="77777777" w:rsidR="001B709E" w:rsidRDefault="001B709E" w:rsidP="006466F9">
      <w:pPr>
        <w:spacing w:line="360" w:lineRule="auto"/>
        <w:rPr>
          <w:rFonts w:ascii="Arial" w:hAnsi="Arial"/>
          <w:sz w:val="28"/>
        </w:rPr>
      </w:pPr>
    </w:p>
    <w:p w14:paraId="3235B8C9" w14:textId="77777777" w:rsidR="004016E0" w:rsidRPr="00B80BD4" w:rsidRDefault="004016E0" w:rsidP="00B80BD4">
      <w:pPr>
        <w:spacing w:line="360" w:lineRule="auto"/>
        <w:rPr>
          <w:rFonts w:ascii="Arial" w:hAnsi="Arial"/>
          <w:sz w:val="28"/>
        </w:rPr>
      </w:pPr>
    </w:p>
    <w:p w14:paraId="51FED461" w14:textId="77777777" w:rsidR="004016E0" w:rsidRDefault="004016E0" w:rsidP="00D92749">
      <w:pPr>
        <w:pStyle w:val="ListParagraph"/>
        <w:spacing w:line="360" w:lineRule="auto"/>
        <w:ind w:left="1080"/>
        <w:rPr>
          <w:rFonts w:ascii="Arial" w:hAnsi="Arial"/>
          <w:sz w:val="28"/>
        </w:rPr>
      </w:pPr>
    </w:p>
    <w:p w14:paraId="38267384" w14:textId="77777777" w:rsidR="004016E0" w:rsidRDefault="004016E0" w:rsidP="00D92749">
      <w:pPr>
        <w:pStyle w:val="ListParagraph"/>
        <w:spacing w:line="360" w:lineRule="auto"/>
        <w:ind w:left="1080"/>
        <w:rPr>
          <w:rFonts w:ascii="Arial" w:hAnsi="Arial"/>
          <w:sz w:val="28"/>
        </w:rPr>
      </w:pPr>
    </w:p>
    <w:p w14:paraId="362A6678" w14:textId="77777777" w:rsidR="004016E0" w:rsidRDefault="004016E0" w:rsidP="00D92749">
      <w:pPr>
        <w:pStyle w:val="ListParagraph"/>
        <w:spacing w:line="360" w:lineRule="auto"/>
        <w:ind w:left="1080"/>
        <w:rPr>
          <w:rFonts w:ascii="Arial" w:hAnsi="Arial"/>
          <w:sz w:val="28"/>
        </w:rPr>
      </w:pPr>
    </w:p>
    <w:p w14:paraId="65168F3F" w14:textId="77777777" w:rsidR="00EE1683" w:rsidRDefault="00EE1683" w:rsidP="00D92749">
      <w:pPr>
        <w:pStyle w:val="ListParagraph"/>
        <w:spacing w:line="360" w:lineRule="auto"/>
        <w:ind w:left="1080"/>
        <w:rPr>
          <w:rFonts w:ascii="Arial" w:hAnsi="Arial"/>
          <w:sz w:val="28"/>
        </w:rPr>
      </w:pPr>
    </w:p>
    <w:p w14:paraId="2D8252EF" w14:textId="77777777" w:rsidR="00EE1683" w:rsidRDefault="00EE1683" w:rsidP="00D92749">
      <w:pPr>
        <w:pStyle w:val="ListParagraph"/>
        <w:spacing w:line="360" w:lineRule="auto"/>
        <w:ind w:left="1080"/>
        <w:rPr>
          <w:rFonts w:ascii="Arial" w:hAnsi="Arial"/>
          <w:sz w:val="28"/>
        </w:rPr>
      </w:pPr>
    </w:p>
    <w:p w14:paraId="7BB455A4" w14:textId="77777777" w:rsidR="00EE1683" w:rsidRDefault="00EE1683" w:rsidP="00D92749">
      <w:pPr>
        <w:pStyle w:val="ListParagraph"/>
        <w:spacing w:line="360" w:lineRule="auto"/>
        <w:ind w:left="1080"/>
        <w:rPr>
          <w:rFonts w:ascii="Arial" w:hAnsi="Arial"/>
          <w:sz w:val="28"/>
        </w:rPr>
      </w:pPr>
    </w:p>
    <w:p w14:paraId="504664F8" w14:textId="77777777" w:rsidR="00EE1683" w:rsidRDefault="00EE1683" w:rsidP="00D92749">
      <w:pPr>
        <w:pStyle w:val="ListParagraph"/>
        <w:spacing w:line="360" w:lineRule="auto"/>
        <w:ind w:left="1080"/>
        <w:rPr>
          <w:rFonts w:ascii="Arial" w:hAnsi="Arial"/>
          <w:sz w:val="28"/>
        </w:rPr>
      </w:pPr>
    </w:p>
    <w:p w14:paraId="379C699E" w14:textId="77777777" w:rsidR="00EE1683" w:rsidRDefault="00EE1683" w:rsidP="00D92749">
      <w:pPr>
        <w:pStyle w:val="ListParagraph"/>
        <w:spacing w:line="360" w:lineRule="auto"/>
        <w:ind w:left="1080"/>
        <w:rPr>
          <w:rFonts w:ascii="Arial" w:hAnsi="Arial"/>
          <w:sz w:val="28"/>
        </w:rPr>
      </w:pPr>
    </w:p>
    <w:p w14:paraId="068C9EFB" w14:textId="77777777" w:rsidR="00EE1683" w:rsidRDefault="00EE1683" w:rsidP="00D92749">
      <w:pPr>
        <w:pStyle w:val="ListParagraph"/>
        <w:spacing w:line="360" w:lineRule="auto"/>
        <w:ind w:left="1080"/>
        <w:rPr>
          <w:rFonts w:ascii="Arial" w:hAnsi="Arial"/>
          <w:sz w:val="28"/>
        </w:rPr>
      </w:pPr>
    </w:p>
    <w:p w14:paraId="5BBBA8B9" w14:textId="77777777" w:rsidR="00EE1683" w:rsidRDefault="00EE1683" w:rsidP="00D92749">
      <w:pPr>
        <w:pStyle w:val="ListParagraph"/>
        <w:spacing w:line="360" w:lineRule="auto"/>
        <w:ind w:left="1080"/>
        <w:rPr>
          <w:rFonts w:ascii="Arial" w:hAnsi="Arial"/>
          <w:sz w:val="28"/>
        </w:rPr>
      </w:pPr>
    </w:p>
    <w:p w14:paraId="49449B1F" w14:textId="77777777" w:rsidR="00EE1683" w:rsidRDefault="00EE1683" w:rsidP="00D92749">
      <w:pPr>
        <w:pStyle w:val="ListParagraph"/>
        <w:spacing w:line="360" w:lineRule="auto"/>
        <w:ind w:left="1080"/>
        <w:rPr>
          <w:rFonts w:ascii="Arial" w:hAnsi="Arial"/>
          <w:sz w:val="28"/>
        </w:rPr>
      </w:pPr>
    </w:p>
    <w:p w14:paraId="67FFCCE6" w14:textId="77777777" w:rsidR="00EE1683" w:rsidRDefault="00EE1683" w:rsidP="00D92749">
      <w:pPr>
        <w:pStyle w:val="ListParagraph"/>
        <w:spacing w:line="360" w:lineRule="auto"/>
        <w:ind w:left="1080"/>
        <w:rPr>
          <w:rFonts w:ascii="Arial" w:hAnsi="Arial"/>
          <w:sz w:val="28"/>
        </w:rPr>
      </w:pPr>
    </w:p>
    <w:p w14:paraId="5B648F2F" w14:textId="77777777" w:rsidR="00EE1683" w:rsidRDefault="00EE1683" w:rsidP="00D92749">
      <w:pPr>
        <w:pStyle w:val="ListParagraph"/>
        <w:spacing w:line="360" w:lineRule="auto"/>
        <w:ind w:left="1080"/>
        <w:rPr>
          <w:rFonts w:ascii="Arial" w:hAnsi="Arial"/>
          <w:sz w:val="28"/>
        </w:rPr>
      </w:pPr>
    </w:p>
    <w:p w14:paraId="3BD5F30A" w14:textId="77777777" w:rsidR="00EE1683" w:rsidRDefault="00EE1683" w:rsidP="00D92749">
      <w:pPr>
        <w:pStyle w:val="ListParagraph"/>
        <w:spacing w:line="360" w:lineRule="auto"/>
        <w:ind w:left="1080"/>
        <w:rPr>
          <w:rFonts w:ascii="Arial" w:hAnsi="Arial"/>
          <w:sz w:val="28"/>
        </w:rPr>
      </w:pPr>
    </w:p>
    <w:p w14:paraId="19D98EDE" w14:textId="77777777" w:rsidR="00EE1683" w:rsidRDefault="00EE1683" w:rsidP="00D92749">
      <w:pPr>
        <w:pStyle w:val="ListParagraph"/>
        <w:spacing w:line="360" w:lineRule="auto"/>
        <w:ind w:left="1080"/>
        <w:rPr>
          <w:rFonts w:ascii="Arial" w:hAnsi="Arial"/>
          <w:sz w:val="28"/>
        </w:rPr>
      </w:pPr>
    </w:p>
    <w:p w14:paraId="4A4A9205" w14:textId="77777777" w:rsidR="00EE1683" w:rsidRDefault="00EE1683" w:rsidP="00D92749">
      <w:pPr>
        <w:pStyle w:val="ListParagraph"/>
        <w:spacing w:line="360" w:lineRule="auto"/>
        <w:ind w:left="1080"/>
        <w:rPr>
          <w:rFonts w:ascii="Arial" w:hAnsi="Arial"/>
          <w:sz w:val="28"/>
        </w:rPr>
      </w:pPr>
    </w:p>
    <w:p w14:paraId="29D0AC93" w14:textId="77777777" w:rsidR="00EE1683" w:rsidRDefault="00EE1683" w:rsidP="00D92749">
      <w:pPr>
        <w:pStyle w:val="ListParagraph"/>
        <w:spacing w:line="360" w:lineRule="auto"/>
        <w:ind w:left="1080"/>
        <w:rPr>
          <w:rFonts w:ascii="Arial" w:hAnsi="Arial"/>
          <w:sz w:val="28"/>
        </w:rPr>
      </w:pPr>
    </w:p>
    <w:p w14:paraId="45794650" w14:textId="77777777" w:rsidR="00EE1683" w:rsidRDefault="00EE1683" w:rsidP="00D92749">
      <w:pPr>
        <w:pStyle w:val="ListParagraph"/>
        <w:spacing w:line="360" w:lineRule="auto"/>
        <w:ind w:left="1080"/>
        <w:rPr>
          <w:rFonts w:ascii="Arial" w:hAnsi="Arial"/>
          <w:sz w:val="28"/>
        </w:rPr>
      </w:pPr>
    </w:p>
    <w:p w14:paraId="588B4CC5" w14:textId="77777777" w:rsidR="00EE1683" w:rsidRDefault="00EE1683" w:rsidP="00D92749">
      <w:pPr>
        <w:pStyle w:val="ListParagraph"/>
        <w:spacing w:line="360" w:lineRule="auto"/>
        <w:ind w:left="1080"/>
        <w:rPr>
          <w:rFonts w:ascii="Arial" w:hAnsi="Arial"/>
          <w:sz w:val="28"/>
        </w:rPr>
      </w:pPr>
    </w:p>
    <w:p w14:paraId="730CF602" w14:textId="77777777" w:rsidR="00EE1683" w:rsidRDefault="00EE1683" w:rsidP="00D92749">
      <w:pPr>
        <w:pStyle w:val="ListParagraph"/>
        <w:spacing w:line="360" w:lineRule="auto"/>
        <w:ind w:left="1080"/>
        <w:rPr>
          <w:rFonts w:ascii="Arial" w:hAnsi="Arial"/>
          <w:sz w:val="28"/>
        </w:rPr>
      </w:pPr>
    </w:p>
    <w:p w14:paraId="53469FC4" w14:textId="77777777" w:rsidR="00EE1683" w:rsidRDefault="00EE1683" w:rsidP="00D92749">
      <w:pPr>
        <w:pStyle w:val="ListParagraph"/>
        <w:spacing w:line="360" w:lineRule="auto"/>
        <w:ind w:left="1080"/>
        <w:rPr>
          <w:rFonts w:ascii="Arial" w:hAnsi="Arial"/>
          <w:sz w:val="28"/>
        </w:rPr>
      </w:pPr>
    </w:p>
    <w:p w14:paraId="576BF18D" w14:textId="77777777" w:rsidR="00EE1683" w:rsidRDefault="00EE1683" w:rsidP="00D92749">
      <w:pPr>
        <w:pStyle w:val="ListParagraph"/>
        <w:spacing w:line="360" w:lineRule="auto"/>
        <w:ind w:left="1080"/>
        <w:rPr>
          <w:rFonts w:ascii="Arial" w:hAnsi="Arial"/>
          <w:sz w:val="28"/>
        </w:rPr>
      </w:pPr>
    </w:p>
    <w:p w14:paraId="631E95C6" w14:textId="77777777" w:rsidR="00EE1683" w:rsidRDefault="00EE1683" w:rsidP="00D92749">
      <w:pPr>
        <w:pStyle w:val="ListParagraph"/>
        <w:spacing w:line="360" w:lineRule="auto"/>
        <w:ind w:left="1080"/>
        <w:rPr>
          <w:rFonts w:ascii="Arial" w:hAnsi="Arial"/>
          <w:sz w:val="28"/>
        </w:rPr>
      </w:pPr>
    </w:p>
    <w:p w14:paraId="2764A7D2" w14:textId="77777777" w:rsidR="00EE1683" w:rsidRDefault="00EE1683" w:rsidP="00D92749">
      <w:pPr>
        <w:pStyle w:val="ListParagraph"/>
        <w:spacing w:line="360" w:lineRule="auto"/>
        <w:ind w:left="1080"/>
        <w:rPr>
          <w:rFonts w:ascii="Arial" w:hAnsi="Arial"/>
          <w:sz w:val="28"/>
        </w:rPr>
      </w:pPr>
    </w:p>
    <w:p w14:paraId="5B86E36D" w14:textId="77777777" w:rsidR="00EE1683" w:rsidRDefault="00EE1683" w:rsidP="00D92749">
      <w:pPr>
        <w:pStyle w:val="ListParagraph"/>
        <w:spacing w:line="360" w:lineRule="auto"/>
        <w:ind w:left="1080"/>
        <w:rPr>
          <w:rFonts w:ascii="Arial" w:hAnsi="Arial"/>
          <w:sz w:val="28"/>
        </w:rPr>
      </w:pPr>
    </w:p>
    <w:p w14:paraId="60CFB904" w14:textId="77777777" w:rsidR="00EE1683" w:rsidRDefault="00EE1683" w:rsidP="00D92749">
      <w:pPr>
        <w:pStyle w:val="ListParagraph"/>
        <w:spacing w:line="360" w:lineRule="auto"/>
        <w:ind w:left="1080"/>
        <w:rPr>
          <w:rFonts w:ascii="Arial" w:hAnsi="Arial"/>
          <w:sz w:val="28"/>
        </w:rPr>
      </w:pPr>
    </w:p>
    <w:p w14:paraId="1BF9C84A" w14:textId="77777777" w:rsidR="00EE1683" w:rsidRDefault="00EE1683" w:rsidP="00D92749">
      <w:pPr>
        <w:pStyle w:val="ListParagraph"/>
        <w:spacing w:line="360" w:lineRule="auto"/>
        <w:ind w:left="1080"/>
        <w:rPr>
          <w:rFonts w:ascii="Arial" w:hAnsi="Arial"/>
          <w:sz w:val="28"/>
        </w:rPr>
      </w:pPr>
    </w:p>
    <w:p w14:paraId="58857FB2" w14:textId="77777777" w:rsidR="00EE1683" w:rsidRDefault="00EE1683" w:rsidP="00D92749">
      <w:pPr>
        <w:pStyle w:val="ListParagraph"/>
        <w:spacing w:line="360" w:lineRule="auto"/>
        <w:ind w:left="1080"/>
        <w:rPr>
          <w:rFonts w:ascii="Arial" w:hAnsi="Arial"/>
          <w:sz w:val="28"/>
        </w:rPr>
      </w:pPr>
    </w:p>
    <w:p w14:paraId="1480AE14" w14:textId="77777777" w:rsidR="00EE1683" w:rsidRDefault="00EE1683" w:rsidP="00D92749">
      <w:pPr>
        <w:pStyle w:val="ListParagraph"/>
        <w:spacing w:line="360" w:lineRule="auto"/>
        <w:ind w:left="1080"/>
        <w:rPr>
          <w:rFonts w:ascii="Arial" w:hAnsi="Arial"/>
          <w:sz w:val="28"/>
        </w:rPr>
      </w:pPr>
    </w:p>
    <w:p w14:paraId="27A2E3A6" w14:textId="77777777" w:rsidR="00EE1683" w:rsidRDefault="00EE1683" w:rsidP="00D92749">
      <w:pPr>
        <w:pStyle w:val="ListParagraph"/>
        <w:spacing w:line="360" w:lineRule="auto"/>
        <w:ind w:left="1080"/>
        <w:rPr>
          <w:rFonts w:ascii="Arial" w:hAnsi="Arial"/>
          <w:sz w:val="28"/>
        </w:rPr>
      </w:pPr>
    </w:p>
    <w:p w14:paraId="2F041B7E" w14:textId="77777777" w:rsidR="00EE1683" w:rsidRDefault="00EE1683" w:rsidP="00D92749">
      <w:pPr>
        <w:pStyle w:val="ListParagraph"/>
        <w:spacing w:line="360" w:lineRule="auto"/>
        <w:ind w:left="1080"/>
        <w:rPr>
          <w:rFonts w:ascii="Arial" w:hAnsi="Arial"/>
          <w:sz w:val="28"/>
        </w:rPr>
      </w:pPr>
    </w:p>
    <w:p w14:paraId="4B9F6F7D" w14:textId="77777777" w:rsidR="00EE1683" w:rsidRDefault="00EE1683" w:rsidP="00D92749">
      <w:pPr>
        <w:pStyle w:val="ListParagraph"/>
        <w:spacing w:line="360" w:lineRule="auto"/>
        <w:ind w:left="1080"/>
        <w:rPr>
          <w:rFonts w:ascii="Arial" w:hAnsi="Arial"/>
          <w:sz w:val="28"/>
        </w:rPr>
      </w:pPr>
    </w:p>
    <w:p w14:paraId="13A9E96E" w14:textId="77777777" w:rsidR="00D92749" w:rsidRDefault="00D92749" w:rsidP="006466F9">
      <w:pPr>
        <w:pStyle w:val="ListParagraph"/>
        <w:spacing w:line="360" w:lineRule="auto"/>
        <w:ind w:left="1080"/>
        <w:jc w:val="center"/>
        <w:rPr>
          <w:rFonts w:ascii="Arial" w:hAnsi="Arial"/>
          <w:sz w:val="28"/>
        </w:rPr>
      </w:pPr>
    </w:p>
    <w:p w14:paraId="786CE0A6" w14:textId="77777777" w:rsidR="006466F9" w:rsidRPr="009A47D9" w:rsidRDefault="006466F9" w:rsidP="00E20D4F">
      <w:pPr>
        <w:pStyle w:val="Style1"/>
        <w:pBdr>
          <w:bottom w:val="single" w:sz="6" w:space="1" w:color="auto"/>
        </w:pBdr>
        <w:rPr>
          <w:sz w:val="28"/>
        </w:rPr>
      </w:pPr>
      <w:bookmarkStart w:id="0" w:name="_Toc374198765"/>
      <w:bookmarkStart w:id="1" w:name="_Toc374200740"/>
      <w:bookmarkStart w:id="2" w:name="_Toc374380465"/>
      <w:bookmarkStart w:id="3" w:name="_Toc379376283"/>
      <w:bookmarkStart w:id="4" w:name="_Toc379387538"/>
      <w:bookmarkStart w:id="5" w:name="_Toc379807323"/>
      <w:bookmarkStart w:id="6" w:name="_Toc380653883"/>
      <w:bookmarkStart w:id="7" w:name="_Toc380744117"/>
      <w:bookmarkStart w:id="8" w:name="_Toc380946373"/>
      <w:bookmarkStart w:id="9" w:name="_Toc383883937"/>
      <w:bookmarkStart w:id="10" w:name="_Toc384754054"/>
      <w:bookmarkStart w:id="11" w:name="_Toc384756475"/>
      <w:bookmarkStart w:id="12" w:name="_Toc384816071"/>
      <w:bookmarkStart w:id="13" w:name="_Toc384826787"/>
      <w:r w:rsidRPr="006466F9">
        <w:t>I</w:t>
      </w:r>
      <w:r w:rsidR="006E34C9">
        <w:t>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03F32949" w14:textId="77777777" w:rsidR="009A47D9" w:rsidRPr="006466F9" w:rsidRDefault="009A47D9" w:rsidP="009A47D9">
      <w:pPr>
        <w:pStyle w:val="Style1"/>
        <w:numPr>
          <w:ilvl w:val="0"/>
          <w:numId w:val="0"/>
        </w:numPr>
        <w:ind w:left="1080" w:hanging="720"/>
        <w:rPr>
          <w:sz w:val="28"/>
        </w:rPr>
      </w:pPr>
    </w:p>
    <w:p w14:paraId="22837511" w14:textId="77777777" w:rsidR="00713469" w:rsidRDefault="00713469" w:rsidP="006466F9">
      <w:pPr>
        <w:spacing w:line="360" w:lineRule="auto"/>
        <w:rPr>
          <w:rFonts w:ascii="Arial" w:hAnsi="Arial"/>
          <w:sz w:val="28"/>
        </w:rPr>
      </w:pPr>
    </w:p>
    <w:p w14:paraId="282ED2B6" w14:textId="77777777" w:rsidR="00713469" w:rsidRPr="00713469" w:rsidRDefault="00713469" w:rsidP="00713469">
      <w:pPr>
        <w:rPr>
          <w:rFonts w:ascii="Arial" w:hAnsi="Arial"/>
          <w:sz w:val="28"/>
        </w:rPr>
      </w:pPr>
    </w:p>
    <w:p w14:paraId="2756592D" w14:textId="77777777" w:rsidR="00713469" w:rsidRPr="00713469" w:rsidRDefault="00713469" w:rsidP="00713469">
      <w:pPr>
        <w:rPr>
          <w:rFonts w:ascii="Arial" w:hAnsi="Arial"/>
          <w:sz w:val="28"/>
        </w:rPr>
      </w:pPr>
    </w:p>
    <w:p w14:paraId="36A7CAA5" w14:textId="77777777" w:rsidR="00713469" w:rsidRDefault="00713469" w:rsidP="00713469">
      <w:pPr>
        <w:rPr>
          <w:rFonts w:ascii="Arial" w:hAnsi="Arial"/>
          <w:sz w:val="28"/>
        </w:rPr>
      </w:pPr>
    </w:p>
    <w:p w14:paraId="5E15F7BA" w14:textId="77777777" w:rsidR="009A47D9" w:rsidRPr="00713469" w:rsidRDefault="009A47D9" w:rsidP="00713469">
      <w:pPr>
        <w:rPr>
          <w:rFonts w:ascii="Arial" w:hAnsi="Arial"/>
          <w:sz w:val="28"/>
        </w:rPr>
      </w:pPr>
    </w:p>
    <w:p w14:paraId="0BCD87F8" w14:textId="77777777" w:rsidR="00713469" w:rsidRPr="00713469" w:rsidRDefault="00713469" w:rsidP="00713469">
      <w:pPr>
        <w:rPr>
          <w:rFonts w:ascii="Arial" w:hAnsi="Arial"/>
          <w:sz w:val="28"/>
        </w:rPr>
      </w:pPr>
    </w:p>
    <w:p w14:paraId="66E5F00F" w14:textId="77777777" w:rsidR="00713469" w:rsidRPr="00713469" w:rsidRDefault="00713469" w:rsidP="00713469">
      <w:pPr>
        <w:rPr>
          <w:rFonts w:ascii="Arial" w:hAnsi="Arial"/>
          <w:sz w:val="28"/>
        </w:rPr>
      </w:pPr>
    </w:p>
    <w:p w14:paraId="1E376DC8" w14:textId="77777777" w:rsidR="00713469" w:rsidRPr="00713469" w:rsidRDefault="00713469" w:rsidP="00713469">
      <w:pPr>
        <w:rPr>
          <w:rFonts w:ascii="Arial" w:hAnsi="Arial"/>
          <w:sz w:val="28"/>
        </w:rPr>
      </w:pPr>
    </w:p>
    <w:p w14:paraId="4F7B4E93" w14:textId="77777777" w:rsidR="00713469" w:rsidRPr="00713469" w:rsidRDefault="00713469" w:rsidP="00713469">
      <w:pPr>
        <w:rPr>
          <w:rFonts w:ascii="Arial" w:hAnsi="Arial"/>
          <w:sz w:val="28"/>
        </w:rPr>
      </w:pPr>
    </w:p>
    <w:p w14:paraId="48822ABA" w14:textId="77777777" w:rsidR="00713469" w:rsidRPr="00713469" w:rsidRDefault="00713469" w:rsidP="00713469">
      <w:pPr>
        <w:rPr>
          <w:rFonts w:ascii="Arial" w:hAnsi="Arial"/>
          <w:sz w:val="28"/>
        </w:rPr>
      </w:pPr>
    </w:p>
    <w:p w14:paraId="44AE0CCB" w14:textId="77777777" w:rsidR="00713469" w:rsidRPr="00713469" w:rsidRDefault="00713469" w:rsidP="00713469">
      <w:pPr>
        <w:rPr>
          <w:rFonts w:ascii="Arial" w:hAnsi="Arial"/>
          <w:sz w:val="28"/>
        </w:rPr>
      </w:pPr>
    </w:p>
    <w:p w14:paraId="642D9ED0" w14:textId="77777777" w:rsidR="00713469" w:rsidRPr="00713469" w:rsidRDefault="00713469" w:rsidP="00713469">
      <w:pPr>
        <w:rPr>
          <w:rFonts w:ascii="Arial" w:hAnsi="Arial"/>
          <w:sz w:val="28"/>
        </w:rPr>
      </w:pPr>
    </w:p>
    <w:p w14:paraId="45326DF3" w14:textId="77777777" w:rsidR="00713469" w:rsidRPr="00713469" w:rsidRDefault="00713469" w:rsidP="00713469">
      <w:pPr>
        <w:rPr>
          <w:rFonts w:ascii="Arial" w:hAnsi="Arial"/>
          <w:sz w:val="28"/>
        </w:rPr>
      </w:pPr>
    </w:p>
    <w:p w14:paraId="3AB0DBB2" w14:textId="77777777" w:rsidR="00713469" w:rsidRPr="00713469" w:rsidRDefault="00713469" w:rsidP="00713469">
      <w:pPr>
        <w:rPr>
          <w:rFonts w:ascii="Arial" w:hAnsi="Arial"/>
          <w:sz w:val="28"/>
        </w:rPr>
      </w:pPr>
    </w:p>
    <w:p w14:paraId="2DE8FC07" w14:textId="77777777" w:rsidR="00713469" w:rsidRPr="00713469" w:rsidRDefault="00713469" w:rsidP="00713469">
      <w:pPr>
        <w:rPr>
          <w:rFonts w:ascii="Arial" w:hAnsi="Arial"/>
          <w:sz w:val="28"/>
        </w:rPr>
      </w:pPr>
    </w:p>
    <w:p w14:paraId="5E197381" w14:textId="77777777" w:rsidR="00713469" w:rsidRPr="00713469" w:rsidRDefault="00713469" w:rsidP="00713469">
      <w:pPr>
        <w:rPr>
          <w:rFonts w:ascii="Arial" w:hAnsi="Arial"/>
          <w:sz w:val="28"/>
        </w:rPr>
      </w:pPr>
    </w:p>
    <w:p w14:paraId="11710956" w14:textId="77777777" w:rsidR="00713469" w:rsidRPr="00713469" w:rsidRDefault="00713469" w:rsidP="00713469">
      <w:pPr>
        <w:rPr>
          <w:rFonts w:ascii="Arial" w:hAnsi="Arial"/>
          <w:sz w:val="28"/>
        </w:rPr>
      </w:pPr>
    </w:p>
    <w:p w14:paraId="387FEA2E" w14:textId="77777777" w:rsidR="006466F9" w:rsidRDefault="006466F9" w:rsidP="00713469">
      <w:pPr>
        <w:pStyle w:val="Stytleparagraphe"/>
        <w:rPr>
          <w:sz w:val="28"/>
        </w:rPr>
      </w:pPr>
    </w:p>
    <w:p w14:paraId="1E47BA8F" w14:textId="77777777" w:rsidR="00713469" w:rsidRDefault="00713469" w:rsidP="00713469">
      <w:pPr>
        <w:pStyle w:val="Stytleparagraphe"/>
        <w:rPr>
          <w:sz w:val="28"/>
        </w:rPr>
      </w:pPr>
    </w:p>
    <w:p w14:paraId="40CCBD3E" w14:textId="77777777" w:rsidR="00713469" w:rsidRPr="00713469" w:rsidRDefault="00713469" w:rsidP="00E20D4F">
      <w:pPr>
        <w:pStyle w:val="Style2"/>
      </w:pPr>
      <w:bookmarkStart w:id="14" w:name="_Toc374198766"/>
      <w:bookmarkStart w:id="15" w:name="_Toc374200741"/>
      <w:bookmarkStart w:id="16" w:name="_Toc374380466"/>
      <w:bookmarkStart w:id="17" w:name="_Toc379376284"/>
      <w:bookmarkStart w:id="18" w:name="_Toc379387539"/>
      <w:bookmarkStart w:id="19" w:name="_Toc379807324"/>
      <w:bookmarkStart w:id="20" w:name="_Toc380653884"/>
      <w:bookmarkStart w:id="21" w:name="_Toc380744118"/>
      <w:bookmarkStart w:id="22" w:name="_Toc380946374"/>
      <w:bookmarkStart w:id="23" w:name="_Toc383883938"/>
      <w:bookmarkStart w:id="24" w:name="_Toc384754055"/>
      <w:bookmarkStart w:id="25" w:name="_Toc384756476"/>
      <w:bookmarkStart w:id="26" w:name="_Toc384816072"/>
      <w:bookmarkStart w:id="27" w:name="_Toc384826788"/>
      <w:r w:rsidRPr="00713469">
        <w:t>La parodontite</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984BD55" w14:textId="77777777" w:rsidR="00713469" w:rsidRDefault="00713469" w:rsidP="002C1E65">
      <w:pPr>
        <w:pStyle w:val="Stytleparagraphe"/>
        <w:ind w:firstLine="360"/>
      </w:pPr>
      <w:r>
        <w:t>Le parodonte représente l’ensemble tissus de soutien dentaires : le cément, le desmodonte, l’os alvéolaire et la gencive. Les maladies parodontales se divisent en deux groupes de pathologies inflammatoires à étiologie infectieuse, qui affectent le parodonte à des degrés plus ou moins sévères</w:t>
      </w:r>
      <w:r w:rsidR="00781439">
        <w:t xml:space="preserve"> </w:t>
      </w:r>
      <w:r w:rsidR="00781439">
        <w:fldChar w:fldCharType="begin"/>
      </w:r>
      <w:r w:rsidR="00781439">
        <w:instrText xml:space="preserve"> ADDIN ZOTERO_ITEM CSL_CITATION {"citationID":"QwMLyyAt","properties":{"formattedCitation":"(Pihlstrom, Michalowicz, et Johnson 2005)","plainCitation":"(Pihlstrom, Michalowicz, et Johnson 2005)"},"citationItems":[{"id":19,"uris":["http://zotero.org/users/local/Y4Qp1Cr8/items/RPHME9RH"],"uri":["http://zotero.org/users/local/Y4Qp1Cr8/items/RPHME9RH"],"itemData":{"id":19,"type":"article-journal","title":"Periodontal diseases","container-title":"Lancet (London, England)","page":"1809-1820","volume":"366","issue":"9499","source":"PubMed","abstract":"The periodontal diseases are highly prevalent and can affect up to 90% of the worldwide population. Gingivitis, the mildest form of periodontal disease, is caused by the bacterial biofilm (dental plaque) that accumulates on teeth adjacent to the gingiva (gums). However, gingivitis does not affect the underlying supporting structures of the teeth and is reversible. Periodontitis results in loss of connective tissue and bone support and is a major cause of tooth loss in adults. In addition to pathogenic microorganisms in the biofilm, genetic and environmental factors, especially tobacco use, contribute to the cause of these diseases. Genetic, dermatological, haematological, granulomatous, immunosuppressive, and neoplastic disorders can also have periodontal manifestations. Common forms of periodontal disease have been associated with adverse pregnancy outcomes, cardiovascular disease, stroke, pulmonary disease, and diabetes, but the causal relations have not been established. Prevention and treatment are aimed at controlling the bacterial biofilm and other risk factors, arresting progressive disease, and restoring lost tooth support.","DOI":"10.1016/S0140-6736(05)67728-8","ISSN":"1474-547X","note":"PMID: 16298220","journalAbbreviation":"Lancet","language":"eng","author":[{"family":"Pihlstrom","given":"Bruce L."},{"family":"Michalowicz","given":"Bryan S."},{"family":"Johnson","given":"Newell W."}],"issued":{"date-parts":[["2005",11,19]]}}}],"schema":"https://github.com/citation-style-language/schema/raw/master/csl-citation.json"} </w:instrText>
      </w:r>
      <w:r w:rsidR="00781439">
        <w:fldChar w:fldCharType="separate"/>
      </w:r>
      <w:r w:rsidR="00781439">
        <w:rPr>
          <w:noProof/>
        </w:rPr>
        <w:t>(Pihlstrom, Michalowicz, et Johnson 2005)</w:t>
      </w:r>
      <w:r w:rsidR="00781439">
        <w:fldChar w:fldCharType="end"/>
      </w:r>
      <w:r>
        <w:t> :</w:t>
      </w:r>
    </w:p>
    <w:p w14:paraId="44601622" w14:textId="77777777" w:rsidR="00713469" w:rsidRDefault="003C653A" w:rsidP="003C653A">
      <w:pPr>
        <w:pStyle w:val="Stytleparagraphe"/>
        <w:numPr>
          <w:ilvl w:val="0"/>
          <w:numId w:val="3"/>
        </w:numPr>
      </w:pPr>
      <w:r>
        <w:t xml:space="preserve">les gingivites, </w:t>
      </w:r>
      <w:r w:rsidR="00781439">
        <w:t xml:space="preserve">réversibles, </w:t>
      </w:r>
      <w:r>
        <w:t>avec atteinte du parodonte superficiel uniquement, dont le traitement principal est</w:t>
      </w:r>
      <w:r w:rsidR="00781439">
        <w:t> l’</w:t>
      </w:r>
      <w:r>
        <w:t>élimination du tartre et de la plaque supra-gingivaux</w:t>
      </w:r>
    </w:p>
    <w:p w14:paraId="353DEF4B" w14:textId="77777777" w:rsidR="003C653A" w:rsidRDefault="003C653A" w:rsidP="003C653A">
      <w:pPr>
        <w:pStyle w:val="Stytleparagraphe"/>
        <w:numPr>
          <w:ilvl w:val="0"/>
          <w:numId w:val="3"/>
        </w:numPr>
      </w:pPr>
      <w:r>
        <w:t>les parodontites, avec atteinte plus en profondeur de l’ensemble du parodonte, associée</w:t>
      </w:r>
      <w:r w:rsidR="00781439">
        <w:t>s</w:t>
      </w:r>
      <w:r>
        <w:t xml:space="preserve"> à une destruction osseuse</w:t>
      </w:r>
      <w:r w:rsidR="00781439">
        <w:t xml:space="preserve"> et à une perte d’attache de la dent.</w:t>
      </w:r>
    </w:p>
    <w:p w14:paraId="2411DB07" w14:textId="77777777" w:rsidR="00827194" w:rsidRDefault="008B08EA" w:rsidP="002C1E65">
      <w:pPr>
        <w:pStyle w:val="Stytleparagraphe"/>
        <w:ind w:firstLine="360"/>
      </w:pPr>
      <w:r>
        <w:t xml:space="preserve">Dès 1998, la relation entre perte d’attachement parodontal et perte dentaire a été mise en évidence </w:t>
      </w:r>
      <w:r>
        <w:fldChar w:fldCharType="begin"/>
      </w:r>
      <w:r>
        <w:instrText xml:space="preserve"> ADDIN ZOTERO_ITEM CSL_CITATION {"citationID":"ksRb9OPz","properties":{"formattedCitation":"(Ong 1998)","plainCitation":"(Ong 1998)"},"citationItems":[{"id":35,"uris":["http://zotero.org/users/local/Y4Qp1Cr8/items/TWGANQDY"],"uri":["http://zotero.org/users/local/Y4Qp1Cr8/items/TWGANQDY"],"itemData":{"id":35,"type":"article-journal","title":"Periodontal disease and tooth loss","container-title":"International Dental Journal","page":"233-238","volume":"48","issue":"3 Suppl 1","source":"PubMed","abstract":"Numerous epidemiological studies have shown that caries is the main reason for tooth loss. More recent epidemiological data seem to show an increasing trend of tooth loss due to periodontal reasons rather than caries. In considering the issue of periodontal disease and tooth loss the following observations were made. The presence of initial attachment loss, bone height and the habit of smoking significantly increase the risk of tooth mortality. There is a strong correlation between smoking, the severity of periodontal disease and tooth mortality. Cross-sectional population surveys of tooth loss reported lower anterior teeth to be the most frequently extracted due to periodontal reasons, followed by upper anteriors and upper second molars. However, in long term maintenance studies, molars were lost most frequently. Periodontal reasons for tooth loss were mainly mobility followed by furcation involvement. Periodontal surgery did not significantly enhance tooth retention in high risk groups. Ethnic differences observed were not significant and would need further investigations to address variables such as cultural differences, health habits, diet and socio-economic status. In conclusion, periodontal tooth mortality was found to be associated with the loss of periodontal attachment and risk groups with advanced periodontitis contributing to major tooth loss in a minority of the population.","ISSN":"0020-6539","note":"PMID: 9779103","journalAbbreviation":"Int Dent J","language":"eng","author":[{"family":"Ong","given":"G."}],"issued":{"date-parts":[["1998",6]]}}}],"schema":"https://github.com/citation-style-language/schema/raw/master/csl-citation.json"} </w:instrText>
      </w:r>
      <w:r>
        <w:fldChar w:fldCharType="separate"/>
      </w:r>
      <w:r>
        <w:rPr>
          <w:noProof/>
        </w:rPr>
        <w:t>(Ong 1998)</w:t>
      </w:r>
      <w:r>
        <w:fldChar w:fldCharType="end"/>
      </w:r>
      <w:r>
        <w:t xml:space="preserve">, d’où la nécessité de diagnostiquer et traiter les parodontites. En France, une étude réalisée en 2007 montre que 95,40% des adultes âgés de 35 à 64 ans présenteraient une perte d’attache et 82,23% auraient des poches parodontales </w:t>
      </w:r>
      <w:r>
        <w:fldChar w:fldCharType="begin"/>
      </w:r>
      <w:r>
        <w:instrText xml:space="preserve"> ADDIN ZOTERO_ITEM CSL_CITATION {"citationID":"rdhT0cfY","properties":{"formattedCitation":"(Bourgeois, Bouchard, et Mattout 2007)","plainCitation":"(Bourgeois, Bouchard, et Mattout 2007)"},"citationItems":[{"id":33,"uris":["http://zotero.org/users/local/Y4Qp1Cr8/items/QSBCBX4I"],"uri":["http://zotero.org/users/local/Y4Qp1Cr8/items/QSBCBX4I"],"itemData":{"id":33,"type":"article-journal","title":"Epidemiology of periodontal status in dentate adults in France, 2002-2003","container-title":"Journal of Periodontal Research","page":"219-227","volume":"42","issue":"3","source":"PubMed","abstract":"BACKGROUND AND OBJECTIVE: Few recent nationwide studies of the periodontal landscape in European countries have been developed from the point of view of attachment loss and pocket depth. Decision makers are not always in a position to estimate the burden of periodontal disease. The purpose of this study was to investigate the prevalence and the oral distribution of periodontal status among dentate adults in the general population of France.\nMATERIAL AND METHODS: In 2002-2003, a National Periodontal and Systemic Examination Survey was organized to a stratified quota sample of 2144 adults, aged 35-64 years, nationwide. Participants with six or more teeth were selected from the Health Examination Centers of the National Health Insurance. Measurement of periodontal health was assessed by clinical attachment level and probing depth.\nRESULTS: A total of 95.40% and 82.23% of adults were found to have clinical attachment loss and periodontal pockets, respectively. Population prevalence estimates indicated that loss of attachment &gt; or = 5 mm is 46.68% and probing depth (&gt; 5 mm) is 10.21%. However, clinical attachment loss of &gt; or = 5 mm occurred in only 0.88 sites in an individual. Periodontal depth pocket generalized forms were as follows: 78% slight, 18% moderate and 4% severe. Multiple logistic regression analyses showed significant differences of attachment loss values between types of tooth (molar, incisors, canines, or premolars).\nCONCLUSION: Based on the International Classification of Periodontal Diseases, approximately 50% of adults in France may suffer from a severe attachment loss problem. Periodontal pockets are an uncommon condition in France. Significant differences in the prevalence of loss of attachment and probing depth with respect to location of attack have implications in the purchase and development of screening and treatment services.","DOI":"10.1111/j.1600-0765.2006.00936.x","ISSN":"0022-3484","note":"PMID: 17451541","journalAbbreviation":"J. Periodont. Res.","language":"eng","author":[{"family":"Bourgeois","given":"D."},{"family":"Bouchard","given":"P."},{"family":"Mattout","given":"C."}],"issued":{"date-parts":[["2007",6]]}}}],"schema":"https://github.com/citation-style-language/schema/raw/master/csl-citation.json"} </w:instrText>
      </w:r>
      <w:r>
        <w:fldChar w:fldCharType="separate"/>
      </w:r>
      <w:r>
        <w:rPr>
          <w:noProof/>
        </w:rPr>
        <w:t>(Bourgeois, Bouchard, et Mattout 2007)</w:t>
      </w:r>
      <w:r>
        <w:fldChar w:fldCharType="end"/>
      </w:r>
      <w:r>
        <w:t>. Cette forte prévalence est à mettre en relation avec des facteurs inhérents à l’individu</w:t>
      </w:r>
      <w:r w:rsidR="00BD714A">
        <w:t xml:space="preserve"> (hygiène, âge, tabac</w:t>
      </w:r>
      <w:r w:rsidR="00676832">
        <w:t>, prédisposition génétique</w:t>
      </w:r>
      <w:r w:rsidR="00BD714A">
        <w:t>)</w:t>
      </w:r>
      <w:r w:rsidR="00676832">
        <w:t xml:space="preserve"> </w:t>
      </w:r>
      <w:r w:rsidR="00676832">
        <w:fldChar w:fldCharType="begin"/>
      </w:r>
      <w:r w:rsidR="00676832">
        <w:instrText xml:space="preserve"> ADDIN ZOTERO_ITEM CSL_CITATION {"citationID":"B8UpdPPK","properties":{"formattedCitation":"(Kinane, Stathopoulou, et Papapanou 2017)","plainCitation":"(Kinane, Stathopoulou, et Papapanou 2017)"},"citationItems":[{"id":69,"uris":["http://zotero.org/users/local/Y4Qp1Cr8/items/4EL9YAYG"],"uri":["http://zotero.org/users/local/Y4Qp1Cr8/items/4EL9YAYG"],"itemData":{"id":69,"type":"article-journal","title":"Periodontal diseases","container-title":"Nature Reviews. Disease Primers","page":"17038","volume":"3","source":"PubMed","abstract":"Periodontal diseases comprise a wide range of inflammatory conditions that affect the supporting structures of the teeth (the gingiva, bone and periodontal ligament), which could lead to tooth loss and contribute to systemic inflammation. Chronic periodontitis predominantly affects adults, but aggressive periodontitis may occasionally occur in children. Periodontal disease initiation and propagation is through a dysbiosis of the commensal oral microbiota (dental plaque), which then interacts with the immune defences of the host, leading to inflammation and disease. This pathophysiological situation persists through bouts of activity and quiescence, until the affected tooth is extracted or the microbial biofilm is therapeutically removed and the inflammation subsides. The severity of the periodontal disease depends on environmental and host risk factors, both modifiable (for example, smoking) and non-modifiable (for example, genetic susceptibility). Prevention is achieved with daily self-performed oral hygiene and professional removal of the microbial biofilm on a quarterly or bi-annual basis. New treatment modalities that are actively explored include antimicrobial therapy, host modulation therapy, laser therapy and tissue engineering for tissue repair and regeneration.","DOI":"10.1038/nrdp.2017.38","ISSN":"2056-676X","note":"PMID: 28805207","journalAbbreviation":"Nat Rev Dis Primers","language":"eng","author":[{"family":"Kinane","given":"Denis F."},{"family":"Stathopoulou","given":"Panagiota G."},{"family":"Papapanou","given":"Panos N."}],"issued":{"date-parts":[["2017",6,22]]}}}],"schema":"https://github.com/citation-style-language/schema/raw/master/csl-citation.json"} </w:instrText>
      </w:r>
      <w:r w:rsidR="00676832">
        <w:fldChar w:fldCharType="separate"/>
      </w:r>
      <w:r w:rsidR="00676832">
        <w:rPr>
          <w:noProof/>
        </w:rPr>
        <w:t>(Kinane, Stathopoulou, et Papapanou 2017)</w:t>
      </w:r>
      <w:r w:rsidR="00676832">
        <w:fldChar w:fldCharType="end"/>
      </w:r>
      <w:r w:rsidR="00BD714A">
        <w:t xml:space="preserve"> </w:t>
      </w:r>
      <w:r>
        <w:t>ainsi qu’</w:t>
      </w:r>
      <w:r w:rsidR="00BD714A">
        <w:t xml:space="preserve">à la dent en elle même (pronostic initial de la dent, sa localisation), qui conditionnent la réussite de la maintenance parodontale et le pronostic de maintien de la dent sur l’arcade </w:t>
      </w:r>
      <w:r w:rsidR="00BD714A">
        <w:fldChar w:fldCharType="begin"/>
      </w:r>
      <w:r w:rsidR="00BD714A">
        <w:instrText xml:space="preserve"> ADDIN ZOTERO_ITEM CSL_CITATION {"citationID":"fJtHyyu7","properties":{"formattedCitation":"(Chambrone et al. 2010)","plainCitation":"(Chambrone et al. 2010)"},"citationItems":[{"id":44,"uris":["http://zotero.org/users/local/Y4Qp1Cr8/items/M9MNVZZP"],"uri":["http://zotero.org/users/local/Y4Qp1Cr8/items/M9MNVZZP"],"itemData":{"id":44,"type":"article-journal","title":"Predictors of tooth loss during long-term periodontal maintenance: a systematic review of observational studies","container-title":"Journal of Clinical Periodontology","page":"675-684","volume":"37","issue":"7","source":"PubMed","abstract":"OBJECTIVE: To systematically assess the factors influencing tooth loss during long-term periodontal maintenance (PM).\nMETHODS: CENTRAL, MEDLINE and EMBASE were searched up to and including September 2009. Studies limited to patients with periodontitis who underwent periodontal therapy and followed a maintenance care programme for the at least 5 years were eligible for inclusion in this review. Studies were considered for inclusion if they reported data on tooth loss during PM.\nRESULTS: The search strategy identified 527 potentially eligible articles, of which 13 retrospective case series were included in this review. The risk of bias assessment evaluated by the Newcastle-Ottawa scale showed that eight studies were considered of medium methodological quality and five of low methodological quality. Of 41,404 teeth present after active periodontal treatment, 3919 were lost during PM. The percentages of tooth loss due to periodontal reasons and of patients who did not experience tooth loss varied from 1.5% to 9.8% and 36.0% to 88.5%. Studies' individual outcomes showed that different patient-related factors (i.e. age and smoking) and tooth-related factors (tooth type and location, and the initial tooth prognosis) were associated with tooth loss during PM.\nCONCLUSIONS: The considerable heterogeneity found among studies did not allow definitive conclusions. Age, smoking and initial tooth prognosis were found to be associated with tooth loss during PM. Overall, patients must be instructed to follow periodic PM and quit smoking (smokers). Prospective cohort studies are required to confirm the possible predictors of tooth loss due to periodontal reasons. The allocation of patients into subgroups according to the type of periodontitis and smoking frequency will allow more accurate evaluations.","DOI":"10.1111/j.1600-051X.2010.01587.x","ISSN":"1600-051X","note":"PMID: 20528960","shortTitle":"Predictors of tooth loss during long-term periodontal maintenance","journalAbbreviation":"J. Clin. Periodontol.","language":"eng","author":[{"family":"Chambrone","given":"Leandro"},{"family":"Chambrone","given":"Daniela"},{"family":"Lima","given":"Luiz A."},{"family":"Chambrone","given":"Luiz A."}],"issued":{"date-parts":[["2010",7]]}}}],"schema":"https://github.com/citation-style-language/schema/raw/master/csl-citation.json"} </w:instrText>
      </w:r>
      <w:r w:rsidR="00BD714A">
        <w:fldChar w:fldCharType="separate"/>
      </w:r>
      <w:r w:rsidR="00BD714A">
        <w:rPr>
          <w:noProof/>
        </w:rPr>
        <w:t>(Chambrone et al. 2010)</w:t>
      </w:r>
      <w:r w:rsidR="00BD714A">
        <w:fldChar w:fldCharType="end"/>
      </w:r>
      <w:r w:rsidR="00BD714A">
        <w:t xml:space="preserve">. </w:t>
      </w:r>
    </w:p>
    <w:p w14:paraId="5C0C59A8" w14:textId="77777777" w:rsidR="00827194" w:rsidRDefault="00827194" w:rsidP="00781439">
      <w:pPr>
        <w:pStyle w:val="Stytleparagraphe"/>
      </w:pPr>
    </w:p>
    <w:p w14:paraId="60D8721F" w14:textId="77777777" w:rsidR="00BD714A" w:rsidRDefault="00BD714A" w:rsidP="00BD714A">
      <w:pPr>
        <w:pStyle w:val="Style2"/>
      </w:pPr>
      <w:bookmarkStart w:id="28" w:name="_Toc374198715"/>
      <w:bookmarkStart w:id="29" w:name="_Toc374198767"/>
      <w:bookmarkStart w:id="30" w:name="_Toc374200742"/>
      <w:bookmarkStart w:id="31" w:name="_Toc374380467"/>
      <w:bookmarkStart w:id="32" w:name="_Toc379376285"/>
      <w:bookmarkStart w:id="33" w:name="_Toc379387540"/>
      <w:bookmarkStart w:id="34" w:name="_Toc379807325"/>
      <w:bookmarkStart w:id="35" w:name="_Toc380653885"/>
      <w:bookmarkStart w:id="36" w:name="_Toc380744119"/>
      <w:bookmarkStart w:id="37" w:name="_Toc380946375"/>
      <w:bookmarkStart w:id="38" w:name="_Toc383883939"/>
      <w:bookmarkStart w:id="39" w:name="_Toc384754056"/>
      <w:bookmarkStart w:id="40" w:name="_Toc384756477"/>
      <w:bookmarkStart w:id="41" w:name="_Toc384816073"/>
      <w:bookmarkStart w:id="42" w:name="_Toc384826789"/>
      <w:r>
        <w:t>Thérapeutiques conventionnelles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A9F0546" w14:textId="77777777" w:rsidR="00B93BF6" w:rsidRDefault="008D3D78" w:rsidP="002C1E65">
      <w:pPr>
        <w:pStyle w:val="Stytleparagraphe"/>
        <w:ind w:firstLine="360"/>
      </w:pPr>
      <w:r>
        <w:t xml:space="preserve">Les thérapeutiques parodontales actuelles </w:t>
      </w:r>
      <w:r w:rsidR="00827194">
        <w:t xml:space="preserve">sont étiologiques et </w:t>
      </w:r>
      <w:r>
        <w:t xml:space="preserve">ont pour objectif </w:t>
      </w:r>
      <w:r w:rsidR="00C234E1">
        <w:t>la réduction de la charge bactérienne et de l’inflammation</w:t>
      </w:r>
      <w:r>
        <w:t xml:space="preserve">, via le traitement non-chirurgical </w:t>
      </w:r>
      <w:r w:rsidR="00C234E1">
        <w:t xml:space="preserve">par détartrage et surfaçage radiculaire </w:t>
      </w:r>
      <w:r>
        <w:t>ou chirurgical selon l’indication</w:t>
      </w:r>
      <w:r w:rsidR="00C234E1">
        <w:t xml:space="preserve"> </w:t>
      </w:r>
      <w:r w:rsidR="00C234E1">
        <w:fldChar w:fldCharType="begin"/>
      </w:r>
      <w:r w:rsidR="00C234E1">
        <w:instrText xml:space="preserve"> ADDIN ZOTERO_ITEM CSL_CITATION {"citationID":"cEwgKM1W","properties":{"formattedCitation":"(Villar et Cochran 2010)","plainCitation":"(Villar et Cochran 2010)"},"citationItems":[{"id":61,"uris":["http://zotero.org/users/local/Y4Qp1Cr8/items/2SMNS339"],"uri":["http://zotero.org/users/local/Y4Qp1Cr8/items/2SMNS339"],"itemData":{"id":61,"type":"article-journal","title":"Regeneration of periodontal tissues: guided tissue regeneration","container-title":"Dental Clinics of North America","page":"73-92","volume":"54","issue":"1","source":"PubMed","abstract":"The concept that only fibroblasts from the periodontal ligament or undifferentiated mesenchymal cells have the potential to re-create the original periodontal attachment has been long recognized. Based on this concept, guided tissue regeneration has been applied with variable success to regenerate periodontal defects. Quantitative analysis of clinical outcomes after guided tissue regeneration suggests that this therapy is a successful and predictable procedure to treat narrow intrabony defects and class II mandibular furcations, but offers limited benefits in the treatment of other types of periodontal defects.","DOI":"10.1016/j.cden.2009.08.011","ISSN":"1558-0512","note":"PMID: 20103473","shortTitle":"Regeneration of periodontal tissues","journalAbbreviation":"Dent. Clin. North Am.","language":"eng","author":[{"family":"Villar","given":"Cristina C."},{"family":"Cochran","given":"David L."}],"issued":{"date-parts":[["2010",1]]}}}],"schema":"https://github.com/citation-style-language/schema/raw/master/csl-citation.json"} </w:instrText>
      </w:r>
      <w:r w:rsidR="00C234E1">
        <w:fldChar w:fldCharType="separate"/>
      </w:r>
      <w:r w:rsidR="00C234E1">
        <w:rPr>
          <w:noProof/>
        </w:rPr>
        <w:t>(Villar et Cochran 2010)</w:t>
      </w:r>
      <w:r w:rsidR="00C234E1">
        <w:fldChar w:fldCharType="end"/>
      </w:r>
      <w:r>
        <w:t xml:space="preserve">. </w:t>
      </w:r>
      <w:r w:rsidR="00C234E1">
        <w:t>Les paramètres majoritairement étudiés pour évaluer la réussite de la thérapeutique sont le gain d’attache clinique et la réduction de profondeur des poches parodontales</w:t>
      </w:r>
      <w:r w:rsidR="00B93BF6">
        <w:t>.</w:t>
      </w:r>
      <w:r w:rsidR="00C234E1">
        <w:t xml:space="preserve"> </w:t>
      </w:r>
    </w:p>
    <w:p w14:paraId="719A2B7D" w14:textId="77777777" w:rsidR="00B93BF6" w:rsidRDefault="00C234E1" w:rsidP="002C1E65">
      <w:pPr>
        <w:pStyle w:val="Stytleparagraphe"/>
        <w:ind w:firstLine="360"/>
      </w:pPr>
      <w:r>
        <w:t>La</w:t>
      </w:r>
      <w:r w:rsidR="008D3D78">
        <w:t xml:space="preserve"> méta-analyse</w:t>
      </w:r>
      <w:r>
        <w:t xml:space="preserve"> de Hung et Douglas de 2002</w:t>
      </w:r>
      <w:r w:rsidR="008D3D78">
        <w:t xml:space="preserve"> montre que </w:t>
      </w:r>
      <w:r w:rsidR="00CB4DF6">
        <w:t>le détartrage et surfaçage radiculaire n’améliorent pas significativement ces paramètres cliniques chez les patients présentant initialement des poches peu profondes, mais permettent des gains d’attache allant de 1 à 2mm et réduction de profondeur de poche allant de 0,5 à 1mm en cas de poches initiales moyennes à profondes respectivement. Le traitement chirurgical, quant à lui, présente de meilleurs résultats sur le</w:t>
      </w:r>
      <w:r w:rsidR="00534603">
        <w:t>s poches initialement profondes</w:t>
      </w:r>
      <w:r>
        <w:t xml:space="preserve"> </w:t>
      </w:r>
      <w:r>
        <w:fldChar w:fldCharType="begin"/>
      </w:r>
      <w:r>
        <w:instrText xml:space="preserve"> ADDIN ZOTERO_ITEM CSL_CITATION {"citationID":"rwTYiEqp","properties":{"formattedCitation":"(Hung et Douglass 2002)","plainCitation":"(Hung et Douglass 2002)"},"citationItems":[{"id":55,"uris":["http://zotero.org/users/local/Y4Qp1Cr8/items/G3ZT3QU4"],"uri":["http://zotero.org/users/local/Y4Qp1Cr8/items/G3ZT3QU4"],"itemData":{"id":55,"type":"article-journal","title":"Meta-analysis of the effect of scaling and root planing, surgical treatment and antibiotic therapies on periodontal probing depth and attachment loss","container-title":"Journal of Clinical Periodontology","page":"975-986","volume":"29","issue":"11","source":"PubMed","abstract":"OBJECTIVE: This paper reports a meta-analysis of studies that have investigated the effect of scaling and root planing on periodontal probing depth and attachment loss.\nMATERIAL AND METHODS: The criteria used for inclusion of studies were as follows: root planing and scaling alone was one of the primary treatment arms; patients or quadrants of each patient were randomly assigned to study groups; 80% of patients enrolled were included in first year follow-up examinations; periodontal probing depth and attachment loss were reported in mm; the sample size of each study and substudy was reported. Sample size was used to weight the relative contribution of each study since standard errors were not reported by many studies and sample size is highly correlated with standard error and therefore statistically able to explain a substantial portion of the standard error on studies that use similar measures.\nRESULTS: The meta-analysis results show that periodontal probing depth and gain of attachment level do not improve significantly following root planing and scaling for patients with shallow initial periodontal probing depths. However, there was about a 1-mm reduction for medium initial periodontal probing depths and a 2-mm reduction for deep initial periodontal probing depths. Similarly, there was about a 0.50-mm gain in attachment for medium initial periodontal probing depth measurements and slightly more than a l-mm gain in attachment for deep initial periodontal probing depth measurements. Surgical therapy for patients with deep initial probing depths showed better results than scaling and root planing in reducing probing depths. When patients were followed up over 3 years or more, these differences were reduced to less than 0.4 mm. Antibiotic therapy showed similar results to scaling and root planing. However, a consistent improvement in periodontal probing depth and gain of attachment is demonstrated when local antibiotic therapy is combined with root planing and scaling.","ISSN":"0303-6979","note":"PMID: 12472990","journalAbbreviation":"J. Clin. Periodontol.","language":"eng","author":[{"family":"Hung","given":"Hsin-Chia"},{"family":"Douglass","given":"Chester W."}],"issued":{"date-parts":[["2002",11]]}}}],"schema":"https://github.com/citation-style-language/schema/raw/master/csl-citation.json"} </w:instrText>
      </w:r>
      <w:r>
        <w:fldChar w:fldCharType="separate"/>
      </w:r>
      <w:r>
        <w:rPr>
          <w:noProof/>
        </w:rPr>
        <w:t>(Hung et Douglass 2002)</w:t>
      </w:r>
      <w:r>
        <w:fldChar w:fldCharType="end"/>
      </w:r>
      <w:r w:rsidR="00534603">
        <w:t>. Le</w:t>
      </w:r>
      <w:r w:rsidR="00AB6A59" w:rsidRPr="00534603">
        <w:t xml:space="preserve"> gain d’attache apporté par la chirurgie est meilleur que celui apporté par le traitement non chirurgical à partir d’une profondeur de poche de 5,4mm</w:t>
      </w:r>
      <w:r w:rsidR="00534603" w:rsidRPr="00534603">
        <w:t xml:space="preserve"> </w:t>
      </w:r>
      <w:r w:rsidR="00534603" w:rsidRPr="00534603">
        <w:fldChar w:fldCharType="begin"/>
      </w:r>
      <w:r w:rsidR="00534603" w:rsidRPr="00534603">
        <w:instrText xml:space="preserve"> ADDIN ZOTERO_ITEM CSL_CITATION {"citationID":"d1LShSsW","properties":{"formattedCitation":"(Heitz-Mayfield et Lang 2013)","plainCitation":"(Heitz-Mayfield et Lang 2013)"},"citationItems":[{"id":76,"uris":["http://zotero.org/users/local/Y4Qp1Cr8/items/A9ZHX7BZ"],"uri":["http://zotero.org/users/local/Y4Qp1Cr8/items/A9ZHX7BZ"],"itemData":{"id":76,"type":"article-journal","title":"Surgical and nonsurgical periodontal therapy. Learned and unlearned concepts","container-title":"Periodontology 2000","page":"218-231","volume":"62","issue":"1","source":"Wiley Online Library","abstract":"This review aims to highlight concepts relating to nonsurgical and surgical periodontal therapy, which have been learned and unlearned over the past few decades. A number of treatment procedures, such as gingival curettage and aggressive removal of contaminated root cementum, have been unlearned. Advances in technology have resulted in the introduction of a range of new methods for use in nonsurgical periodontal therapy, including machine-driven instruments, lasers, antimicrobial photodynamic therapy and local antimicrobial-delivery devices. However, these methods have not been shown to offer significant benefits over and above nonsurgical debridement using hand instruments. The method of debridement is therefore largely dependent on the preferences of the operator and the patient. Recent evidence indicates that specific systemic antimicrobials may be indicated for use as adjuncts to nonsurgical debridement in patients with advanced disease. Full-mouth disinfection protocols have been proven to be a relevant treatment option. We have learned that while nonsurgical and surgical methods result in similar long-term treatment outcomes, surgical therapy results in greater probing-depth reduction and clinical attachment gain in initially deep pockets. The surgical technique chosen seems to have limited influence upon changes in clinical attachment gain. What has not changed is the importance of thorough mechanical debridement and optimal plaque control for successful nonsurgical and surgical periodontal therapy.","DOI":"10.1111/prd.12008","ISSN":"1600-0757","language":"en","author":[{"family":"Heitz-Mayfield","given":"Lisa J. A."},{"family":"Lang","given":"Niklaus P."}],"issued":{"date-parts":[["2013",6,1]]}}}],"schema":"https://github.com/citation-style-language/schema/raw/master/csl-citation.json"} </w:instrText>
      </w:r>
      <w:r w:rsidR="00534603" w:rsidRPr="00534603">
        <w:fldChar w:fldCharType="separate"/>
      </w:r>
      <w:r w:rsidR="00534603" w:rsidRPr="00534603">
        <w:rPr>
          <w:noProof/>
        </w:rPr>
        <w:t>(Heitz-Mayfield et Lang 2013)</w:t>
      </w:r>
      <w:r w:rsidR="00534603" w:rsidRPr="00534603">
        <w:fldChar w:fldCharType="end"/>
      </w:r>
      <w:r w:rsidR="00AB6A59" w:rsidRPr="00534603">
        <w:t xml:space="preserve">. </w:t>
      </w:r>
      <w:r w:rsidR="00003D36">
        <w:t xml:space="preserve">Par ailleurs, la chirurgie d’assainissement parodontal d’emblée pourrait être considérée comme valable en traitement de première intention, en cas de parodontite sévère </w:t>
      </w:r>
      <w:r w:rsidR="00003D36">
        <w:fldChar w:fldCharType="begin"/>
      </w:r>
      <w:r w:rsidR="00F229C9">
        <w:instrText xml:space="preserve"> ADDIN ZOTERO_ITEM CSL_CITATION {"citationID":"OaSdJmEQ","properties":{"formattedCitation":"(Miremadi et al. 2014)","plainCitation":"(Miremadi et al. 2014)"},"citationItems":[{"id":57,"uris":["http://zotero.org/users/local/Y4Qp1Cr8/items/AA22SHSK"],"uri":["http://zotero.org/users/local/Y4Qp1Cr8/items/AA22SHSK"],"itemData":{"id":57,"type":"article-journal","title":"A randomized controlled trial on immediate surgery versus root planing in patients with advanced periodontal disease: a cost-effectiveness analysis","container-title":"Journal of Clinical Periodontology","page":"164-171","volume":"41","issue":"2","source":"Wiley Online Library","abstract":"Aim\n\nTo compare immediate surgery to scaling and root planing (SRP) in the treatment of advanced periodontal disease focusing on the prevalence of residual sites and cost-effectiveness (1); to evaluate the adjunctive effects of azithromycin in a second treatment phase (2).\n\n\nMaterials and Methods\n\nThirty-nine patients (18 males, 21 females; mean age: 54.6) received oral hygiene instructions and were randomly allocated to surgery (n = 19) or SRP (n = 20). Patients with residual pockets (≥6 mm) at 6 months received re-debridement of these sites and systemic azithromycin. Treatment groups were followed up to 12 months and evaluated in terms of clinical response parameters and cost-effectiveness. Chair-time was used to assess the financial impact of treatment.\n\n\nResults\n\nBoth treatment arms were equally effective in terms of clinical outcome demonstrating less than 1% residual pockets at 12 months. Surgery imposed an extra 746 Euro on the patient up to 6 months when compared to SRP. At 12 months, 46 Euro of this amount could be offset as a result of a reduced need for supportive care. Only 6 patients in the surgery group needed systemic antibiotics, whereas 14 patients in the SRP needed such additional treatment.\n\n\nConclusions\n\nAlthough 700 Euro could be saved on average by performing SRP instead of surgery, the latter significantly reduced the need for supportive care and systemic antibiotics.","DOI":"10.1111/jcpe.12201","ISSN":"1600-051X","shortTitle":"A randomized controlled trial on immediate surgery versus root planing in patients with advanced periodontal disease","journalAbbreviation":"J Clin Periodontol","language":"en","author":[{"family":"Miremadi","given":"Seyed Reza"},{"family":"De Bruyn","given":"Hugo"},{"family":"Steyaert","given":"Harold"},{"family":"Princen","given":"Katrijn"},{"family":"Sabzevar","given":"Mehran M."},{"family":"Cosyn","given":"Jan"}],"issued":{"date-parts":[["2014",2,1]]}}}],"schema":"https://github.com/citation-style-language/schema/raw/master/csl-citation.json"} </w:instrText>
      </w:r>
      <w:r w:rsidR="00003D36">
        <w:fldChar w:fldCharType="separate"/>
      </w:r>
      <w:r w:rsidR="00F229C9">
        <w:rPr>
          <w:noProof/>
        </w:rPr>
        <w:t>(Miremadi et al. 2014)</w:t>
      </w:r>
      <w:r w:rsidR="00003D36">
        <w:fldChar w:fldCharType="end"/>
      </w:r>
      <w:r w:rsidR="00003D36">
        <w:t xml:space="preserve">. </w:t>
      </w:r>
    </w:p>
    <w:p w14:paraId="42834B2D" w14:textId="77777777" w:rsidR="002939C2" w:rsidRDefault="002939C2" w:rsidP="002C1E65">
      <w:pPr>
        <w:pStyle w:val="Stytleparagraphe"/>
        <w:ind w:firstLine="360"/>
      </w:pPr>
    </w:p>
    <w:p w14:paraId="41E7E56C" w14:textId="77777777" w:rsidR="004D73A2" w:rsidRDefault="002939C2" w:rsidP="002C1E65">
      <w:pPr>
        <w:pStyle w:val="Stytleparagraphe"/>
        <w:ind w:firstLine="360"/>
      </w:pPr>
      <w:r>
        <w:rPr>
          <w:noProof/>
          <w:lang w:val="en-US"/>
        </w:rPr>
        <w:drawing>
          <wp:anchor distT="0" distB="0" distL="114300" distR="114300" simplePos="0" relativeHeight="251661312" behindDoc="0" locked="0" layoutInCell="1" allowOverlap="1" wp14:anchorId="699F8CBC" wp14:editId="28E6F5C5">
            <wp:simplePos x="0" y="0"/>
            <wp:positionH relativeFrom="column">
              <wp:posOffset>-114300</wp:posOffset>
            </wp:positionH>
            <wp:positionV relativeFrom="paragraph">
              <wp:posOffset>1383030</wp:posOffset>
            </wp:positionV>
            <wp:extent cx="2937510" cy="166306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2104" t="32091" r="28709" b="28711"/>
                    <a:stretch>
                      <a:fillRect/>
                    </a:stretch>
                  </pic:blipFill>
                  <pic:spPr bwMode="auto">
                    <a:xfrm>
                      <a:off x="0" y="0"/>
                      <a:ext cx="2937510" cy="1663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3F6F4881" wp14:editId="2B3D50B6">
            <wp:simplePos x="0" y="0"/>
            <wp:positionH relativeFrom="column">
              <wp:posOffset>2971800</wp:posOffset>
            </wp:positionH>
            <wp:positionV relativeFrom="paragraph">
              <wp:posOffset>1383030</wp:posOffset>
            </wp:positionV>
            <wp:extent cx="2400300" cy="1696085"/>
            <wp:effectExtent l="0" t="0" r="1270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5990" t="12720" r="17946" b="4906"/>
                    <a:stretch>
                      <a:fillRect/>
                    </a:stretch>
                  </pic:blipFill>
                  <pic:spPr bwMode="auto">
                    <a:xfrm>
                      <a:off x="0" y="0"/>
                      <a:ext cx="2400300" cy="1696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6A59">
        <w:t>Malgré l’intérêt certain des thérapeutiques parodontales conventionnelles, ces dernières ne sont pas infailli</w:t>
      </w:r>
      <w:r w:rsidR="00B93BF6">
        <w:t>bles puisque</w:t>
      </w:r>
      <w:r w:rsidR="00AB6A59">
        <w:t xml:space="preserve"> sur 41.404 dents ayant reçu des thérapeutiques parodontales, 3.919 ont été perdues </w:t>
      </w:r>
      <w:r w:rsidR="006162F0">
        <w:t xml:space="preserve">après la période de maintenance parodontale, nous montre une revue systématique de 2010 </w:t>
      </w:r>
      <w:r w:rsidR="006162F0">
        <w:fldChar w:fldCharType="begin"/>
      </w:r>
      <w:r w:rsidR="006162F0">
        <w:instrText xml:space="preserve"> ADDIN ZOTERO_ITEM CSL_CITATION {"citationID":"Hf56stUz","properties":{"formattedCitation":"(Chambrone et al. 2010)","plainCitation":"(Chambrone et al. 2010)"},"citationItems":[{"id":44,"uris":["http://zotero.org/users/local/Y4Qp1Cr8/items/M9MNVZZP"],"uri":["http://zotero.org/users/local/Y4Qp1Cr8/items/M9MNVZZP"],"itemData":{"id":44,"type":"article-journal","title":"Predictors of tooth loss during long-term periodontal maintenance: a systematic review of observational studies","container-title":"Journal of Clinical Periodontology","page":"675-684","volume":"37","issue":"7","source":"PubMed","abstract":"OBJECTIVE: To systematically assess the factors influencing tooth loss during long-term periodontal maintenance (PM).\nMETHODS: CENTRAL, MEDLINE and EMBASE were searched up to and including September 2009. Studies limited to patients with periodontitis who underwent periodontal therapy and followed a maintenance care programme for the at least 5 years were eligible for inclusion in this review. Studies were considered for inclusion if they reported data on tooth loss during PM.\nRESULTS: The search strategy identified 527 potentially eligible articles, of which 13 retrospective case series were included in this review. The risk of bias assessment evaluated by the Newcastle-Ottawa scale showed that eight studies were considered of medium methodological quality and five of low methodological quality. Of 41,404 teeth present after active periodontal treatment, 3919 were lost during PM. The percentages of tooth loss due to periodontal reasons and of patients who did not experience tooth loss varied from 1.5% to 9.8% and 36.0% to 88.5%. Studies' individual outcomes showed that different patient-related factors (i.e. age and smoking) and tooth-related factors (tooth type and location, and the initial tooth prognosis) were associated with tooth loss during PM.\nCONCLUSIONS: The considerable heterogeneity found among studies did not allow definitive conclusions. Age, smoking and initial tooth prognosis were found to be associated with tooth loss during PM. Overall, patients must be instructed to follow periodic PM and quit smoking (smokers). Prospective cohort studies are required to confirm the possible predictors of tooth loss due to periodontal reasons. The allocation of patients into subgroups according to the type of periodontitis and smoking frequency will allow more accurate evaluations.","DOI":"10.1111/j.1600-051X.2010.01587.x","ISSN":"1600-051X","note":"PMID: 20528960","shortTitle":"Predictors of tooth loss during long-term periodontal maintenance","journalAbbreviation":"J. Clin. Periodontol.","language":"eng","author":[{"family":"Chambrone","given":"Leandro"},{"family":"Chambrone","given":"Daniela"},{"family":"Lima","given":"Luiz A."},{"family":"Chambrone","given":"Luiz A."}],"issued":{"date-parts":[["2010",7]]}}}],"schema":"https://github.com/citation-style-language/schema/raw/master/csl-citation.json"} </w:instrText>
      </w:r>
      <w:r w:rsidR="006162F0">
        <w:fldChar w:fldCharType="separate"/>
      </w:r>
      <w:r w:rsidR="006162F0">
        <w:rPr>
          <w:noProof/>
        </w:rPr>
        <w:t>(Chambrone et al. 2010)</w:t>
      </w:r>
      <w:r w:rsidR="006162F0">
        <w:fldChar w:fldCharType="end"/>
      </w:r>
      <w:r w:rsidR="006162F0">
        <w:t xml:space="preserve">. </w:t>
      </w:r>
    </w:p>
    <w:p w14:paraId="78594589" w14:textId="77777777" w:rsidR="002939C2" w:rsidRDefault="002939C2" w:rsidP="002939C2">
      <w:pPr>
        <w:pStyle w:val="Stytleparagraphe"/>
      </w:pPr>
    </w:p>
    <w:p w14:paraId="13CD88CA" w14:textId="77777777" w:rsidR="002939C2" w:rsidRDefault="002939C2" w:rsidP="002939C2">
      <w:pPr>
        <w:pStyle w:val="Stytleparagraphe"/>
      </w:pPr>
      <w:r w:rsidRPr="002939C2">
        <w:rPr>
          <w:i/>
        </w:rPr>
        <w:t>Figure 1 : Photographie et radiographie rétro-alvéolaire d’une patiente présentant une parodontite chronique généralisée sévère au stade de maintenance.</w:t>
      </w:r>
      <w:r>
        <w:t xml:space="preserve"> Chez cette patiente à risque d’endocardite infectieuse, toute chirurgie parodontale est contre-indiquée. Ce cas illustre bien les limites de la thérapeutique étiologique non-chirurgicale, puisqu’il a été décidé d’extraire les dents 12, 14 et 15 pour des raisons parodontales.</w:t>
      </w:r>
    </w:p>
    <w:p w14:paraId="4F057623" w14:textId="77777777" w:rsidR="002939C2" w:rsidRDefault="002939C2" w:rsidP="002939C2">
      <w:pPr>
        <w:pStyle w:val="Stytleparagraphe"/>
      </w:pPr>
    </w:p>
    <w:p w14:paraId="1F9204DE" w14:textId="77777777" w:rsidR="004D73A2" w:rsidRDefault="006162F0" w:rsidP="002C1E65">
      <w:pPr>
        <w:pStyle w:val="Stytleparagraphe"/>
        <w:ind w:firstLine="360"/>
      </w:pPr>
      <w:r>
        <w:t xml:space="preserve">Plus récemment, en 2017, une revue systématique s’intéresse au ressenti des patients après traitement parodontal : aussi bien le traitement chirurgical que non chirurgical améliorerait la qualité de vie liée à la santé bucco-dentaire des patients </w:t>
      </w:r>
      <w:r>
        <w:fldChar w:fldCharType="begin"/>
      </w:r>
      <w:r>
        <w:instrText xml:space="preserve"> ADDIN ZOTERO_ITEM CSL_CITATION {"citationID":"q30ijHz8","properties":{"formattedCitation":"(Baiju et al. 2017)","plainCitation":"(Baiju et al. 2017)"},"citationItems":[{"id":48,"uris":["http://zotero.org/users/local/Y4Qp1Cr8/items/3LLF77EQ"],"uri":["http://zotero.org/users/local/Y4Qp1Cr8/items/3LLF77EQ"],"itemData":{"id":48,"type":"article-journal","title":"Patient Reported Outcome Assessment of Periodontal Therapy: A Systematic Review","container-title":"Journal of clinical and diagnostic research: JCDR","page":"ZC14-ZC19","volume":"11","issue":"8","source":"PubMed","abstract":"INTRODUCTION: Patient Reported Outcomes (PROs) are now regarded as a fundamental measure of therapeutic success. Patient's opinion regarding the impact of disease and its treatment is assessed using scales such as Oral Health Related Quality Of Life (OHRQoL) tools. Patient centred outcome assessment is now being considered as a primary outcome measure in clinical trials.\nAIM: To evaluate whether treatment of periodontal disease could influence OHRQoL based on available literature.\nMATERIALS AND METHODS: An electronic search was done in Google, Google Scholar and Pubmed for articles in English language using the terms Quality of Life or ORHQoL or PROs or patient centered outcome and periodontal therapy. The search commenced on 1st September 2016 and ended on 15th December 2016. Studies that employed one or more than one multi-item OHRQoL instrument to assess PROs related to either non-surgical or surgical periodontal therapy were reviewed.\nRESULTS: Initially 423 relevant articles were obtained, from which based on screening titles and abstracts 396 were excluded. Full text of remaining 27 articles were retrieved. Nineteen clinical studies with 1345 participants and 2 systematic reviews were included after the full text review.\nCONCLUSION: Both surgical and Non-surgical Periodontal Therapy (NSPT) significantly influenced the OHRQoL scores. However the change in scores after surgical therapy when compared to nonsurgical therapy was not statistically significant. There is a need for a specific PROs scale that could potentially tap the entire dimension of the change in patients' perception brought about by periodontal therapy.","DOI":"10.7860/JCDR/2017/28505.10343","ISSN":"2249-782X","note":"PMID: 28969266\nPMCID: PMC5620913","shortTitle":"Patient Reported Outcome Assessment of Periodontal Therapy","journalAbbreviation":"J Clin Diagn Res","language":"eng","author":[{"family":"Baiju","given":"R. M."},{"family":"Peter","given":"Elbe"},{"family":"Varghese","given":"N. O."},{"family":"Anju","given":"P."}],"issued":{"date-parts":[["2017",8]]}}}],"schema":"https://github.com/citation-style-language/schema/raw/master/csl-citation.json"} </w:instrText>
      </w:r>
      <w:r>
        <w:fldChar w:fldCharType="separate"/>
      </w:r>
      <w:r>
        <w:rPr>
          <w:noProof/>
        </w:rPr>
        <w:t>(Baiju et al. 2017)</w:t>
      </w:r>
      <w:r>
        <w:fldChar w:fldCharType="end"/>
      </w:r>
      <w:r>
        <w:t xml:space="preserve">. </w:t>
      </w:r>
    </w:p>
    <w:p w14:paraId="3FD17E8F" w14:textId="77777777" w:rsidR="002939C2" w:rsidRDefault="002939C2" w:rsidP="002C1E65">
      <w:pPr>
        <w:pStyle w:val="Stytleparagraphe"/>
        <w:ind w:firstLine="360"/>
      </w:pPr>
    </w:p>
    <w:p w14:paraId="62F0F97B" w14:textId="77777777" w:rsidR="00BD714A" w:rsidRDefault="006162F0" w:rsidP="002C1E65">
      <w:pPr>
        <w:pStyle w:val="Stytleparagraphe"/>
        <w:ind w:firstLine="360"/>
      </w:pPr>
      <w:r>
        <w:t>Est-ce qu’une nouvelle approche thérapeutique permettrait d’améliorer encore les résultats cliniques des thérapeutiques parodontales</w:t>
      </w:r>
      <w:r w:rsidR="00FE1C5B">
        <w:t>, de manière significative</w:t>
      </w:r>
      <w:r>
        <w:t xml:space="preserve"> ? </w:t>
      </w:r>
      <w:r w:rsidR="00FE1C5B">
        <w:t xml:space="preserve">Quel serait le bénéfice pour le patient ? Voici </w:t>
      </w:r>
      <w:r w:rsidR="00877F1B">
        <w:t>deux des</w:t>
      </w:r>
      <w:r w:rsidR="00FE1C5B">
        <w:t xml:space="preserve"> problématique</w:t>
      </w:r>
      <w:r w:rsidR="00877F1B">
        <w:t>s</w:t>
      </w:r>
      <w:r w:rsidR="00FE1C5B">
        <w:t xml:space="preserve"> que nous allons étudier dans ce manuscrit.</w:t>
      </w:r>
    </w:p>
    <w:p w14:paraId="519FD31A" w14:textId="77777777" w:rsidR="00FE1C5B" w:rsidRDefault="00FE1C5B" w:rsidP="00BD714A">
      <w:pPr>
        <w:pStyle w:val="Stytleparagraphe"/>
      </w:pPr>
    </w:p>
    <w:p w14:paraId="7B726A1A" w14:textId="77777777" w:rsidR="00877F1B" w:rsidRDefault="00877F1B" w:rsidP="00877F1B">
      <w:pPr>
        <w:pStyle w:val="Style2"/>
      </w:pPr>
      <w:bookmarkStart w:id="43" w:name="_Toc374198716"/>
      <w:bookmarkStart w:id="44" w:name="_Toc374198768"/>
      <w:bookmarkStart w:id="45" w:name="_Toc374200743"/>
      <w:bookmarkStart w:id="46" w:name="_Toc374380468"/>
      <w:bookmarkStart w:id="47" w:name="_Toc379376286"/>
      <w:bookmarkStart w:id="48" w:name="_Toc379387541"/>
      <w:bookmarkStart w:id="49" w:name="_Toc379807326"/>
      <w:bookmarkStart w:id="50" w:name="_Toc380653886"/>
      <w:bookmarkStart w:id="51" w:name="_Toc380744120"/>
      <w:bookmarkStart w:id="52" w:name="_Toc380946376"/>
      <w:bookmarkStart w:id="53" w:name="_Toc383883940"/>
      <w:bookmarkStart w:id="54" w:name="_Toc384754057"/>
      <w:bookmarkStart w:id="55" w:name="_Toc384756478"/>
      <w:bookmarkStart w:id="56" w:name="_Toc384816074"/>
      <w:bookmarkStart w:id="57" w:name="_Toc384826790"/>
      <w:r>
        <w:t>Notion de régénération parodontale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 xml:space="preserve"> </w:t>
      </w:r>
    </w:p>
    <w:p w14:paraId="6F5D6998" w14:textId="77777777" w:rsidR="00877F1B" w:rsidRDefault="00C234E1" w:rsidP="002C1E65">
      <w:pPr>
        <w:pStyle w:val="Stytleparagraphe"/>
        <w:ind w:firstLine="360"/>
      </w:pPr>
      <w:r>
        <w:t>Les traitements parodontaux conventionnels permettent d’obtenir un gain d’attache parodontale ainsi qu’une réduction de profondeur de poche, via la formation d’un épithélium de jonction long, c’est ce qu’on appelle la réparation tissulaire</w:t>
      </w:r>
      <w:r w:rsidR="00F87290">
        <w:t>, qui ne constitue pas une régénération en soi</w:t>
      </w:r>
      <w:r>
        <w:t xml:space="preserve"> </w:t>
      </w:r>
      <w:r>
        <w:fldChar w:fldCharType="begin"/>
      </w:r>
      <w:r>
        <w:instrText xml:space="preserve"> ADDIN ZOTERO_ITEM CSL_CITATION {"citationID":"3FUb8DJt","properties":{"formattedCitation":"(Villar et Cochran 2010)","plainCitation":"(Villar et Cochran 2010)"},"citationItems":[{"id":61,"uris":["http://zotero.org/users/local/Y4Qp1Cr8/items/2SMNS339"],"uri":["http://zotero.org/users/local/Y4Qp1Cr8/items/2SMNS339"],"itemData":{"id":61,"type":"article-journal","title":"Regeneration of periodontal tissues: guided tissue regeneration","container-title":"Dental Clinics of North America","page":"73-92","volume":"54","issue":"1","source":"PubMed","abstract":"The concept that only fibroblasts from the periodontal ligament or undifferentiated mesenchymal cells have the potential to re-create the original periodontal attachment has been long recognized. Based on this concept, guided tissue regeneration has been applied with variable success to regenerate periodontal defects. Quantitative analysis of clinical outcomes after guided tissue regeneration suggests that this therapy is a successful and predictable procedure to treat narrow intrabony defects and class II mandibular furcations, but offers limited benefits in the treatment of other types of periodontal defects.","DOI":"10.1016/j.cden.2009.08.011","ISSN":"1558-0512","note":"PMID: 20103473","shortTitle":"Regeneration of periodontal tissues","journalAbbreviation":"Dent. Clin. North Am.","language":"eng","author":[{"family":"Villar","given":"Cristina C."},{"family":"Cochran","given":"David L."}],"issued":{"date-parts":[["2010",1]]}}}],"schema":"https://github.com/citation-style-language/schema/raw/master/csl-citation.json"} </w:instrText>
      </w:r>
      <w:r>
        <w:fldChar w:fldCharType="separate"/>
      </w:r>
      <w:r>
        <w:rPr>
          <w:noProof/>
        </w:rPr>
        <w:t>(Villar et Cochran 2010)</w:t>
      </w:r>
      <w:r>
        <w:fldChar w:fldCharType="end"/>
      </w:r>
      <w:r>
        <w:t xml:space="preserve">. </w:t>
      </w:r>
    </w:p>
    <w:p w14:paraId="6DA8D9B0" w14:textId="77777777" w:rsidR="00676832" w:rsidRDefault="00676832" w:rsidP="00676832">
      <w:pPr>
        <w:pStyle w:val="Stytleparagraphe"/>
        <w:numPr>
          <w:ilvl w:val="0"/>
          <w:numId w:val="3"/>
        </w:numPr>
      </w:pPr>
      <w:r>
        <w:t>Réparation parodontale : cicatrisation d’une plaie par un tissu qui ne restaure pas complètement l’architecture parodontale.</w:t>
      </w:r>
    </w:p>
    <w:p w14:paraId="01B41D51" w14:textId="77777777" w:rsidR="00676832" w:rsidRDefault="00676832" w:rsidP="00676832">
      <w:pPr>
        <w:pStyle w:val="Stytleparagraphe"/>
        <w:numPr>
          <w:ilvl w:val="0"/>
          <w:numId w:val="3"/>
        </w:numPr>
      </w:pPr>
      <w:r>
        <w:t xml:space="preserve">Régénération parodontale : processus par lequel l’architecture et la fonction de l’ensemble des tissus parodontaux sont restaurés </w:t>
      </w:r>
      <w:r w:rsidRPr="00534603">
        <w:rPr>
          <w:i/>
        </w:rPr>
        <w:t>ad integrum</w:t>
      </w:r>
      <w:r w:rsidR="00B93BF6">
        <w:t>.</w:t>
      </w:r>
    </w:p>
    <w:p w14:paraId="75D560F3" w14:textId="77777777" w:rsidR="00B93BF6" w:rsidRDefault="00B93BF6" w:rsidP="002C1E65">
      <w:pPr>
        <w:pStyle w:val="Stytleparagraphe"/>
        <w:ind w:firstLine="360"/>
      </w:pPr>
      <w:r>
        <w:t xml:space="preserve">La régénération parodontale est caractérisée par la restauration de l’os alvéolaire, du cément le long de la racine et l’attache ligamentaire néoformée doit avoir des fibres perpendiculaires à la racine </w:t>
      </w:r>
      <w:r>
        <w:fldChar w:fldCharType="begin"/>
      </w:r>
      <w:r w:rsidR="00DC1C52">
        <w:instrText xml:space="preserve"> ADDIN ZOTERO_ITEM CSL_CITATION {"citationID":"Dl0tX6Ki","properties":{"formattedCitation":"(Ivanovski et al. 2014a)","plainCitation":"(Ivanovski et al. 2014a)"},"citationItems":[{"id":71,"uris":["http://zotero.org/users/local/Y4Qp1Cr8/items/CCDUYVAB"],"uri":["http://zotero.org/users/local/Y4Qp1Cr8/items/CCDUYVAB"],"itemData":{"id":71,"type":"article-journal","title":"Multiphasic scaffolds for periodontal tissue engineering","container-title":"Journal of Dental Research","page":"1212-1221","volume":"93","issue":"12","source":"PubMed","abstract":"For a successful clinical outcome, periodontal regeneration requires the coordinated response of multiple soft and hard tissues (periodontal ligament, gingiva, cementum, and bone) during the wound-healing process. Tissue-engineered constructs for regeneration of the periodontium must be of a complex 3-dimensional shape and adequate size and demonstrate biomechanical stability over time. A critical requirement is the ability to promote the formation of functional periodontal attachment between regenerated alveolar bone, and newly formed cementum on the root surface. This review outlines the current advances in multiphasic scaffold fabrication and how these scaffolds can be combined with cell- and growth factor-based approaches to form tissue-engineered constructs capable of recapitulating the complex temporal and spatial wound-healing events that will lead to predictable periodontal regeneration. This can be achieved through a variety of approaches, with promising strategies characterized by the use of scaffolds that can deliver and stabilize cells capable of cementogenesis onto the root surface, provide biomechanical cues that encourage perpendicular alignment of periodontal fibers to the root surface, and provide osteogenic cues and appropriate space to facilitate bone regeneration. Progress on the development of multiphasic constructs for periodontal tissue engineering is in the early stages of development, and these constructs need to be tested in large animal models and, ultimately, human clinical trials.","DOI":"10.1177/0022034514544301","ISSN":"1544-0591","note":"PMID: 25139362\nPMCID: PMC4462800","journalAbbreviation":"J. Dent. Res.","language":"eng","author":[{"family":"Ivanovski","given":"S."},{"family":"Vaquette","given":"C."},{"family":"Gronthos","given":"S."},{"family":"Hutmacher","given":"D. W."},{"family":"Bartold","given":"P. M."}],"issued":{"date-parts":[["2014",12]]}}}],"schema":"https://github.com/citation-style-language/schema/raw/master/csl-citation.json"} </w:instrText>
      </w:r>
      <w:r>
        <w:fldChar w:fldCharType="separate"/>
      </w:r>
      <w:r w:rsidR="009A47D9">
        <w:rPr>
          <w:noProof/>
        </w:rPr>
        <w:t>(Ivanovski et al. 2014</w:t>
      </w:r>
      <w:r w:rsidR="00DC1C52">
        <w:rPr>
          <w:noProof/>
        </w:rPr>
        <w:t>)</w:t>
      </w:r>
      <w:r>
        <w:fldChar w:fldCharType="end"/>
      </w:r>
      <w:r>
        <w:t xml:space="preserve">. En effet, la régénération parodontale se distingue de la réparation par la création d’un épithélium de jonction court de 1 à 2mm de long, objectif inatteignable en thérapeutique parodontale conventionnelle </w:t>
      </w:r>
      <w:r>
        <w:fldChar w:fldCharType="begin"/>
      </w:r>
      <w:r>
        <w:instrText xml:space="preserve"> ADDIN ZOTERO_ITEM CSL_CITATION {"citationID":"qOEUk9sk","properties":{"formattedCitation":"(Caton, Nyman, et Zander 1980)","plainCitation":"(Caton, Nyman, et Zander 1980)"},"citationItems":[{"id":77,"uris":["http://zotero.org/users/local/Y4Qp1Cr8/items/D7J2B26B"],"uri":["http://zotero.org/users/local/Y4Qp1Cr8/items/D7J2B26B"],"itemData":{"id":77,"type":"article-journal","title":"Histometric evaluation of periodontal surgery. II. Connective tissue attachment levels after four regenerative procedures","container-title":"Journal of Clinical Periodontology","page":"224-231","volume":"7","issue":"3","source":"PubMed","abstract":"The present study was undertaken to determine the effect of four periodontal regenerative procedures on the connective tissue attachment level. The procedures tested were: 1) the modified Widman flap procedure, 2) the modified Widman flap procedure combined with transplantation of previously frozen autogenous red marrow and cancellous bone, 3) the modified Widman flap procedure in combination with implantation of beta tricalcium phosphate, and 4) periodic root planing and soft tissue curettage. Eight adult Rhesus monkeys, divided into four equal groups, were used. Periodontal pockets were produced around contralateral teeth in a standardized manner. In each group of animals, the pockets on one side of the jaws were subjected to one of the above-mentioned surgical treatments, while the contralateral pockets remained as unoperated controls. Three weeks before surgery, a carefully designed plaque control program was instituted and continued until the animals were sacrificed 12 months after surgery. In histologic sections, linear measurements along the root surfaces were made from the cemento-enamel junction (CEJ) to the most apical cells of the junctional epithelium (JE). These measurements from operated and unoperated sites were then compared. The data revealed that healing following the four different regenerative procedures resulted in the reformation of an epithelial lining (long junctional epithelium) along the treated root surfaces, with no new connective tissue attachment.","ISSN":"0303-6979","note":"PMID: 7000854","journalAbbreviation":"J. Clin. Periodontol.","language":"eng","author":[{"family":"Caton","given":"J."},{"family":"Nyman","given":"S."},{"family":"Zander","given":"H."}],"issued":{"date-parts":[["1980",6]]}}}],"schema":"https://github.com/citation-style-language/schema/raw/master/csl-citation.json"} </w:instrText>
      </w:r>
      <w:r>
        <w:fldChar w:fldCharType="separate"/>
      </w:r>
      <w:r>
        <w:rPr>
          <w:noProof/>
        </w:rPr>
        <w:t>(Caton, Nyman, et Zander 1980)</w:t>
      </w:r>
      <w:r>
        <w:fldChar w:fldCharType="end"/>
      </w:r>
      <w:r>
        <w:t xml:space="preserve">. </w:t>
      </w:r>
    </w:p>
    <w:p w14:paraId="15F530C9" w14:textId="77777777" w:rsidR="002939C2" w:rsidRDefault="002939C2" w:rsidP="00B107DA">
      <w:pPr>
        <w:pStyle w:val="Stytleparagraphe"/>
        <w:ind w:firstLine="360"/>
      </w:pPr>
    </w:p>
    <w:p w14:paraId="7A5D45CA" w14:textId="77777777" w:rsidR="002939C2" w:rsidRDefault="00CE23A4" w:rsidP="00B107DA">
      <w:pPr>
        <w:pStyle w:val="Stytleparagraphe"/>
        <w:ind w:firstLine="360"/>
      </w:pPr>
      <w:r>
        <w:t xml:space="preserve">Les techniques de régénération tissulaire guidée </w:t>
      </w:r>
      <w:r w:rsidR="007F16B5">
        <w:t xml:space="preserve">actuelles </w:t>
      </w:r>
      <w:r>
        <w:t xml:space="preserve">ont pour objectif la régénération via l’usage de membranes séparant les différents tissus parodontaux afin de permettre leur maturation propre et la recolonisation </w:t>
      </w:r>
      <w:r w:rsidR="007F16B5">
        <w:t>de l’espace lésé par les résidus desmodontaux</w:t>
      </w:r>
      <w:r w:rsidR="00DC1C52">
        <w:t xml:space="preserve"> </w:t>
      </w:r>
      <w:r w:rsidR="00DC1C52">
        <w:fldChar w:fldCharType="begin"/>
      </w:r>
      <w:r w:rsidR="00DC1C52">
        <w:instrText xml:space="preserve"> ADDIN ZOTERO_ITEM CSL_CITATION {"citationID":"gMe7I48m","properties":{"formattedCitation":"(Karring et al. 1993)","plainCitation":"(Karring et al. 1993)"},"citationItems":[{"id":79,"uris":["http://zotero.org/users/local/Y4Qp1Cr8/items/PNCSGUN5"],"uri":["http://zotero.org/users/local/Y4Qp1Cr8/items/PNCSGUN5"],"itemData":{"id":79,"type":"article-journal","title":"Development of the biological concept of guided tissue regeneration — animal and human studies","container-title":"Periodontology 2000","page":"26-35","volume":"1","issue":"1","source":"Wiley Online Library","DOI":"10.1111/j.1600-0757.1993.tb00204.x","ISSN":"1600-0757","language":"en","author":[{"family":"Karring","given":"Thorkild"},{"family":"Nyman","given":"Sture"},{"family":"Gottlow","given":"Jan"},{"family":"Laurell","given":"Lars"}],"issued":{"date-parts":[["1993",2,1]]}}}],"schema":"https://github.com/citation-style-language/schema/raw/master/csl-citation.json"} </w:instrText>
      </w:r>
      <w:r w:rsidR="00DC1C52">
        <w:fldChar w:fldCharType="separate"/>
      </w:r>
      <w:r w:rsidR="00DC1C52">
        <w:rPr>
          <w:noProof/>
        </w:rPr>
        <w:t>(Karring et al. 1993)</w:t>
      </w:r>
      <w:r w:rsidR="00DC1C52">
        <w:fldChar w:fldCharType="end"/>
      </w:r>
      <w:r w:rsidR="00DC1C52">
        <w:t xml:space="preserve">. </w:t>
      </w:r>
    </w:p>
    <w:p w14:paraId="674B4E1E" w14:textId="77777777" w:rsidR="00B107DA" w:rsidRDefault="00DC1C52" w:rsidP="00B107DA">
      <w:pPr>
        <w:pStyle w:val="Stytleparagraphe"/>
        <w:ind w:firstLine="360"/>
      </w:pPr>
      <w:r>
        <w:t xml:space="preserve">De la même façon, des tentatives de promotion de la régénération tissulaire via l’utilisation de molécules bioactives ont été effectuées mais ont aussi conduit à des résultats non prédictibles, rendant la régénération parodontale illusoire dans la majorité des cas </w:t>
      </w:r>
      <w:r>
        <w:fldChar w:fldCharType="begin"/>
      </w:r>
      <w:r>
        <w:instrText xml:space="preserve"> ADDIN ZOTERO_ITEM CSL_CITATION {"citationID":"5l9yaKwv","properties":{"formattedCitation":"(Ivanovski et al. 2014b)","plainCitation":"(Ivanovski et al. 2014b)"},"citationItems":[{"id":73,"uris":["http://zotero.org/users/local/Y4Qp1Cr8/items/VS5WRYSN"],"uri":["http://zotero.org/users/local/Y4Qp1Cr8/items/VS5WRYSN"],"itemData":{"id":73,"type":"article-journal","title":"Multiphasic Scaffolds for Periodontal Tissue Engineering","container-title":"Journal of Dental Research","page":"1212-1221","volume":"93","issue":"12","source":"PubMed Central","abstract":"For a successful clinical outcome, periodontal regeneration requires the coordinated response of multiple soft and hard tissues (periodontal ligament, gingiva, cementum, and bone) during the wound-healing process. Tissue-engineered constructs for regeneration of the periodontium must be of a complex 3-dimensional shape and adequate size and demonstrate biomechanical stability over time. A critical requirement is the ability to promote the formation of functional periodontal attachment between regenerated alveolar bone, and newly formed cementum on the root surface. This review outlines the current advances in multiphasic scaffold fabrication and how these scaffolds can be combined with cell- and growth factor–based approaches to form tissue-engineered constructs capable of recapitulating the complex temporal and spatial wound-healing events that will lead to predictable periodontal regeneration. This can be achieved through a variety of approaches, with promising strategies characterized by the use of scaffolds that can deliver and stabilize cells capable of cementogenesis onto the root surface, provide biomechanical cues that encourage perpendicular alignment of periodontal fibers to the root surface, and provide osteogenic cues and appropriate space to facilitate bone regeneration. Progress on the development of multiphasic constructs for periodontal tissue engineering is in the early stages of development, and these constructs need to be tested in large animal models and, ultimately, human clinical trials.","DOI":"10.1177/0022034514544301","ISSN":"0022-0345","note":"PMID: 25139362\nPMCID: PMC4462800","journalAbbreviation":"J Dent Res","author":[{"family":"Ivanovski","given":"S."},{"family":"Vaquette","given":"C."},{"family":"Gronthos","given":"S."},{"family":"Hutmacher","given":"D.W."},{"family":"Bartold","given":"P.M."}],"issued":{"date-parts":[["2014",12]]}}}],"schema":"https://github.com/citation-style-language/schema/raw/master/csl-citation.json"} </w:instrText>
      </w:r>
      <w:r>
        <w:fldChar w:fldCharType="separate"/>
      </w:r>
      <w:r>
        <w:rPr>
          <w:noProof/>
        </w:rPr>
        <w:t>(Ivanovski et al. 2014)</w:t>
      </w:r>
      <w:r>
        <w:fldChar w:fldCharType="end"/>
      </w:r>
      <w:r>
        <w:t>.</w:t>
      </w:r>
    </w:p>
    <w:p w14:paraId="4F00B8ED" w14:textId="77777777" w:rsidR="00B107DA" w:rsidRDefault="00B107DA" w:rsidP="00B107DA">
      <w:pPr>
        <w:pStyle w:val="Stytleparagraphe"/>
        <w:ind w:firstLine="360"/>
      </w:pPr>
      <w:r>
        <w:t>Ainsi, la régénération tissulaire reste l’un des principaux objectifs contemporains en thérapeutique parodontale.</w:t>
      </w:r>
    </w:p>
    <w:p w14:paraId="69C348BE" w14:textId="77777777" w:rsidR="002C1E65" w:rsidRDefault="002C1E65" w:rsidP="00676832">
      <w:pPr>
        <w:pStyle w:val="Stytleparagraphe"/>
      </w:pPr>
    </w:p>
    <w:p w14:paraId="03CA8967" w14:textId="77777777" w:rsidR="002C1E65" w:rsidRDefault="002C1E65" w:rsidP="00676832">
      <w:pPr>
        <w:pStyle w:val="Stytleparagraphe"/>
      </w:pPr>
    </w:p>
    <w:p w14:paraId="0C05E8DF" w14:textId="77777777" w:rsidR="002C1E65" w:rsidRDefault="002C1E65" w:rsidP="00676832">
      <w:pPr>
        <w:pStyle w:val="Stytleparagraphe"/>
      </w:pPr>
    </w:p>
    <w:p w14:paraId="59C36C2E" w14:textId="77777777" w:rsidR="002C1E65" w:rsidRDefault="002C1E65" w:rsidP="00676832">
      <w:pPr>
        <w:pStyle w:val="Stytleparagraphe"/>
      </w:pPr>
    </w:p>
    <w:p w14:paraId="391A1141" w14:textId="77777777" w:rsidR="002C1E65" w:rsidRDefault="002C1E65" w:rsidP="00676832">
      <w:pPr>
        <w:pStyle w:val="Stytleparagraphe"/>
      </w:pPr>
    </w:p>
    <w:p w14:paraId="3814BDB6" w14:textId="77777777" w:rsidR="002C1E65" w:rsidRDefault="002C1E65" w:rsidP="00676832">
      <w:pPr>
        <w:pStyle w:val="Stytleparagraphe"/>
      </w:pPr>
    </w:p>
    <w:p w14:paraId="0EBEB375" w14:textId="77777777" w:rsidR="00B107DA" w:rsidRDefault="00B107DA" w:rsidP="00676832">
      <w:pPr>
        <w:pStyle w:val="Stytleparagraphe"/>
      </w:pPr>
    </w:p>
    <w:p w14:paraId="44F735CB" w14:textId="77777777" w:rsidR="002C1E65" w:rsidRDefault="002C1E65" w:rsidP="00676832">
      <w:pPr>
        <w:pStyle w:val="Stytleparagraphe"/>
      </w:pPr>
    </w:p>
    <w:p w14:paraId="5AD77F9E" w14:textId="77777777" w:rsidR="002C1E65" w:rsidRDefault="002C1E65" w:rsidP="00676832">
      <w:pPr>
        <w:pStyle w:val="Stytleparagraphe"/>
      </w:pPr>
    </w:p>
    <w:p w14:paraId="1847A632" w14:textId="77777777" w:rsidR="002C1E65" w:rsidRDefault="002C1E65" w:rsidP="00676832">
      <w:pPr>
        <w:pStyle w:val="Stytleparagraphe"/>
      </w:pPr>
    </w:p>
    <w:p w14:paraId="0FBF7ED2" w14:textId="77777777" w:rsidR="002C1E65" w:rsidRDefault="002C1E65" w:rsidP="00676832">
      <w:pPr>
        <w:pStyle w:val="Stytleparagraphe"/>
      </w:pPr>
    </w:p>
    <w:p w14:paraId="4070E9AC" w14:textId="77777777" w:rsidR="002C1E65" w:rsidRDefault="002C1E65" w:rsidP="00676832">
      <w:pPr>
        <w:pStyle w:val="Stytleparagraphe"/>
      </w:pPr>
    </w:p>
    <w:p w14:paraId="46C14BD8" w14:textId="77777777" w:rsidR="002C1E65" w:rsidRDefault="002C1E65" w:rsidP="00676832">
      <w:pPr>
        <w:pStyle w:val="Stytleparagraphe"/>
      </w:pPr>
    </w:p>
    <w:p w14:paraId="00876794" w14:textId="77777777" w:rsidR="00B107DA" w:rsidRDefault="00B107DA" w:rsidP="00B107DA">
      <w:pPr>
        <w:pStyle w:val="ListParagraph"/>
        <w:spacing w:line="360" w:lineRule="auto"/>
        <w:ind w:left="1080"/>
        <w:rPr>
          <w:rFonts w:ascii="Arial" w:hAnsi="Arial"/>
          <w:sz w:val="28"/>
        </w:rPr>
      </w:pPr>
    </w:p>
    <w:p w14:paraId="659D3E87" w14:textId="77777777" w:rsidR="00B107DA" w:rsidRDefault="00B107DA" w:rsidP="00B107DA">
      <w:pPr>
        <w:pStyle w:val="ListParagraph"/>
        <w:spacing w:line="360" w:lineRule="auto"/>
        <w:ind w:left="1080"/>
        <w:rPr>
          <w:rFonts w:ascii="Arial" w:hAnsi="Arial"/>
          <w:sz w:val="28"/>
        </w:rPr>
      </w:pPr>
    </w:p>
    <w:p w14:paraId="5C74AFDD" w14:textId="77777777" w:rsidR="00B107DA" w:rsidRDefault="00B107DA" w:rsidP="00B107DA">
      <w:pPr>
        <w:pStyle w:val="ListParagraph"/>
        <w:spacing w:line="360" w:lineRule="auto"/>
        <w:ind w:left="1080"/>
        <w:rPr>
          <w:rFonts w:ascii="Arial" w:hAnsi="Arial"/>
          <w:sz w:val="28"/>
        </w:rPr>
      </w:pPr>
    </w:p>
    <w:p w14:paraId="038B8908" w14:textId="77777777" w:rsidR="00B107DA" w:rsidRDefault="00B107DA" w:rsidP="00B107DA">
      <w:pPr>
        <w:pStyle w:val="ListParagraph"/>
        <w:spacing w:line="360" w:lineRule="auto"/>
        <w:ind w:left="1080"/>
        <w:rPr>
          <w:rFonts w:ascii="Arial" w:hAnsi="Arial"/>
          <w:sz w:val="28"/>
        </w:rPr>
      </w:pPr>
    </w:p>
    <w:p w14:paraId="1B149FEC" w14:textId="77777777" w:rsidR="00B107DA" w:rsidRDefault="00B107DA" w:rsidP="00B107DA">
      <w:pPr>
        <w:pStyle w:val="ListParagraph"/>
        <w:spacing w:line="360" w:lineRule="auto"/>
        <w:ind w:left="1080"/>
        <w:rPr>
          <w:rFonts w:ascii="Arial" w:hAnsi="Arial"/>
          <w:sz w:val="28"/>
        </w:rPr>
      </w:pPr>
    </w:p>
    <w:p w14:paraId="0147D410" w14:textId="77777777" w:rsidR="00B107DA" w:rsidRDefault="00B107DA" w:rsidP="00B107DA">
      <w:pPr>
        <w:pStyle w:val="ListParagraph"/>
        <w:spacing w:line="360" w:lineRule="auto"/>
        <w:ind w:left="1080"/>
        <w:rPr>
          <w:rFonts w:ascii="Arial" w:hAnsi="Arial"/>
          <w:sz w:val="28"/>
        </w:rPr>
      </w:pPr>
    </w:p>
    <w:p w14:paraId="3B9F2D8C" w14:textId="77777777" w:rsidR="00B107DA" w:rsidRDefault="00B107DA" w:rsidP="00B107DA">
      <w:pPr>
        <w:pStyle w:val="ListParagraph"/>
        <w:spacing w:line="360" w:lineRule="auto"/>
        <w:ind w:left="1080"/>
        <w:rPr>
          <w:rFonts w:ascii="Arial" w:hAnsi="Arial"/>
          <w:sz w:val="28"/>
        </w:rPr>
      </w:pPr>
    </w:p>
    <w:p w14:paraId="64A3357D" w14:textId="77777777" w:rsidR="009A47D9" w:rsidRDefault="009A47D9" w:rsidP="00B107DA">
      <w:pPr>
        <w:pStyle w:val="ListParagraph"/>
        <w:spacing w:line="360" w:lineRule="auto"/>
        <w:ind w:left="1080"/>
        <w:rPr>
          <w:rFonts w:ascii="Arial" w:hAnsi="Arial"/>
          <w:sz w:val="28"/>
        </w:rPr>
      </w:pPr>
    </w:p>
    <w:p w14:paraId="6447FBB6" w14:textId="77777777" w:rsidR="00B107DA" w:rsidRDefault="00B107DA" w:rsidP="00B107DA">
      <w:pPr>
        <w:pStyle w:val="ListParagraph"/>
        <w:spacing w:line="360" w:lineRule="auto"/>
        <w:ind w:left="1080"/>
        <w:rPr>
          <w:rFonts w:ascii="Arial" w:hAnsi="Arial"/>
          <w:sz w:val="28"/>
        </w:rPr>
      </w:pPr>
    </w:p>
    <w:p w14:paraId="38906642" w14:textId="77777777" w:rsidR="00B107DA" w:rsidRDefault="00B107DA" w:rsidP="00B107DA">
      <w:pPr>
        <w:pStyle w:val="ListParagraph"/>
        <w:spacing w:line="360" w:lineRule="auto"/>
        <w:ind w:left="1080"/>
        <w:rPr>
          <w:rFonts w:ascii="Arial" w:hAnsi="Arial"/>
          <w:sz w:val="28"/>
        </w:rPr>
      </w:pPr>
    </w:p>
    <w:p w14:paraId="16AFD675" w14:textId="77777777" w:rsidR="00D92749" w:rsidRDefault="00D92749" w:rsidP="00B107DA">
      <w:pPr>
        <w:pStyle w:val="ListParagraph"/>
        <w:spacing w:line="360" w:lineRule="auto"/>
        <w:ind w:left="1080"/>
        <w:rPr>
          <w:rFonts w:ascii="Arial" w:hAnsi="Arial"/>
          <w:sz w:val="28"/>
        </w:rPr>
      </w:pPr>
    </w:p>
    <w:p w14:paraId="72C3103B" w14:textId="77777777" w:rsidR="00B107DA" w:rsidRPr="00B107DA" w:rsidRDefault="00B107DA" w:rsidP="00B107DA">
      <w:pPr>
        <w:spacing w:line="360" w:lineRule="auto"/>
        <w:rPr>
          <w:rFonts w:ascii="Arial" w:hAnsi="Arial"/>
          <w:sz w:val="28"/>
        </w:rPr>
      </w:pPr>
    </w:p>
    <w:p w14:paraId="40529D72" w14:textId="77777777" w:rsidR="00B107DA" w:rsidRDefault="00B107DA" w:rsidP="00B107DA">
      <w:pPr>
        <w:pStyle w:val="ListParagraph"/>
        <w:spacing w:line="360" w:lineRule="auto"/>
        <w:ind w:left="1080"/>
        <w:rPr>
          <w:rFonts w:ascii="Arial" w:hAnsi="Arial"/>
          <w:sz w:val="28"/>
        </w:rPr>
      </w:pPr>
    </w:p>
    <w:p w14:paraId="3C6EFB8D" w14:textId="77777777" w:rsidR="002C1E65" w:rsidRDefault="002C1E65" w:rsidP="00676832">
      <w:pPr>
        <w:pStyle w:val="Stytleparagraphe"/>
      </w:pPr>
    </w:p>
    <w:p w14:paraId="08B52199" w14:textId="77777777" w:rsidR="002939C2" w:rsidRDefault="002939C2" w:rsidP="00676832">
      <w:pPr>
        <w:pStyle w:val="Stytleparagraphe"/>
      </w:pPr>
    </w:p>
    <w:p w14:paraId="27D6A81A" w14:textId="77777777" w:rsidR="002939C2" w:rsidRDefault="002939C2" w:rsidP="00676832">
      <w:pPr>
        <w:pStyle w:val="Stytleparagraphe"/>
      </w:pPr>
    </w:p>
    <w:p w14:paraId="70FBA5CA" w14:textId="77777777" w:rsidR="002939C2" w:rsidRDefault="002939C2" w:rsidP="00676832">
      <w:pPr>
        <w:pStyle w:val="Stytleparagraphe"/>
      </w:pPr>
    </w:p>
    <w:p w14:paraId="01142701" w14:textId="77777777" w:rsidR="002939C2" w:rsidRDefault="002939C2" w:rsidP="00676832">
      <w:pPr>
        <w:pStyle w:val="Stytleparagraphe"/>
      </w:pPr>
    </w:p>
    <w:p w14:paraId="7D290523" w14:textId="77777777" w:rsidR="002939C2" w:rsidRDefault="002939C2" w:rsidP="00676832">
      <w:pPr>
        <w:pStyle w:val="Stytleparagraphe"/>
      </w:pPr>
    </w:p>
    <w:p w14:paraId="29B6FD43" w14:textId="77777777" w:rsidR="002939C2" w:rsidRDefault="002939C2" w:rsidP="00676832">
      <w:pPr>
        <w:pStyle w:val="Stytleparagraphe"/>
      </w:pPr>
    </w:p>
    <w:p w14:paraId="6C1EC7C8" w14:textId="77777777" w:rsidR="002939C2" w:rsidRDefault="002939C2" w:rsidP="00676832">
      <w:pPr>
        <w:pStyle w:val="Stytleparagraphe"/>
      </w:pPr>
    </w:p>
    <w:p w14:paraId="73E338B1" w14:textId="77777777" w:rsidR="002939C2" w:rsidRDefault="002939C2" w:rsidP="00676832">
      <w:pPr>
        <w:pStyle w:val="Stytleparagraphe"/>
      </w:pPr>
    </w:p>
    <w:p w14:paraId="6F02D403" w14:textId="77777777" w:rsidR="002939C2" w:rsidRDefault="002939C2" w:rsidP="00676832">
      <w:pPr>
        <w:pStyle w:val="Stytleparagraphe"/>
      </w:pPr>
    </w:p>
    <w:p w14:paraId="5A8C5EB7" w14:textId="77777777" w:rsidR="002939C2" w:rsidRDefault="002939C2" w:rsidP="00676832">
      <w:pPr>
        <w:pStyle w:val="Stytleparagraphe"/>
      </w:pPr>
    </w:p>
    <w:p w14:paraId="561A7469" w14:textId="77777777" w:rsidR="002939C2" w:rsidRDefault="002939C2" w:rsidP="00676832">
      <w:pPr>
        <w:pStyle w:val="Stytleparagraphe"/>
      </w:pPr>
    </w:p>
    <w:p w14:paraId="4FF0C97E" w14:textId="77777777" w:rsidR="002939C2" w:rsidRDefault="002939C2" w:rsidP="00676832">
      <w:pPr>
        <w:pStyle w:val="Stytleparagraphe"/>
      </w:pPr>
    </w:p>
    <w:p w14:paraId="636ECF72" w14:textId="77777777" w:rsidR="002939C2" w:rsidRDefault="002939C2" w:rsidP="00676832">
      <w:pPr>
        <w:pStyle w:val="Stytleparagraphe"/>
      </w:pPr>
    </w:p>
    <w:p w14:paraId="2D193F1A" w14:textId="77777777" w:rsidR="002939C2" w:rsidRDefault="002939C2" w:rsidP="00676832">
      <w:pPr>
        <w:pStyle w:val="Stytleparagraphe"/>
      </w:pPr>
    </w:p>
    <w:p w14:paraId="3C96977F" w14:textId="77777777" w:rsidR="002C1E65" w:rsidRDefault="00E20D4F" w:rsidP="002C1E65">
      <w:pPr>
        <w:pStyle w:val="Style1"/>
        <w:pBdr>
          <w:bottom w:val="single" w:sz="6" w:space="1" w:color="auto"/>
        </w:pBdr>
      </w:pPr>
      <w:bookmarkStart w:id="58" w:name="_Toc374200744"/>
      <w:bookmarkStart w:id="59" w:name="_Toc374380469"/>
      <w:bookmarkStart w:id="60" w:name="_Toc379376287"/>
      <w:bookmarkStart w:id="61" w:name="_Toc379387542"/>
      <w:bookmarkStart w:id="62" w:name="_Toc379807327"/>
      <w:bookmarkStart w:id="63" w:name="_Toc380653887"/>
      <w:bookmarkStart w:id="64" w:name="_Toc380744121"/>
      <w:bookmarkStart w:id="65" w:name="_Toc380946377"/>
      <w:bookmarkStart w:id="66" w:name="_Toc383883941"/>
      <w:bookmarkStart w:id="67" w:name="_Toc384754058"/>
      <w:bookmarkStart w:id="68" w:name="_Toc384756479"/>
      <w:bookmarkStart w:id="69" w:name="_Toc384816075"/>
      <w:bookmarkStart w:id="70" w:name="_Toc384826791"/>
      <w:r>
        <w:t>LA CICATRISATION PARODONTALE</w:t>
      </w:r>
      <w:bookmarkEnd w:id="58"/>
      <w:bookmarkEnd w:id="59"/>
      <w:bookmarkEnd w:id="60"/>
      <w:bookmarkEnd w:id="61"/>
      <w:bookmarkEnd w:id="62"/>
      <w:bookmarkEnd w:id="63"/>
      <w:bookmarkEnd w:id="64"/>
      <w:bookmarkEnd w:id="65"/>
      <w:bookmarkEnd w:id="66"/>
      <w:bookmarkEnd w:id="67"/>
      <w:bookmarkEnd w:id="68"/>
      <w:bookmarkEnd w:id="69"/>
      <w:bookmarkEnd w:id="70"/>
    </w:p>
    <w:p w14:paraId="783EAED0" w14:textId="77777777" w:rsidR="009A47D9" w:rsidRDefault="009A47D9" w:rsidP="009A47D9">
      <w:pPr>
        <w:pStyle w:val="Style1"/>
        <w:numPr>
          <w:ilvl w:val="0"/>
          <w:numId w:val="0"/>
        </w:numPr>
        <w:ind w:left="1080" w:hanging="720"/>
      </w:pPr>
    </w:p>
    <w:p w14:paraId="17C54CF0" w14:textId="77777777" w:rsidR="00E509F3" w:rsidRDefault="00E509F3" w:rsidP="002C1E65">
      <w:pPr>
        <w:pStyle w:val="Style1"/>
        <w:numPr>
          <w:ilvl w:val="0"/>
          <w:numId w:val="0"/>
        </w:numPr>
        <w:ind w:left="1080"/>
        <w:jc w:val="left"/>
      </w:pPr>
    </w:p>
    <w:p w14:paraId="072551E8" w14:textId="77777777" w:rsidR="00E509F3" w:rsidRPr="00E509F3" w:rsidRDefault="00E509F3" w:rsidP="00E509F3"/>
    <w:p w14:paraId="3DC3E608" w14:textId="77777777" w:rsidR="00E509F3" w:rsidRDefault="00E509F3" w:rsidP="00E509F3"/>
    <w:p w14:paraId="1F5C95F4" w14:textId="77777777" w:rsidR="009A47D9" w:rsidRPr="00E509F3" w:rsidRDefault="009A47D9" w:rsidP="00E509F3"/>
    <w:p w14:paraId="3DF16B56" w14:textId="77777777" w:rsidR="00E509F3" w:rsidRPr="00E509F3" w:rsidRDefault="00E509F3" w:rsidP="00E509F3"/>
    <w:p w14:paraId="71AF96D5" w14:textId="77777777" w:rsidR="00E509F3" w:rsidRPr="00E509F3" w:rsidRDefault="00E509F3" w:rsidP="00E509F3"/>
    <w:p w14:paraId="783A6C5A" w14:textId="77777777" w:rsidR="00E509F3" w:rsidRPr="00E509F3" w:rsidRDefault="00E509F3" w:rsidP="00E509F3"/>
    <w:p w14:paraId="745BA603" w14:textId="77777777" w:rsidR="00E509F3" w:rsidRPr="00E509F3" w:rsidRDefault="00E509F3" w:rsidP="00E509F3"/>
    <w:p w14:paraId="7AFCC1E3" w14:textId="77777777" w:rsidR="00E509F3" w:rsidRPr="00E509F3" w:rsidRDefault="00E509F3" w:rsidP="00E509F3"/>
    <w:p w14:paraId="4DA72AF5" w14:textId="77777777" w:rsidR="00E509F3" w:rsidRPr="00E509F3" w:rsidRDefault="00E509F3" w:rsidP="00E509F3"/>
    <w:p w14:paraId="2127DED5" w14:textId="77777777" w:rsidR="00E509F3" w:rsidRPr="00E509F3" w:rsidRDefault="00E509F3" w:rsidP="00E509F3"/>
    <w:p w14:paraId="119C6574" w14:textId="77777777" w:rsidR="00E509F3" w:rsidRPr="00E509F3" w:rsidRDefault="00E509F3" w:rsidP="00E509F3"/>
    <w:p w14:paraId="37ECBEF9" w14:textId="77777777" w:rsidR="00E509F3" w:rsidRPr="00E509F3" w:rsidRDefault="00E509F3" w:rsidP="00E509F3"/>
    <w:p w14:paraId="10673A44" w14:textId="77777777" w:rsidR="00E509F3" w:rsidRPr="00E509F3" w:rsidRDefault="00E509F3" w:rsidP="00E509F3"/>
    <w:p w14:paraId="6332F414" w14:textId="77777777" w:rsidR="00E509F3" w:rsidRPr="00E509F3" w:rsidRDefault="00E509F3" w:rsidP="00E509F3"/>
    <w:p w14:paraId="34CA9801" w14:textId="77777777" w:rsidR="00E509F3" w:rsidRPr="00E509F3" w:rsidRDefault="00E509F3" w:rsidP="00E509F3"/>
    <w:p w14:paraId="5B36380D" w14:textId="77777777" w:rsidR="00E509F3" w:rsidRPr="00E509F3" w:rsidRDefault="00E509F3" w:rsidP="00E509F3"/>
    <w:p w14:paraId="4A1134D2" w14:textId="77777777" w:rsidR="00E509F3" w:rsidRPr="00E509F3" w:rsidRDefault="00E509F3" w:rsidP="00E509F3"/>
    <w:p w14:paraId="11243DEC" w14:textId="77777777" w:rsidR="000168D1" w:rsidRDefault="000168D1" w:rsidP="00E509F3">
      <w:pPr>
        <w:pStyle w:val="Stytleparagraphe"/>
      </w:pPr>
    </w:p>
    <w:p w14:paraId="36685436" w14:textId="77777777" w:rsidR="00E509F3" w:rsidRDefault="000168D1" w:rsidP="0018798A">
      <w:pPr>
        <w:pStyle w:val="Style2"/>
        <w:numPr>
          <w:ilvl w:val="0"/>
          <w:numId w:val="4"/>
        </w:numPr>
      </w:pPr>
      <w:bookmarkStart w:id="71" w:name="_Toc374380470"/>
      <w:bookmarkStart w:id="72" w:name="_Toc379376288"/>
      <w:bookmarkStart w:id="73" w:name="_Toc379387543"/>
      <w:bookmarkStart w:id="74" w:name="_Toc379807328"/>
      <w:bookmarkStart w:id="75" w:name="_Toc380653888"/>
      <w:bookmarkStart w:id="76" w:name="_Toc380744122"/>
      <w:bookmarkStart w:id="77" w:name="_Toc380946378"/>
      <w:bookmarkStart w:id="78" w:name="_Toc383883942"/>
      <w:bookmarkStart w:id="79" w:name="_Toc384754059"/>
      <w:bookmarkStart w:id="80" w:name="_Toc384756480"/>
      <w:bookmarkStart w:id="81" w:name="_Toc384816076"/>
      <w:bookmarkStart w:id="82" w:name="_Toc384826792"/>
      <w:r>
        <w:t>Introduction</w:t>
      </w:r>
      <w:bookmarkEnd w:id="71"/>
      <w:bookmarkEnd w:id="72"/>
      <w:bookmarkEnd w:id="73"/>
      <w:bookmarkEnd w:id="74"/>
      <w:bookmarkEnd w:id="75"/>
      <w:bookmarkEnd w:id="76"/>
      <w:bookmarkEnd w:id="77"/>
      <w:bookmarkEnd w:id="78"/>
      <w:bookmarkEnd w:id="79"/>
      <w:bookmarkEnd w:id="80"/>
      <w:bookmarkEnd w:id="81"/>
      <w:bookmarkEnd w:id="82"/>
    </w:p>
    <w:p w14:paraId="5B736E69" w14:textId="77777777" w:rsidR="00E509F3" w:rsidRDefault="000168D1" w:rsidP="000168D1">
      <w:pPr>
        <w:pStyle w:val="Stytleparagraphe"/>
        <w:ind w:firstLine="360"/>
      </w:pPr>
      <w:r>
        <w:t xml:space="preserve">Une étude de 2009 montre l’hétérogénéité de la réponse inflammatoire systémique au niveau du site ayant reçu un traitement parodontal </w:t>
      </w:r>
      <w:r>
        <w:fldChar w:fldCharType="begin"/>
      </w:r>
      <w:r>
        <w:instrText xml:space="preserve"> ADDIN ZOTERO_ITEM CSL_CITATION {"citationID":"w1b9lJ6Z","properties":{"formattedCitation":"(Behle et al. 2009)","plainCitation":"(Behle et al. 2009)"},"citationItems":[{"id":25,"uris":["http://zotero.org/users/local/Y4Qp1Cr8/items/QMF4DQC8"],"uri":["http://zotero.org/users/local/Y4Qp1Cr8/items/QMF4DQC8"],"itemData":{"id":25,"type":"article-journal","title":"Heterogeneity of systemic inflammatory responses to periodontal therapy","container-title":"Journal of Clinical Periodontology","page":"287-294","volume":"36","issue":"4","source":"PubMed","abstract":"AIMS: We investigated the effect of comprehensive periodontal therapy on the levels of multiple systemic inflammatory biomarkers.\nMATERIAL AND METHODS: Thirty patients with severe periodontitis received comprehensive periodontal therapy within a 6-week period. Blood samples were obtained at: 1-week pre-therapy (T1), therapy initiation (T2), treatment completion (T3), and 4 weeks thereafter (T4). We assessed the plasma concentrations of 19 biomarkers using multiplex assays, and serum IgG antibodies to periodontal bacteria using checkerboard immunoblotting. At T2 and T4, dental plaque samples were analysed using checkerboard hybridizations.\nRESULTS: At T3, PAI-1, sE-selectin, sVCAM-1, MMP-9, myeloperoxidase, and a composite summary inflammatory score (SIS) were significantly reduced. However, only sE-selectin, sICAM, and serum amyloid P sustained a reduction at T4. Responses were highly variable: analyses of SIS slopes between baseline and T4 showed that approximately 1/3 and 1/4 of the patients experienced a marked reduction and a pronounced increase in systemic inflammation, respectively, while the remainder were seemingly unchanged. Changes in inflammatory markers correlated poorly with clinical, microbiological and serological markers of periodontitis.\nCONCLUSIONS: Periodontal therapy resulted in an overall reduction of systemic inflammation, but the responses were inconsistent across subjects and largely not sustainable. The determinants of this substantial heterogeneity need to be explored further.","DOI":"10.1111/j.1600-051X.2009.01382.x","ISSN":"1600-051X","note":"PMID: 19426174\nPMCID: PMC2753407","journalAbbreviation":"J. Clin. Periodontol.","language":"eng","author":[{"family":"Behle","given":"Jan H."},{"family":"Sedaghatfar","given":"Michael H."},{"family":"Demmer","given":"Ryan T."},{"family":"Wolf","given":"Dana L."},{"family":"Celenti","given":"Romanita"},{"family":"Kebschull","given":"Moritz"},{"family":"Belusko","given":"Paul B."},{"family":"Herrera-Abreu","given":"Miriam"},{"family":"Lalla","given":"Evanthia"},{"family":"Papapanou","given":"Panos N."}],"issued":{"date-parts":[["2009",4]]}}}],"schema":"https://github.com/citation-style-language/schema/raw/master/csl-citation.json"} </w:instrText>
      </w:r>
      <w:r>
        <w:fldChar w:fldCharType="separate"/>
      </w:r>
      <w:r>
        <w:rPr>
          <w:noProof/>
        </w:rPr>
        <w:t>(Behle et al. 2009)</w:t>
      </w:r>
      <w:r>
        <w:fldChar w:fldCharType="end"/>
      </w:r>
      <w:r>
        <w:t>. Pourtant, les thérapies parodontales ont pour résultat une réduction de l’inflammation, variable et instable. Nous nous intéressons donc de plus près à la réponse inflammatoire en tant que déterminant du succès thérapeutique en parodontologie. L’exploration et une meilleure compréhension des voies de la cicatrisation parodontale paraissent alors fondamentale afin d’approcher la perspective d’une régénération parodontale vraie et prédictible.</w:t>
      </w:r>
    </w:p>
    <w:p w14:paraId="765FA754" w14:textId="77777777" w:rsidR="000168D1" w:rsidRDefault="000168D1" w:rsidP="000168D1">
      <w:pPr>
        <w:pStyle w:val="Stytleparagraphe"/>
      </w:pPr>
    </w:p>
    <w:p w14:paraId="4EA34504" w14:textId="77777777" w:rsidR="00BF5F49" w:rsidRDefault="000168D1" w:rsidP="0018798A">
      <w:pPr>
        <w:pStyle w:val="Style2"/>
        <w:numPr>
          <w:ilvl w:val="0"/>
          <w:numId w:val="4"/>
        </w:numPr>
      </w:pPr>
      <w:bookmarkStart w:id="83" w:name="_Toc374380471"/>
      <w:bookmarkStart w:id="84" w:name="_Toc379376289"/>
      <w:bookmarkStart w:id="85" w:name="_Toc379387544"/>
      <w:bookmarkStart w:id="86" w:name="_Toc379807329"/>
      <w:bookmarkStart w:id="87" w:name="_Toc380653889"/>
      <w:bookmarkStart w:id="88" w:name="_Toc380744123"/>
      <w:bookmarkStart w:id="89" w:name="_Toc380946379"/>
      <w:bookmarkStart w:id="90" w:name="_Toc383883943"/>
      <w:bookmarkStart w:id="91" w:name="_Toc384754060"/>
      <w:bookmarkStart w:id="92" w:name="_Toc384756481"/>
      <w:bookmarkStart w:id="93" w:name="_Toc384816077"/>
      <w:bookmarkStart w:id="94" w:name="_Toc384826793"/>
      <w:r>
        <w:t>Voies moléculaires</w:t>
      </w:r>
      <w:r w:rsidR="009966BE">
        <w:t xml:space="preserve"> de la cicatrisation parodontal</w:t>
      </w:r>
      <w:r w:rsidR="00AC571F">
        <w:t>e</w:t>
      </w:r>
      <w:bookmarkEnd w:id="83"/>
      <w:bookmarkEnd w:id="84"/>
      <w:bookmarkEnd w:id="85"/>
      <w:bookmarkEnd w:id="86"/>
      <w:bookmarkEnd w:id="87"/>
      <w:bookmarkEnd w:id="88"/>
      <w:bookmarkEnd w:id="89"/>
      <w:bookmarkEnd w:id="90"/>
      <w:bookmarkEnd w:id="91"/>
      <w:bookmarkEnd w:id="92"/>
      <w:bookmarkEnd w:id="93"/>
      <w:bookmarkEnd w:id="94"/>
    </w:p>
    <w:p w14:paraId="0D308E8B" w14:textId="77777777" w:rsidR="00705BF9" w:rsidRDefault="00705BF9" w:rsidP="00705BF9">
      <w:pPr>
        <w:pStyle w:val="Style3"/>
        <w:numPr>
          <w:ilvl w:val="0"/>
          <w:numId w:val="0"/>
        </w:numPr>
        <w:ind w:left="1080" w:hanging="720"/>
        <w:rPr>
          <w:sz w:val="16"/>
          <w:szCs w:val="16"/>
        </w:rPr>
      </w:pPr>
      <w:bookmarkStart w:id="95" w:name="_Toc374380472"/>
    </w:p>
    <w:bookmarkEnd w:id="95"/>
    <w:p w14:paraId="2FED1167" w14:textId="5107ED48" w:rsidR="000E7CBA" w:rsidRPr="00705BF9" w:rsidRDefault="00705BF9" w:rsidP="00705BF9">
      <w:pPr>
        <w:pStyle w:val="Style3"/>
        <w:numPr>
          <w:ilvl w:val="0"/>
          <w:numId w:val="0"/>
        </w:numPr>
        <w:ind w:left="1080" w:hanging="720"/>
        <w:rPr>
          <w:sz w:val="16"/>
          <w:szCs w:val="16"/>
        </w:rPr>
      </w:pPr>
      <w:r>
        <w:rPr>
          <w:noProof/>
          <w:lang w:val="en-US"/>
        </w:rPr>
        <w:drawing>
          <wp:anchor distT="0" distB="0" distL="114300" distR="114300" simplePos="0" relativeHeight="251660288" behindDoc="0" locked="0" layoutInCell="1" allowOverlap="1" wp14:anchorId="6A4E1368" wp14:editId="3826D067">
            <wp:simplePos x="0" y="0"/>
            <wp:positionH relativeFrom="column">
              <wp:posOffset>-685800</wp:posOffset>
            </wp:positionH>
            <wp:positionV relativeFrom="paragraph">
              <wp:posOffset>161925</wp:posOffset>
            </wp:positionV>
            <wp:extent cx="6623685" cy="3771900"/>
            <wp:effectExtent l="0" t="0" r="571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685"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C17702" w14:textId="0C378278" w:rsidR="009966BE" w:rsidRPr="002A1E13" w:rsidRDefault="00AC571F" w:rsidP="00AC571F">
      <w:pPr>
        <w:pStyle w:val="Stytleparagraphe"/>
        <w:rPr>
          <w:i/>
        </w:rPr>
      </w:pPr>
      <w:r w:rsidRPr="002A1E13">
        <w:rPr>
          <w:i/>
        </w:rPr>
        <w:t xml:space="preserve">Figure </w:t>
      </w:r>
      <w:r w:rsidR="002939C2">
        <w:rPr>
          <w:i/>
        </w:rPr>
        <w:t>2</w:t>
      </w:r>
      <w:r w:rsidR="009966BE" w:rsidRPr="002A1E13">
        <w:rPr>
          <w:i/>
        </w:rPr>
        <w:t> : Phases principales de la cicatrisation parodontale</w:t>
      </w:r>
      <w:r w:rsidRPr="002A1E13">
        <w:rPr>
          <w:i/>
        </w:rPr>
        <w:t xml:space="preserve"> </w:t>
      </w:r>
      <w:r w:rsidRPr="002A1E13">
        <w:rPr>
          <w:i/>
        </w:rPr>
        <w:fldChar w:fldCharType="begin"/>
      </w:r>
      <w:r w:rsidR="000C25B4">
        <w:rPr>
          <w:i/>
        </w:rPr>
        <w:instrText xml:space="preserve"> ADDIN ZOTERO_ITEM CSL_CITATION {"citationID":"RWmbsaIz","properties":{"formattedCitation":"(D.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2A1E13">
        <w:rPr>
          <w:i/>
        </w:rPr>
        <w:fldChar w:fldCharType="separate"/>
      </w:r>
      <w:r w:rsidR="000C25B4">
        <w:rPr>
          <w:i/>
          <w:noProof/>
        </w:rPr>
        <w:t>(D. Morand et al. 2017)</w:t>
      </w:r>
      <w:r w:rsidRPr="002A1E13">
        <w:rPr>
          <w:i/>
        </w:rPr>
        <w:fldChar w:fldCharType="end"/>
      </w:r>
    </w:p>
    <w:p w14:paraId="7CFF525A" w14:textId="77777777" w:rsidR="000E7CBA" w:rsidRDefault="000E7CBA" w:rsidP="00AC571F">
      <w:pPr>
        <w:pStyle w:val="Stytleparagraphe"/>
      </w:pPr>
    </w:p>
    <w:p w14:paraId="6184C61D" w14:textId="77777777" w:rsidR="00705BF9" w:rsidRDefault="00705BF9" w:rsidP="00AC571F">
      <w:pPr>
        <w:pStyle w:val="Stytleparagraphe"/>
      </w:pPr>
    </w:p>
    <w:tbl>
      <w:tblPr>
        <w:tblStyle w:val="TableGrid"/>
        <w:tblW w:w="9639" w:type="dxa"/>
        <w:tblInd w:w="-459" w:type="dxa"/>
        <w:tblLayout w:type="fixed"/>
        <w:tblLook w:val="04A0" w:firstRow="1" w:lastRow="0" w:firstColumn="1" w:lastColumn="0" w:noHBand="0" w:noVBand="1"/>
      </w:tblPr>
      <w:tblGrid>
        <w:gridCol w:w="1701"/>
        <w:gridCol w:w="1701"/>
        <w:gridCol w:w="993"/>
        <w:gridCol w:w="5244"/>
      </w:tblGrid>
      <w:tr w:rsidR="004016E0" w14:paraId="5D330670" w14:textId="77777777" w:rsidTr="002939C2">
        <w:tc>
          <w:tcPr>
            <w:tcW w:w="1701" w:type="dxa"/>
            <w:shd w:val="clear" w:color="auto" w:fill="D9D9D9" w:themeFill="background1" w:themeFillShade="D9"/>
          </w:tcPr>
          <w:p w14:paraId="6A074399" w14:textId="77777777" w:rsidR="004016E0" w:rsidRDefault="004016E0" w:rsidP="002939C2">
            <w:pPr>
              <w:pStyle w:val="Stytleparagraphe"/>
              <w:jc w:val="center"/>
            </w:pPr>
            <w:r>
              <w:t>Phase</w:t>
            </w:r>
          </w:p>
        </w:tc>
        <w:tc>
          <w:tcPr>
            <w:tcW w:w="1701" w:type="dxa"/>
            <w:shd w:val="clear" w:color="auto" w:fill="D9D9D9" w:themeFill="background1" w:themeFillShade="D9"/>
          </w:tcPr>
          <w:p w14:paraId="33B93CFE" w14:textId="77777777" w:rsidR="004016E0" w:rsidRDefault="004016E0" w:rsidP="002939C2">
            <w:pPr>
              <w:pStyle w:val="Stytleparagraphe"/>
              <w:jc w:val="center"/>
            </w:pPr>
            <w:r>
              <w:t>Début</w:t>
            </w:r>
          </w:p>
        </w:tc>
        <w:tc>
          <w:tcPr>
            <w:tcW w:w="993" w:type="dxa"/>
            <w:shd w:val="clear" w:color="auto" w:fill="D9D9D9" w:themeFill="background1" w:themeFillShade="D9"/>
          </w:tcPr>
          <w:p w14:paraId="6465B224" w14:textId="77777777" w:rsidR="004016E0" w:rsidRDefault="004016E0" w:rsidP="002939C2">
            <w:pPr>
              <w:pStyle w:val="Stytleparagraphe"/>
              <w:jc w:val="center"/>
            </w:pPr>
            <w:r>
              <w:t>Durée</w:t>
            </w:r>
          </w:p>
        </w:tc>
        <w:tc>
          <w:tcPr>
            <w:tcW w:w="5244" w:type="dxa"/>
            <w:shd w:val="clear" w:color="auto" w:fill="D9D9D9" w:themeFill="background1" w:themeFillShade="D9"/>
          </w:tcPr>
          <w:p w14:paraId="2C6FEF10" w14:textId="77777777" w:rsidR="004016E0" w:rsidRDefault="004016E0" w:rsidP="002939C2">
            <w:pPr>
              <w:pStyle w:val="Stytleparagraphe"/>
              <w:jc w:val="center"/>
            </w:pPr>
            <w:r>
              <w:t>Déroulement</w:t>
            </w:r>
          </w:p>
        </w:tc>
      </w:tr>
      <w:tr w:rsidR="004016E0" w14:paraId="096723A5" w14:textId="77777777" w:rsidTr="002939C2">
        <w:tc>
          <w:tcPr>
            <w:tcW w:w="1701" w:type="dxa"/>
            <w:shd w:val="clear" w:color="auto" w:fill="F2F2F2" w:themeFill="background1" w:themeFillShade="F2"/>
          </w:tcPr>
          <w:p w14:paraId="098AD76C" w14:textId="77777777" w:rsidR="004016E0" w:rsidRDefault="004016E0" w:rsidP="002939C2">
            <w:pPr>
              <w:pStyle w:val="Stytleparagraphe"/>
              <w:jc w:val="center"/>
            </w:pPr>
            <w:r w:rsidRPr="002939C2">
              <w:t>Homéostasie</w:t>
            </w:r>
          </w:p>
          <w:p w14:paraId="2E7710D1" w14:textId="77777777" w:rsidR="004016E0" w:rsidRDefault="002939C2" w:rsidP="002939C2">
            <w:pPr>
              <w:pStyle w:val="Stytleparagraphe"/>
              <w:jc w:val="center"/>
            </w:pPr>
            <w:r>
              <w:t>(fig 2</w:t>
            </w:r>
            <w:r w:rsidR="004016E0">
              <w:t>a)</w:t>
            </w:r>
          </w:p>
        </w:tc>
        <w:tc>
          <w:tcPr>
            <w:tcW w:w="1701" w:type="dxa"/>
          </w:tcPr>
          <w:p w14:paraId="28CCFFD0" w14:textId="77777777" w:rsidR="004016E0" w:rsidRDefault="004016E0" w:rsidP="00847ABD">
            <w:pPr>
              <w:pStyle w:val="Stytleparagraphe"/>
            </w:pPr>
            <w:r>
              <w:t>Directement après le traumatisme</w:t>
            </w:r>
          </w:p>
        </w:tc>
        <w:tc>
          <w:tcPr>
            <w:tcW w:w="993" w:type="dxa"/>
          </w:tcPr>
          <w:p w14:paraId="5B7E98E4" w14:textId="77777777" w:rsidR="004016E0" w:rsidRDefault="004016E0" w:rsidP="00847ABD">
            <w:pPr>
              <w:pStyle w:val="Stytleparagraphe"/>
            </w:pPr>
            <w:r>
              <w:t>3-6h</w:t>
            </w:r>
          </w:p>
        </w:tc>
        <w:tc>
          <w:tcPr>
            <w:tcW w:w="5244" w:type="dxa"/>
          </w:tcPr>
          <w:p w14:paraId="22BC43DD" w14:textId="77777777" w:rsidR="004016E0" w:rsidRDefault="004016E0" w:rsidP="0018798A">
            <w:pPr>
              <w:pStyle w:val="Stytleparagraphe"/>
              <w:numPr>
                <w:ilvl w:val="0"/>
                <w:numId w:val="6"/>
              </w:numPr>
            </w:pPr>
            <w:r>
              <w:t>Clou plaquettaire (plaquettes, neutrophiles, globules rouges) enchâssé dans matrice de fibrine induit le recrutement des cellules inflammatoires.</w:t>
            </w:r>
          </w:p>
          <w:p w14:paraId="2B843161" w14:textId="77777777" w:rsidR="004016E0" w:rsidRDefault="004016E0" w:rsidP="0018798A">
            <w:pPr>
              <w:pStyle w:val="Stytleparagraphe"/>
              <w:numPr>
                <w:ilvl w:val="0"/>
                <w:numId w:val="6"/>
              </w:numPr>
            </w:pPr>
            <w:r>
              <w:t>Sécrétion de cytokines, chimiokines, facteurs de croissance (EGF, VEGF, PDGF, TGB-</w:t>
            </w:r>
            <w:r w:rsidRPr="004016E0">
              <w:rPr>
                <w:rFonts w:cs="Arial"/>
              </w:rPr>
              <w:t>β, bFGF</w:t>
            </w:r>
            <w:r w:rsidR="00A164FA">
              <w:rPr>
                <w:rFonts w:cs="Arial"/>
              </w:rPr>
              <w:t>.</w:t>
            </w:r>
          </w:p>
        </w:tc>
      </w:tr>
      <w:tr w:rsidR="004016E0" w14:paraId="2A56F211" w14:textId="77777777" w:rsidTr="002939C2">
        <w:tc>
          <w:tcPr>
            <w:tcW w:w="1701" w:type="dxa"/>
            <w:shd w:val="clear" w:color="auto" w:fill="F2F2F2" w:themeFill="background1" w:themeFillShade="F2"/>
          </w:tcPr>
          <w:p w14:paraId="54CF1668" w14:textId="77777777" w:rsidR="004016E0" w:rsidRDefault="004016E0" w:rsidP="002939C2">
            <w:pPr>
              <w:pStyle w:val="Stytleparagraphe"/>
              <w:jc w:val="center"/>
            </w:pPr>
            <w:r>
              <w:t>Phase inflammatoire</w:t>
            </w:r>
          </w:p>
          <w:p w14:paraId="279B66BB" w14:textId="77777777" w:rsidR="004016E0" w:rsidRDefault="002939C2" w:rsidP="002939C2">
            <w:pPr>
              <w:pStyle w:val="Stytleparagraphe"/>
              <w:jc w:val="center"/>
            </w:pPr>
            <w:r>
              <w:t>(fig 2</w:t>
            </w:r>
            <w:r w:rsidR="004016E0">
              <w:t>b)</w:t>
            </w:r>
          </w:p>
          <w:p w14:paraId="0FC0CA56" w14:textId="77777777" w:rsidR="004016E0" w:rsidRPr="004016E0" w:rsidRDefault="004016E0" w:rsidP="002939C2">
            <w:pPr>
              <w:jc w:val="center"/>
            </w:pPr>
          </w:p>
          <w:p w14:paraId="721EF3C5" w14:textId="77777777" w:rsidR="004016E0" w:rsidRPr="004016E0" w:rsidRDefault="004016E0" w:rsidP="002939C2">
            <w:pPr>
              <w:jc w:val="center"/>
            </w:pPr>
          </w:p>
          <w:p w14:paraId="287AC50E" w14:textId="77777777" w:rsidR="004016E0" w:rsidRPr="004016E0" w:rsidRDefault="004016E0" w:rsidP="002939C2">
            <w:pPr>
              <w:jc w:val="center"/>
            </w:pPr>
          </w:p>
          <w:p w14:paraId="08E66090" w14:textId="77777777" w:rsidR="004016E0" w:rsidRPr="004016E0" w:rsidRDefault="004016E0" w:rsidP="002939C2">
            <w:pPr>
              <w:jc w:val="center"/>
            </w:pPr>
          </w:p>
          <w:p w14:paraId="091329D1" w14:textId="77777777" w:rsidR="004016E0" w:rsidRPr="004016E0" w:rsidRDefault="004016E0" w:rsidP="002939C2">
            <w:pPr>
              <w:jc w:val="center"/>
            </w:pPr>
          </w:p>
          <w:p w14:paraId="3F37DE90" w14:textId="77777777" w:rsidR="004016E0" w:rsidRPr="004016E0" w:rsidRDefault="004016E0" w:rsidP="002939C2">
            <w:pPr>
              <w:jc w:val="center"/>
            </w:pPr>
          </w:p>
          <w:p w14:paraId="5D621786" w14:textId="77777777" w:rsidR="004016E0" w:rsidRPr="004016E0" w:rsidRDefault="004016E0" w:rsidP="002939C2">
            <w:pPr>
              <w:jc w:val="center"/>
            </w:pPr>
          </w:p>
          <w:p w14:paraId="172D4806" w14:textId="77777777" w:rsidR="004016E0" w:rsidRDefault="004016E0" w:rsidP="002939C2">
            <w:pPr>
              <w:jc w:val="center"/>
            </w:pPr>
          </w:p>
          <w:p w14:paraId="3F30C793" w14:textId="77777777" w:rsidR="002A1E13" w:rsidRDefault="002A1E13" w:rsidP="002939C2">
            <w:pPr>
              <w:jc w:val="center"/>
            </w:pPr>
          </w:p>
          <w:p w14:paraId="4D65317C" w14:textId="77777777" w:rsidR="004016E0" w:rsidRPr="002A1E13" w:rsidRDefault="004016E0" w:rsidP="002939C2">
            <w:pPr>
              <w:pStyle w:val="Stytleparagraphe"/>
              <w:jc w:val="center"/>
              <w:rPr>
                <w:sz w:val="22"/>
              </w:rPr>
            </w:pPr>
            <w:r w:rsidRPr="002A1E13">
              <w:rPr>
                <w:sz w:val="22"/>
              </w:rPr>
              <w:t>Fin de la phase inflammatoire</w:t>
            </w:r>
          </w:p>
          <w:p w14:paraId="3E284F25" w14:textId="77777777" w:rsidR="004016E0" w:rsidRPr="004016E0" w:rsidRDefault="004016E0" w:rsidP="002939C2">
            <w:pPr>
              <w:pStyle w:val="Stytleparagraphe"/>
              <w:jc w:val="center"/>
            </w:pPr>
            <w:r w:rsidRPr="00614D5E">
              <w:rPr>
                <w:sz w:val="20"/>
              </w:rPr>
              <w:t>(réduction des stimuli</w:t>
            </w:r>
            <w:r w:rsidR="00614D5E" w:rsidRPr="00614D5E">
              <w:rPr>
                <w:sz w:val="20"/>
              </w:rPr>
              <w:t xml:space="preserve"> inflammatoires</w:t>
            </w:r>
            <w:r w:rsidRPr="00614D5E">
              <w:rPr>
                <w:sz w:val="20"/>
              </w:rPr>
              <w:t>)</w:t>
            </w:r>
          </w:p>
        </w:tc>
        <w:tc>
          <w:tcPr>
            <w:tcW w:w="1701" w:type="dxa"/>
          </w:tcPr>
          <w:p w14:paraId="2B7103E7" w14:textId="77777777" w:rsidR="004016E0" w:rsidRDefault="004016E0" w:rsidP="00847ABD">
            <w:pPr>
              <w:pStyle w:val="Stytleparagraphe"/>
            </w:pPr>
            <w:r>
              <w:t>Directement après le traumatisme</w:t>
            </w:r>
          </w:p>
        </w:tc>
        <w:tc>
          <w:tcPr>
            <w:tcW w:w="993" w:type="dxa"/>
          </w:tcPr>
          <w:p w14:paraId="29AF7702" w14:textId="77777777" w:rsidR="004016E0" w:rsidRDefault="004016E0" w:rsidP="00847ABD">
            <w:pPr>
              <w:pStyle w:val="Stytleparagraphe"/>
            </w:pPr>
            <w:r>
              <w:t>4-6 jours</w:t>
            </w:r>
          </w:p>
        </w:tc>
        <w:tc>
          <w:tcPr>
            <w:tcW w:w="5244" w:type="dxa"/>
          </w:tcPr>
          <w:p w14:paraId="4B754325" w14:textId="77777777" w:rsidR="004016E0" w:rsidRDefault="004016E0" w:rsidP="0018798A">
            <w:pPr>
              <w:pStyle w:val="Stytleparagraphe"/>
              <w:numPr>
                <w:ilvl w:val="0"/>
                <w:numId w:val="6"/>
              </w:numPr>
            </w:pPr>
            <w:r>
              <w:t xml:space="preserve">Elimination des pathogènes de la lésion par les macrophages et neutrophiles.  </w:t>
            </w:r>
          </w:p>
          <w:p w14:paraId="6C9DBDDA" w14:textId="77777777" w:rsidR="004016E0" w:rsidRDefault="004016E0" w:rsidP="0018798A">
            <w:pPr>
              <w:pStyle w:val="Stytleparagraphe"/>
              <w:numPr>
                <w:ilvl w:val="0"/>
                <w:numId w:val="6"/>
              </w:numPr>
            </w:pPr>
            <w:r>
              <w:t>Sécrétion de TNF-</w:t>
            </w:r>
            <w:r w:rsidRPr="004016E0">
              <w:rPr>
                <w:rFonts w:cs="Arial"/>
              </w:rPr>
              <w:t xml:space="preserve">α, IL-1β, IL-6, TGF-β pour promouvoir le recrutement et activation des LT, LB, ostéoclastes et initier la prolifération des fibroblastes gingivaux et des kératinocytes. </w:t>
            </w:r>
          </w:p>
          <w:p w14:paraId="7A89451C" w14:textId="77777777" w:rsidR="004016E0" w:rsidRPr="004016E0" w:rsidRDefault="004016E0" w:rsidP="0018798A">
            <w:pPr>
              <w:pStyle w:val="Stytleparagraphe"/>
              <w:numPr>
                <w:ilvl w:val="0"/>
                <w:numId w:val="6"/>
              </w:numPr>
            </w:pPr>
            <w:r w:rsidRPr="004016E0">
              <w:rPr>
                <w:rFonts w:cs="Arial"/>
              </w:rPr>
              <w:t>Sécrét</w:t>
            </w:r>
            <w:r>
              <w:rPr>
                <w:rFonts w:cs="Arial"/>
              </w:rPr>
              <w:t>ion de collagénases.</w:t>
            </w:r>
          </w:p>
          <w:p w14:paraId="7F2D392E" w14:textId="77777777" w:rsidR="004016E0" w:rsidRPr="004016E0" w:rsidRDefault="004016E0" w:rsidP="0018798A">
            <w:pPr>
              <w:pStyle w:val="Stytleparagraphe"/>
              <w:numPr>
                <w:ilvl w:val="0"/>
                <w:numId w:val="6"/>
              </w:numPr>
            </w:pPr>
            <w:r>
              <w:rPr>
                <w:rFonts w:cs="Arial"/>
              </w:rPr>
              <w:t>Infiltration des lymphocytes pour favoriser la prolifération fibroblastes gingivaux et la biosynthèse de collagène.</w:t>
            </w:r>
          </w:p>
          <w:p w14:paraId="04F79D37" w14:textId="77777777" w:rsidR="004016E0" w:rsidRDefault="004016E0" w:rsidP="0018798A">
            <w:pPr>
              <w:pStyle w:val="Stytleparagraphe"/>
              <w:numPr>
                <w:ilvl w:val="0"/>
                <w:numId w:val="6"/>
              </w:numPr>
            </w:pPr>
            <w:r>
              <w:t>Diminution des neutrophiles et macrophages, passage des macrophages inflammatoires aux macrophages cicatriciels.</w:t>
            </w:r>
          </w:p>
        </w:tc>
      </w:tr>
      <w:tr w:rsidR="004016E0" w14:paraId="4566D1CD" w14:textId="77777777" w:rsidTr="002939C2">
        <w:tc>
          <w:tcPr>
            <w:tcW w:w="1701" w:type="dxa"/>
            <w:shd w:val="clear" w:color="auto" w:fill="F2F2F2" w:themeFill="background1" w:themeFillShade="F2"/>
          </w:tcPr>
          <w:p w14:paraId="64913AA9" w14:textId="77777777" w:rsidR="004016E0" w:rsidRDefault="004016E0" w:rsidP="002939C2">
            <w:pPr>
              <w:pStyle w:val="Stytleparagraphe"/>
              <w:jc w:val="center"/>
            </w:pPr>
            <w:r>
              <w:t>Prolifération</w:t>
            </w:r>
          </w:p>
          <w:p w14:paraId="32843FFC" w14:textId="77777777" w:rsidR="00D5688A" w:rsidRDefault="002939C2" w:rsidP="002939C2">
            <w:pPr>
              <w:pStyle w:val="Stytleparagraphe"/>
              <w:jc w:val="center"/>
            </w:pPr>
            <w:r>
              <w:t>(fig 2</w:t>
            </w:r>
            <w:r w:rsidR="00D5688A">
              <w:t>c)</w:t>
            </w:r>
          </w:p>
        </w:tc>
        <w:tc>
          <w:tcPr>
            <w:tcW w:w="1701" w:type="dxa"/>
          </w:tcPr>
          <w:p w14:paraId="1697712E" w14:textId="77777777" w:rsidR="004016E0" w:rsidRDefault="004016E0" w:rsidP="00AC571F">
            <w:pPr>
              <w:pStyle w:val="Stytleparagraphe"/>
            </w:pPr>
            <w:r>
              <w:t>Après la phase inflammatoire</w:t>
            </w:r>
          </w:p>
        </w:tc>
        <w:tc>
          <w:tcPr>
            <w:tcW w:w="993" w:type="dxa"/>
          </w:tcPr>
          <w:p w14:paraId="4ADDA1E4" w14:textId="77777777" w:rsidR="004016E0" w:rsidRDefault="004016E0" w:rsidP="00AC571F">
            <w:pPr>
              <w:pStyle w:val="Stytleparagraphe"/>
            </w:pPr>
            <w:r>
              <w:t>4-14 jours</w:t>
            </w:r>
          </w:p>
        </w:tc>
        <w:tc>
          <w:tcPr>
            <w:tcW w:w="5244" w:type="dxa"/>
          </w:tcPr>
          <w:p w14:paraId="339879CD" w14:textId="77777777" w:rsidR="004016E0" w:rsidRDefault="001F28E7" w:rsidP="0018798A">
            <w:pPr>
              <w:pStyle w:val="Stytleparagraphe"/>
              <w:numPr>
                <w:ilvl w:val="0"/>
                <w:numId w:val="6"/>
              </w:numPr>
            </w:pPr>
            <w:r>
              <w:t>Formation du tissu de granulation (très vascularisé, riche en fibroblastes).</w:t>
            </w:r>
          </w:p>
          <w:p w14:paraId="7B857C5E" w14:textId="77777777" w:rsidR="001F28E7" w:rsidRDefault="001F28E7" w:rsidP="0018798A">
            <w:pPr>
              <w:pStyle w:val="Stytleparagraphe"/>
              <w:numPr>
                <w:ilvl w:val="0"/>
                <w:numId w:val="6"/>
              </w:numPr>
            </w:pPr>
            <w:r>
              <w:t>Recrutement de cellules endothéliales, kératinocytes et fibroblastes gingivaux.</w:t>
            </w:r>
          </w:p>
          <w:p w14:paraId="4B012C9E" w14:textId="77777777" w:rsidR="001F28E7" w:rsidRDefault="001F28E7" w:rsidP="0018798A">
            <w:pPr>
              <w:pStyle w:val="Stytleparagraphe"/>
              <w:numPr>
                <w:ilvl w:val="0"/>
                <w:numId w:val="6"/>
              </w:numPr>
            </w:pPr>
            <w:r>
              <w:t>Contraction physique de la plaie liée à la présence de myofibroblastes.</w:t>
            </w:r>
          </w:p>
          <w:p w14:paraId="071976A7" w14:textId="77777777" w:rsidR="001F28E7" w:rsidRPr="001F28E7" w:rsidRDefault="001F28E7" w:rsidP="0018798A">
            <w:pPr>
              <w:pStyle w:val="Stytleparagraphe"/>
              <w:numPr>
                <w:ilvl w:val="0"/>
                <w:numId w:val="6"/>
              </w:numPr>
            </w:pPr>
            <w:r>
              <w:t>Sécrétion de TNF-</w:t>
            </w:r>
            <w:r w:rsidRPr="004016E0">
              <w:rPr>
                <w:rFonts w:cs="Arial"/>
              </w:rPr>
              <w:t>α</w:t>
            </w:r>
            <w:r>
              <w:rPr>
                <w:rFonts w:cs="Arial"/>
              </w:rPr>
              <w:t xml:space="preserve">, </w:t>
            </w:r>
            <w:r w:rsidRPr="004016E0">
              <w:rPr>
                <w:rFonts w:cs="Arial"/>
              </w:rPr>
              <w:t>IL-1β</w:t>
            </w:r>
            <w:r>
              <w:rPr>
                <w:rFonts w:cs="Arial"/>
              </w:rPr>
              <w:t xml:space="preserve">, IL-6 et </w:t>
            </w:r>
            <w:r w:rsidRPr="004016E0">
              <w:rPr>
                <w:rFonts w:cs="Arial"/>
              </w:rPr>
              <w:t>TGF-β</w:t>
            </w:r>
            <w:r>
              <w:rPr>
                <w:rFonts w:cs="Arial"/>
              </w:rPr>
              <w:t xml:space="preserve"> induit l’activation, la prolifération, la migration et la différenciation des cellules recrutées.</w:t>
            </w:r>
          </w:p>
          <w:p w14:paraId="76E9A28E" w14:textId="77777777" w:rsidR="001F28E7" w:rsidRDefault="001F28E7" w:rsidP="0018798A">
            <w:pPr>
              <w:pStyle w:val="Stytleparagraphe"/>
              <w:numPr>
                <w:ilvl w:val="0"/>
                <w:numId w:val="6"/>
              </w:numPr>
            </w:pPr>
            <w:r>
              <w:t>La sécrétion de MMPs par kératinocytes provoque la dégradation de la MEC.</w:t>
            </w:r>
          </w:p>
          <w:p w14:paraId="7C0E2322" w14:textId="77777777" w:rsidR="001F28E7" w:rsidRDefault="001F28E7" w:rsidP="0018798A">
            <w:pPr>
              <w:pStyle w:val="Stytleparagraphe"/>
              <w:numPr>
                <w:ilvl w:val="0"/>
                <w:numId w:val="6"/>
              </w:numPr>
            </w:pPr>
            <w:r>
              <w:t>Ces médiateurs stimulent et modulent la biosynthèse de la MEC, l’épithélialisation et l’angiogenèse.</w:t>
            </w:r>
          </w:p>
        </w:tc>
      </w:tr>
      <w:tr w:rsidR="004016E0" w14:paraId="1F932947" w14:textId="77777777" w:rsidTr="002939C2">
        <w:tc>
          <w:tcPr>
            <w:tcW w:w="1701" w:type="dxa"/>
            <w:shd w:val="clear" w:color="auto" w:fill="F2F2F2" w:themeFill="background1" w:themeFillShade="F2"/>
          </w:tcPr>
          <w:p w14:paraId="148B8875" w14:textId="77777777" w:rsidR="004016E0" w:rsidRDefault="004016E0" w:rsidP="002939C2">
            <w:pPr>
              <w:pStyle w:val="Stytleparagraphe"/>
              <w:jc w:val="center"/>
            </w:pPr>
            <w:r>
              <w:t>Remodelage</w:t>
            </w:r>
          </w:p>
          <w:p w14:paraId="47FEA1F5" w14:textId="77777777" w:rsidR="00D5688A" w:rsidRDefault="002939C2" w:rsidP="002939C2">
            <w:pPr>
              <w:pStyle w:val="Stytleparagraphe"/>
              <w:jc w:val="center"/>
            </w:pPr>
            <w:r>
              <w:t>(fig 2</w:t>
            </w:r>
            <w:r w:rsidR="00D5688A">
              <w:t>d)</w:t>
            </w:r>
          </w:p>
        </w:tc>
        <w:tc>
          <w:tcPr>
            <w:tcW w:w="1701" w:type="dxa"/>
          </w:tcPr>
          <w:p w14:paraId="0E98095A" w14:textId="08FE031F" w:rsidR="004016E0" w:rsidRDefault="001F28E7" w:rsidP="00AC571F">
            <w:pPr>
              <w:pStyle w:val="Stytleparagraphe"/>
            </w:pPr>
            <w:r>
              <w:t>Phase final</w:t>
            </w:r>
            <w:r w:rsidR="004F79CD">
              <w:t>e</w:t>
            </w:r>
            <w:r>
              <w:t xml:space="preserve"> de la cicatrisation</w:t>
            </w:r>
            <w:r w:rsidR="00BF5F49">
              <w:t>,</w:t>
            </w:r>
            <w:r>
              <w:t xml:space="preserve"> à long terme</w:t>
            </w:r>
          </w:p>
        </w:tc>
        <w:tc>
          <w:tcPr>
            <w:tcW w:w="993" w:type="dxa"/>
          </w:tcPr>
          <w:p w14:paraId="79AB70E6" w14:textId="77777777" w:rsidR="004016E0" w:rsidRDefault="004016E0" w:rsidP="00AC571F">
            <w:pPr>
              <w:pStyle w:val="Stytleparagraphe"/>
            </w:pPr>
          </w:p>
        </w:tc>
        <w:tc>
          <w:tcPr>
            <w:tcW w:w="5244" w:type="dxa"/>
          </w:tcPr>
          <w:p w14:paraId="41171207" w14:textId="77777777" w:rsidR="004016E0" w:rsidRDefault="001F28E7" w:rsidP="0018798A">
            <w:pPr>
              <w:pStyle w:val="Stytleparagraphe"/>
              <w:numPr>
                <w:ilvl w:val="0"/>
                <w:numId w:val="6"/>
              </w:numPr>
            </w:pPr>
            <w:r>
              <w:t>Développement d’un nouvel épithélium, élimination du tissu de granulation et remodelage de la MEC.</w:t>
            </w:r>
          </w:p>
          <w:p w14:paraId="2D1B74BB" w14:textId="77777777" w:rsidR="001F28E7" w:rsidRDefault="00BF5F49" w:rsidP="0018798A">
            <w:pPr>
              <w:pStyle w:val="Stytleparagraphe"/>
              <w:numPr>
                <w:ilvl w:val="0"/>
                <w:numId w:val="6"/>
              </w:numPr>
            </w:pPr>
            <w:r>
              <w:t>Synthèse de collagènes, élastine, protéoglycanes, MMPs et de leurs inhibiteurs.</w:t>
            </w:r>
          </w:p>
          <w:p w14:paraId="1159E9C7" w14:textId="77777777" w:rsidR="00BF5F49" w:rsidRDefault="00BF5F49" w:rsidP="0018798A">
            <w:pPr>
              <w:pStyle w:val="Stytleparagraphe"/>
              <w:numPr>
                <w:ilvl w:val="0"/>
                <w:numId w:val="6"/>
              </w:numPr>
            </w:pPr>
            <w:r>
              <w:t>Régulation par des cytokines libérées par les macrophages qui stimulent la prolifération des fibroblastes gingivaux et la synthèse de composants de la MEC, conduisant à la contraction de la plaie.</w:t>
            </w:r>
          </w:p>
          <w:p w14:paraId="416A217A" w14:textId="77777777" w:rsidR="00BF5F49" w:rsidRDefault="00BF5F49" w:rsidP="0018798A">
            <w:pPr>
              <w:pStyle w:val="Stytleparagraphe"/>
              <w:numPr>
                <w:ilvl w:val="0"/>
                <w:numId w:val="6"/>
              </w:numPr>
            </w:pPr>
            <w:r>
              <w:t xml:space="preserve">La libération de PDGF et </w:t>
            </w:r>
            <w:r w:rsidRPr="004016E0">
              <w:rPr>
                <w:rFonts w:cs="Arial"/>
              </w:rPr>
              <w:t>TGF-β</w:t>
            </w:r>
            <w:r>
              <w:rPr>
                <w:rFonts w:cs="Arial"/>
              </w:rPr>
              <w:t xml:space="preserve"> régule la migration des ostéoblastes en cas de résorption osseuse et la stimule lors des phases de remodelage osseux  et de différenciation.</w:t>
            </w:r>
          </w:p>
        </w:tc>
      </w:tr>
    </w:tbl>
    <w:p w14:paraId="6BA3481B" w14:textId="77777777" w:rsidR="002939C2" w:rsidRPr="002939C2" w:rsidRDefault="002939C2" w:rsidP="004016E0">
      <w:pPr>
        <w:pStyle w:val="Stytleparagraphe"/>
        <w:rPr>
          <w:sz w:val="16"/>
          <w:szCs w:val="16"/>
        </w:rPr>
      </w:pPr>
    </w:p>
    <w:p w14:paraId="7212204D" w14:textId="0AAB5180" w:rsidR="004016E0" w:rsidRPr="002A1E13" w:rsidRDefault="004016E0" w:rsidP="004016E0">
      <w:pPr>
        <w:pStyle w:val="Stytleparagraphe"/>
        <w:rPr>
          <w:i/>
        </w:rPr>
      </w:pPr>
      <w:r w:rsidRPr="002A1E13">
        <w:rPr>
          <w:i/>
        </w:rPr>
        <w:t xml:space="preserve">Tableau 1 : Déroulement de la cicatrisation parodontale </w:t>
      </w:r>
      <w:r w:rsidRPr="002A1E13">
        <w:rPr>
          <w:i/>
        </w:rPr>
        <w:fldChar w:fldCharType="begin"/>
      </w:r>
      <w:r w:rsidR="000C25B4">
        <w:rPr>
          <w:i/>
        </w:rPr>
        <w:instrText xml:space="preserve"> ADDIN ZOTERO_ITEM CSL_CITATION {"citationID":"o5SvWk63","properties":{"formattedCitation":"(D.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2A1E13">
        <w:rPr>
          <w:i/>
        </w:rPr>
        <w:fldChar w:fldCharType="separate"/>
      </w:r>
      <w:r w:rsidR="000C25B4">
        <w:rPr>
          <w:i/>
          <w:noProof/>
        </w:rPr>
        <w:t>(D. Morand et al. 2017)</w:t>
      </w:r>
      <w:r w:rsidRPr="002A1E13">
        <w:rPr>
          <w:i/>
        </w:rPr>
        <w:fldChar w:fldCharType="end"/>
      </w:r>
    </w:p>
    <w:p w14:paraId="3C6E2AC6" w14:textId="77777777" w:rsidR="000E7CBA" w:rsidRDefault="000E7CBA" w:rsidP="00AC571F">
      <w:pPr>
        <w:pStyle w:val="Stytleparagraphe"/>
      </w:pPr>
    </w:p>
    <w:p w14:paraId="696BD10F" w14:textId="6AB381EF" w:rsidR="000E7CBA" w:rsidRDefault="004C27F0" w:rsidP="0018798A">
      <w:pPr>
        <w:pStyle w:val="Style2"/>
        <w:numPr>
          <w:ilvl w:val="0"/>
          <w:numId w:val="4"/>
        </w:numPr>
      </w:pPr>
      <w:bookmarkStart w:id="96" w:name="_Toc374380473"/>
      <w:bookmarkStart w:id="97" w:name="_Toc379376290"/>
      <w:bookmarkStart w:id="98" w:name="_Toc379387545"/>
      <w:bookmarkStart w:id="99" w:name="_Toc379807330"/>
      <w:bookmarkStart w:id="100" w:name="_Toc380653890"/>
      <w:bookmarkStart w:id="101" w:name="_Toc380744124"/>
      <w:bookmarkStart w:id="102" w:name="_Toc380946380"/>
      <w:bookmarkStart w:id="103" w:name="_Toc383883944"/>
      <w:bookmarkStart w:id="104" w:name="_Toc384754061"/>
      <w:bookmarkStart w:id="105" w:name="_Toc384756482"/>
      <w:bookmarkStart w:id="106" w:name="_Toc384816078"/>
      <w:bookmarkStart w:id="107" w:name="_Toc384826794"/>
      <w:r>
        <w:t>La cicatrisation orale : un exemple de rapidité et d’efficacité</w:t>
      </w:r>
      <w:bookmarkEnd w:id="96"/>
      <w:bookmarkEnd w:id="97"/>
      <w:bookmarkEnd w:id="98"/>
      <w:bookmarkEnd w:id="99"/>
      <w:bookmarkEnd w:id="100"/>
      <w:bookmarkEnd w:id="101"/>
      <w:bookmarkEnd w:id="102"/>
      <w:bookmarkEnd w:id="103"/>
      <w:bookmarkEnd w:id="104"/>
      <w:bookmarkEnd w:id="105"/>
      <w:bookmarkEnd w:id="106"/>
      <w:bookmarkEnd w:id="107"/>
    </w:p>
    <w:p w14:paraId="17BAFB4A" w14:textId="1E1E0EE2" w:rsidR="000E7CBA" w:rsidRDefault="00DC2528" w:rsidP="00D70212">
      <w:pPr>
        <w:pStyle w:val="Stytleparagraphe"/>
        <w:ind w:firstLine="360"/>
      </w:pPr>
      <w:r>
        <w:t xml:space="preserve">Il est admis dans l’expérience populaire que les plaies de la muqueuse orale guérissent plus rapidement et </w:t>
      </w:r>
      <w:r w:rsidR="00595E74">
        <w:t xml:space="preserve">laissent </w:t>
      </w:r>
      <w:r>
        <w:t xml:space="preserve">une cicatrice moins marquée que les plaies cutanées. En 2009, une étude vérifie cette constatation </w:t>
      </w:r>
      <w:r w:rsidR="00D70212">
        <w:t xml:space="preserve">via une étude expérimentale conduite </w:t>
      </w:r>
      <w:r w:rsidR="00595E74">
        <w:t>chez l’Homme et le cochon</w:t>
      </w:r>
      <w:r w:rsidR="00D70212">
        <w:t xml:space="preserve"> Duroc</w:t>
      </w:r>
      <w:r w:rsidR="00595E74">
        <w:t xml:space="preserve">. </w:t>
      </w:r>
      <w:r w:rsidR="00D70212">
        <w:t xml:space="preserve">49 jours après la blessure, la muqueuse orale du cochon montre une cicatrice moins </w:t>
      </w:r>
      <w:r w:rsidR="003101BF">
        <w:t>étendue</w:t>
      </w:r>
      <w:r w:rsidR="00D70212">
        <w:t xml:space="preserve"> qu’au niveau de la peau, aussi bien au niveau clinique que histologique. Ce résultat semblerait transposable à l’Homme puisque cette étude montre que les plaies des muqueuses buccales porcines et humaines ont une composition moléculaire similaire et une cicatrisation similaire </w:t>
      </w:r>
      <w:r w:rsidR="00D70212">
        <w:fldChar w:fldCharType="begin"/>
      </w:r>
      <w:r w:rsidR="00D70212">
        <w:instrText xml:space="preserve"> ADDIN ZOTERO_ITEM CSL_CITATION {"citationID":"qCLpoxm2","properties":{"formattedCitation":"(Wong et al. 2009)","plainCitation":"(Wong et al. 2009)"},"citationItems":[{"id":85,"uris":["http://zotero.org/users/local/Y4Qp1Cr8/items/XMF3F5NX"],"uri":["http://zotero.org/users/local/Y4Qp1Cr8/items/XMF3F5NX"],"itemData":{"id":85,"type":"article-journal","title":"Wound healing in oral mucosa results in reduced scar formation as compared with skin: evidence from the red Duroc pig model and humans","container-title":"Wound Repair and Regeneration: Official Publication of the Wound Healing Society [and] the European Tissue Repair Society","page":"717-729","volume":"17","issue":"5","source":"PubMed","abstract":"Scar formation is a common, unwanted result of wound healing in skin, but the mechanisms that regulate it are still largely unknown. Interestingly, wound healing in the oral mucosa proceeds faster than in skin and clinical observations have suggested that mucosal wounds rarely scar. To test this concept, we created identical experimental wounds in the oral mucosa and skin in red Duroc pigs and compared wound healing and scar development over time. We also compared the pig oral mucosal wound healing to similar experimental wounds created in human subjects. The findings showed significantly reduced scar formation at both clinical and histological level in the pig oral mucosa as compared with skin 49 days after wounding. Additionally, the skin scars contained a significantly increased number of type I procollagen immunopositive cells and an increased fibronectin content, while the oral mucosal wounds demonstrated a prolonged accumulation of tenascin-C. Furthermore, the pig oral mucosal wounds showed similar molecular composition and clinical and histological scar scores to human oral mucosal wounds. Thus, the reduced scar formation in the pig oral mucosa provides a model to study the biological processes that regulate scarless wound healing to find novel approaches to prevent scar formation in skin.","DOI":"10.1111/j.1524-475X.2009.00531.x","ISSN":"1524-475X","note":"PMID: 19769724","shortTitle":"Wound healing in oral mucosa results in reduced scar formation as compared with skin","journalAbbreviation":"Wound Repair Regen","language":"eng","author":[{"family":"Wong","given":"Joyce W."},{"family":"Gallant-Behm","given":"Corrie"},{"family":"Wiebe","given":"Colin"},{"family":"Mak","given":"Karen"},{"family":"Hart","given":"David A."},{"family":"Larjava","given":"Hannu"},{"family":"Häkkinen","given":"Lari"}],"issued":{"date-parts":[["2009",10]]}}}],"schema":"https://github.com/citation-style-language/schema/raw/master/csl-citation.json"} </w:instrText>
      </w:r>
      <w:r w:rsidR="00D70212">
        <w:fldChar w:fldCharType="separate"/>
      </w:r>
      <w:r w:rsidR="00D70212">
        <w:rPr>
          <w:noProof/>
        </w:rPr>
        <w:t>(Wong et al. 2009)</w:t>
      </w:r>
      <w:r w:rsidR="00D70212">
        <w:fldChar w:fldCharType="end"/>
      </w:r>
      <w:r w:rsidR="00D70212">
        <w:t xml:space="preserve">. </w:t>
      </w:r>
    </w:p>
    <w:p w14:paraId="50C26F40" w14:textId="090FBEE0" w:rsidR="00D70212" w:rsidRDefault="00D70212" w:rsidP="00937524">
      <w:pPr>
        <w:pStyle w:val="Stytleparagraphe"/>
        <w:ind w:firstLine="360"/>
      </w:pPr>
      <w:r>
        <w:t xml:space="preserve">En 2009, une autre étude utilise également le cochon Duroc comme modèle expérimental afin d’explorer les particularités de la cicatrisation orale. </w:t>
      </w:r>
      <w:r w:rsidR="003101BF">
        <w:t>Au niveau des plaies orales, le nombre de cellules immunitaires telles que les macrophages, mastocytes, cytokines (TGF-beta) est significativement réduit lors des phages de maturation du processus de cicatrisation. Cependant, bien que les plaies muqueuses ont un nombre de myofibroblastes est significativement plus élevé qu’au niveau de la peau, elles montrent une contraction moindre au fil du temps</w:t>
      </w:r>
      <w:r w:rsidR="003D2496">
        <w:t>, ce qui montre l’importance de la régulation de leur action via leur environnement extracellulaire</w:t>
      </w:r>
      <w:r w:rsidR="003101BF">
        <w:t xml:space="preserve">. Ainsi, la résolution de l’inflammation plus rapide </w:t>
      </w:r>
      <w:r w:rsidR="003D2496">
        <w:t xml:space="preserve">et la moindre contraction des plaies orales expliqueraient la faible formation de cicatrices orales. </w:t>
      </w:r>
      <w:r w:rsidR="003D2496">
        <w:fldChar w:fldCharType="begin"/>
      </w:r>
      <w:r w:rsidR="003D2496">
        <w:instrText xml:space="preserve"> ADDIN ZOTERO_ITEM CSL_CITATION {"citationID":"byjrdOtI","properties":{"formattedCitation":"(Mak et al. 2009)","plainCitation":"(Mak et al. 2009)"},"citationItems":[{"id":87,"uris":["http://zotero.org/users/local/Y4Qp1Cr8/items/BYWVCNVG"],"uri":["http://zotero.org/users/local/Y4Qp1Cr8/items/BYWVCNVG"],"itemData":{"id":87,"type":"article-journal","title":"Scarless healing of oral mucosa is characterized by faster resolution of inflammation and control of myofibroblast action compared to skin wounds in the red Duroc pig model","container-title":"Journal of Dermatological Science","page":"168-180","volume":"56","issue":"3","source":"PubMed","abstract":"BACKGROUND: Scar formation following skin trauma can have devastating consequences causing physiological and psychosocial concerns. Currently, there are no accepted predictable treatments to prevent scarring which emphasizes a need for a better understanding of the wound healing and scar formation process.\nOBJECTIVES: Previously it was shown that healing of small experimental wounds in the oral mucosa of red Duroc pigs results in significantly reduced scar formation as compared with equivalent full-thickness skin wounds. In the present study, scar formation was assessed in 17 times larger experimental wounds in both oral mucosa and skin of the red Duroc pigs.\nMETHODS: Equivalent experimental wounds were created in the oral mucosa and dorsal skin of red Duroc pigs, and scar formation, localization and abundance of key wound healing cells, transforming growth factor-beta (TGF-beta) and phosphorylated Smad3 (pSmad3) were assessed.\nRESULTS: Oral mucosal wounds displayed significantly less clinical and histological scar formation than did the corresponding skin wounds. The number of macrophages, mast cells, TGF-beta and pSmad3 immunopositive cells was significantly reduced in the oral mucosal wounds as compared with skin wounds during the maturation stage of the healing process. Although the number of myofibroblasts was significantly elevated, the oral mucosal wounds showed significantly less contraction than did the skin wounds over time.\nCONCLUSIONS: Earlier resolution of the inflammatory reaction and reduced wound contraction may promote scarless oral mucosal wound healing. In addition, scar formation likely depends not only on the number of myofibroblasts but also on the extracellular environment which regulates their function.","DOI":"10.1016/j.jdermsci.2009.09.005","ISSN":"1873-569X","note":"PMID: 19854029","journalAbbreviation":"J. Dermatol. Sci.","language":"eng","author":[{"family":"Mak","given":"Karen"},{"family":"Manji","given":"Aleem"},{"family":"Gallant-Behm","given":"Corrie"},{"family":"Wiebe","given":"Colin"},{"family":"Hart","given":"David A."},{"family":"Larjava","given":"Hannu"},{"family":"Häkkinen","given":"Lari"}],"issued":{"date-parts":[["2009",12]]}}}],"schema":"https://github.com/citation-style-language/schema/raw/master/csl-citation.json"} </w:instrText>
      </w:r>
      <w:r w:rsidR="003D2496">
        <w:fldChar w:fldCharType="separate"/>
      </w:r>
      <w:r w:rsidR="003D2496">
        <w:rPr>
          <w:noProof/>
        </w:rPr>
        <w:t>(Mak et al. 2009)</w:t>
      </w:r>
      <w:r w:rsidR="003D2496">
        <w:fldChar w:fldCharType="end"/>
      </w:r>
      <w:r w:rsidR="005F3039">
        <w:t xml:space="preserve">, observation confirmée en 2011 par Larjava and al. </w:t>
      </w:r>
      <w:r w:rsidR="005742BB">
        <w:fldChar w:fldCharType="begin"/>
      </w:r>
      <w:r w:rsidR="005742BB">
        <w:instrText xml:space="preserve"> ADDIN ZOTERO_ITEM CSL_CITATION {"citationID":"vh6foD4O","properties":{"custom":"(Larjava and al. 2011)","formattedCitation":"(Larjava and al. 2011)","plainCitation":"(Larjava and al. 2011)"},"citationItems":[{"id":91,"uris":["http://zotero.org/users/local/Y4Qp1Cr8/items/I6H8UPZ7"],"uri":["http://zotero.org/users/local/Y4Qp1Cr8/items/I6H8UPZ7"],"itemData":{"id":91,"type":"webpage","title":"Exploring scarless healing of oral soft tissues. - PubMed - NCBI","URL":"https://www.ncbi.nlm.nih.gov/pubmed/21366956","accessed":{"date-parts":[["2017",12,8]]}}}],"schema":"https://github.com/citation-style-language/schema/raw/master/csl-citation.json"} </w:instrText>
      </w:r>
      <w:r w:rsidR="005742BB">
        <w:fldChar w:fldCharType="separate"/>
      </w:r>
      <w:r w:rsidR="005742BB">
        <w:rPr>
          <w:lang w:val="en-US"/>
        </w:rPr>
        <w:t>(Larjava and al. 2011)</w:t>
      </w:r>
      <w:r w:rsidR="005742BB">
        <w:fldChar w:fldCharType="end"/>
      </w:r>
      <w:r w:rsidR="00937524">
        <w:t>. En effet, a</w:t>
      </w:r>
      <w:r w:rsidR="00193182">
        <w:t xml:space="preserve">u niveau buccal, on retrouve une faible </w:t>
      </w:r>
      <w:r w:rsidR="00937524">
        <w:t>infiltration de la lésion par</w:t>
      </w:r>
      <w:r w:rsidR="00193182">
        <w:t> les cellules inflammatoires, ainsi qu’une</w:t>
      </w:r>
      <w:r w:rsidR="00937524">
        <w:t xml:space="preserve"> faible sécrétion </w:t>
      </w:r>
      <w:r w:rsidR="00193182">
        <w:t xml:space="preserve">de cytokines et de chimiokines </w:t>
      </w:r>
      <w:r w:rsidR="00193182">
        <w:fldChar w:fldCharType="begin"/>
      </w:r>
      <w:r w:rsidR="000C25B4">
        <w:instrText xml:space="preserve"> ADDIN ZOTERO_ITEM CSL_CITATION {"citationID":"2dfeJ0Fs","properties":{"formattedCitation":"(D.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00193182">
        <w:fldChar w:fldCharType="separate"/>
      </w:r>
      <w:r w:rsidR="000C25B4">
        <w:rPr>
          <w:noProof/>
        </w:rPr>
        <w:t>(D. Morand et al. 2017)</w:t>
      </w:r>
      <w:r w:rsidR="00193182">
        <w:fldChar w:fldCharType="end"/>
      </w:r>
      <w:r w:rsidR="00193182">
        <w:t>.</w:t>
      </w:r>
    </w:p>
    <w:p w14:paraId="344C5E04" w14:textId="3145348B" w:rsidR="005742BB" w:rsidRDefault="00193182" w:rsidP="00E75D5A">
      <w:pPr>
        <w:pStyle w:val="Stytleparagraphe"/>
      </w:pPr>
      <w:r>
        <w:rPr>
          <w:noProof/>
          <w:lang w:val="en-US"/>
        </w:rPr>
        <w:drawing>
          <wp:anchor distT="0" distB="0" distL="114300" distR="114300" simplePos="0" relativeHeight="251663360" behindDoc="0" locked="0" layoutInCell="1" allowOverlap="1" wp14:anchorId="447F7DBE" wp14:editId="0BF1F065">
            <wp:simplePos x="0" y="0"/>
            <wp:positionH relativeFrom="column">
              <wp:posOffset>457200</wp:posOffset>
            </wp:positionH>
            <wp:positionV relativeFrom="paragraph">
              <wp:posOffset>103505</wp:posOffset>
            </wp:positionV>
            <wp:extent cx="4584065" cy="2149475"/>
            <wp:effectExtent l="0" t="0" r="0" b="9525"/>
            <wp:wrapSquare wrapText="bothSides"/>
            <wp:docPr id="6" name="Picture 6" descr="Macintosh HD:Users:eric:Desktop:Capture d’écran 2017-12-08 à 18.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7-12-08 à 18.43.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065" cy="2149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A070F4" w14:textId="77777777" w:rsidR="003D2496" w:rsidRDefault="003D2496" w:rsidP="00D70212">
      <w:pPr>
        <w:pStyle w:val="Stytleparagraphe"/>
        <w:ind w:firstLine="360"/>
      </w:pPr>
    </w:p>
    <w:p w14:paraId="7B46FAC7" w14:textId="77777777" w:rsidR="009966BE" w:rsidRDefault="009966BE" w:rsidP="009966BE">
      <w:pPr>
        <w:pStyle w:val="Stytleparagraphe"/>
      </w:pPr>
    </w:p>
    <w:p w14:paraId="6D0FADA2" w14:textId="77777777" w:rsidR="00D5688A" w:rsidRDefault="00D5688A" w:rsidP="00AC571F">
      <w:pPr>
        <w:pStyle w:val="Stytleparagraphe"/>
      </w:pPr>
    </w:p>
    <w:p w14:paraId="0A0362E5" w14:textId="77777777" w:rsidR="003921C7" w:rsidRDefault="003921C7" w:rsidP="00AC571F">
      <w:pPr>
        <w:pStyle w:val="Stytleparagraphe"/>
      </w:pPr>
    </w:p>
    <w:p w14:paraId="3EF5B106" w14:textId="77777777" w:rsidR="003921C7" w:rsidRDefault="003921C7" w:rsidP="00AC571F">
      <w:pPr>
        <w:pStyle w:val="Stytleparagraphe"/>
      </w:pPr>
    </w:p>
    <w:p w14:paraId="5CCAB759" w14:textId="77777777" w:rsidR="003921C7" w:rsidRDefault="003921C7" w:rsidP="00AC571F">
      <w:pPr>
        <w:pStyle w:val="Stytleparagraphe"/>
      </w:pPr>
    </w:p>
    <w:p w14:paraId="1EA3CFB3" w14:textId="77777777" w:rsidR="00937524" w:rsidRDefault="00937524" w:rsidP="00937524">
      <w:pPr>
        <w:pStyle w:val="Stytleparagraphe"/>
      </w:pPr>
    </w:p>
    <w:p w14:paraId="6B99B433" w14:textId="77777777" w:rsidR="00193182" w:rsidRDefault="00193182" w:rsidP="00937524">
      <w:pPr>
        <w:pStyle w:val="Stytleparagraphe"/>
        <w:rPr>
          <w:i/>
        </w:rPr>
      </w:pPr>
    </w:p>
    <w:p w14:paraId="4A4E27CE" w14:textId="72D5BA4F" w:rsidR="00937524" w:rsidRPr="00937524" w:rsidRDefault="003921C7" w:rsidP="00937524">
      <w:pPr>
        <w:pStyle w:val="Stytleparagraphe"/>
        <w:rPr>
          <w:i/>
        </w:rPr>
      </w:pPr>
      <w:r w:rsidRPr="003921C7">
        <w:rPr>
          <w:i/>
        </w:rPr>
        <w:t xml:space="preserve">Table 2 : Principales différences entre la cicatrisation des plaies orales et cutanées </w:t>
      </w:r>
      <w:r w:rsidRPr="003921C7">
        <w:rPr>
          <w:i/>
        </w:rPr>
        <w:fldChar w:fldCharType="begin"/>
      </w:r>
      <w:r w:rsidR="000C25B4">
        <w:rPr>
          <w:i/>
        </w:rPr>
        <w:instrText xml:space="preserve"> ADDIN ZOTERO_ITEM CSL_CITATION {"citationID":"wtbKJ4bv","properties":{"formattedCitation":"(D.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000C25B4">
        <w:rPr>
          <w:i/>
          <w:noProof/>
        </w:rPr>
        <w:t>(D. Morand et al. 2017)</w:t>
      </w:r>
      <w:r w:rsidRPr="003921C7">
        <w:rPr>
          <w:i/>
        </w:rPr>
        <w:fldChar w:fldCharType="end"/>
      </w:r>
    </w:p>
    <w:p w14:paraId="2C8D7398" w14:textId="77777777" w:rsidR="0015510B" w:rsidRDefault="0015510B" w:rsidP="009B2977">
      <w:pPr>
        <w:pStyle w:val="Stytleparagraphe"/>
        <w:ind w:firstLine="360"/>
      </w:pPr>
    </w:p>
    <w:p w14:paraId="08457EF1" w14:textId="0537025C" w:rsidR="004C27F0" w:rsidRDefault="0015510B" w:rsidP="009B2977">
      <w:pPr>
        <w:pStyle w:val="Stytleparagraphe"/>
        <w:ind w:firstLine="360"/>
      </w:pPr>
      <w:r>
        <w:t xml:space="preserve">Puisque l’un des éléments clefs de la cicatrisation est l’efficacité de la réponse inflammatoire, nous comprenons l’intérêt certain de la régulation des cellules inflammatoires et cytokines dans nos résultats après thérapeutique parodontale. </w:t>
      </w:r>
    </w:p>
    <w:p w14:paraId="46D4690C" w14:textId="77777777" w:rsidR="00DE07A7" w:rsidRDefault="00DE07A7" w:rsidP="00DE07A7">
      <w:pPr>
        <w:spacing w:line="360" w:lineRule="auto"/>
        <w:rPr>
          <w:rFonts w:ascii="Arial" w:hAnsi="Arial"/>
          <w:sz w:val="28"/>
        </w:rPr>
      </w:pPr>
    </w:p>
    <w:p w14:paraId="5DCEDA1C" w14:textId="77777777" w:rsidR="00DE07A7" w:rsidRDefault="00DE07A7" w:rsidP="00DE07A7">
      <w:pPr>
        <w:spacing w:line="360" w:lineRule="auto"/>
        <w:rPr>
          <w:rFonts w:ascii="Arial" w:hAnsi="Arial"/>
          <w:sz w:val="28"/>
        </w:rPr>
      </w:pPr>
    </w:p>
    <w:p w14:paraId="63923B76" w14:textId="77777777" w:rsidR="00DE07A7" w:rsidRDefault="00DE07A7" w:rsidP="00DE07A7">
      <w:pPr>
        <w:spacing w:line="360" w:lineRule="auto"/>
        <w:rPr>
          <w:rFonts w:ascii="Arial" w:hAnsi="Arial"/>
          <w:sz w:val="28"/>
        </w:rPr>
      </w:pPr>
    </w:p>
    <w:p w14:paraId="7C000F28" w14:textId="77777777" w:rsidR="00DE07A7" w:rsidRDefault="00DE07A7" w:rsidP="00DE07A7">
      <w:pPr>
        <w:spacing w:line="360" w:lineRule="auto"/>
        <w:rPr>
          <w:rFonts w:ascii="Arial" w:hAnsi="Arial"/>
          <w:sz w:val="28"/>
        </w:rPr>
      </w:pPr>
    </w:p>
    <w:p w14:paraId="295263F3" w14:textId="77777777" w:rsidR="00DE07A7" w:rsidRDefault="00DE07A7" w:rsidP="00DE07A7">
      <w:pPr>
        <w:spacing w:line="360" w:lineRule="auto"/>
        <w:rPr>
          <w:rFonts w:ascii="Arial" w:hAnsi="Arial"/>
          <w:sz w:val="28"/>
        </w:rPr>
      </w:pPr>
    </w:p>
    <w:p w14:paraId="58D122D7" w14:textId="77777777" w:rsidR="00DE07A7" w:rsidRDefault="00DE07A7" w:rsidP="00DE07A7">
      <w:pPr>
        <w:spacing w:line="360" w:lineRule="auto"/>
        <w:rPr>
          <w:rFonts w:ascii="Arial" w:hAnsi="Arial"/>
          <w:sz w:val="28"/>
        </w:rPr>
      </w:pPr>
    </w:p>
    <w:p w14:paraId="6A326978" w14:textId="77777777" w:rsidR="00DE07A7" w:rsidRPr="001F28E7" w:rsidRDefault="00DE07A7" w:rsidP="00DE07A7">
      <w:pPr>
        <w:spacing w:line="360" w:lineRule="auto"/>
        <w:rPr>
          <w:rFonts w:ascii="Arial" w:hAnsi="Arial"/>
          <w:sz w:val="28"/>
        </w:rPr>
      </w:pPr>
    </w:p>
    <w:p w14:paraId="2B0518DB" w14:textId="77777777" w:rsidR="00DE07A7" w:rsidRDefault="00DE07A7" w:rsidP="00DE07A7">
      <w:pPr>
        <w:pStyle w:val="ListParagraph"/>
        <w:spacing w:line="360" w:lineRule="auto"/>
        <w:ind w:left="1080"/>
        <w:rPr>
          <w:rFonts w:ascii="Arial" w:hAnsi="Arial"/>
          <w:sz w:val="28"/>
        </w:rPr>
      </w:pPr>
    </w:p>
    <w:p w14:paraId="37352860" w14:textId="77777777" w:rsidR="00D70AFD" w:rsidRDefault="00D70AFD" w:rsidP="00DE07A7">
      <w:pPr>
        <w:pStyle w:val="ListParagraph"/>
        <w:spacing w:line="360" w:lineRule="auto"/>
        <w:ind w:left="1080"/>
        <w:rPr>
          <w:rFonts w:ascii="Arial" w:hAnsi="Arial"/>
          <w:sz w:val="28"/>
        </w:rPr>
      </w:pPr>
    </w:p>
    <w:p w14:paraId="0D5ACD1C" w14:textId="77777777" w:rsidR="00D70AFD" w:rsidRDefault="00D70AFD" w:rsidP="00DE07A7">
      <w:pPr>
        <w:pStyle w:val="ListParagraph"/>
        <w:spacing w:line="360" w:lineRule="auto"/>
        <w:ind w:left="1080"/>
        <w:rPr>
          <w:rFonts w:ascii="Arial" w:hAnsi="Arial"/>
          <w:sz w:val="28"/>
        </w:rPr>
      </w:pPr>
    </w:p>
    <w:p w14:paraId="6F7B63AA" w14:textId="77777777" w:rsidR="00D70AFD" w:rsidRDefault="00D70AFD" w:rsidP="00DE07A7">
      <w:pPr>
        <w:pStyle w:val="ListParagraph"/>
        <w:spacing w:line="360" w:lineRule="auto"/>
        <w:ind w:left="1080"/>
        <w:rPr>
          <w:rFonts w:ascii="Arial" w:hAnsi="Arial"/>
          <w:sz w:val="28"/>
        </w:rPr>
      </w:pPr>
    </w:p>
    <w:p w14:paraId="6BAB6F4F" w14:textId="77777777" w:rsidR="00D70AFD" w:rsidRDefault="00D70AFD" w:rsidP="00DE07A7">
      <w:pPr>
        <w:pStyle w:val="ListParagraph"/>
        <w:spacing w:line="360" w:lineRule="auto"/>
        <w:ind w:left="1080"/>
        <w:rPr>
          <w:rFonts w:ascii="Arial" w:hAnsi="Arial"/>
          <w:sz w:val="28"/>
        </w:rPr>
      </w:pPr>
    </w:p>
    <w:p w14:paraId="2ADA21F6" w14:textId="77777777" w:rsidR="00D70AFD" w:rsidRDefault="00D70AFD" w:rsidP="00DE07A7">
      <w:pPr>
        <w:pStyle w:val="ListParagraph"/>
        <w:spacing w:line="360" w:lineRule="auto"/>
        <w:ind w:left="1080"/>
        <w:rPr>
          <w:rFonts w:ascii="Arial" w:hAnsi="Arial"/>
          <w:sz w:val="28"/>
        </w:rPr>
      </w:pPr>
    </w:p>
    <w:p w14:paraId="0D55A260" w14:textId="77777777" w:rsidR="00D70AFD" w:rsidRDefault="00D70AFD" w:rsidP="00DE07A7">
      <w:pPr>
        <w:pStyle w:val="ListParagraph"/>
        <w:spacing w:line="360" w:lineRule="auto"/>
        <w:ind w:left="1080"/>
        <w:rPr>
          <w:rFonts w:ascii="Arial" w:hAnsi="Arial"/>
          <w:sz w:val="28"/>
        </w:rPr>
      </w:pPr>
    </w:p>
    <w:p w14:paraId="294305B5" w14:textId="77777777" w:rsidR="00D70AFD" w:rsidRDefault="00D70AFD" w:rsidP="00DE07A7">
      <w:pPr>
        <w:pStyle w:val="ListParagraph"/>
        <w:spacing w:line="360" w:lineRule="auto"/>
        <w:ind w:left="1080"/>
        <w:rPr>
          <w:rFonts w:ascii="Arial" w:hAnsi="Arial"/>
          <w:sz w:val="28"/>
        </w:rPr>
      </w:pPr>
    </w:p>
    <w:p w14:paraId="0B3EB983" w14:textId="77777777" w:rsidR="00D70AFD" w:rsidRDefault="00D70AFD" w:rsidP="00DE07A7">
      <w:pPr>
        <w:pStyle w:val="ListParagraph"/>
        <w:spacing w:line="360" w:lineRule="auto"/>
        <w:ind w:left="1080"/>
        <w:rPr>
          <w:rFonts w:ascii="Arial" w:hAnsi="Arial"/>
          <w:sz w:val="28"/>
        </w:rPr>
      </w:pPr>
    </w:p>
    <w:p w14:paraId="005F9862" w14:textId="77777777" w:rsidR="00D70AFD" w:rsidRDefault="00D70AFD" w:rsidP="00DE07A7">
      <w:pPr>
        <w:pStyle w:val="ListParagraph"/>
        <w:spacing w:line="360" w:lineRule="auto"/>
        <w:ind w:left="1080"/>
        <w:rPr>
          <w:rFonts w:ascii="Arial" w:hAnsi="Arial"/>
          <w:sz w:val="28"/>
        </w:rPr>
      </w:pPr>
    </w:p>
    <w:p w14:paraId="6E658725" w14:textId="77777777" w:rsidR="00D70AFD" w:rsidRDefault="00D70AFD" w:rsidP="00DE07A7">
      <w:pPr>
        <w:pStyle w:val="ListParagraph"/>
        <w:spacing w:line="360" w:lineRule="auto"/>
        <w:ind w:left="1080"/>
        <w:rPr>
          <w:rFonts w:ascii="Arial" w:hAnsi="Arial"/>
          <w:sz w:val="28"/>
        </w:rPr>
      </w:pPr>
    </w:p>
    <w:p w14:paraId="47FE8257" w14:textId="77777777" w:rsidR="00D70AFD" w:rsidRDefault="00D70AFD" w:rsidP="00DE07A7">
      <w:pPr>
        <w:pStyle w:val="ListParagraph"/>
        <w:spacing w:line="360" w:lineRule="auto"/>
        <w:ind w:left="1080"/>
        <w:rPr>
          <w:rFonts w:ascii="Arial" w:hAnsi="Arial"/>
          <w:sz w:val="28"/>
        </w:rPr>
      </w:pPr>
    </w:p>
    <w:p w14:paraId="09DB1B0D" w14:textId="77777777" w:rsidR="00D70AFD" w:rsidRDefault="00D70AFD" w:rsidP="00DE07A7">
      <w:pPr>
        <w:pStyle w:val="ListParagraph"/>
        <w:spacing w:line="360" w:lineRule="auto"/>
        <w:ind w:left="1080"/>
        <w:rPr>
          <w:rFonts w:ascii="Arial" w:hAnsi="Arial"/>
          <w:sz w:val="28"/>
        </w:rPr>
      </w:pPr>
    </w:p>
    <w:p w14:paraId="35A9743A" w14:textId="77777777" w:rsidR="00D70AFD" w:rsidRDefault="00D70AFD" w:rsidP="00DE07A7">
      <w:pPr>
        <w:pStyle w:val="ListParagraph"/>
        <w:spacing w:line="360" w:lineRule="auto"/>
        <w:ind w:left="1080"/>
        <w:rPr>
          <w:rFonts w:ascii="Arial" w:hAnsi="Arial"/>
          <w:sz w:val="28"/>
        </w:rPr>
      </w:pPr>
    </w:p>
    <w:p w14:paraId="40DC98E1" w14:textId="77777777" w:rsidR="00D70AFD" w:rsidRDefault="00D70AFD" w:rsidP="00DE07A7">
      <w:pPr>
        <w:pStyle w:val="ListParagraph"/>
        <w:spacing w:line="360" w:lineRule="auto"/>
        <w:ind w:left="1080"/>
        <w:rPr>
          <w:rFonts w:ascii="Arial" w:hAnsi="Arial"/>
          <w:sz w:val="28"/>
        </w:rPr>
      </w:pPr>
    </w:p>
    <w:p w14:paraId="69E1D856" w14:textId="77777777" w:rsidR="00D70AFD" w:rsidRDefault="00D70AFD" w:rsidP="00DE07A7">
      <w:pPr>
        <w:pStyle w:val="ListParagraph"/>
        <w:spacing w:line="360" w:lineRule="auto"/>
        <w:ind w:left="1080"/>
        <w:rPr>
          <w:rFonts w:ascii="Arial" w:hAnsi="Arial"/>
          <w:sz w:val="28"/>
        </w:rPr>
      </w:pPr>
    </w:p>
    <w:p w14:paraId="18354AF7" w14:textId="77777777" w:rsidR="00D70AFD" w:rsidRDefault="00D70AFD" w:rsidP="00DE07A7">
      <w:pPr>
        <w:pStyle w:val="ListParagraph"/>
        <w:spacing w:line="360" w:lineRule="auto"/>
        <w:ind w:left="1080"/>
        <w:rPr>
          <w:rFonts w:ascii="Arial" w:hAnsi="Arial"/>
          <w:sz w:val="28"/>
        </w:rPr>
      </w:pPr>
    </w:p>
    <w:p w14:paraId="4F899289" w14:textId="77777777" w:rsidR="00D70AFD" w:rsidRDefault="00D70AFD" w:rsidP="00DE07A7">
      <w:pPr>
        <w:pStyle w:val="ListParagraph"/>
        <w:spacing w:line="360" w:lineRule="auto"/>
        <w:ind w:left="1080"/>
        <w:rPr>
          <w:rFonts w:ascii="Arial" w:hAnsi="Arial"/>
          <w:sz w:val="28"/>
        </w:rPr>
      </w:pPr>
    </w:p>
    <w:p w14:paraId="6BC7836F" w14:textId="77777777" w:rsidR="00D70AFD" w:rsidRDefault="00D70AFD" w:rsidP="00DE07A7">
      <w:pPr>
        <w:pStyle w:val="ListParagraph"/>
        <w:spacing w:line="360" w:lineRule="auto"/>
        <w:ind w:left="1080"/>
        <w:rPr>
          <w:rFonts w:ascii="Arial" w:hAnsi="Arial"/>
          <w:sz w:val="28"/>
        </w:rPr>
      </w:pPr>
    </w:p>
    <w:p w14:paraId="600A2837" w14:textId="77777777" w:rsidR="00D70AFD" w:rsidRDefault="00D70AFD" w:rsidP="00DE07A7">
      <w:pPr>
        <w:pStyle w:val="ListParagraph"/>
        <w:spacing w:line="360" w:lineRule="auto"/>
        <w:ind w:left="1080"/>
        <w:rPr>
          <w:rFonts w:ascii="Arial" w:hAnsi="Arial"/>
          <w:sz w:val="28"/>
        </w:rPr>
      </w:pPr>
    </w:p>
    <w:p w14:paraId="00B5BF98" w14:textId="77777777" w:rsidR="00D70AFD" w:rsidRDefault="00D70AFD" w:rsidP="00DE07A7">
      <w:pPr>
        <w:pStyle w:val="ListParagraph"/>
        <w:spacing w:line="360" w:lineRule="auto"/>
        <w:ind w:left="1080"/>
        <w:rPr>
          <w:rFonts w:ascii="Arial" w:hAnsi="Arial"/>
          <w:sz w:val="28"/>
        </w:rPr>
      </w:pPr>
    </w:p>
    <w:p w14:paraId="5783D620" w14:textId="77777777" w:rsidR="00D70AFD" w:rsidRDefault="00D70AFD" w:rsidP="00DE07A7">
      <w:pPr>
        <w:pStyle w:val="ListParagraph"/>
        <w:spacing w:line="360" w:lineRule="auto"/>
        <w:ind w:left="1080"/>
        <w:rPr>
          <w:rFonts w:ascii="Arial" w:hAnsi="Arial"/>
          <w:sz w:val="28"/>
        </w:rPr>
      </w:pPr>
    </w:p>
    <w:p w14:paraId="77BA7465" w14:textId="77777777" w:rsidR="00D70AFD" w:rsidRDefault="00D70AFD" w:rsidP="00DE07A7">
      <w:pPr>
        <w:pStyle w:val="ListParagraph"/>
        <w:spacing w:line="360" w:lineRule="auto"/>
        <w:ind w:left="1080"/>
        <w:rPr>
          <w:rFonts w:ascii="Arial" w:hAnsi="Arial"/>
          <w:sz w:val="28"/>
        </w:rPr>
      </w:pPr>
    </w:p>
    <w:p w14:paraId="47104C23" w14:textId="77777777" w:rsidR="00D70AFD" w:rsidRDefault="00D70AFD" w:rsidP="00DE07A7">
      <w:pPr>
        <w:pStyle w:val="ListParagraph"/>
        <w:spacing w:line="360" w:lineRule="auto"/>
        <w:ind w:left="1080"/>
        <w:rPr>
          <w:rFonts w:ascii="Arial" w:hAnsi="Arial"/>
          <w:sz w:val="28"/>
        </w:rPr>
      </w:pPr>
    </w:p>
    <w:p w14:paraId="5745C7E2" w14:textId="77777777" w:rsidR="00D70AFD" w:rsidRDefault="00D70AFD" w:rsidP="00DE07A7">
      <w:pPr>
        <w:pStyle w:val="ListParagraph"/>
        <w:spacing w:line="360" w:lineRule="auto"/>
        <w:ind w:left="1080"/>
        <w:rPr>
          <w:rFonts w:ascii="Arial" w:hAnsi="Arial"/>
          <w:sz w:val="28"/>
        </w:rPr>
      </w:pPr>
    </w:p>
    <w:p w14:paraId="2B121BE5" w14:textId="77777777" w:rsidR="00D70AFD" w:rsidRDefault="00D70AFD" w:rsidP="00DE07A7">
      <w:pPr>
        <w:pStyle w:val="ListParagraph"/>
        <w:spacing w:line="360" w:lineRule="auto"/>
        <w:ind w:left="1080"/>
        <w:rPr>
          <w:rFonts w:ascii="Arial" w:hAnsi="Arial"/>
          <w:sz w:val="28"/>
        </w:rPr>
      </w:pPr>
    </w:p>
    <w:p w14:paraId="70C4DE28" w14:textId="77777777" w:rsidR="00D70AFD" w:rsidRDefault="00D70AFD" w:rsidP="00DE07A7">
      <w:pPr>
        <w:pStyle w:val="ListParagraph"/>
        <w:spacing w:line="360" w:lineRule="auto"/>
        <w:ind w:left="1080"/>
        <w:rPr>
          <w:rFonts w:ascii="Arial" w:hAnsi="Arial"/>
          <w:sz w:val="28"/>
        </w:rPr>
      </w:pPr>
    </w:p>
    <w:p w14:paraId="311E10A3" w14:textId="77777777" w:rsidR="00DE07A7" w:rsidRPr="00DE07A7" w:rsidRDefault="00DE07A7" w:rsidP="00DE07A7">
      <w:pPr>
        <w:spacing w:line="360" w:lineRule="auto"/>
        <w:rPr>
          <w:rFonts w:ascii="Arial" w:hAnsi="Arial"/>
          <w:sz w:val="28"/>
        </w:rPr>
      </w:pPr>
    </w:p>
    <w:p w14:paraId="69710A2A" w14:textId="77777777" w:rsidR="00DE07A7" w:rsidRDefault="00DE07A7" w:rsidP="00DE07A7">
      <w:pPr>
        <w:pStyle w:val="ListParagraph"/>
        <w:spacing w:line="360" w:lineRule="auto"/>
        <w:ind w:left="1080"/>
        <w:rPr>
          <w:rFonts w:ascii="Arial" w:hAnsi="Arial"/>
          <w:sz w:val="28"/>
        </w:rPr>
      </w:pPr>
    </w:p>
    <w:p w14:paraId="309FDC01" w14:textId="77777777" w:rsidR="00DE07A7" w:rsidRDefault="00DE07A7" w:rsidP="00DE07A7">
      <w:pPr>
        <w:pStyle w:val="ListParagraph"/>
        <w:spacing w:line="360" w:lineRule="auto"/>
        <w:ind w:left="1080"/>
        <w:rPr>
          <w:rFonts w:ascii="Arial" w:hAnsi="Arial"/>
          <w:sz w:val="28"/>
        </w:rPr>
      </w:pPr>
    </w:p>
    <w:p w14:paraId="63AB8339" w14:textId="77777777" w:rsidR="00E867F3" w:rsidRDefault="00E867F3" w:rsidP="00DE07A7">
      <w:pPr>
        <w:pStyle w:val="ListParagraph"/>
        <w:spacing w:line="360" w:lineRule="auto"/>
        <w:ind w:left="1080"/>
        <w:rPr>
          <w:rFonts w:ascii="Arial" w:hAnsi="Arial"/>
          <w:sz w:val="28"/>
        </w:rPr>
      </w:pPr>
    </w:p>
    <w:p w14:paraId="7FC7D7AB" w14:textId="77777777" w:rsidR="00DE07A7" w:rsidRDefault="00DE07A7" w:rsidP="00DE07A7">
      <w:pPr>
        <w:pStyle w:val="Stytleparagraphe"/>
      </w:pPr>
    </w:p>
    <w:p w14:paraId="30A9BC00" w14:textId="77777777" w:rsidR="00DE07A7" w:rsidRDefault="00DE07A7" w:rsidP="00DE07A7">
      <w:pPr>
        <w:pStyle w:val="Style1"/>
        <w:pBdr>
          <w:bottom w:val="single" w:sz="6" w:space="1" w:color="auto"/>
        </w:pBdr>
      </w:pPr>
      <w:bookmarkStart w:id="108" w:name="_Toc379376291"/>
      <w:bookmarkStart w:id="109" w:name="_Toc379387546"/>
      <w:bookmarkStart w:id="110" w:name="_Toc379807331"/>
      <w:bookmarkStart w:id="111" w:name="_Toc380653891"/>
      <w:bookmarkStart w:id="112" w:name="_Toc380744125"/>
      <w:bookmarkStart w:id="113" w:name="_Toc380946381"/>
      <w:bookmarkStart w:id="114" w:name="_Toc383883945"/>
      <w:bookmarkStart w:id="115" w:name="_Toc384754062"/>
      <w:bookmarkStart w:id="116" w:name="_Toc384756483"/>
      <w:bookmarkStart w:id="117" w:name="_Toc384816079"/>
      <w:bookmarkStart w:id="118" w:name="_Toc384826795"/>
      <w:r>
        <w:t>LES ANTI-CYTOKINES</w:t>
      </w:r>
      <w:bookmarkEnd w:id="108"/>
      <w:bookmarkEnd w:id="109"/>
      <w:bookmarkEnd w:id="110"/>
      <w:bookmarkEnd w:id="111"/>
      <w:bookmarkEnd w:id="112"/>
      <w:bookmarkEnd w:id="113"/>
      <w:bookmarkEnd w:id="114"/>
      <w:bookmarkEnd w:id="115"/>
      <w:bookmarkEnd w:id="116"/>
      <w:bookmarkEnd w:id="117"/>
      <w:bookmarkEnd w:id="118"/>
    </w:p>
    <w:p w14:paraId="7A9E0FA8" w14:textId="77777777" w:rsidR="00DE07A7" w:rsidRDefault="00DE07A7" w:rsidP="00DE07A7">
      <w:pPr>
        <w:pStyle w:val="Style1"/>
        <w:numPr>
          <w:ilvl w:val="0"/>
          <w:numId w:val="0"/>
        </w:numPr>
        <w:ind w:left="1080" w:hanging="720"/>
      </w:pPr>
    </w:p>
    <w:p w14:paraId="6375B0D7" w14:textId="77777777" w:rsidR="00D02861" w:rsidRDefault="00D02861" w:rsidP="009B2977">
      <w:pPr>
        <w:pStyle w:val="Stytleparagraphe"/>
        <w:ind w:firstLine="360"/>
      </w:pPr>
    </w:p>
    <w:p w14:paraId="350E0997" w14:textId="77777777" w:rsidR="00D02861" w:rsidRDefault="00D02861" w:rsidP="009B2977">
      <w:pPr>
        <w:pStyle w:val="Stytleparagraphe"/>
        <w:ind w:firstLine="360"/>
      </w:pPr>
    </w:p>
    <w:p w14:paraId="7692A564" w14:textId="77777777" w:rsidR="00D02861" w:rsidRDefault="00D02861" w:rsidP="009B2977">
      <w:pPr>
        <w:pStyle w:val="Stytleparagraphe"/>
        <w:ind w:firstLine="360"/>
      </w:pPr>
    </w:p>
    <w:p w14:paraId="72DFEEBA" w14:textId="77777777" w:rsidR="00D02861" w:rsidRDefault="00D02861" w:rsidP="009B2977">
      <w:pPr>
        <w:pStyle w:val="Stytleparagraphe"/>
        <w:ind w:firstLine="360"/>
      </w:pPr>
    </w:p>
    <w:p w14:paraId="13D64A16" w14:textId="77777777" w:rsidR="00D02861" w:rsidRDefault="00D02861" w:rsidP="009B2977">
      <w:pPr>
        <w:pStyle w:val="Stytleparagraphe"/>
        <w:ind w:firstLine="360"/>
      </w:pPr>
    </w:p>
    <w:p w14:paraId="1EE4F2DB" w14:textId="77777777" w:rsidR="00D02861" w:rsidRDefault="00D02861" w:rsidP="009B2977">
      <w:pPr>
        <w:pStyle w:val="Stytleparagraphe"/>
        <w:ind w:firstLine="360"/>
      </w:pPr>
    </w:p>
    <w:p w14:paraId="125722BB" w14:textId="77777777" w:rsidR="00D02861" w:rsidRDefault="00D02861" w:rsidP="009B2977">
      <w:pPr>
        <w:pStyle w:val="Stytleparagraphe"/>
        <w:ind w:firstLine="360"/>
      </w:pPr>
    </w:p>
    <w:p w14:paraId="33DC11FD" w14:textId="77777777" w:rsidR="00D02861" w:rsidRDefault="00D02861" w:rsidP="009B2977">
      <w:pPr>
        <w:pStyle w:val="Stytleparagraphe"/>
        <w:ind w:firstLine="360"/>
      </w:pPr>
    </w:p>
    <w:p w14:paraId="1CAAD747" w14:textId="77777777" w:rsidR="00D02861" w:rsidRDefault="00D02861" w:rsidP="009B2977">
      <w:pPr>
        <w:pStyle w:val="Stytleparagraphe"/>
        <w:ind w:firstLine="360"/>
      </w:pPr>
    </w:p>
    <w:p w14:paraId="61117364" w14:textId="77777777" w:rsidR="00D02861" w:rsidRDefault="00D02861" w:rsidP="009B2977">
      <w:pPr>
        <w:pStyle w:val="Stytleparagraphe"/>
        <w:ind w:firstLine="360"/>
      </w:pPr>
    </w:p>
    <w:p w14:paraId="7584B0CC" w14:textId="77777777" w:rsidR="00D02861" w:rsidRDefault="00D02861" w:rsidP="009B2977">
      <w:pPr>
        <w:pStyle w:val="Stytleparagraphe"/>
        <w:ind w:firstLine="360"/>
      </w:pPr>
    </w:p>
    <w:p w14:paraId="7E7F6A68" w14:textId="77777777" w:rsidR="00D02861" w:rsidRDefault="00D02861" w:rsidP="009B2977">
      <w:pPr>
        <w:pStyle w:val="Stytleparagraphe"/>
        <w:ind w:firstLine="360"/>
      </w:pPr>
    </w:p>
    <w:p w14:paraId="792211FC" w14:textId="77777777" w:rsidR="00D02861" w:rsidRDefault="00D02861" w:rsidP="009B2977">
      <w:pPr>
        <w:pStyle w:val="Stytleparagraphe"/>
        <w:ind w:firstLine="360"/>
      </w:pPr>
    </w:p>
    <w:p w14:paraId="2B18FAA4" w14:textId="77777777" w:rsidR="00D02861" w:rsidRDefault="00D02861" w:rsidP="009B2977">
      <w:pPr>
        <w:pStyle w:val="Stytleparagraphe"/>
        <w:ind w:firstLine="360"/>
      </w:pPr>
    </w:p>
    <w:p w14:paraId="3D001A63" w14:textId="77777777" w:rsidR="00D02861" w:rsidRDefault="00D02861" w:rsidP="00DE07A7">
      <w:pPr>
        <w:pStyle w:val="Stytleparagraphe"/>
      </w:pPr>
    </w:p>
    <w:p w14:paraId="24DFF3E2" w14:textId="6C4746DA" w:rsidR="0015510B" w:rsidRDefault="0015510B" w:rsidP="0018798A">
      <w:pPr>
        <w:pStyle w:val="Style2"/>
        <w:numPr>
          <w:ilvl w:val="0"/>
          <w:numId w:val="8"/>
        </w:numPr>
      </w:pPr>
      <w:bookmarkStart w:id="119" w:name="_Toc374380474"/>
      <w:bookmarkStart w:id="120" w:name="_Toc379376292"/>
      <w:bookmarkStart w:id="121" w:name="_Toc379387547"/>
      <w:bookmarkStart w:id="122" w:name="_Toc379807332"/>
      <w:bookmarkStart w:id="123" w:name="_Toc380653892"/>
      <w:bookmarkStart w:id="124" w:name="_Toc380744126"/>
      <w:bookmarkStart w:id="125" w:name="_Toc380946382"/>
      <w:bookmarkStart w:id="126" w:name="_Toc383883946"/>
      <w:bookmarkStart w:id="127" w:name="_Toc384754063"/>
      <w:bookmarkStart w:id="128" w:name="_Toc384756484"/>
      <w:bookmarkStart w:id="129" w:name="_Toc384816080"/>
      <w:bookmarkStart w:id="130" w:name="_Toc384826796"/>
      <w:r>
        <w:t>Rôle</w:t>
      </w:r>
      <w:r w:rsidR="00D02861">
        <w:t>s</w:t>
      </w:r>
      <w:r>
        <w:t xml:space="preserve"> spécifique</w:t>
      </w:r>
      <w:r w:rsidR="00D02861">
        <w:t>s</w:t>
      </w:r>
      <w:r>
        <w:t xml:space="preserve"> des cytokines dans la cicatrisation parodontale</w:t>
      </w:r>
      <w:bookmarkEnd w:id="119"/>
      <w:bookmarkEnd w:id="120"/>
      <w:bookmarkEnd w:id="121"/>
      <w:bookmarkEnd w:id="122"/>
      <w:bookmarkEnd w:id="123"/>
      <w:bookmarkEnd w:id="124"/>
      <w:bookmarkEnd w:id="125"/>
      <w:bookmarkEnd w:id="126"/>
      <w:bookmarkEnd w:id="127"/>
      <w:bookmarkEnd w:id="128"/>
      <w:bookmarkEnd w:id="129"/>
      <w:bookmarkEnd w:id="130"/>
    </w:p>
    <w:p w14:paraId="1C111E1E" w14:textId="6A2C934D" w:rsidR="0015510B" w:rsidRDefault="004924FB" w:rsidP="004924FB">
      <w:pPr>
        <w:pStyle w:val="Stytleparagraphe"/>
        <w:ind w:firstLine="360"/>
      </w:pPr>
      <w:r>
        <w:t>Les cytokines jouent un rôle essentiel dans la cicatrisation parodontale et peuvent, en fonction de leur expression, guider la rég</w:t>
      </w:r>
      <w:r w:rsidR="0071171C">
        <w:t xml:space="preserve">énération des différents tissus parodontaux. </w:t>
      </w:r>
      <w:r w:rsidR="00931EC3">
        <w:t xml:space="preserve">Leur expression contrôlée à des périodes et </w:t>
      </w:r>
      <w:r w:rsidR="00057A43">
        <w:t xml:space="preserve">à des </w:t>
      </w:r>
      <w:r w:rsidR="00931EC3">
        <w:t xml:space="preserve">sites spécifiques semble primordiale dans l’achèvement complet du processus cicatriciel. En effet, </w:t>
      </w:r>
      <w:r w:rsidR="00723E32">
        <w:t>ces médiateurs sont impliqués dans la transition entre les différentes phases de la réponse inflammatoire</w:t>
      </w:r>
      <w:r w:rsidR="0071171C">
        <w:t>, grâce à la régulation stricte de la balance entre les médiateurs pro- et anti-inflammatoires</w:t>
      </w:r>
      <w:r w:rsidR="00723E32">
        <w:t xml:space="preserve"> </w:t>
      </w:r>
      <w:r w:rsidR="0071171C">
        <w:fldChar w:fldCharType="begin"/>
      </w:r>
      <w:r w:rsidR="000C25B4">
        <w:instrText xml:space="preserve"> ADDIN ZOTERO_ITEM CSL_CITATION {"citationID":"Qcmxx1zW","properties":{"formattedCitation":"(D. Morand et al. 2017)","plainCitation":"(D. Morand et al. 2017)","noteIndex":0},"citationItems":[{"id":2,"uris":["http://zotero.org/users/local/Y4Qp1Cr8/items/XVDEBLU7"],"uri":["http://zotero.org/users/local/Y4Qp1Cr8/items/XVDEBLU7"],"itemData":{"id":2,"type":"article-journal","title":"Cytokines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0071171C">
        <w:fldChar w:fldCharType="separate"/>
      </w:r>
      <w:r w:rsidR="000C25B4">
        <w:rPr>
          <w:noProof/>
        </w:rPr>
        <w:t>(D. Morand et al. 2017)</w:t>
      </w:r>
      <w:r w:rsidR="0071171C">
        <w:fldChar w:fldCharType="end"/>
      </w:r>
      <w:r w:rsidR="0071171C">
        <w:t>.</w:t>
      </w:r>
    </w:p>
    <w:p w14:paraId="169554DD" w14:textId="77777777" w:rsidR="004A4FA1" w:rsidRDefault="004A4FA1" w:rsidP="004924FB">
      <w:pPr>
        <w:pStyle w:val="Stytleparagraphe"/>
        <w:ind w:firstLine="360"/>
      </w:pPr>
    </w:p>
    <w:p w14:paraId="26E9BB43" w14:textId="7A50661B" w:rsidR="0071171C" w:rsidRDefault="008C32A5" w:rsidP="0018798A">
      <w:pPr>
        <w:pStyle w:val="Style3"/>
        <w:numPr>
          <w:ilvl w:val="0"/>
          <w:numId w:val="7"/>
        </w:numPr>
      </w:pPr>
      <w:bookmarkStart w:id="131" w:name="_Toc379376293"/>
      <w:bookmarkStart w:id="132" w:name="_Toc379387548"/>
      <w:bookmarkStart w:id="133" w:name="_Toc379807333"/>
      <w:bookmarkStart w:id="134" w:name="_Toc380653893"/>
      <w:bookmarkStart w:id="135" w:name="_Toc380744127"/>
      <w:bookmarkStart w:id="136" w:name="_Toc380946383"/>
      <w:bookmarkStart w:id="137" w:name="_Toc383883947"/>
      <w:bookmarkStart w:id="138" w:name="_Toc384754064"/>
      <w:bookmarkStart w:id="139" w:name="_Toc384756485"/>
      <w:bookmarkStart w:id="140" w:name="_Toc384816081"/>
      <w:bookmarkStart w:id="141" w:name="_Toc384826797"/>
      <w:r>
        <w:t>TNF-α et IL-1</w:t>
      </w:r>
      <w:bookmarkEnd w:id="131"/>
      <w:bookmarkEnd w:id="132"/>
      <w:bookmarkEnd w:id="133"/>
      <w:bookmarkEnd w:id="134"/>
      <w:bookmarkEnd w:id="135"/>
      <w:bookmarkEnd w:id="136"/>
      <w:bookmarkEnd w:id="137"/>
      <w:bookmarkEnd w:id="138"/>
      <w:bookmarkEnd w:id="139"/>
      <w:bookmarkEnd w:id="140"/>
      <w:bookmarkEnd w:id="141"/>
    </w:p>
    <w:p w14:paraId="49D8C861" w14:textId="617A529D" w:rsidR="007C26F3" w:rsidRDefault="007C26F3" w:rsidP="00E901C1">
      <w:pPr>
        <w:pStyle w:val="Stytleparagraphe"/>
        <w:ind w:firstLine="360"/>
      </w:pPr>
      <w:r>
        <w:t>Dès les premières phases de l’inflammation, TNF-α et IL-1</w:t>
      </w:r>
      <w:r w:rsidR="00E901C1">
        <w:t>, cytokines pro-inflammatoires</w:t>
      </w:r>
      <w:r>
        <w:t xml:space="preserve"> sont produ</w:t>
      </w:r>
      <w:r w:rsidR="00E901C1">
        <w:t xml:space="preserve">its à des niveaux assez élevés </w:t>
      </w:r>
      <w:r w:rsidR="00E901C1">
        <w:fldChar w:fldCharType="begin"/>
      </w:r>
      <w:r w:rsidR="00E901C1">
        <w:instrText xml:space="preserve"> ADDIN ZOTERO_ITEM CSL_CITATION {"citationID":"AgpsZtbo","properties":{"formattedCitation":"(Graves et Cochran 2003)","plainCitation":"(Graves et Cochran 2003)"},"citationItems":[{"id":109,"uris":["http://zotero.org/users/local/Y4Qp1Cr8/items/KNSQSRHH"],"uri":["http://zotero.org/users/local/Y4Qp1Cr8/items/KNSQSRHH"],"itemData":{"id":109,"type":"article-journal","title":"The contribution of interleukin-1 and tumor necrosis factor to periodontal tissue destruction","container-title":"Journal of Periodontology","page":"391-401","volume":"74","issue":"3","source":"PubMed","abstract":"Interleukin (IL)-1 and tumor necrosis factor (TNF) represent proinflammatory cytokines that stimulate a number of events which occur during periodontal disease. These include the induction of adhesion molecules and other mediators that facilitate and amplify the inflammatory response, the stimulation of matrix metalloproteinase, and bone resorption. The activity of these cytokines coincides with the critical events that occur during periodontal disease, namely, loss of attachment and bone resorption. The use of antagonists to IL-1 and TNF in experimental periodontitis have demonstrated a cause-and-effect relationship between the activity of these cytokines and the spread of an inflammatory front to deeper areas in the connective tissue, loss of connective tissue attachment, osteoclast formation, and loss of alveolar bone. In addition, the loss of fibroblasts that occurs during infection with periodontal pathogens is, in part, mediated by TNF. Thus, much of the damage that occurs during periodontal tissue destruction can be attributed to IL-1 and TNF activity. This destruction may very well represent an overreaction of the host response to periodontal pathogens caused by excessive production of IL-1 and TNF.","DOI":"10.1902/jop.2003.74.3.391","ISSN":"0022-3492","note":"PMID: 12710761","journalAbbreviation":"J. Periodontol.","language":"eng","author":[{"family":"Graves","given":"D. T."},{"family":"Cochran","given":"D."}],"issued":{"date-parts":[["2003",3]]}}}],"schema":"https://github.com/citation-style-language/schema/raw/master/csl-citation.json"} </w:instrText>
      </w:r>
      <w:r w:rsidR="00E901C1">
        <w:fldChar w:fldCharType="separate"/>
      </w:r>
      <w:r w:rsidR="00E901C1">
        <w:rPr>
          <w:noProof/>
        </w:rPr>
        <w:t>(Graves et Cochran 2003)</w:t>
      </w:r>
      <w:r w:rsidR="00E901C1">
        <w:fldChar w:fldCharType="end"/>
      </w:r>
      <w:r w:rsidR="00E901C1">
        <w:t>.</w:t>
      </w:r>
      <w:r w:rsidR="007B193E">
        <w:t xml:space="preserve"> Ces molécules jouent un rôle essentiel dans la résolution de l’inflammation et dans la régulation de l’homéostasie osseuse </w:t>
      </w:r>
      <w:r w:rsidR="007B193E">
        <w:fldChar w:fldCharType="begin"/>
      </w:r>
      <w:r w:rsidR="007B193E">
        <w:instrText xml:space="preserve"> ADDIN ZOTERO_ITEM CSL_CITATION {"citationID":"3sB9ABx7","properties":{"formattedCitation":"(Osta, Benedetti, et Miossec 2014)","plainCitation":"(Osta, Benedetti, et Miossec 2014)"},"citationItems":[{"id":100,"uris":["http://zotero.org/users/local/Y4Qp1Cr8/items/WF6BM7DQ"],"uri":["http://zotero.org/users/local/Y4Qp1Cr8/items/WF6BM7DQ"],"itemData":{"id":100,"type":"article-journal","title":"Classical and Paradoxical Effects of TNF-α on Bone Homeostasis","container-title":"Frontiers in Immunology","volume":"5","source":"PubMed Central","abstract":"Tumor necrosis factor-α (TNF-α) plays an essential role in the regulation of bone homeostasis in several chronic immune and inflammatory joint diseases, where inhibition of TNF has led to significant clinical improvement. However, TNF-activated pathways and mechanisms involved in bone remodeling remain unclear. So far, TNF-α was known as an inhibitor of osteoblast differentiation and an activator of osteoclastogenesis. Recent contradictory findings indicated that TNF-α can also activate osteoblastogenesis. The paradoxical role of TNF-α in bone homeostasis seems to depend on the concentration and the differentiation state of the cell type used as well as on the exposure time. This review aims to summarize the recent contradictory findings on the regulation of bone homeostasis by TNF-α at the isolated cell, whole bone, and whole body levels. In addition, the involvement of TNF-α in the bone remodeling imbalance is observed in inflammatory joint diseases including rheumatoid arthritis and ankylosing spondylitis, which are associated with bone destruction and ectopic calcified matrix formation, respectively. Both diseases are associated with systemic/vertebral osteoporosis.","URL":"https://www.ncbi.nlm.nih.gov/pmc/articles/PMC3923157/","DOI":"10.3389/fimmu.2014.00048","ISSN":"1664-3224","note":"PMID: 24592264\nPMCID: PMC3923157","journalAbbreviation":"Front Immunol","author":[{"family":"Osta","given":"Bilal"},{"family":"Benedetti","given":"Giulia"},{"family":"Miossec","given":"Pierre"}],"issued":{"date-parts":[["2014",2,13]]},"accessed":{"date-parts":[["2018",1,31]]}}}],"schema":"https://github.com/citation-style-language/schema/raw/master/csl-citation.json"} </w:instrText>
      </w:r>
      <w:r w:rsidR="007B193E">
        <w:fldChar w:fldCharType="separate"/>
      </w:r>
      <w:r w:rsidR="007B193E">
        <w:rPr>
          <w:noProof/>
        </w:rPr>
        <w:t>(Osta, Benedetti, et Miossec 2014)</w:t>
      </w:r>
      <w:r w:rsidR="007B193E">
        <w:fldChar w:fldCharType="end"/>
      </w:r>
      <w:r w:rsidR="007B193E">
        <w:t>.</w:t>
      </w:r>
    </w:p>
    <w:p w14:paraId="156CA688" w14:textId="62541A2E" w:rsidR="008C32A5" w:rsidRDefault="00E901C1" w:rsidP="00D6658E">
      <w:pPr>
        <w:pStyle w:val="Stytleparagraphe"/>
        <w:ind w:firstLine="360"/>
      </w:pPr>
      <w:r>
        <w:t>En</w:t>
      </w:r>
      <w:r w:rsidR="00D6658E">
        <w:t xml:space="preserve"> 1998, une étude s’intéresse au rôle de TNF-α et IL-1 dans le processus de cicatrisation parodontale, en injectant des récepteurs solubles inhibiteurs de ces deux cytokines au niveau de modèles expérimentaux de parodontites </w:t>
      </w:r>
      <w:r w:rsidR="00D605BA">
        <w:t>induits chez un primate. Au niveau des sites expérimentaux, les</w:t>
      </w:r>
      <w:r w:rsidR="00D6658E">
        <w:t xml:space="preserve"> résultats montrent une réduction de 80% du recrutement des cellules inflammatoires à proximité de l’os, </w:t>
      </w:r>
      <w:r w:rsidR="00D605BA">
        <w:t>une réduction de 67% de la formation des ostéoclastes et une perte osseuse réduite de 60%, en compa</w:t>
      </w:r>
      <w:r w:rsidR="007B193E">
        <w:t>raison avec les sites contrôles</w:t>
      </w:r>
      <w:r w:rsidR="007C26F3">
        <w:t xml:space="preserve"> </w:t>
      </w:r>
      <w:r w:rsidR="007C26F3">
        <w:fldChar w:fldCharType="begin"/>
      </w:r>
      <w:r w:rsidR="007C26F3">
        <w:instrText xml:space="preserve"> ADDIN ZOTERO_ITEM CSL_CITATION {"citationID":"yfegHp7Q","properties":{"formattedCitation":"(Assuma et al. 1998)","plainCitation":"(Assuma et al. 1998)"},"citationItems":[{"id":111,"uris":["http://zotero.org/users/local/Y4Qp1Cr8/items/LPUGMS8K"],"uri":["http://zotero.org/users/local/Y4Qp1Cr8/items/LPUGMS8K"],"itemData":{"id":111,"type":"article-journal","title":"IL-1 and TNF Antagonists Inhibit the Inflammatory Response and Bone Loss in Experimental Periodontitis","container-title":"The Journal of Immunology","page":"403-409","volume":"160","issue":"1","source":"www.jimmunol.org","abstract":"Periodontal disease is the most frequent cause of tooth loss in humans and is the most prevalent disease associated with bone loss, including osteoporosis. Periodontal destruction is initiated by bacteria that colonize the tooth surface, leading to inflammation and bone resorption. To assess the roles of IL-1 and TNF in this process, studies were conducted in a Macaca fascicularis primate model of experimental periodontitis. Function-blocking soluble receptors to IL-1 and TNF were applied by local injection to sites with induced periodontal destruction and compared with similar sites injected with vehicle alone. The results indicate that injection of soluble receptors to IL-1 and TNF inhibited by approximately 80% the recruitment of inflammatory cells in close proximity to bone. The formation of osteoclasts was reduced by 67% at the experimental sites compared with that at the control sites, and the amount of bone loss was reduced by 60%. All results were statistically significant (p &lt; 0.01). These findings indicate that a significant component of the pathologic process of periodontitis is due to IL-1/TNF activity, since inhibiting IL-1/TNF reduces both inflammatory cell recruitment and bone loss. The data also suggest that inflammation associated with gingivitis is actively protective, since blocking further up-regulation of the host response with IL-1/TNF inhibitors does not cause periodontal damage. Furthermore, these results coupled with recent evidence that IL-1 and TNF participate in endocrine-associated osteoporosis suggest that multiple pathologies involving excessive loss of bone may operate through a common mechanism involving IL-1 and/or TNF.","ISSN":"0022-1767, 1550-6606","note":"PMID: 9551997","language":"en","author":[{"family":"Assuma","given":"R."},{"family":"Oates","given":"T."},{"family":"Cochran","given":"D."},{"family":"Amar","given":"S."},{"family":"Graves","given":"D. T."}],"issued":{"date-parts":[["1998",1,1]]}}}],"schema":"https://github.com/citation-style-language/schema/raw/master/csl-citation.json"} </w:instrText>
      </w:r>
      <w:r w:rsidR="007C26F3">
        <w:fldChar w:fldCharType="separate"/>
      </w:r>
      <w:r w:rsidR="007C26F3">
        <w:rPr>
          <w:noProof/>
        </w:rPr>
        <w:t>(Assuma et al. 1998)</w:t>
      </w:r>
      <w:r w:rsidR="007C26F3">
        <w:fldChar w:fldCharType="end"/>
      </w:r>
      <w:r w:rsidR="007B193E">
        <w:t>.</w:t>
      </w:r>
    </w:p>
    <w:p w14:paraId="0EE6277D" w14:textId="3B2842A2" w:rsidR="004E32BF" w:rsidRDefault="00E901C1" w:rsidP="007B193E">
      <w:pPr>
        <w:pStyle w:val="Stytleparagraphe"/>
        <w:ind w:firstLine="360"/>
      </w:pPr>
      <w:r>
        <w:t xml:space="preserve">Plus tard, d’autres études ont confirmé le rôle significatif de TNF-α et IL-1 dans l’inflammation et dans </w:t>
      </w:r>
      <w:r w:rsidR="00575760">
        <w:t>la destruction des tissus parodontaux</w:t>
      </w:r>
      <w:r w:rsidR="0059509B">
        <w:t xml:space="preserve"> </w:t>
      </w:r>
      <w:r w:rsidR="0059509B">
        <w:fldChar w:fldCharType="begin"/>
      </w:r>
      <w:r w:rsidR="0059509B">
        <w:instrText xml:space="preserve"> ADDIN ZOTERO_ITEM CSL_CITATION {"citationID":"L5O7Q48X","properties":{"formattedCitation":"(Delima et al. 2001)","plainCitation":"(Delima et al. 2001)"},"citationItems":[{"id":105,"uris":["http://zotero.org/users/local/Y4Qp1Cr8/items/BPD9AFDZ"],"uri":["http://zotero.org/users/local/Y4Qp1Cr8/items/BPD9AFDZ"],"itemData":{"id":105,"type":"article-journal","title":"Soluble antagonists to interleukin-1 (IL-1) and tumor necrosis factor (TNF) inhibits loss of tissue attachment in experimental periodontitis","container-title":"Journal of Clinical Periodontology","page":"233-240","volume":"28","issue":"3","source":"PubMed","abstract":"BACKGROUND, AIMS: Periodontal disease is a significant cause of tooth loss among adults and is characterized by the alteration and permanent destruction of the deeper periodontal tissues. Although the presence of pathologic microbes is required to trigger this process, the amplification and progression of the diseased state is believed to rely heavily on the production of host mediators in response to bacteria or their metabolic products. The inflammatory response is effective in preventing large-scale colonization of the gingival tissues by bacteria that lie in close proximity to the tooth surface or within the gingival sulcus. It has been postulated that the host-response in some individuals may lead to an over-reaction to invading oral pathogens resulting in the destruction of periodontal tissues.\nMETHODS: Several host-derived mediators are believed to contribute to this response. Two agents considered to be essential in periodontal destruction are interleukin-1 (IL-1) and tumor necrosis factor (TNF). We investigated the role of IL-1 and TNF in the loss of connective tissue attachment in a Macaca fascicularis primate model of experimental periodontitis. Silk ligatures impregnated with the periodontal pathogen, Porphyromonas gingivalis were wrapped around the posterior teeth and the activity of IL-1 and TNF were inhibited by soluble receptors to these proinflammatory cytokines via local injection into interdental papillae.\nRESULTS: Histomorphometric analysis indicates that IL-1 and TNF antagonists significantly reduced the loss of connective tissue attachment by approximately 51% and the loss of alveolar bone height by almost 91%, both of which were statistically significant.\nCONCLUSION: This investigation demonstrates that the loss of connective tissue attachment and progression of periodontal disease can be retarded by antagonists to specific host mediators such as IL-1 and TNF and may provide a potential treatment modality to combat the disease process.","ISSN":"0303-6979","note":"PMID: 11284536","journalAbbreviation":"J. Clin. Periodontol.","language":"eng","author":[{"family":"Delima","given":"A. J."},{"family":"Oates","given":"T."},{"family":"Assuma","given":"R."},{"family":"Schwartz","given":"Z."},{"family":"Cochran","given":"D."},{"family":"Amar","given":"S."},{"family":"Graves","given":"D. T."}],"issued":{"date-parts":[["2001",3]]}}}],"schema":"https://github.com/citation-style-language/schema/raw/master/csl-citation.json"} </w:instrText>
      </w:r>
      <w:r w:rsidR="0059509B">
        <w:fldChar w:fldCharType="separate"/>
      </w:r>
      <w:r w:rsidR="0059509B">
        <w:rPr>
          <w:noProof/>
        </w:rPr>
        <w:t>(Delima et al. 2001)</w:t>
      </w:r>
      <w:r w:rsidR="0059509B">
        <w:fldChar w:fldCharType="end"/>
      </w:r>
      <w:r w:rsidR="0059509B">
        <w:t xml:space="preserve"> </w:t>
      </w:r>
      <w:r w:rsidR="00575760">
        <w:fldChar w:fldCharType="begin"/>
      </w:r>
      <w:r w:rsidR="00575760">
        <w:instrText xml:space="preserve"> ADDIN ZOTERO_ITEM CSL_CITATION {"citationID":"uMU76l5q","properties":{"formattedCitation":"(Graves et Cochran 2003)","plainCitation":"(Graves et Cochran 2003)"},"citationItems":[{"id":109,"uris":["http://zotero.org/users/local/Y4Qp1Cr8/items/KNSQSRHH"],"uri":["http://zotero.org/users/local/Y4Qp1Cr8/items/KNSQSRHH"],"itemData":{"id":109,"type":"article-journal","title":"The contribution of interleukin-1 and tumor necrosis factor to periodontal tissue destruction","container-title":"Journal of Periodontology","page":"391-401","volume":"74","issue":"3","source":"PubMed","abstract":"Interleukin (IL)-1 and tumor necrosis factor (TNF) represent proinflammatory cytokines that stimulate a number of events which occur during periodontal disease. These include the induction of adhesion molecules and other mediators that facilitate and amplify the inflammatory response, the stimulation of matrix metalloproteinase, and bone resorption. The activity of these cytokines coincides with the critical events that occur during periodontal disease, namely, loss of attachment and bone resorption. The use of antagonists to IL-1 and TNF in experimental periodontitis have demonstrated a cause-and-effect relationship between the activity of these cytokines and the spread of an inflammatory front to deeper areas in the connective tissue, loss of connective tissue attachment, osteoclast formation, and loss of alveolar bone. In addition, the loss of fibroblasts that occurs during infection with periodontal pathogens is, in part, mediated by TNF. Thus, much of the damage that occurs during periodontal tissue destruction can be attributed to IL-1 and TNF activity. This destruction may very well represent an overreaction of the host response to periodontal pathogens caused by excessive production of IL-1 and TNF.","DOI":"10.1902/jop.2003.74.3.391","ISSN":"0022-3492","note":"PMID: 12710761","journalAbbreviation":"J. Periodontol.","language":"eng","author":[{"family":"Graves","given":"D. T."},{"family":"Cochran","given":"D."}],"issued":{"date-parts":[["2003",3]]}}}],"schema":"https://github.com/citation-style-language/schema/raw/master/csl-citation.json"} </w:instrText>
      </w:r>
      <w:r w:rsidR="00575760">
        <w:fldChar w:fldCharType="separate"/>
      </w:r>
      <w:r w:rsidR="00575760">
        <w:rPr>
          <w:noProof/>
        </w:rPr>
        <w:t>(Graves et Cochran 2003)</w:t>
      </w:r>
      <w:r w:rsidR="00575760">
        <w:fldChar w:fldCharType="end"/>
      </w:r>
      <w:r w:rsidR="00575760">
        <w:t xml:space="preserve"> </w:t>
      </w:r>
      <w:r w:rsidR="00575760">
        <w:fldChar w:fldCharType="begin"/>
      </w:r>
      <w:r w:rsidR="00575760">
        <w:instrText xml:space="preserve"> ADDIN ZOTERO_ITEM CSL_CITATION {"citationID":"p4yFmF3c","properties":{"formattedCitation":"(Zhang et al. 2004)","plainCitation":"(Zhang et al. 2004)"},"citationItems":[{"id":103,"uris":["http://zotero.org/users/local/Y4Qp1Cr8/items/82L3T29F"],"uri":["http://zotero.org/users/local/Y4Qp1Cr8/items/82L3T29F"],"itemData":{"id":103,"type":"article-journal","title":"Short- and long-term effects of IL-1 and TNF antagonists on periodontal wound healing","container-title":"Journal of Immunology (Baltimore, Md.: 1950)","page":"3514-3523","volume":"173","issue":"5","source":"PubMed","abstract":"The present study tested the effects of local injection of IL-1 and TNF soluble receptors on a periodontal wound-healing model in nonhuman primates. In this model, periodontal lesions were developed for 16 wk, followed by open flap surgery. Starting at the time of surgery, groups of animals received localized injections of both soluble cytokine receptors or else PBS three times per week for 3, 14, or 35 days. Periodontal wound healing was analyzed for each group at the end of the treatment regimen. Fourteen days after surgery, a significant decrease was observed between the animals treated with soluble receptors and the untreated group with respect to recruitment of inflammatory cells in deep gingival connective tissue. Concurrent apoptosis of inflammatory cells in those tissues increased significantly in treated animals compared with untreated animals. All other outcome parameters of periodontal wound healing were likewise significantly improved in treated animals compared with untreated animals. In marked contrast, however, 35 days after surgery, there was a significant increase in the number of inflammatory cells that had infiltrated into deep gingival connective tissue in treated compared with untreated animals. Outcome parameters of periodontal wound healing worsened in treated animals when compared with untreated. These results indicate that proinflammatory cytokines may play different functional roles in early vs late phases of periodontal wound healing. Short-term blockade of IL-1 and TNF may facilitate periodontal wound healing, whereas prolonged blockade may have adverse effects.","ISSN":"0022-1767","note":"PMID: 15322216","journalAbbreviation":"J. Immunol.","language":"eng","author":[{"family":"Zhang","given":"Xuemei"},{"family":"Kohli","given":"Malika"},{"family":"Zhou","given":"Qingde"},{"family":"Graves","given":"Dana T."},{"family":"Amar","given":"Salomon"}],"issued":{"date-parts":[["2004",9,1]]}}}],"schema":"https://github.com/citation-style-language/schema/raw/master/csl-citation.json"} </w:instrText>
      </w:r>
      <w:r w:rsidR="00575760">
        <w:fldChar w:fldCharType="separate"/>
      </w:r>
      <w:r w:rsidR="00575760">
        <w:rPr>
          <w:noProof/>
        </w:rPr>
        <w:t>(Zhang et al. 2004)</w:t>
      </w:r>
      <w:r w:rsidR="00575760">
        <w:fldChar w:fldCharType="end"/>
      </w:r>
      <w:r w:rsidR="00575760">
        <w:t xml:space="preserve">. Il est suggéré que la progression de la maladie parodontale et la perte d’attachement pourraient être retardés par l’utilisation d’antagonistes de ces cytokines et constituer un potentiel traitement contre ce processus pathologique </w:t>
      </w:r>
      <w:r w:rsidR="00575760">
        <w:fldChar w:fldCharType="begin"/>
      </w:r>
      <w:r w:rsidR="0059509B">
        <w:instrText xml:space="preserve"> ADDIN ZOTERO_ITEM CSL_CITATION {"citationID":"BW9VihMw","properties":{"formattedCitation":"(Delima et al. 2001)","plainCitation":"(Delima et al. 2001)"},"citationItems":[{"id":105,"uris":["http://zotero.org/users/local/Y4Qp1Cr8/items/BPD9AFDZ"],"uri":["http://zotero.org/users/local/Y4Qp1Cr8/items/BPD9AFDZ"],"itemData":{"id":105,"type":"article-journal","title":"Soluble antagonists to interleukin-1 (IL-1) and tumor necrosis factor (TNF) inhibits loss of tissue attachment in experimental periodontitis","container-title":"Journal of Clinical Periodontology","page":"233-240","volume":"28","issue":"3","source":"PubMed","abstract":"BACKGROUND, AIMS: Periodontal disease is a significant cause of tooth loss among adults and is characterized by the alteration and permanent destruction of the deeper periodontal tissues. Although the presence of pathologic microbes is required to trigger this process, the amplification and progression of the diseased state is believed to rely heavily on the production of host mediators in response to bacteria or their metabolic products. The inflammatory response is effective in preventing large-scale colonization of the gingival tissues by bacteria that lie in close proximity to the tooth surface or within the gingival sulcus. It has been postulated that the host-response in some individuals may lead to an over-reaction to invading oral pathogens resulting in the destruction of periodontal tissues.\nMETHODS: Several host-derived mediators are believed to contribute to this response. Two agents considered to be essential in periodontal destruction are interleukin-1 (IL-1) and tumor necrosis factor (TNF). We investigated the role of IL-1 and TNF in the loss of connective tissue attachment in a Macaca fascicularis primate model of experimental periodontitis. Silk ligatures impregnated with the periodontal pathogen, Porphyromonas gingivalis were wrapped around the posterior teeth and the activity of IL-1 and TNF were inhibited by soluble receptors to these proinflammatory cytokines via local injection into interdental papillae.\nRESULTS: Histomorphometric analysis indicates that IL-1 and TNF antagonists significantly reduced the loss of connective tissue attachment by approximately 51% and the loss of alveolar bone height by almost 91%, both of which were statistically significant.\nCONCLUSION: This investigation demonstrates that the loss of connective tissue attachment and progression of periodontal disease can be retarded by antagonists to specific host mediators such as IL-1 and TNF and may provide a potential treatment modality to combat the disease process.","ISSN":"0303-6979","note":"PMID: 11284536","journalAbbreviation":"J. Clin. Periodontol.","language":"eng","author":[{"family":"Delima","given":"A. J."},{"family":"Oates","given":"T."},{"family":"Assuma","given":"R."},{"family":"Schwartz","given":"Z."},{"family":"Cochran","given":"D."},{"family":"Amar","given":"S."},{"family":"Graves","given":"D. T."}],"issued":{"date-parts":[["2001",3]]}}}],"schema":"https://github.com/citation-style-language/schema/raw/master/csl-citation.json"} </w:instrText>
      </w:r>
      <w:r w:rsidR="00575760">
        <w:fldChar w:fldCharType="separate"/>
      </w:r>
      <w:r w:rsidR="0059509B">
        <w:rPr>
          <w:noProof/>
        </w:rPr>
        <w:t>(Delima et al. 2001)</w:t>
      </w:r>
      <w:r w:rsidR="00575760">
        <w:fldChar w:fldCharType="end"/>
      </w:r>
      <w:r w:rsidR="0059509B">
        <w:t xml:space="preserve">. Cependant, l’utilisation au long terme des antagonistes de TNF-α et IL-1 causent une augmentation significative des cellules inflammatoires et une diminution de la cicatrisation parodontale </w:t>
      </w:r>
      <w:r w:rsidR="0059509B">
        <w:fldChar w:fldCharType="begin"/>
      </w:r>
      <w:r w:rsidR="0059509B">
        <w:instrText xml:space="preserve"> ADDIN ZOTERO_ITEM CSL_CITATION {"citationID":"68mOvp9C","properties":{"formattedCitation":"(Zhang et al. 2004)","plainCitation":"(Zhang et al. 2004)"},"citationItems":[{"id":103,"uris":["http://zotero.org/users/local/Y4Qp1Cr8/items/82L3T29F"],"uri":["http://zotero.org/users/local/Y4Qp1Cr8/items/82L3T29F"],"itemData":{"id":103,"type":"article-journal","title":"Short- and long-term effects of IL-1 and TNF antagonists on periodontal wound healing","container-title":"Journal of Immunology (Baltimore, Md.: 1950)","page":"3514-3523","volume":"173","issue":"5","source":"PubMed","abstract":"The present study tested the effects of local injection of IL-1 and TNF soluble receptors on a periodontal wound-healing model in nonhuman primates. In this model, periodontal lesions were developed for 16 wk, followed by open flap surgery. Starting at the time of surgery, groups of animals received localized injections of both soluble cytokine receptors or else PBS three times per week for 3, 14, or 35 days. Periodontal wound healing was analyzed for each group at the end of the treatment regimen. Fourteen days after surgery, a significant decrease was observed between the animals treated with soluble receptors and the untreated group with respect to recruitment of inflammatory cells in deep gingival connective tissue. Concurrent apoptosis of inflammatory cells in those tissues increased significantly in treated animals compared with untreated animals. All other outcome parameters of periodontal wound healing were likewise significantly improved in treated animals compared with untreated animals. In marked contrast, however, 35 days after surgery, there was a significant increase in the number of inflammatory cells that had infiltrated into deep gingival connective tissue in treated compared with untreated animals. Outcome parameters of periodontal wound healing worsened in treated animals when compared with untreated. These results indicate that proinflammatory cytokines may play different functional roles in early vs late phases of periodontal wound healing. Short-term blockade of IL-1 and TNF may facilitate periodontal wound healing, whereas prolonged blockade may have adverse effects.","ISSN":"0022-1767","note":"PMID: 15322216","journalAbbreviation":"J. Immunol.","language":"eng","author":[{"family":"Zhang","given":"Xuemei"},{"family":"Kohli","given":"Malika"},{"family":"Zhou","given":"Qingde"},{"family":"Graves","given":"Dana T."},{"family":"Amar","given":"Salomon"}],"issued":{"date-parts":[["2004",9,1]]}}}],"schema":"https://github.com/citation-style-language/schema/raw/master/csl-citation.json"} </w:instrText>
      </w:r>
      <w:r w:rsidR="0059509B">
        <w:fldChar w:fldCharType="separate"/>
      </w:r>
      <w:r w:rsidR="0059509B">
        <w:rPr>
          <w:noProof/>
        </w:rPr>
        <w:t>(Zhang et al. 2004)</w:t>
      </w:r>
      <w:r w:rsidR="0059509B">
        <w:fldChar w:fldCharType="end"/>
      </w:r>
      <w:r w:rsidR="0059509B">
        <w:t>. L’étude de Zang et al. montre le rôle paradoxal de ces cytokines puisque leur blocage au court terme facilite la cicatrisation parodontale tandis qu’un blocage sur le long terme cause les effets inverses.</w:t>
      </w:r>
      <w:r w:rsidR="007B193E">
        <w:t xml:space="preserve"> </w:t>
      </w:r>
    </w:p>
    <w:p w14:paraId="0F814CE3" w14:textId="77777777" w:rsidR="00F461BE" w:rsidRDefault="00F461BE" w:rsidP="007B193E">
      <w:pPr>
        <w:pStyle w:val="Stytleparagraphe"/>
        <w:ind w:firstLine="360"/>
      </w:pPr>
    </w:p>
    <w:p w14:paraId="6E6F4EC5" w14:textId="10026931" w:rsidR="00F461BE" w:rsidRDefault="00F461BE" w:rsidP="0018798A">
      <w:pPr>
        <w:pStyle w:val="Style3"/>
        <w:numPr>
          <w:ilvl w:val="0"/>
          <w:numId w:val="7"/>
        </w:numPr>
      </w:pPr>
      <w:bookmarkStart w:id="142" w:name="_Toc379376294"/>
      <w:bookmarkStart w:id="143" w:name="_Toc379387549"/>
      <w:bookmarkStart w:id="144" w:name="_Toc379807334"/>
      <w:bookmarkStart w:id="145" w:name="_Toc380653894"/>
      <w:bookmarkStart w:id="146" w:name="_Toc380744128"/>
      <w:bookmarkStart w:id="147" w:name="_Toc380946384"/>
      <w:bookmarkStart w:id="148" w:name="_Toc383883948"/>
      <w:bookmarkStart w:id="149" w:name="_Toc384754065"/>
      <w:bookmarkStart w:id="150" w:name="_Toc384756486"/>
      <w:bookmarkStart w:id="151" w:name="_Toc384816082"/>
      <w:bookmarkStart w:id="152" w:name="_Toc384826798"/>
      <w:r>
        <w:t>IL-6</w:t>
      </w:r>
      <w:bookmarkEnd w:id="142"/>
      <w:bookmarkEnd w:id="143"/>
      <w:bookmarkEnd w:id="144"/>
      <w:bookmarkEnd w:id="145"/>
      <w:bookmarkEnd w:id="146"/>
      <w:bookmarkEnd w:id="147"/>
      <w:bookmarkEnd w:id="148"/>
      <w:bookmarkEnd w:id="149"/>
      <w:bookmarkEnd w:id="150"/>
      <w:bookmarkEnd w:id="151"/>
      <w:bookmarkEnd w:id="152"/>
    </w:p>
    <w:p w14:paraId="121ECC65" w14:textId="2705EE37" w:rsidR="00BD2DDF" w:rsidRDefault="00BA6950" w:rsidP="00BA6950">
      <w:pPr>
        <w:pStyle w:val="Stytleparagraphe"/>
        <w:ind w:firstLine="360"/>
      </w:pPr>
      <w:r>
        <w:t>IL-6 est un facteur pro-inflammatoire qui agit aux côtés de TNF-α et IL-1 dans la destruction des tissus parodontaux</w:t>
      </w:r>
      <w:r w:rsidR="004F7785">
        <w:t xml:space="preserve"> </w:t>
      </w:r>
      <w:r>
        <w:fldChar w:fldCharType="begin"/>
      </w:r>
      <w:r w:rsidR="003C3C5A">
        <w:instrText xml:space="preserve"> ADDIN ZOTERO_ITEM CSL_CITATION {"citationID":"IgjPlYa8","properties":{"formattedCitation":"(Irwin et Myrillas 1998)","plainCitation":"(Irwin et Myrillas 1998)"},"citationItems":[{"id":139,"uris":["http://zotero.org/users/local/Y4Qp1Cr8/items/CW5CLJH9"],"uri":["http://zotero.org/users/local/Y4Qp1Cr8/items/CW5CLJH9"],"itemData":{"id":139,"type":"article-journal","title":"The role of IL-6 in the pathogenesis of periodontal disease","container-title":"Oral Diseases","page":"43-47","volume":"4","issue":"1","source":"PubMed","abstract":"The mechanisms underlying periodontal disease involve complex interactions between bacterial products, host cells and locally produced, biologically active factors. The umbrella term cytokine has been used to include a variety of such factors, including the interleukin family. The role of one cytokine, IL-1 beta, in periodontal disease pathogenesis has been widely reported. More recent studies have focused on a potential role for IL-6 in driving the destructive processes. Most of these reports have suggested a pro-inflammatory role for IL-6 alongside IL-1 and TNF-alpha. This manuscript reviews the biological functions of IL-6, specifically related to tissue destruction at the periodontal site. We would suggest that the activity of IL-6 in periodontal disease differs from IL-1 and TNF-alpha, and may, in part, play a protective role.","ISSN":"1354-523X","note":"PMID: 9655045","journalAbbreviation":"Oral Dis","language":"eng","author":[{"family":"Irwin","given":"C. R."},{"family":"Myrillas","given":"T. T."}],"issued":{"date-parts":[["1998",3]]}}}],"schema":"https://github.com/citation-style-language/schema/raw/master/csl-citation.json"} </w:instrText>
      </w:r>
      <w:r>
        <w:fldChar w:fldCharType="separate"/>
      </w:r>
      <w:r w:rsidR="003C3C5A">
        <w:rPr>
          <w:noProof/>
        </w:rPr>
        <w:t>(Irwin et Myrillas 1998)</w:t>
      </w:r>
      <w:r>
        <w:fldChar w:fldCharType="end"/>
      </w:r>
      <w:r w:rsidR="00BD2DDF">
        <w:t>.</w:t>
      </w:r>
    </w:p>
    <w:p w14:paraId="76C67AF8" w14:textId="3788BDE9" w:rsidR="00BD2DDF" w:rsidRDefault="003C3C5A" w:rsidP="00BD2DDF">
      <w:pPr>
        <w:pStyle w:val="Stytleparagraphe"/>
        <w:ind w:firstLine="360"/>
      </w:pPr>
      <w:r>
        <w:t xml:space="preserve">Paradoxalement, ce facteur ostéolytique jouerait également un rôle protecteur, en induisant la différenciation ostéoblastique des cellules desmodontales </w:t>
      </w:r>
      <w:r>
        <w:fldChar w:fldCharType="begin"/>
      </w:r>
      <w:r>
        <w:instrText xml:space="preserve"> ADDIN ZOTERO_ITEM CSL_CITATION {"citationID":"LOng0Psr","properties":{"formattedCitation":"(Iwasaki et al. 2008)","plainCitation":"(Iwasaki et al. 2008)"},"citationItems":[{"id":131,"uris":["http://zotero.org/users/local/Y4Qp1Cr8/items/9YYSI32F"],"uri":["http://zotero.org/users/local/Y4Qp1Cr8/items/9YYSI32F"],"itemData":{"id":131,"type":"article-journal","title":"IL-6 induces osteoblastic differentiation of periodontal ligament cells","container-title":"Journal of Dental Research","page":"937-942","volume":"87","issue":"10","source":"PubMed","abstract":"Interleukin (IL)-6 has been considered as an osteolytic factor involved in periodontal disease. However, the function of IL-6 in osteoblastic differentiation of periodontal ligament cells is not clear. We examined the effects of IL-6 and its soluble receptor (sIL-6R) on osteoblastic differentiation of periodontal ligament cells. Osteoblastic differentiation was induced by ascorbic acid. Osteoblast markers, including alkaline phosphatase activity and Runx2 gene expression, were examined. The mechanism of action of IL-6 on osteoblastic differentiation was evaluated by insulin-like growth factor (IGF)-I production and specific inhibitors for the IL-6-signaling molecule. IL-6/sIL-6R enhanced alkaline phosphatase activity and Runx2. Alkaline phosphatase activity was reduced by anti-IGF-I antibody. Mitogen-activated protein kinase and Janus protein tyrosine kinase inhibitors diminished alkaline phosphatase induced by IL-6/sIL-6R. We conclude that IL-6/sIL-6R increases ascorbic-acid-induced alkaline phosphatase activity through IGF-I production, implying that IL-6 acts not only as an osteolytic factor, but also as a mediator of osteoblastic differentiation in periodontal ligament cells.","DOI":"10.1177/154405910808701002","ISSN":"1544-0591","note":"PMID: 18809747","journalAbbreviation":"J. Dent. Res.","language":"eng","author":[{"family":"Iwasaki","given":"K."},{"family":"Komaki","given":"M."},{"family":"Mimori","given":"K."},{"family":"Leon","given":"E."},{"family":"Izumi","given":"Y."},{"family":"Ishikawa","given":"I."}],"issued":{"date-parts":[["2008",10]]}}}],"schema":"https://github.com/citation-style-language/schema/raw/master/csl-citation.json"} </w:instrText>
      </w:r>
      <w:r>
        <w:fldChar w:fldCharType="separate"/>
      </w:r>
      <w:r>
        <w:rPr>
          <w:noProof/>
        </w:rPr>
        <w:t>(Iwasaki et al. 2008)</w:t>
      </w:r>
      <w:r>
        <w:fldChar w:fldCharType="end"/>
      </w:r>
      <w:r>
        <w:t xml:space="preserve"> </w:t>
      </w:r>
      <w:r>
        <w:fldChar w:fldCharType="begin"/>
      </w:r>
      <w:r>
        <w:instrText xml:space="preserve"> ADDIN ZOTERO_ITEM CSL_CITATION {"citationID":"NgMRGDlh","properties":{"formattedCitation":"(Blanchard et al. 2009)","plainCitation":"(Blanchard et al. 2009)"},"citationItems":[{"id":129,"uris":["http://zotero.org/users/local/Y4Qp1Cr8/items/AZY3S9C7"],"uri":["http://zotero.org/users/local/Y4Qp1Cr8/items/AZY3S9C7"],"itemData":{"id":129,"type":"article-journal","title":"The dual role of IL-6-type cytokines on bone remodeling and bone tumors","container-title":"Cytokine &amp; Growth Factor Reviews","page":"19-28","volume":"20","issue":"1","source":"PubMed","abstract":"Many factors such as vitamins, hormones and cytokines, control bone metabolism and remodeling. Cytokines of the interleukin-6 family, by acting on bone cells (i.e. osteoblasts and osteoclasts), have an important role in the bone tissue but they recently appeared as double-edged swords. They sustain bone formation but they can also drive bone loss in various osteolytic pathologies. Similarly, development of bone cancers can be either prevented or enhanced by these cytokines, depending on the cell type, the stage of the tumor and the bone environment. This dual effect is also apparent at the level of the signal transducer and activator of transcription and the mitogen-activated protein kinases, the two main signaling pathways that mediate opposite effects in bone cells.","DOI":"10.1016/j.cytogfr.2008.11.004","ISSN":"1879-0305","note":"PMID: 19038573","journalAbbreviation":"Cytokine Growth Factor Rev.","language":"eng","author":[{"family":"Blanchard","given":"Frédéric"},{"family":"Duplomb","given":"Laurence"},{"family":"Baud'huin","given":"Marc"},{"family":"Brounais","given":"Bénédicte"}],"issued":{"date-parts":[["2009",2]]}}}],"schema":"https://github.com/citation-style-language/schema/raw/master/csl-citation.json"} </w:instrText>
      </w:r>
      <w:r>
        <w:fldChar w:fldCharType="separate"/>
      </w:r>
      <w:r>
        <w:rPr>
          <w:noProof/>
        </w:rPr>
        <w:t>(Blanchard et al. 2009)</w:t>
      </w:r>
      <w:r>
        <w:fldChar w:fldCharType="end"/>
      </w:r>
      <w:r>
        <w:t xml:space="preserve">. </w:t>
      </w:r>
      <w:r w:rsidR="00BD2DDF">
        <w:t xml:space="preserve">Galluci nous montre que les souris déficientes en IL-6 mettent jusqu’à trois fois plus de temps à accomplir le processus complet de cicatrisation, comparé aux souris témoins </w:t>
      </w:r>
      <w:r w:rsidR="00BD2DDF">
        <w:fldChar w:fldCharType="begin"/>
      </w:r>
      <w:r w:rsidR="00BD2DDF">
        <w:instrText xml:space="preserve"> ADDIN ZOTERO_ITEM CSL_CITATION {"citationID":"MfzdxxDJ","properties":{"formattedCitation":"(Gallucci et al. 2000)","plainCitation":"(Gallucci et al. 2000)"},"citationItems":[{"id":127,"uris":["http://zotero.org/users/local/Y4Qp1Cr8/items/HDHZEIBL"],"uri":["http://zotero.org/users/local/Y4Qp1Cr8/items/HDHZEIBL"],"itemData":{"id":127,"type":"article-journal","title":"Impaired cutaneous wound healing in interleukin-6-deficient and immunosuppressed mice","container-title":"FASEB journal: official publication of the Federation of American Societies for Experimental Biology","page":"2525-2531","volume":"14","issue":"15","source":"PubMed","abstract":"It has been postulated that an inflammatory response after cutaneous wounding is a prerequisite for healing, and inflammatory cytokines, such as interleukin-6 (IL-6), might be intimately involved in this process. IL-6-deficient transgenic mice (IL-6 KO) displayed significantly delayed cutaneous wound healing compared with wild-type control animals, requiring up to threefold longer to heal. This was characterized by minimal epithelial bridge formation, decreased inflammation, and granulation tissue formation. Using electrophoretic mobility shift assays of wound tissue from IL-6 KO mice, decreased AP-1 transcription factor activation was shown compared with wild-type mice 16 h after wounding. In situ hybridization of wound tissue from wild-type mice revealed IL-6 mRNA expression primarily in the epidermis at the leading edge of the wound. Delayed wound healing in IL-6 KO mice was reversed with a single dose of recombinant murine IL-6 or intradermal injection of an expression plasmid containing the full-length murine IL-6 cDNA. Treatment with rmIL-6 also reconstituted wound healing in dexamethasone-treated immunosuppressed mice. The results of this study may indicate a potential use for IL-6 therapeutically where cutaneous wound healing is impaired.","DOI":"10.1096/fj.00-0073com","ISSN":"0892-6638","note":"PMID: 11099471","journalAbbreviation":"FASEB J.","language":"eng","author":[{"family":"Gallucci","given":"R. M."},{"family":"Simeonova","given":"P. P."},{"family":"Matheson","given":"J. M."},{"family":"Kommineni","given":"C."},{"family":"Guriel","given":"J. L."},{"family":"Sugawara","given":"T."},{"family":"Luster","given":"M. I."}],"issued":{"date-parts":[["2000",12]]}}}],"schema":"https://github.com/citation-style-language/schema/raw/master/csl-citation.json"} </w:instrText>
      </w:r>
      <w:r w:rsidR="00BD2DDF">
        <w:fldChar w:fldCharType="separate"/>
      </w:r>
      <w:r w:rsidR="00BD2DDF">
        <w:rPr>
          <w:noProof/>
        </w:rPr>
        <w:t>(Gallucci et al. 2000)</w:t>
      </w:r>
      <w:r w:rsidR="00BD2DDF">
        <w:fldChar w:fldCharType="end"/>
      </w:r>
      <w:r w:rsidR="00BD2DDF">
        <w:t>.</w:t>
      </w:r>
    </w:p>
    <w:p w14:paraId="6E9031E8" w14:textId="3F51D43A" w:rsidR="00F461BE" w:rsidRDefault="009B439C" w:rsidP="00680CD9">
      <w:pPr>
        <w:pStyle w:val="Stytleparagraphe"/>
        <w:ind w:firstLine="360"/>
      </w:pPr>
      <w:r>
        <w:t xml:space="preserve">Suite à une fracture, le premier pic d’IL-6 a lieu lors de la phase inflammatoire aigüe après la lésion afin de stimuler l’angiogenèse et le recrutement des cellules inflammatoires, afin d’initier la réponse inflammatoire. Le deuxième pic a lieu plus tard, lors de la phase de prolifération, afin de réguler l’ossification et le remodelage local dans le but de régénérer l’os </w:t>
      </w:r>
      <w:r>
        <w:fldChar w:fldCharType="begin"/>
      </w:r>
      <w:r>
        <w:instrText xml:space="preserve"> ADDIN ZOTERO_ITEM CSL_CITATION {"citationID":"fCBfToEP","properties":{"formattedCitation":"(Prystaz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fldChar w:fldCharType="separate"/>
      </w:r>
      <w:r>
        <w:rPr>
          <w:noProof/>
        </w:rPr>
        <w:t>(Prystaz et al. 2018)</w:t>
      </w:r>
      <w:r>
        <w:fldChar w:fldCharType="end"/>
      </w:r>
      <w:r>
        <w:t xml:space="preserve">. </w:t>
      </w:r>
      <w:r w:rsidR="00C63D05">
        <w:t xml:space="preserve">Il existe une corrélation entre de hauts niveaux d’IL-6 et le risque de complications lors de la cicatrisation </w:t>
      </w:r>
      <w:r w:rsidR="00C63D05">
        <w:fldChar w:fldCharType="begin"/>
      </w:r>
      <w:r w:rsidR="00C63D05">
        <w:instrText xml:space="preserve"> ADDIN ZOTERO_ITEM CSL_CITATION {"citationID":"WRx6gytj","properties":{"formattedCitation":"(Prystaz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rsidR="00C63D05">
        <w:fldChar w:fldCharType="separate"/>
      </w:r>
      <w:r w:rsidR="00C63D05">
        <w:rPr>
          <w:noProof/>
        </w:rPr>
        <w:t>(Prystaz et al. 2018)</w:t>
      </w:r>
      <w:r w:rsidR="00C63D05">
        <w:fldChar w:fldCharType="end"/>
      </w:r>
      <w:r w:rsidR="00C63D05">
        <w:t xml:space="preserve">. </w:t>
      </w:r>
    </w:p>
    <w:p w14:paraId="3B016378" w14:textId="2DC02CB9" w:rsidR="00C63D05" w:rsidRDefault="00C63D05" w:rsidP="00680CD9">
      <w:pPr>
        <w:pStyle w:val="Stytleparagraphe"/>
        <w:ind w:firstLine="360"/>
      </w:pPr>
      <w:r>
        <w:t xml:space="preserve">Cependant, il existe une corrélation entre de hauts niveaux d’IL-6 et le risque de complications lors de la cicatrisation </w:t>
      </w:r>
      <w:r>
        <w:fldChar w:fldCharType="begin"/>
      </w:r>
      <w:r w:rsidR="00CB6F65">
        <w:instrText xml:space="preserve"> ADDIN ZOTERO_ITEM CSL_CITATION {"citationID":"edMbHYX8","properties":{"formattedCitation":"(Prystaz et al. 2018)","plainCitation":"(Prystaz et al. 2018)"},"citationItems":[{"id":133,"uris":["http://zotero.org/users/local/Y4Qp1Cr8/items/HS9BXYSB"],"uri":["http://zotero.org/users/local/Y4Qp1Cr8/items/HS9BXYSB"],"itemData":{"id":133,"type":"article-journal","title":"Distinct Effects of IL-6 Classic and Trans-Signaling in Bone Fracture Healing","container-title":"The American Journal of Pathology","page":"474-490","volume":"188","issue":"2","source":"ScienceDirect","abstract":"Bone healing is a complex process with closely linked phases of inflammation, regeneration, and remodeling. IL-6 may crucially regulate this process; however, the underlying mechanisms are unclear. IL-6 signals are transmitted via the transmembrane glycoprotein 130 by two distinct mechanisms: classic signaling using the membrane-anchored IL-6 receptor and trans-signaling using its soluble form. Herein, we investigated the hypothesis that IL-6 classic and trans-signaling have different functions during bone healing. To investigate fracture healing, 12-week-old C57BL/6J mice underwent a femur osteotomy. To study the function of IL-6 during the inflammatory phase, either an anti–IL-6 antibody, which inhibits IL-6 classic and trans-signaling, or soluble glycoprotein 130 fusion protein, which selectively blocks trans-signaling, was injected after 30 minutes and 48 hours. To analyze IL-6 effects in the repair phase, compounds were injected from day 7 onwards. Global IL-6 inhibition in the early phase after fracture reduced systemic inflammation, the recruitment of immune cells, and bone regeneration, resulting in delayed fracture healing. Global IL-6 inhibition during the repair phase disturbed bone formation and remodeling. In contrast, inhibition of IL-6 trans-signaling exerted minor effects on the immune response and did not influence bone repair, suggesting that the classic pathway accounts for most of the effects observed after global IL-6 inhibition. Our results reveal that IL-6 classic signaling, but not IL-6 trans-signaling, is essential for bone repair.","DOI":"10.1016/j.ajpath.2017.10.011","ISSN":"0002-9440","journalAbbreviation":"The American Journal of Pathology","author":[{"family":"Prystaz","given":"Katja"},{"family":"Kaiser","given":"Kathrin"},{"family":"Kovtun","given":"Anna"},{"family":"Haffner-Luntzer","given":"Melanie"},{"family":"Fischer","given":"Verena"},{"family":"Rapp","given":"Anna E."},{"family":"Liedert","given":"Astrid"},{"family":"Strauss","given":"Gudrun"},{"family":"Waetzig","given":"Georg H."},{"family":"Rose-John","given":"Stefan"},{"family":"Ignatius","given":"Anita"}],"issued":{"date-parts":[["2018",2,1]]}}}],"schema":"https://github.com/citation-style-language/schema/raw/master/csl-citation.json"} </w:instrText>
      </w:r>
      <w:r>
        <w:fldChar w:fldCharType="separate"/>
      </w:r>
      <w:r>
        <w:rPr>
          <w:noProof/>
        </w:rPr>
        <w:t>(Prystaz et al. 2018)</w:t>
      </w:r>
      <w:r>
        <w:fldChar w:fldCharType="end"/>
      </w:r>
      <w:r>
        <w:t>. Ainsi, la régulation des niveaux d’IL-6 apparaît indispensable au bon déroulement des processus de cicatrisation.</w:t>
      </w:r>
    </w:p>
    <w:p w14:paraId="79A812B3" w14:textId="77777777" w:rsidR="00F461BE" w:rsidRDefault="00F461BE" w:rsidP="00680CD9">
      <w:pPr>
        <w:pStyle w:val="Stytleparagraphe"/>
        <w:ind w:firstLine="360"/>
      </w:pPr>
    </w:p>
    <w:p w14:paraId="7309AB15" w14:textId="419E20E6" w:rsidR="008C19C9" w:rsidRDefault="00680CD9" w:rsidP="0018798A">
      <w:pPr>
        <w:pStyle w:val="Style3"/>
        <w:numPr>
          <w:ilvl w:val="0"/>
          <w:numId w:val="7"/>
        </w:numPr>
      </w:pPr>
      <w:bookmarkStart w:id="153" w:name="_Toc379376295"/>
      <w:bookmarkStart w:id="154" w:name="_Toc379387550"/>
      <w:bookmarkStart w:id="155" w:name="_Toc379807335"/>
      <w:bookmarkStart w:id="156" w:name="_Toc380653895"/>
      <w:bookmarkStart w:id="157" w:name="_Toc380744129"/>
      <w:bookmarkStart w:id="158" w:name="_Toc380946385"/>
      <w:bookmarkStart w:id="159" w:name="_Toc383883949"/>
      <w:bookmarkStart w:id="160" w:name="_Toc384754066"/>
      <w:bookmarkStart w:id="161" w:name="_Toc384756487"/>
      <w:bookmarkStart w:id="162" w:name="_Toc384816083"/>
      <w:bookmarkStart w:id="163" w:name="_Toc384826799"/>
      <w:r>
        <w:t>TGF-β</w:t>
      </w:r>
      <w:bookmarkEnd w:id="153"/>
      <w:bookmarkEnd w:id="154"/>
      <w:bookmarkEnd w:id="155"/>
      <w:bookmarkEnd w:id="156"/>
      <w:bookmarkEnd w:id="157"/>
      <w:bookmarkEnd w:id="158"/>
      <w:bookmarkEnd w:id="159"/>
      <w:bookmarkEnd w:id="160"/>
      <w:bookmarkEnd w:id="161"/>
      <w:bookmarkEnd w:id="162"/>
      <w:bookmarkEnd w:id="163"/>
    </w:p>
    <w:p w14:paraId="69E4F563" w14:textId="77777777" w:rsidR="007E3754" w:rsidRDefault="00AB6382" w:rsidP="006040F9">
      <w:pPr>
        <w:pStyle w:val="Stytleparagraphe"/>
        <w:ind w:firstLine="360"/>
      </w:pPr>
      <w:r>
        <w:t xml:space="preserve">Le TGF-β est un facteur de croissance promoteur de la fibrose, qui joue un rôle critique lors de différentes phases de la cicatrisation, notamment lors des derniers stades, via la modulation des cellules immunitaires infiltrant le site lésé et la composition de la matrice extracellulaire. S’il est surexprimé, ce promoteur de la cicatrisation peut engendrer la formation de cicatrices hypertrophiques, d’où l’importance de sa régulation précise dans les dernières étapes du processus de cicatrisation </w:t>
      </w:r>
      <w:r>
        <w:fldChar w:fldCharType="begin"/>
      </w:r>
      <w:r>
        <w:instrText xml:space="preserve"> ADDIN ZOTERO_ITEM CSL_CITATION {"citationID":"dRJ1OmVr","properties":{"formattedCitation":"(Pakyari et al. 2013)","plainCitation":"(Pakyari et al. 2013)"},"citationItems":[{"id":115,"uris":["http://zotero.org/users/local/Y4Qp1Cr8/items/XBVCFUFW"],"uri":["http://zotero.org/users/local/Y4Qp1Cr8/items/XBVCFUFW"],"itemData":{"id":115,"type":"article-journal","title":"Critical Role of Transforming Growth Factor Beta in Different Phases of Wound Healing","container-title":"Advances in Wound Care","page":"215-2</w:instrText>
      </w:r>
      <w:r>
        <w:rPr>
          <w:rFonts w:hint="eastAsia"/>
        </w:rPr>
        <w:instrText>24","volume":"2","issue":"5","source":"PubMed","abstract":"SIGNIFICANCE: This review highlights the critical role of transforming growth factor beta (TGF-</w:instrText>
      </w:r>
      <w:r>
        <w:rPr>
          <w:rFonts w:hint="eastAsia"/>
        </w:rPr>
        <w:instrText>β</w:instrText>
      </w:r>
      <w:r>
        <w:rPr>
          <w:rFonts w:hint="eastAsia"/>
        </w:rPr>
        <w:instrText>)1-3 within different phases of wound healing, in particular, late-stage wound healing. It is also very important to identify the TGF-</w:instrText>
      </w:r>
      <w:r>
        <w:rPr>
          <w:rFonts w:hint="eastAsia"/>
        </w:rPr>
        <w:instrText>β</w:instrText>
      </w:r>
      <w:r>
        <w:rPr>
          <w:rFonts w:hint="eastAsia"/>
        </w:rPr>
        <w:instrText>1-controlling factors involved in slowing down the healing process upon wound epithelialization.\nRECENT ADVANCES: TGF-</w:instrText>
      </w:r>
      <w:r>
        <w:rPr>
          <w:rFonts w:hint="eastAsia"/>
        </w:rPr>
        <w:instrText>β</w:instrText>
      </w:r>
      <w:r>
        <w:rPr>
          <w:rFonts w:hint="eastAsia"/>
        </w:rPr>
        <w:instrText>1, as a growth factor, is a known proponent of dermal fibrosis. Several strategies to modulate or regulate TGF's actions have been thoroughly investigated in an effort to create successful therapies. This study reviews current discourse regarding the many roles of TGF-</w:instrText>
      </w:r>
      <w:r>
        <w:rPr>
          <w:rFonts w:hint="eastAsia"/>
        </w:rPr>
        <w:instrText>β</w:instrText>
      </w:r>
      <w:r>
        <w:rPr>
          <w:rFonts w:hint="eastAsia"/>
        </w:rPr>
        <w:instrText>1 in wound healing by modulating infiltrated immune cells and the extracellular matrix.\nCRITICAL ISSUES: It is well established that TGF-</w:instrText>
      </w:r>
      <w:r>
        <w:rPr>
          <w:rFonts w:hint="eastAsia"/>
        </w:rPr>
        <w:instrText>β</w:instrText>
      </w:r>
      <w:r>
        <w:rPr>
          <w:rFonts w:hint="eastAsia"/>
        </w:rPr>
        <w:instrText>1 functions as a wound-healing promoting factor, and thereby if in excess it may lead to overhealing outcomes, such as hypertrophic scarring and keloid. Thus, the regulation of TGF-</w:instrText>
      </w:r>
      <w:r>
        <w:rPr>
          <w:rFonts w:hint="eastAsia"/>
        </w:rPr>
        <w:instrText>β</w:instrText>
      </w:r>
      <w:r>
        <w:rPr>
          <w:rFonts w:hint="eastAsia"/>
        </w:rPr>
        <w:instrText>1 in the later stag</w:instrText>
      </w:r>
      <w:r>
        <w:instrText xml:space="preserve">es of the healing process remains as critical issue of which to better understand.\nFUTURE DIRECTIONS: One hypothesis is that cell communication is the key to regulate later stages of wound healing. To elucidate the role of keratinocyte/fibroblast cross talk in controlling the later stages of wound healing we need to: (1) identify those keratinocyte-released factors which would function as wound-healing stop signals, (2) evaluate the functionality of these factors in controlling the outcome of the healing process, and (3) formulate topical vehicles for these antifibrogenic factors to improve or even prevent the development of hypertrophic scarring and keloids as a result of deep trauma, burn injuries, and any type of surgical incision.","DOI":"10.1089/wound.2012.0406","ISSN":"2162-1918","note":"PMID: 24527344\nPMCID: PMC3857353","journalAbbreviation":"Adv Wound Care (New Rochelle)","language":"eng","author":[{"family":"Pakyari","given":"Mohammadreza"},{"family":"Farrokhi","given":"Ali"},{"family":"Maharlooei","given":"Mohsen Khosravi"},{"family":"Ghahary","given":"Aziz"}],"issued":{"date-parts":[["2013",6]]}}}],"schema":"https://github.com/citation-style-language/schema/raw/master/csl-citation.json"} </w:instrText>
      </w:r>
      <w:r>
        <w:fldChar w:fldCharType="separate"/>
      </w:r>
      <w:r>
        <w:rPr>
          <w:noProof/>
        </w:rPr>
        <w:t>(Pakyari et al. 2013)</w:t>
      </w:r>
      <w:r>
        <w:fldChar w:fldCharType="end"/>
      </w:r>
      <w:r>
        <w:t xml:space="preserve">. </w:t>
      </w:r>
    </w:p>
    <w:p w14:paraId="728A3F96" w14:textId="40AE28ED" w:rsidR="007907EC" w:rsidRDefault="00D47598" w:rsidP="006040F9">
      <w:pPr>
        <w:pStyle w:val="Stytleparagraphe"/>
        <w:ind w:firstLine="360"/>
      </w:pPr>
      <w:r>
        <w:t xml:space="preserve">En 2012, une étude s’intéresse de plus près aux mécanismes responsables de ces cicatrisations pathologiques </w:t>
      </w:r>
      <w:r w:rsidR="007907EC">
        <w:t>et met en évidence l’implication de TGF-β</w:t>
      </w:r>
      <w:r w:rsidR="001F0E7E">
        <w:t xml:space="preserve"> </w:t>
      </w:r>
      <w:r w:rsidR="007907EC">
        <w:t>dans les processus d’</w:t>
      </w:r>
      <w:r>
        <w:t xml:space="preserve">inflammation excessive, </w:t>
      </w:r>
      <w:r w:rsidR="007907EC">
        <w:t>d’</w:t>
      </w:r>
      <w:r>
        <w:t xml:space="preserve">angiogenèse excessive, </w:t>
      </w:r>
      <w:r w:rsidR="007907EC">
        <w:t xml:space="preserve">d’altération des niveaux </w:t>
      </w:r>
      <w:r>
        <w:t>de</w:t>
      </w:r>
      <w:r w:rsidR="007907EC">
        <w:t>s</w:t>
      </w:r>
      <w:r>
        <w:t xml:space="preserve"> métalloprotéinases et des facteurs de croissance </w:t>
      </w:r>
      <w:r w:rsidR="00E06D6D">
        <w:t xml:space="preserve">et </w:t>
      </w:r>
      <w:r w:rsidR="007907EC">
        <w:t>d’</w:t>
      </w:r>
      <w:r w:rsidR="001F0E7E">
        <w:t>apoptose retardée des myofibroblastes fibrotiques</w:t>
      </w:r>
      <w:r w:rsidR="005F32EF">
        <w:t xml:space="preserve"> </w:t>
      </w:r>
      <w:r w:rsidR="005F32EF">
        <w:fldChar w:fldCharType="begin"/>
      </w:r>
      <w:r w:rsidR="005F32EF">
        <w:instrText xml:space="preserve"> ADDIN ZOTERO_ITEM CSL_CITATION {"citationID":"gV6W9ylq","properties":{"formattedCitation":"(Penn, Grobbelaar, et Rolfe 2012)","plainCitation":"(Penn, Grobbelaar, et Rolfe 2012)"},"citationItems":[{"id":117,"uris":["http://zotero.org/users/local/Y4Qp1Cr8/items/9BQ74FJJ"],"uri":["http://zotero.org/users/local/Y4Qp1Cr8/items/9BQ74FJJ"],"itemData":{"id":117,"type":"article-journal","title":"The role of the TGF-β family in wound healing, burns and scarring: a review","container-title":"International Journal of Burns and Trauma","page":"18-28","volume":"2","issue":"1","source":"PubMed","abstract":"It is estimated worldwide that over 6 million people per annum experience a burn injury. Despite advances in management and improved survival rates, the incidence of hypertrophic scarring remains high. These scars are particularly common after burns and are often raised, red, hard and may cause abnormal sensations. Such pathological scarring can lead to severe functional impairment, psychological morbidity, and costly long term healthcare. Wound healing is an inherent process which restores the integrity of the skin after injury and although scarring is a frequent by-product, the scarless wound healing observed in early human gestational fetuses suggests that it is not an essential component of the response. This has lead to a large body of research attempting to understand the mechanisms behind scarring and in turn prevent it. One of the main focuses of recent research has been the role played by the growth factor TGF-β in the process of both wound healing and scar formation. The three isoforms (TGF-β1, TGF-β2 and TGF-β3) appear to have overlapping functions and predominantly mediate their effects through the intracellular SMAD pathway. Initial research suggested that TGF-β1 was responsible for the fibrotic scarring response whereas the scarless wound healing seen in fetal wounds was due to increased levels of TGF-β3. However, the reality appears to be far more complex and it is unlikely that simply altering the ratio of TGF-β isoforms will lead to scarless wound healing. Other aspects of the TGF-β system that appear promising include the downstream mediator CTGF, the proteoglycan decorin and the binding protein p311. Other putative mechanisms which may underlie the pathogenesis of hypertrophic scars include excessive inflammation, excessive angiogenesis, altered levels of matrix metalloproteinases, growth factors, and delayed apoptosis of fibrotic myofibroblasts either due to p53 genetic alterations or tensile forces across the wound. If an effective treatment for hypertrophic scars following burns injury is to be developed then further work must be carried out to understand the basic mechanisms of pathological scarring.","ISSN":"2160-2026","note":"PMID: 22928164\nPMCID: PMC3415964","shortTitle":"The role of the TGF-β family in wound healing, burns and scarring","journalAbbreviation":"Int J Burns Trauma","language":"eng","author":[{"family":"Penn","given":"Jack W."},{"family":"Grobbelaar","given":"Adriaan O."},{"family":"Rolfe","given":"Kerstin J."}],"issued":{"date-parts":[["2012"]]}}}],"schema":"https://github.com/citation-style-language/schema/raw/master/csl-citation.json"} </w:instrText>
      </w:r>
      <w:r w:rsidR="005F32EF">
        <w:fldChar w:fldCharType="separate"/>
      </w:r>
      <w:r w:rsidR="005F32EF">
        <w:rPr>
          <w:noProof/>
        </w:rPr>
        <w:t>(Penn, Grobbelaar, et Rolfe 2012)</w:t>
      </w:r>
      <w:r w:rsidR="005F32EF">
        <w:fldChar w:fldCharType="end"/>
      </w:r>
      <w:r w:rsidR="001F0E7E">
        <w:t xml:space="preserve">. </w:t>
      </w:r>
      <w:r w:rsidR="00E06D6D">
        <w:t>Non seulement l’isoforme</w:t>
      </w:r>
      <w:r w:rsidR="007907EC">
        <w:t xml:space="preserve"> TGF-β1 </w:t>
      </w:r>
      <w:r w:rsidR="00E06D6D">
        <w:t xml:space="preserve">est exprimé à des niveaux plus élevés au niveau des fibroblastes hypertrophiques et au niveau des cicatrices hypertrophiques qu’au niveau des fibroblastes et tissus sains, mais son récepteur est également exprimé de manière prolongée au niveau des </w:t>
      </w:r>
      <w:r w:rsidR="006040F9">
        <w:t xml:space="preserve">cicatrices anormales. Ainsi, la surexpression de TGF-β1 et l’expression persistante de ses récepteurs expliqueraient la formation de ces cicatrices hypertrophiques. Cependant, d’autres hypothèses </w:t>
      </w:r>
      <w:r w:rsidR="007E3754">
        <w:t xml:space="preserve">suggèrent que toute perturbation dans la voie d’expression des trois isoformes de TGF-β (TGF-β1, TGF-β2 et TGF-β3) engendrerait une cicatrisation pathologique. Ainsi, le rôle précis de TGF-β reste à ce jour imprécis, mais il est admis qu’une régulation stricte de son expression est indispensable aux processus de cicatrisation normale et donc de restauration de l’intégrité parodontale </w:t>
      </w:r>
      <w:r w:rsidR="007E3754">
        <w:fldChar w:fldCharType="begin"/>
      </w:r>
      <w:r w:rsidR="007E3754">
        <w:instrText xml:space="preserve"> ADDIN ZOTERO_ITEM CSL_CITATION {"citationID":"eaxH1V6h","properties":{"formattedCitation":"(Penn, Grobbelaar, et Rolfe 2012)","plainCitation":"(Penn, Grobbelaar, et Rolfe 2012)"},"citationItems":[{"id":117,"uris":["http://zotero.org/users/local/Y4Qp1Cr8/items/9BQ74FJJ"],"uri":["http://zotero.org/users/local/Y4Qp1Cr8/items/9BQ74FJJ"],"itemData":{"id":117,"type":"article-journal","title":"The role of the TGF-β family in wound healing, burns and scarring: a review","container-title":"International Journal of Burns and Trauma","page":"18-28","volume":"2","issue":"1","source":"PubMed","abstract":"It is estimated worldwide that over 6 million people per annum experience a burn injury. Despite advances in management and improved survival rates, the incidence of hypertrophic scarring remains high. These scars are particularly common after burns and are often raised, red, hard and may cause abnormal sensations. Such pathological scarring can lead to severe functional impairment, psychological morbidity, and costly long term healthcare. Wound healing is an inherent process which restores the integrity of the skin after injury and although scarring is a frequent by-product, the scarless wound healing observed in early human gestational fetuses suggests that it is not an essential component of the response. This has lead to a large body of research attempting to understand the mechanisms behind scarring and in turn prevent it. One of the main focuses of recent research has been the role played by the growth factor TGF-β in the process of both wound healing and scar formation. The three isoforms (TGF-β1, TGF-β2 and TGF-β3) appear to have overlapping functions and predominantly mediate their effects through the intracellular SMAD pathway. Initial research suggested that TGF-β1 was responsible for the fibrotic scarring response whereas the scarless wound healing seen in fetal wounds was due to increased levels of TGF-β3. However, the reality appears to be far more complex and it is unlikely that simply altering the ratio of TGF-β isoforms will lead to scarless wound healing. Other aspects of the TGF-β system that appear promising include the downstream mediator CTGF, the proteoglycan decorin and the binding protein p311. Other putative mechanisms which may underlie the pathogenesis of hypertrophic scars include excessive inflammation, excessive angiogenesis, altered levels of matrix metalloproteinases, growth factors, and delayed apoptosis of fibrotic myofibroblasts either due to p53 genetic alterations or tensile forces across the wound. If an effective treatment for hypertrophic scars following burns injury is to be developed then further work must be carried out to understand the basic mechanisms of pathological scarring.","ISSN":"2160-2026","note":"PMID: 22928164\nPMCID: PMC3415964","shortTitle":"The role of the TGF-β family in wound healing, burns and scarring","journalAbbreviation":"Int J Burns Trauma","language":"eng","author":[{"family":"Penn","given":"Jack W."},{"family":"Grobbelaar","given":"Adriaan O."},{"family":"Rolfe","given":"Kerstin J."}],"issued":{"date-parts":[["2012"]]}}}],"schema":"https://github.com/citation-style-language/schema/raw/master/csl-citation.json"} </w:instrText>
      </w:r>
      <w:r w:rsidR="007E3754">
        <w:fldChar w:fldCharType="separate"/>
      </w:r>
      <w:r w:rsidR="007E3754">
        <w:rPr>
          <w:noProof/>
        </w:rPr>
        <w:t>(Penn, Grobbelaar, et Rolfe 2012)</w:t>
      </w:r>
      <w:r w:rsidR="007E3754">
        <w:fldChar w:fldCharType="end"/>
      </w:r>
      <w:r w:rsidR="007E3754">
        <w:t>.</w:t>
      </w:r>
    </w:p>
    <w:p w14:paraId="15BAF74E" w14:textId="77777777" w:rsidR="007E3754" w:rsidRDefault="007E3754" w:rsidP="00D84D47">
      <w:pPr>
        <w:pStyle w:val="Stytleparagraphe"/>
      </w:pPr>
    </w:p>
    <w:p w14:paraId="08D8E27F" w14:textId="77777777" w:rsidR="007E3754" w:rsidRDefault="007E3754" w:rsidP="006040F9">
      <w:pPr>
        <w:pStyle w:val="Stytleparagraphe"/>
        <w:ind w:firstLine="360"/>
      </w:pPr>
    </w:p>
    <w:p w14:paraId="3CB64D96" w14:textId="0C7C83F1" w:rsidR="007907EC" w:rsidRDefault="007907EC" w:rsidP="00AB6382">
      <w:pPr>
        <w:pStyle w:val="Stytleparagraphe"/>
        <w:ind w:firstLine="360"/>
      </w:pPr>
    </w:p>
    <w:p w14:paraId="38CB4324" w14:textId="77777777" w:rsidR="007907EC" w:rsidRDefault="007907EC" w:rsidP="00AB6382">
      <w:pPr>
        <w:pStyle w:val="Stytleparagraphe"/>
        <w:ind w:firstLine="360"/>
      </w:pPr>
    </w:p>
    <w:p w14:paraId="68DB9923" w14:textId="77777777" w:rsidR="007907EC" w:rsidRDefault="007907EC" w:rsidP="00AB6382">
      <w:pPr>
        <w:pStyle w:val="Stytleparagraphe"/>
        <w:ind w:firstLine="360"/>
      </w:pPr>
    </w:p>
    <w:p w14:paraId="4B8EC47B" w14:textId="77777777" w:rsidR="007907EC" w:rsidRDefault="007907EC" w:rsidP="00AB6382">
      <w:pPr>
        <w:pStyle w:val="Stytleparagraphe"/>
        <w:ind w:firstLine="360"/>
      </w:pPr>
    </w:p>
    <w:p w14:paraId="5FA286D4" w14:textId="77777777" w:rsidR="00AB6382" w:rsidRDefault="00AB6382" w:rsidP="00AB6382">
      <w:pPr>
        <w:pStyle w:val="Stytleparagraphe"/>
        <w:ind w:firstLine="360"/>
      </w:pPr>
    </w:p>
    <w:p w14:paraId="65951FA4" w14:textId="77777777" w:rsidR="0059509B" w:rsidRDefault="0059509B" w:rsidP="00E901C1">
      <w:pPr>
        <w:pStyle w:val="Stytleparagraphe"/>
      </w:pPr>
    </w:p>
    <w:p w14:paraId="569E17A3" w14:textId="77777777" w:rsidR="002621AE" w:rsidRDefault="002621AE" w:rsidP="00E901C1">
      <w:pPr>
        <w:pStyle w:val="Stytleparagraphe"/>
      </w:pPr>
    </w:p>
    <w:p w14:paraId="09FDA1AF" w14:textId="77777777" w:rsidR="002621AE" w:rsidRDefault="002621AE" w:rsidP="00E901C1">
      <w:pPr>
        <w:pStyle w:val="Stytleparagraphe"/>
      </w:pPr>
    </w:p>
    <w:p w14:paraId="62306567" w14:textId="77777777" w:rsidR="002621AE" w:rsidRDefault="002621AE" w:rsidP="00E901C1">
      <w:pPr>
        <w:pStyle w:val="Stytleparagraphe"/>
      </w:pPr>
    </w:p>
    <w:p w14:paraId="75AF0E69" w14:textId="77777777" w:rsidR="002621AE" w:rsidRDefault="002621AE" w:rsidP="00E901C1">
      <w:pPr>
        <w:pStyle w:val="Stytleparagraphe"/>
      </w:pPr>
    </w:p>
    <w:p w14:paraId="57C8C4DC" w14:textId="77777777" w:rsidR="002621AE" w:rsidRDefault="002621AE" w:rsidP="00E901C1">
      <w:pPr>
        <w:pStyle w:val="Stytleparagraphe"/>
      </w:pPr>
    </w:p>
    <w:p w14:paraId="4C35095B" w14:textId="1CF62479" w:rsidR="002621AE" w:rsidRDefault="00CB6F65" w:rsidP="00E901C1">
      <w:pPr>
        <w:pStyle w:val="Stytleparagraphe"/>
      </w:pPr>
      <w:r>
        <w:rPr>
          <w:noProof/>
          <w:lang w:val="en-US"/>
        </w:rPr>
        <mc:AlternateContent>
          <mc:Choice Requires="wps">
            <w:drawing>
              <wp:anchor distT="0" distB="0" distL="114300" distR="114300" simplePos="0" relativeHeight="251665408" behindDoc="0" locked="0" layoutInCell="1" allowOverlap="1" wp14:anchorId="4DA2F48F" wp14:editId="15615A29">
                <wp:simplePos x="0" y="0"/>
                <wp:positionH relativeFrom="column">
                  <wp:posOffset>4114800</wp:posOffset>
                </wp:positionH>
                <wp:positionV relativeFrom="paragraph">
                  <wp:posOffset>-114300</wp:posOffset>
                </wp:positionV>
                <wp:extent cx="1828800" cy="3771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28800" cy="3771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19285" w14:textId="0995CEF8" w:rsidR="0094071B" w:rsidRPr="00CB6F65" w:rsidRDefault="0094071B" w:rsidP="002621AE">
                            <w:pPr>
                              <w:pStyle w:val="Stytleparagraphe"/>
                            </w:pPr>
                            <w:r>
                              <w:rPr>
                                <w:i/>
                              </w:rPr>
                              <w:t>Table 3</w:t>
                            </w:r>
                            <w:r w:rsidRPr="003921C7">
                              <w:rPr>
                                <w:i/>
                              </w:rPr>
                              <w:t xml:space="preserve"> : </w:t>
                            </w:r>
                            <w:r>
                              <w:rPr>
                                <w:i/>
                              </w:rPr>
                              <w:t xml:space="preserve">Fonction et importance des cytokines dans les processus de cicatrisation </w:t>
                            </w:r>
                            <w:r>
                              <w:fldChar w:fldCharType="begin"/>
                            </w:r>
                            <w:r>
                              <w:instrText xml:space="preserve"> ADDIN ZOTERO_ITEM CSL_CITATION {"citationID":"vWvfsGfC","properties":{"formattedCitation":"(Kubo et al. 2014)","plainCitation":"(Kubo et al. 2014)"},"citationItems":[{"id":141,"uris":["http://zotero.org/users/local/Y4Qp1Cr8/items/HGD988C5"],"uri":["http://zotero.org/users/local/Y4Qp1Cr8/items/HGD988C5"],"itemData":{"id":141,"type":"article-journal","title":"Temporal expression of wound healing-related genes in skin burn injury","container-title":"Legal Medicine (Tokyo, Japan)","page":"8-13","volume":"16","issue":"1","source":"PubMed","abstract":"Determination of the age of burns, as well as of wounds induced mechanically, is essential in forensic practice, particularly in cases of suspected child abuse. Here, we investigated temporal changes in the expression of 13 genes during wound healing after a burn. The expression of cytokines (IL-1β, IL-6, IL-10, TNF-α, and IFN-γ), chemokines (KC, MCP-1), proliferative factors (TGF-β, VEGF), proteases (MMP-2, 9, 13) and type I collagen in murine skin was examined by real-time PCR at 3, 6, 9, and 12 h and 1, 2, 3, 5, 7, and 14 days after a burn. Based on macroscopic and histological appearance, the healing process of a burn consists of 3 phases: inflammatory (from 3 h to 1 day after the burn), proliferative (from 1 to 7 days), and maturation (from 7 to 14 days). Expression of IL-1β, IL-6, TNF-α, IFN-γ and KC increased significantly in a biphasic pattern from 3 or 6 h to 12 h or 1 day and from 3 or 5 days to 7 days. Expression of MCP-1 increased significantly from 6 h to 5 days. Expression of both IL-10 and TGF-β increased significantly from 12 h to 7 days. Expression of VEGF, MMP-2, MMP-13 and type I collagen increased significantly from 3 days to 7 or 14 days. Expression of MMP-9 increased significantly from 6 h to 14 days. Our results suggest that evaluating the expression of a combination of these genes would enable the exact estimation of the age of a burn.","DOI":"10.1016/j.legalmed.2013.10.002","ISSN":"1873-4162","note":"PMID: 24269074","journalAbbreviation":"Leg Med (Tokyo)","language":"eng","author":[{"family":"Kubo","given":"Hidemichi"},{"family":"Hayashi","given":"Takahito"},{"family":"Ago","given":"Kazutoshi"},{"family":"Ago","given":"Mihoko"},{"family":"Kanekura","given":"Takuro"},{"family":"Ogata","given":"Mamoru"}],"issued":{"date-parts":[["2014",1]]}}}],"schema":"https://github.com/citation-style-language/schema/raw/master/csl-citation.json"} </w:instrText>
                            </w:r>
                            <w:r>
                              <w:fldChar w:fldCharType="separate"/>
                            </w:r>
                            <w:r>
                              <w:rPr>
                                <w:noProof/>
                              </w:rPr>
                              <w:t>(Kubo et al. 2014)</w:t>
                            </w:r>
                            <w:r>
                              <w:fldChar w:fldCharType="end"/>
                            </w:r>
                            <w:r>
                              <w:t xml:space="preserve"> </w:t>
                            </w:r>
                            <w:r w:rsidRPr="003921C7">
                              <w:rPr>
                                <w:i/>
                              </w:rPr>
                              <w:fldChar w:fldCharType="begin"/>
                            </w:r>
                            <w:r w:rsidRPr="003921C7">
                              <w:rPr>
                                <w:i/>
                              </w:rPr>
                              <w:instrText xml:space="preserve"> ADDIN ZOTERO_ITEM CSL_CITATION {"citationID":"wtbKJ4bv","properties":{"formattedCitation":"(Morand et al. 2017)","plainCitation":"(Morand et al. 2017)"},"citationItems":[{"id":2,"uris":["http://zotero.org/users/local/Y4Qp1Cr8/items/XVDEBLU7"],"uri":["http://zotero.org/users/local/Y4Qp1Cr8/items/XVDEBLU7"],"itemData":{"id":2,"type":"article-journal","title":"Cytokines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Pr="003921C7">
                              <w:rPr>
                                <w:i/>
                                <w:noProof/>
                              </w:rPr>
                              <w:t>(Morand et al. 2017)</w:t>
                            </w:r>
                            <w:r w:rsidRPr="003921C7">
                              <w:rPr>
                                <w:i/>
                              </w:rPr>
                              <w:fldChar w:fldCharType="end"/>
                            </w:r>
                          </w:p>
                          <w:p w14:paraId="5DA5C5E3" w14:textId="77777777" w:rsidR="0094071B" w:rsidRDefault="00940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24pt;margin-top:-8.95pt;width:2in;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" filled="f" stroked="f">
                <v:textbox>
                  <w:txbxContent>
                    <w:p w14:paraId="5A819285" w14:textId="0995CEF8" w:rsidR="0094071B" w:rsidRPr="00CB6F65" w:rsidRDefault="0094071B" w:rsidP="002621AE">
                      <w:pPr>
                        <w:pStyle w:val="Stytleparagraphe"/>
                      </w:pPr>
                      <w:r>
                        <w:rPr>
                          <w:i/>
                        </w:rPr>
                        <w:t>Table 3</w:t>
                      </w:r>
                      <w:r w:rsidRPr="003921C7">
                        <w:rPr>
                          <w:i/>
                        </w:rPr>
                        <w:t xml:space="preserve"> : </w:t>
                      </w:r>
                      <w:r>
                        <w:rPr>
                          <w:i/>
                        </w:rPr>
                        <w:t xml:space="preserve">Fonction et importance des cytokines dans les processus de cicatrisation </w:t>
                      </w:r>
                      <w:r>
                        <w:fldChar w:fldCharType="begin"/>
                      </w:r>
                      <w:r>
                        <w:instrText xml:space="preserve"> ADDIN ZOTERO_ITEM CSL_CITATION {"citationID":"vWvfsGfC","properties":{"formattedCitation":"(Kubo et al. 2014)","plainCitation":"(Kubo et al. 2014)"},"citationItems":[{"id":141,"uris":["http://zotero.org/users/local/Y4Qp1Cr8/items/HGD988C5"],"uri":["http://zotero.org/users/local/Y4Qp1Cr8/items/HGD988C5"],"itemData":{"id":141,"type":"article-journal","title":"Temporal expression of wound healing-related genes in skin burn injury","container-title":"Legal Medicine (Tokyo, Japan)","page":"8-13","volume":"16","issue":"1","source":"PubMed","abstract":"Determination of the age of burns, as well as of wounds induced mechanically, is essential in forensic practice, particularly in cases of suspected child abuse. Here, we investigated temporal changes in the expression of 13 genes during wound healing after a burn. The expression of cytokines (IL-1β, IL-6, IL-10, TNF-α, and IFN-γ), chemokines (KC, MCP-1), proliferative factors (TGF-β, VEGF), proteases (MMP-2, 9, 13) and type I collagen in murine skin was examined by real-time PCR at 3, 6, 9, and 12 h and 1, 2, 3, 5, 7, and 14 days after a burn. Based on macroscopic and histological appearance, the healing process of a burn consists of 3 phases: inflammatory (from 3 h to 1 day after the burn), proliferative (from 1 to 7 days), and maturation (from 7 to 14 days). Expression of IL-1β, IL-6, TNF-α, IFN-γ and KC increased significantly in a biphasic pattern from 3 or 6 h to 12 h or 1 day and from 3 or 5 days to 7 days. Expression of MCP-1 increased significantly from 6 h to 5 days. Expression of both IL-10 and TGF-β increased significantly from 12 h to 7 days. Expression of VEGF, MMP-2, MMP-13 and type I collagen increased significantly from 3 days to 7 or 14 days. Expression of MMP-9 increased significantly from 6 h to 14 days. Our results suggest that evaluating the expression of a combination of these genes would enable the exact estimation of the age of a burn.","DOI":"10.1016/j.legalmed.2013.10.002","ISSN":"1873-4162","note":"PMID: 24269074","journalAbbreviation":"Leg Med (Tokyo)","language":"eng","author":[{"family":"Kubo","given":"Hidemichi"},{"family":"Hayashi","given":"Takahito"},{"family":"Ago","given":"Kazutoshi"},{"family":"Ago","given":"Mihoko"},{"family":"Kanekura","given":"Takuro"},{"family":"Ogata","given":"Mamoru"}],"issued":{"date-parts":[["2014",1]]}}}],"schema":"https://github.com/citation-style-language/schema/raw/master/csl-citation.json"} </w:instrText>
                      </w:r>
                      <w:r>
                        <w:fldChar w:fldCharType="separate"/>
                      </w:r>
                      <w:r>
                        <w:rPr>
                          <w:noProof/>
                        </w:rPr>
                        <w:t>(Kubo et al. 2014)</w:t>
                      </w:r>
                      <w:r>
                        <w:fldChar w:fldCharType="end"/>
                      </w:r>
                      <w:r>
                        <w:t xml:space="preserve"> </w:t>
                      </w:r>
                      <w:r w:rsidRPr="003921C7">
                        <w:rPr>
                          <w:i/>
                        </w:rPr>
                        <w:fldChar w:fldCharType="begin"/>
                      </w:r>
                      <w:r w:rsidRPr="003921C7">
                        <w:rPr>
                          <w:i/>
                        </w:rPr>
                        <w:instrText xml:space="preserve"> ADDIN ZOTERO_ITEM CSL_CITATION {"citationID":"wtbKJ4bv","properties":{"formattedCitation":"(Morand et al. 2017)","plainCitation":"(Morand et al. 2017)"},"citationItems":[{"id":2,"uris":["http://zotero.org/users/local/Y4Qp1Cr8/items/XVDEBLU7"],"uri":["http://zotero.org/users/local/Y4Qp1Cr8/items/XVDEBLU7"],"itemData":{"id":2,"type":"article-journal","title":"Cytokines during periodontal wound healing: potential application for new therapeutic approach","container-title":"Oral Diseases","page":"300-311","volume":"23","issue":"3","source":"Wiley Online Library","abstract":"Regeneration of periodontal tissues is one of the main goals of periodontal therapy. However, current treatment, including surgical approach, use of membrane to allow maturation of all periodontal tissues, or use of enamel matrix derivatives, presents limitations in their indications and outcomes leading to the development of new tissue engineering strategies. Several cytokines are considered as key molecules during periodontal destruction process. However, their role during each phase of periodontal wound healing remains unclear. Control and modulation of the inflammatory response and especially, release of cytokines or activation/inhibition in a time- and spatial-controlled manner may be a potential perspective for periodontal tissue engineering. The aim of this review was to summarize the specific role of several cytokines during periodontal wound healing and the potential therapeutic interest of inflammatory modulation for periodontal regeneration especially related to the expression sequence of cytokines.","DOI":"10.1111/odi.12469","ISSN":"1601-0825","shortTitle":"Cytokines during periodontal wound healing","journalAbbreviation":"Oral Dis","language":"en","author":[{"family":"Morand","given":"Dn"},{"family":"Davideau","given":"J-L"},{"family":"Clauss","given":"F"},{"family":"Jessel","given":"N"},{"family":"Tenenbaum","given":"H"},{"family":"Huck","given":"O"}],"issued":{"date-parts":[["2017",4,1]]}}}],"schema":"https://github.com/citation-style-language/schema/raw/master/csl-citation.json"} </w:instrText>
                      </w:r>
                      <w:r w:rsidRPr="003921C7">
                        <w:rPr>
                          <w:i/>
                        </w:rPr>
                        <w:fldChar w:fldCharType="separate"/>
                      </w:r>
                      <w:r w:rsidRPr="003921C7">
                        <w:rPr>
                          <w:i/>
                          <w:noProof/>
                        </w:rPr>
                        <w:t>(Morand et al. 2017)</w:t>
                      </w:r>
                      <w:r w:rsidRPr="003921C7">
                        <w:rPr>
                          <w:i/>
                        </w:rPr>
                        <w:fldChar w:fldCharType="end"/>
                      </w:r>
                    </w:p>
                    <w:p w14:paraId="5DA5C5E3" w14:textId="77777777" w:rsidR="0094071B" w:rsidRDefault="0094071B"/>
                  </w:txbxContent>
                </v:textbox>
              </v:shape>
            </w:pict>
          </mc:Fallback>
        </mc:AlternateContent>
      </w:r>
    </w:p>
    <w:p w14:paraId="7CBD5D24" w14:textId="759F7CB0" w:rsidR="001A2A53" w:rsidRDefault="001A2A53" w:rsidP="00B03C65">
      <w:pPr>
        <w:pStyle w:val="Style3"/>
        <w:numPr>
          <w:ilvl w:val="0"/>
          <w:numId w:val="0"/>
        </w:numPr>
      </w:pPr>
    </w:p>
    <w:p w14:paraId="2E4E5935" w14:textId="77777777" w:rsidR="00024699" w:rsidRDefault="00024699" w:rsidP="00B03C65">
      <w:pPr>
        <w:pStyle w:val="Style3"/>
        <w:numPr>
          <w:ilvl w:val="0"/>
          <w:numId w:val="0"/>
        </w:numPr>
      </w:pPr>
    </w:p>
    <w:p w14:paraId="0EC12052" w14:textId="4803F042" w:rsidR="00024699" w:rsidRDefault="00024699" w:rsidP="00B03C65">
      <w:pPr>
        <w:pStyle w:val="Style3"/>
        <w:numPr>
          <w:ilvl w:val="0"/>
          <w:numId w:val="0"/>
        </w:numPr>
      </w:pPr>
    </w:p>
    <w:p w14:paraId="2201AA01" w14:textId="77777777" w:rsidR="00024699" w:rsidRDefault="00024699" w:rsidP="00B03C65">
      <w:pPr>
        <w:pStyle w:val="Style3"/>
        <w:numPr>
          <w:ilvl w:val="0"/>
          <w:numId w:val="0"/>
        </w:numPr>
      </w:pPr>
    </w:p>
    <w:p w14:paraId="6D19422F" w14:textId="107A378F" w:rsidR="00CB1B3A" w:rsidRDefault="00CB1B3A" w:rsidP="00CB1B3A">
      <w:pPr>
        <w:pStyle w:val="ListParagraph"/>
        <w:spacing w:line="360" w:lineRule="auto"/>
        <w:ind w:left="1080"/>
        <w:rPr>
          <w:rFonts w:ascii="Arial" w:hAnsi="Arial"/>
          <w:sz w:val="28"/>
        </w:rPr>
      </w:pPr>
    </w:p>
    <w:p w14:paraId="7D0D05B9" w14:textId="67A0C017" w:rsidR="00CB1B3A" w:rsidRDefault="002621AE" w:rsidP="00CB1B3A">
      <w:pPr>
        <w:pStyle w:val="Stytleparagraphe"/>
      </w:pPr>
      <w:r>
        <w:rPr>
          <w:noProof/>
          <w:lang w:val="en-US"/>
        </w:rPr>
        <w:drawing>
          <wp:anchor distT="0" distB="0" distL="114300" distR="114300" simplePos="0" relativeHeight="251664384" behindDoc="1" locked="0" layoutInCell="1" allowOverlap="1" wp14:anchorId="0EF690C5" wp14:editId="4E2F8FFC">
            <wp:simplePos x="0" y="0"/>
            <wp:positionH relativeFrom="column">
              <wp:posOffset>-3117850</wp:posOffset>
            </wp:positionH>
            <wp:positionV relativeFrom="paragraph">
              <wp:posOffset>152400</wp:posOffset>
            </wp:positionV>
            <wp:extent cx="9639935" cy="4598670"/>
            <wp:effectExtent l="6033" t="0" r="0" b="0"/>
            <wp:wrapNone/>
            <wp:docPr id="7" name="Picture 7" descr="Macintosh HD:Users:eric:Desktop:Capture d’écran 2018-02-02 à 13.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02 à 13.50.3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170"/>
                    <a:stretch/>
                  </pic:blipFill>
                  <pic:spPr bwMode="auto">
                    <a:xfrm rot="16200000">
                      <a:off x="0" y="0"/>
                      <a:ext cx="9639935" cy="45986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A185C3" w14:textId="77777777" w:rsidR="00CB1B3A" w:rsidRDefault="00CB1B3A" w:rsidP="00CB1B3A">
      <w:pPr>
        <w:pStyle w:val="Stytleparagraphe"/>
      </w:pPr>
    </w:p>
    <w:p w14:paraId="0A9577EA" w14:textId="7905A993" w:rsidR="00CB1B3A" w:rsidRDefault="00CB1B3A" w:rsidP="00CB1B3A">
      <w:pPr>
        <w:pStyle w:val="Stytleparagraphe"/>
      </w:pPr>
    </w:p>
    <w:p w14:paraId="2325F90B" w14:textId="77777777" w:rsidR="00CB1B3A" w:rsidRDefault="00CB1B3A" w:rsidP="00CB1B3A">
      <w:pPr>
        <w:pStyle w:val="Stytleparagraphe"/>
      </w:pPr>
    </w:p>
    <w:p w14:paraId="02CFD4D8" w14:textId="32544E43" w:rsidR="00CB1B3A" w:rsidRDefault="00CB1B3A" w:rsidP="00CB1B3A">
      <w:pPr>
        <w:pStyle w:val="Stytleparagraphe"/>
      </w:pPr>
    </w:p>
    <w:p w14:paraId="7A251EA2" w14:textId="77777777" w:rsidR="00CB1B3A" w:rsidRDefault="00CB1B3A" w:rsidP="00CB1B3A">
      <w:pPr>
        <w:pStyle w:val="Stytleparagraphe"/>
      </w:pPr>
    </w:p>
    <w:p w14:paraId="7D152795" w14:textId="5DE75087" w:rsidR="00CB1B3A" w:rsidRDefault="00CB1B3A" w:rsidP="00CB1B3A">
      <w:pPr>
        <w:pStyle w:val="Stytleparagraphe"/>
      </w:pPr>
    </w:p>
    <w:p w14:paraId="2F9C8447" w14:textId="21FA9801" w:rsidR="00CB1B3A" w:rsidRDefault="00CB1B3A" w:rsidP="00CB1B3A">
      <w:pPr>
        <w:pStyle w:val="Stytleparagraphe"/>
      </w:pPr>
    </w:p>
    <w:p w14:paraId="228B6918" w14:textId="77777777" w:rsidR="00CB1B3A" w:rsidRDefault="00CB1B3A" w:rsidP="00CB1B3A">
      <w:pPr>
        <w:pStyle w:val="Stytleparagraphe"/>
      </w:pPr>
    </w:p>
    <w:p w14:paraId="594B7444" w14:textId="75940EC2" w:rsidR="00CB1B3A" w:rsidRDefault="00CB1B3A" w:rsidP="00CB1B3A">
      <w:pPr>
        <w:pStyle w:val="Stytleparagraphe"/>
      </w:pPr>
    </w:p>
    <w:p w14:paraId="3EB83789" w14:textId="77777777" w:rsidR="00CB1B3A" w:rsidRDefault="00CB1B3A" w:rsidP="00CB1B3A">
      <w:pPr>
        <w:pStyle w:val="Stytleparagraphe"/>
      </w:pPr>
    </w:p>
    <w:p w14:paraId="3C374CA6" w14:textId="77777777" w:rsidR="00CB1B3A" w:rsidRDefault="00CB1B3A" w:rsidP="00CB1B3A">
      <w:pPr>
        <w:pStyle w:val="Stytleparagraphe"/>
      </w:pPr>
    </w:p>
    <w:p w14:paraId="308459E4" w14:textId="77777777" w:rsidR="00CB1B3A" w:rsidRDefault="00CB1B3A" w:rsidP="00CB1B3A">
      <w:pPr>
        <w:pStyle w:val="Stytleparagraphe"/>
      </w:pPr>
    </w:p>
    <w:p w14:paraId="607954A5" w14:textId="77777777" w:rsidR="00CB1B3A" w:rsidRDefault="00CB1B3A" w:rsidP="00CB1B3A">
      <w:pPr>
        <w:pStyle w:val="Stytleparagraphe"/>
      </w:pPr>
    </w:p>
    <w:p w14:paraId="18D7B5CF" w14:textId="77777777" w:rsidR="002621AE" w:rsidRDefault="002621AE" w:rsidP="00CB1B3A">
      <w:pPr>
        <w:pStyle w:val="Stytleparagraphe"/>
      </w:pPr>
    </w:p>
    <w:p w14:paraId="2666940D" w14:textId="77777777" w:rsidR="002621AE" w:rsidRDefault="002621AE" w:rsidP="00CB1B3A">
      <w:pPr>
        <w:pStyle w:val="Stytleparagraphe"/>
      </w:pPr>
    </w:p>
    <w:p w14:paraId="484A85FF" w14:textId="77777777" w:rsidR="002621AE" w:rsidRDefault="002621AE" w:rsidP="00CB1B3A">
      <w:pPr>
        <w:pStyle w:val="Stytleparagraphe"/>
      </w:pPr>
    </w:p>
    <w:p w14:paraId="6E036838" w14:textId="77777777" w:rsidR="002621AE" w:rsidRDefault="002621AE" w:rsidP="00CB1B3A">
      <w:pPr>
        <w:pStyle w:val="Stytleparagraphe"/>
      </w:pPr>
    </w:p>
    <w:p w14:paraId="13C20B5B" w14:textId="77777777" w:rsidR="002621AE" w:rsidRDefault="002621AE" w:rsidP="00CB1B3A">
      <w:pPr>
        <w:pStyle w:val="Stytleparagraphe"/>
      </w:pPr>
    </w:p>
    <w:p w14:paraId="163A61D3" w14:textId="77777777" w:rsidR="002621AE" w:rsidRDefault="002621AE" w:rsidP="00CB1B3A">
      <w:pPr>
        <w:pStyle w:val="Stytleparagraphe"/>
      </w:pPr>
    </w:p>
    <w:p w14:paraId="58C7A53B" w14:textId="77777777" w:rsidR="002621AE" w:rsidRDefault="002621AE" w:rsidP="00CB1B3A">
      <w:pPr>
        <w:pStyle w:val="Stytleparagraphe"/>
      </w:pPr>
    </w:p>
    <w:p w14:paraId="7E1AB081" w14:textId="77777777" w:rsidR="002621AE" w:rsidRDefault="002621AE" w:rsidP="00CB1B3A">
      <w:pPr>
        <w:pStyle w:val="Stytleparagraphe"/>
      </w:pPr>
    </w:p>
    <w:p w14:paraId="60F25087" w14:textId="77777777" w:rsidR="002621AE" w:rsidRDefault="002621AE" w:rsidP="00CB1B3A">
      <w:pPr>
        <w:pStyle w:val="Stytleparagraphe"/>
      </w:pPr>
    </w:p>
    <w:p w14:paraId="4B083B0F" w14:textId="77777777" w:rsidR="002621AE" w:rsidRDefault="002621AE" w:rsidP="00CB1B3A">
      <w:pPr>
        <w:pStyle w:val="Stytleparagraphe"/>
      </w:pPr>
    </w:p>
    <w:p w14:paraId="15CE9D7F" w14:textId="77777777" w:rsidR="002621AE" w:rsidRDefault="002621AE" w:rsidP="00CB1B3A">
      <w:pPr>
        <w:pStyle w:val="Stytleparagraphe"/>
      </w:pPr>
    </w:p>
    <w:p w14:paraId="327CCBF5" w14:textId="77777777" w:rsidR="002621AE" w:rsidRDefault="002621AE" w:rsidP="00CB1B3A">
      <w:pPr>
        <w:pStyle w:val="Stytleparagraphe"/>
      </w:pPr>
    </w:p>
    <w:p w14:paraId="78A94008" w14:textId="6492B4D9" w:rsidR="002621AE" w:rsidRDefault="004A0E98" w:rsidP="004A0E98">
      <w:pPr>
        <w:pStyle w:val="Stytleparagraphe"/>
        <w:tabs>
          <w:tab w:val="left" w:pos="6874"/>
        </w:tabs>
      </w:pPr>
      <w:r>
        <w:tab/>
      </w:r>
    </w:p>
    <w:p w14:paraId="74D50810" w14:textId="44EAFDD1" w:rsidR="004F7785" w:rsidRDefault="001E0146" w:rsidP="0018798A">
      <w:pPr>
        <w:pStyle w:val="Style2"/>
        <w:numPr>
          <w:ilvl w:val="0"/>
          <w:numId w:val="8"/>
        </w:numPr>
        <w:tabs>
          <w:tab w:val="left" w:pos="6874"/>
        </w:tabs>
      </w:pPr>
      <w:bookmarkStart w:id="164" w:name="_Toc379387551"/>
      <w:bookmarkStart w:id="165" w:name="_Toc379807336"/>
      <w:bookmarkStart w:id="166" w:name="_Toc380653896"/>
      <w:bookmarkStart w:id="167" w:name="_Toc380744130"/>
      <w:bookmarkStart w:id="168" w:name="_Toc380946386"/>
      <w:bookmarkStart w:id="169" w:name="_Toc383883950"/>
      <w:bookmarkStart w:id="170" w:name="_Toc384754067"/>
      <w:bookmarkStart w:id="171" w:name="_Toc384756488"/>
      <w:bookmarkStart w:id="172" w:name="_Toc384816084"/>
      <w:bookmarkStart w:id="173" w:name="_Toc384826800"/>
      <w:r>
        <w:rPr>
          <w:noProof/>
          <w:lang w:val="en-US"/>
        </w:rPr>
        <w:drawing>
          <wp:anchor distT="0" distB="0" distL="114300" distR="114300" simplePos="0" relativeHeight="251668480" behindDoc="0" locked="0" layoutInCell="1" allowOverlap="1" wp14:anchorId="66C64D65" wp14:editId="41D79615">
            <wp:simplePos x="0" y="0"/>
            <wp:positionH relativeFrom="column">
              <wp:posOffset>-342900</wp:posOffset>
            </wp:positionH>
            <wp:positionV relativeFrom="paragraph">
              <wp:posOffset>457200</wp:posOffset>
            </wp:positionV>
            <wp:extent cx="5943600" cy="4104640"/>
            <wp:effectExtent l="0" t="0" r="0" b="10160"/>
            <wp:wrapSquare wrapText="bothSides"/>
            <wp:docPr id="10" name="Picture 10" descr="Macintosh HD:Users:eric:Downloads:484280.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wnloads:484280.fig.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04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7785">
        <w:t>Cytokines et maladies inflammatoires</w:t>
      </w:r>
      <w:bookmarkEnd w:id="164"/>
      <w:bookmarkEnd w:id="165"/>
      <w:bookmarkEnd w:id="166"/>
      <w:bookmarkEnd w:id="167"/>
      <w:bookmarkEnd w:id="168"/>
      <w:bookmarkEnd w:id="169"/>
      <w:bookmarkEnd w:id="170"/>
      <w:bookmarkEnd w:id="171"/>
      <w:bookmarkEnd w:id="172"/>
      <w:bookmarkEnd w:id="173"/>
    </w:p>
    <w:p w14:paraId="73CEC131" w14:textId="0A555D9A" w:rsidR="004F7785" w:rsidRPr="001E0146" w:rsidRDefault="004F7785" w:rsidP="001E0146">
      <w:pPr>
        <w:pStyle w:val="Style2"/>
        <w:numPr>
          <w:ilvl w:val="0"/>
          <w:numId w:val="0"/>
        </w:numPr>
        <w:tabs>
          <w:tab w:val="left" w:pos="6874"/>
        </w:tabs>
        <w:ind w:left="720"/>
      </w:pPr>
      <w:r>
        <w:rPr>
          <w:noProof/>
          <w:lang w:val="en-US"/>
        </w:rPr>
        <mc:AlternateContent>
          <mc:Choice Requires="wps">
            <w:drawing>
              <wp:anchor distT="0" distB="0" distL="114300" distR="114300" simplePos="0" relativeHeight="251670528" behindDoc="0" locked="0" layoutInCell="1" allowOverlap="1" wp14:anchorId="2F266521" wp14:editId="5BB1F934">
                <wp:simplePos x="0" y="0"/>
                <wp:positionH relativeFrom="column">
                  <wp:posOffset>-114300</wp:posOffset>
                </wp:positionH>
                <wp:positionV relativeFrom="paragraph">
                  <wp:posOffset>4063365</wp:posOffset>
                </wp:positionV>
                <wp:extent cx="5486400" cy="3429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E5EB7" w14:textId="42AEF4F0" w:rsidR="0094071B" w:rsidRPr="00CB6F65" w:rsidRDefault="0094071B" w:rsidP="004159FB">
                            <w:pPr>
                              <w:pStyle w:val="Stytleparagraphe"/>
                              <w:jc w:val="center"/>
                            </w:pPr>
                            <w:r>
                              <w:rPr>
                                <w:i/>
                              </w:rPr>
                              <w:t>Figure 3 : Voie de signalisation des cytokines (Fardellone et al. 2014)</w:t>
                            </w:r>
                          </w:p>
                          <w:p w14:paraId="357464E7" w14:textId="77777777" w:rsidR="0094071B" w:rsidRDefault="0094071B" w:rsidP="00415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8.95pt;margin-top:319.95pt;width:6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" filled="f" stroked="f">
                <v:textbox>
                  <w:txbxContent>
                    <w:p w14:paraId="4DAE5EB7" w14:textId="42AEF4F0" w:rsidR="0094071B" w:rsidRPr="00CB6F65" w:rsidRDefault="0094071B" w:rsidP="004159FB">
                      <w:pPr>
                        <w:pStyle w:val="Stytleparagraphe"/>
                        <w:jc w:val="center"/>
                      </w:pPr>
                      <w:r>
                        <w:rPr>
                          <w:i/>
                        </w:rPr>
                        <w:t>Figure 3 : Voie de signalisation des cytokines (Fardellone et al. 2014)</w:t>
                      </w:r>
                    </w:p>
                    <w:p w14:paraId="357464E7" w14:textId="77777777" w:rsidR="0094071B" w:rsidRDefault="0094071B" w:rsidP="004159FB"/>
                  </w:txbxContent>
                </v:textbox>
              </v:shape>
            </w:pict>
          </mc:Fallback>
        </mc:AlternateContent>
      </w:r>
    </w:p>
    <w:p w14:paraId="120DE459" w14:textId="77777777" w:rsidR="001E0146" w:rsidRDefault="000751E0" w:rsidP="001E0146">
      <w:pPr>
        <w:pStyle w:val="Stytleparagraphe"/>
        <w:tabs>
          <w:tab w:val="left" w:pos="6874"/>
        </w:tabs>
        <w:ind w:firstLine="360"/>
      </w:pPr>
      <w:r>
        <w:t xml:space="preserve">Les cytokines jouent un rôle </w:t>
      </w:r>
      <w:r w:rsidR="004F7785">
        <w:t xml:space="preserve">clef dans l’initiation et le déroulement de la réponse inflammatoire, notamment dans l’activation des ostéoclastes dans les processus de destruction osseuse. Dans de nombreuses maladies inflammatoires, notamment articulaires, une sur-activation ostéoclastique due à l’activité des cytokines induirait la destruction du tissu osseux. </w:t>
      </w:r>
    </w:p>
    <w:p w14:paraId="5B01CCB6" w14:textId="77777777" w:rsidR="001E0146" w:rsidRDefault="00E9782E" w:rsidP="007B297C">
      <w:pPr>
        <w:pStyle w:val="Stytleparagraphe"/>
        <w:tabs>
          <w:tab w:val="left" w:pos="6874"/>
        </w:tabs>
      </w:pPr>
      <w:r>
        <w:t xml:space="preserve">La liaison de RANK à son récepteur RANKL, protéine membranaire sécrétée par les ostéoblastes, induit la différenciation </w:t>
      </w:r>
      <w:r w:rsidR="009D218E">
        <w:t>ostéoclastique alors que l’ostéoprotégérine (OPG) se lie à RANKL et empêche cette différenciation.</w:t>
      </w:r>
      <w:r w:rsidR="001E0146">
        <w:t xml:space="preserve"> Le rapport RANKL/OPG est donc primordial dans la régulation de la résorption osseuse</w:t>
      </w:r>
    </w:p>
    <w:p w14:paraId="3BA8C257" w14:textId="3F0DD7CB" w:rsidR="001E0146" w:rsidRDefault="001E0146" w:rsidP="001E0146">
      <w:pPr>
        <w:pStyle w:val="Stytleparagraphe"/>
        <w:tabs>
          <w:tab w:val="left" w:pos="6874"/>
        </w:tabs>
        <w:ind w:firstLine="360"/>
      </w:pPr>
      <w:r>
        <w:t xml:space="preserve">Les cytokines pro-inflammatoires TNF-α et l’IL-1 régulent positivement l’expression de RANKL chez les patients et augmentent le rapport RANKL/OPG chez les patients atteints de polyarthrite rhumatoïde, inhibant la formation osseuse et activant les ostéoclastes et donc la résorption osseuse </w:t>
      </w:r>
      <w:r>
        <w:fldChar w:fldCharType="begin"/>
      </w:r>
      <w:r>
        <w:instrText xml:space="preserve"> ADDIN ZOTERO_ITEM CSL_CITATION {"citationID":"57WsnPa1","properties":{"formattedCitation":"(Fardellone et al. 2014)","plainCitation":"(Fardellone et al. 2014)"},"citationItems":[{"id":161,"uris":["http://zotero.org/users/local/Y4Qp1Cr8/items/IKQV9JX6"],"uri":["http://zotero.org/users/local/Y4Qp1Cr8/items/IKQV9JX6"],"itemData":{"id":161,"type":"article-journal","title":"Bone remodelling markers in rheumatoid arthritis","container-title":"Mediators of Inflammation","page":"484280","volume":"2014","source":"PubMed","abstract":"Bone loss in rheumatoid arthritis (RA) patients results from chronic inflammation and can lead to osteoporosis and fractures. A few bone remodeling markers have been studied in RA witnessing bone formation (osteocalcin), serum aminoterminal propeptide of type I collagen (PINP), serum carboxyterminal propeptide of type I collagen (ICTP), bone alkaline phosphatase (BAP), osteocalcin (OC), and bone resorption: C-terminal telopeptide of type 1 collagen (I-CTX), N-terminal telopeptide of type 1 collagen (I-NTX), pyridinolines (DPD and PYD), and tartrate-resistant acid phosphatase (TRAP). Bone resorption can be seen either in periarticular bone (demineralization and erosion) or in the total skeleton (osteoporosis). Whatever the location, bone resorption results from activation of osteoclasts when the ratio between osteoprotegerin and receptor activator of nuclear factor kappa-B ligand (OPG/RANKL) is decreased under influence of various proinflammatory cytokines. Bone remodeling markers also allow physicians to evaluate the effect of drugs used in RA like biologic agents, which reduce inflammation and exert a protecting effect on bone. We will discuss in this review changes in bone markers remodeling in patients with RA treated with biologics.","DOI":"10.1155/2014/484280","ISSN":"1466-1861","note":"PMID: 24839355\nPMCID: PMC4009257","journalAbbreviation":"Mediators Inflamm.","language":"eng","author":[{"family":"Fardellone","given":"Patrice"},{"family":"Séjourné","given":"Alice"},{"family":"Paccou","given":"Julien"},{"family":"Goëb","given":"Vincent"}],"issued":{"date-parts":[["2014"]]}}}],"schema":"https://github.com/citation-style-language/schema/raw/master/csl-citation.json"} </w:instrText>
      </w:r>
      <w:r>
        <w:fldChar w:fldCharType="separate"/>
      </w:r>
      <w:r>
        <w:rPr>
          <w:noProof/>
        </w:rPr>
        <w:t>(Fardellone et al. 2014)</w:t>
      </w:r>
      <w:r>
        <w:fldChar w:fldCharType="end"/>
      </w:r>
      <w:r>
        <w:t xml:space="preserve">. </w:t>
      </w:r>
    </w:p>
    <w:p w14:paraId="75DAFC98" w14:textId="706AC366" w:rsidR="00CB1B3A" w:rsidRDefault="00705BF9" w:rsidP="0018798A">
      <w:pPr>
        <w:pStyle w:val="Style2"/>
        <w:numPr>
          <w:ilvl w:val="0"/>
          <w:numId w:val="8"/>
        </w:numPr>
      </w:pPr>
      <w:bookmarkStart w:id="174" w:name="_Toc379376296"/>
      <w:bookmarkStart w:id="175" w:name="_Toc379387552"/>
      <w:bookmarkStart w:id="176" w:name="_Toc379807337"/>
      <w:bookmarkStart w:id="177" w:name="_Toc380653897"/>
      <w:bookmarkStart w:id="178" w:name="_Toc380744131"/>
      <w:bookmarkStart w:id="179" w:name="_Toc380946387"/>
      <w:bookmarkStart w:id="180" w:name="_Toc383883951"/>
      <w:bookmarkStart w:id="181" w:name="_Toc384754068"/>
      <w:bookmarkStart w:id="182" w:name="_Toc384756489"/>
      <w:bookmarkStart w:id="183" w:name="_Toc384816085"/>
      <w:bookmarkStart w:id="184" w:name="_Toc384826801"/>
      <w:r>
        <w:t>La thérapie aux anti-cytokines</w:t>
      </w:r>
      <w:bookmarkEnd w:id="174"/>
      <w:bookmarkEnd w:id="175"/>
      <w:bookmarkEnd w:id="176"/>
      <w:bookmarkEnd w:id="177"/>
      <w:bookmarkEnd w:id="178"/>
      <w:bookmarkEnd w:id="179"/>
      <w:bookmarkEnd w:id="180"/>
      <w:bookmarkEnd w:id="181"/>
      <w:bookmarkEnd w:id="182"/>
      <w:bookmarkEnd w:id="183"/>
      <w:bookmarkEnd w:id="184"/>
    </w:p>
    <w:p w14:paraId="04B1BC9F" w14:textId="77777777" w:rsidR="00DB16CB" w:rsidRDefault="00DB16CB" w:rsidP="00F27519">
      <w:pPr>
        <w:pStyle w:val="Stytleparagraphe"/>
        <w:ind w:firstLine="360"/>
      </w:pPr>
    </w:p>
    <w:p w14:paraId="319DE453" w14:textId="0B3D401C" w:rsidR="00DB16CB" w:rsidRDefault="00DB16CB" w:rsidP="0018798A">
      <w:pPr>
        <w:pStyle w:val="Style3"/>
        <w:numPr>
          <w:ilvl w:val="0"/>
          <w:numId w:val="9"/>
        </w:numPr>
      </w:pPr>
      <w:bookmarkStart w:id="185" w:name="_Toc379376297"/>
      <w:bookmarkStart w:id="186" w:name="_Toc379387553"/>
      <w:bookmarkStart w:id="187" w:name="_Toc379807338"/>
      <w:bookmarkStart w:id="188" w:name="_Toc380653898"/>
      <w:bookmarkStart w:id="189" w:name="_Toc380744132"/>
      <w:bookmarkStart w:id="190" w:name="_Toc380946388"/>
      <w:bookmarkStart w:id="191" w:name="_Toc383883952"/>
      <w:bookmarkStart w:id="192" w:name="_Toc384754069"/>
      <w:bookmarkStart w:id="193" w:name="_Toc384756490"/>
      <w:bookmarkStart w:id="194" w:name="_Toc384816086"/>
      <w:bookmarkStart w:id="195" w:name="_Toc384826802"/>
      <w:r>
        <w:t>Anti-cytokines et maladies auto-immunes</w:t>
      </w:r>
      <w:bookmarkEnd w:id="185"/>
      <w:bookmarkEnd w:id="186"/>
      <w:bookmarkEnd w:id="187"/>
      <w:bookmarkEnd w:id="188"/>
      <w:bookmarkEnd w:id="189"/>
      <w:bookmarkEnd w:id="190"/>
      <w:bookmarkEnd w:id="191"/>
      <w:bookmarkEnd w:id="192"/>
      <w:bookmarkEnd w:id="193"/>
      <w:bookmarkEnd w:id="194"/>
      <w:bookmarkEnd w:id="195"/>
    </w:p>
    <w:p w14:paraId="34ECAF0B" w14:textId="00826516" w:rsidR="00705BF9" w:rsidRDefault="00F27519" w:rsidP="00F27519">
      <w:pPr>
        <w:pStyle w:val="Stytleparagraphe"/>
        <w:ind w:firstLine="360"/>
      </w:pPr>
      <w:r>
        <w:t>E</w:t>
      </w:r>
      <w:r w:rsidR="000154AE">
        <w:t>n</w:t>
      </w:r>
      <w:r>
        <w:t xml:space="preserve"> 1974, un</w:t>
      </w:r>
      <w:r w:rsidR="000154AE">
        <w:t xml:space="preserve"> sérum anti-interféron </w:t>
      </w:r>
      <w:r w:rsidR="006103DD">
        <w:t xml:space="preserve">à visée thérapeutique </w:t>
      </w:r>
      <w:r w:rsidR="000154AE">
        <w:t xml:space="preserve">a alors été développé </w:t>
      </w:r>
      <w:r>
        <w:t xml:space="preserve">par Skurkovich et al., en démontrant le rôle </w:t>
      </w:r>
      <w:r w:rsidR="006103DD">
        <w:t xml:space="preserve">majeur </w:t>
      </w:r>
      <w:r>
        <w:t xml:space="preserve">des interférons dans la réponse immunitaire </w:t>
      </w:r>
      <w:r w:rsidR="007622FB">
        <w:fldChar w:fldCharType="begin"/>
      </w:r>
      <w:r w:rsidR="007622FB">
        <w:instrText xml:space="preserve"> ADDIN ZOTERO_ITEM CSL_CITATION {"citationID":"yd7BIHav","properties":{"formattedCitation":"(Skurkovich et al. 1974)","plainCitation":"(Skurkovich et al. 1974)"},"citationItems":[{"id":144,"uris":["http://zotero.org/users/local/Y4Qp1Cr8/items/52BPZP7I"],"uri":["http://zotero.org/users/local/Y4Qp1Cr8/items/52BPZP7I"],"itemData":{"id":144,"type":"article-journal","title":"Immunosuppressive effect of an anti-interferon serum","container-title":"Nature","page":"551-552","volume":"247","issue":"5442","source":"PubMed","ISSN":"0028-0836","note":"PMID: 4818554","journalAbbreviation":"Nature","language":"eng","author":[{"family":"Skurkovich","given":"S. V."},{"family":"Klinova","given":"E. G."},{"family":"Eremkina","given":"E. I."},{"family":"Levina","given":"N. V."}],"issued":{"date-parts":[["1974",2,22]]}}}],"schema":"https://github.com/citation-style-language/schema/raw/master/csl-citation.json"} </w:instrText>
      </w:r>
      <w:r w:rsidR="007622FB">
        <w:fldChar w:fldCharType="separate"/>
      </w:r>
      <w:r w:rsidR="007622FB">
        <w:rPr>
          <w:noProof/>
        </w:rPr>
        <w:t>(Skurkovich et al. 1974)</w:t>
      </w:r>
      <w:r w:rsidR="007622FB">
        <w:fldChar w:fldCharType="end"/>
      </w:r>
      <w:r>
        <w:t xml:space="preserve">. </w:t>
      </w:r>
    </w:p>
    <w:p w14:paraId="47D13768" w14:textId="46777F7E" w:rsidR="00DB16CB" w:rsidRDefault="006103DD" w:rsidP="003A005C">
      <w:pPr>
        <w:pStyle w:val="Stytleparagraphe"/>
        <w:ind w:firstLine="360"/>
      </w:pPr>
      <w:r>
        <w:t>À travers les années, l’usage des anti-cytokines dans le traitement des maladies auto-immunes et inflammatoires s’est généralisé, améliorant significativement</w:t>
      </w:r>
      <w:r w:rsidR="003A005C">
        <w:t xml:space="preserve"> la qualité de vie des patients. Une meilleure compréhension du rôle des cytokines dans ces maladies et dans la maintenance de la réaction inflammatoire et l’identification de leur persistance dans le système a permis de développer des thérapies </w:t>
      </w:r>
      <w:r w:rsidR="003D3A47">
        <w:t xml:space="preserve">de plus en plus ciblées et efficaces </w:t>
      </w:r>
      <w:r>
        <w:fldChar w:fldCharType="begin"/>
      </w:r>
      <w:r>
        <w:instrText xml:space="preserve"> ADDIN ZOTERO_ITEM CSL_CITATION {"citationID":"0J6bi8wr","properties":{"formattedCitation":"(Siebert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fldChar w:fldCharType="separate"/>
      </w:r>
      <w:r>
        <w:rPr>
          <w:noProof/>
        </w:rPr>
        <w:t>(Siebert et al. 2015)</w:t>
      </w:r>
      <w:r>
        <w:fldChar w:fldCharType="end"/>
      </w:r>
      <w:r>
        <w:t xml:space="preserve">. </w:t>
      </w:r>
    </w:p>
    <w:p w14:paraId="03F77F78" w14:textId="77777777" w:rsidR="008C4646" w:rsidRDefault="003D3A47" w:rsidP="00D9668A">
      <w:pPr>
        <w:pStyle w:val="Stytleparagraphe"/>
        <w:ind w:firstLine="360"/>
      </w:pPr>
      <w:r>
        <w:t>L’usage de ces molécules ciblant les cytokines s’est notamment développé dans le traitement de la polyarthrite rhumatoïde sévère</w:t>
      </w:r>
      <w:r w:rsidR="000766AE">
        <w:t xml:space="preserve"> résistante aux antirhumatismaux classiques </w:t>
      </w:r>
      <w:r w:rsidR="000766AE">
        <w:fldChar w:fldCharType="begin"/>
      </w:r>
      <w:r w:rsidR="000766AE">
        <w:instrText xml:space="preserve"> ADDIN ZOTERO_ITEM CSL_CITATION {"citationID":"TOMhjRCq","properties":{"formattedCitation":"(Keyser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rsidR="000766AE">
        <w:fldChar w:fldCharType="separate"/>
      </w:r>
      <w:r w:rsidR="000766AE">
        <w:rPr>
          <w:noProof/>
        </w:rPr>
        <w:t>(Keyser 2011)</w:t>
      </w:r>
      <w:r w:rsidR="000766AE">
        <w:fldChar w:fldCharType="end"/>
      </w:r>
      <w:r>
        <w:t xml:space="preserve">, améliorant le pronostic et la rémission clinique chez ces patients. Diverses thérapeutiques ont </w:t>
      </w:r>
      <w:r w:rsidR="00D9668A">
        <w:t>alors été reconnues, telles que les inhibiteurs de TNF-α</w:t>
      </w:r>
      <w:r w:rsidR="00D9668A" w:rsidRPr="00D9668A">
        <w:t xml:space="preserve"> </w:t>
      </w:r>
      <w:r w:rsidR="00D9668A">
        <w:t>(</w:t>
      </w:r>
      <w:r w:rsidR="00D9668A" w:rsidRPr="00D9668A">
        <w:t>infliximab, etanercept, adalimumab, golimumab and certolizumab pegol)</w:t>
      </w:r>
      <w:r w:rsidR="00D9668A">
        <w:t xml:space="preserve">, un antagoniste des récepteurs d’IL-6 </w:t>
      </w:r>
      <w:r w:rsidR="00D9668A" w:rsidRPr="00D9668A">
        <w:t>(tocilizumab)</w:t>
      </w:r>
      <w:r w:rsidR="00D9668A">
        <w:t xml:space="preserve"> ou un antagoniste des récepteurs de l’IL-1 (anakinra) </w:t>
      </w:r>
      <w:r w:rsidR="000766AE">
        <w:fldChar w:fldCharType="begin"/>
      </w:r>
      <w:r w:rsidR="000766AE">
        <w:instrText xml:space="preserve"> ADDIN ZOTERO_ITEM CSL_CITATION {"citationID":"bfHxsUw7","properties":{"formattedCitation":"(Wang D 2014)","plainCitation":"(Wang D 2014)"},"citationItems":[{"id":157,"uris":["http://zotero.org/users/local/Y4Qp1Cr8/items/3S2S7K3X"],"uri":["http://zotero.org/users/local/Y4Qp1Cr8/items/3S2S7K3X"],"itemData":{"id":157,"type":"webpage","title":"The use of biologic therapies in the treatment of rheumatoid arthritis. - PubMed - NCBI","URL":"https://www.ncbi.nlm.nih.gov/pubmed/25213363","author":[{"family":"Wang D","given":""}],"issued":{"date-parts":[["2014"]]},"accessed":{"date-parts":[["2018",2,4]]}}}],"schema":"https://github.com/citation-style-language/schema/raw/master/csl-citation.json"} </w:instrText>
      </w:r>
      <w:r w:rsidR="000766AE">
        <w:fldChar w:fldCharType="separate"/>
      </w:r>
      <w:r w:rsidR="000766AE">
        <w:rPr>
          <w:noProof/>
        </w:rPr>
        <w:t>(Wang D 2014)</w:t>
      </w:r>
      <w:r w:rsidR="000766AE">
        <w:fldChar w:fldCharType="end"/>
      </w:r>
      <w:r w:rsidR="00D22913">
        <w:t>.</w:t>
      </w:r>
      <w:r w:rsidR="003179B8">
        <w:t xml:space="preserve"> </w:t>
      </w:r>
    </w:p>
    <w:p w14:paraId="23DEE841" w14:textId="1CE84FD2" w:rsidR="00D9668A" w:rsidRDefault="003179B8" w:rsidP="00D9668A">
      <w:pPr>
        <w:pStyle w:val="Stytleparagraphe"/>
        <w:ind w:firstLine="360"/>
      </w:pPr>
      <w:r>
        <w:t xml:space="preserve">Ces molécules sont capables de prévenir les érosions articulaires et pertes osseuses chez les patients atteintes de </w:t>
      </w:r>
      <w:r w:rsidR="004A0E98">
        <w:t>PR</w:t>
      </w:r>
      <w:r w:rsidR="008C4646">
        <w:t xml:space="preserve">. </w:t>
      </w:r>
      <w:r w:rsidR="00A71702">
        <w:t>Fardellone mesure cet effet préventif à l’aide de la BMD (bone mineral density). Bien que les marqueurs de remodelage osseux so</w:t>
      </w:r>
      <w:r w:rsidR="005C0BEE">
        <w:t>ie</w:t>
      </w:r>
      <w:r w:rsidR="00A71702">
        <w:t>nt hétérogènes en fonction des études, les anti-TNF-α engendreraient une légère diminution de la résorption osseuse et une augmentation de la formation osseuse chez l’Homme. In vitro et chez la souris transgénique, le blocage d’IL-6 réduit la différenciation ostéoclastique et la résorption osseuse.</w:t>
      </w:r>
      <w:r w:rsidR="004A0E98">
        <w:t xml:space="preserve"> L’effet anti-inflammatoire de l’anti-IL-6 a été confirmé chez l’Homme et permet de corriger les troubles de l’homéostasie dus à la PR </w:t>
      </w:r>
      <w:r w:rsidR="004A0E98">
        <w:fldChar w:fldCharType="begin"/>
      </w:r>
      <w:r w:rsidR="004A0E98">
        <w:instrText xml:space="preserve"> ADDIN ZOTERO_ITEM CSL_CITATION {"citationID":"oLjAaoOS","properties":{"formattedCitation":"(Fardellone et al. 2014)","plainCitation":"(Fardellone et al. 2014)"},"citationItems":[{"id":161,"uris":["http://zotero.org/users/local/Y4Qp1Cr8/items/IKQV9JX6"],"uri":["http://zotero.org/users/local/Y4Qp1Cr8/items/IKQV9JX6"],"itemData":{"id":161,"type":"article-journal","title":"Bone remodelling markers in rheumatoid arthritis","container-title":"Mediators of Inflammation","page":"484280","volume":"2014","source":"PubMed","abstract":"Bone loss in rheumatoid arthritis (RA) patients results from chronic inflammation and can lead to osteoporosis and fractures. A few bone remodeling markers have been studied in RA witnessing bone formation (osteocalcin), serum aminoterminal propeptide of type I collagen (PINP), serum carboxyterminal propeptide of type I collagen (ICTP), bone alkaline phosphatase (BAP), osteocalcin (OC), and bone resorption: C-terminal telopeptide of type 1 collagen (I-CTX), N-terminal telopeptide of type 1 collagen (I-NTX), pyridinolines (DPD and PYD), and tartrate-resistant acid phosphatase (TRAP). Bone resorption can be seen either in periarticular bone (demineralization and erosion) or in the total skeleton (osteoporosis). Whatever the location, bone resorption results from activation of osteoclasts when the ratio between osteoprotegerin and receptor activator of nuclear factor kappa-B ligand (OPG/RANKL) is decreased under influence of various proinflammatory cytokines. Bone remodeling markers also allow physicians to evaluate the effect of drugs used in RA like biologic agents, which reduce inflammation and exert a protecting effect on bone. We will discuss in this review changes in bone markers remodeling in patients with RA treated with biologics.","DOI":"10.1155/2014/484280","ISSN":"1466-1861","note":"PMID: 24839355\nPMCID: PMC4009257","journalAbbreviation":"Mediators Inflamm.","language":"eng","author":[{"family":"Fardellone","given":"Patrice"},{"family":"Séjourné","given":"Alice"},{"family":"Paccou","given":"Julien"},{"family":"Goëb","given":"Vincent"}],"issued":{"date-parts":[["2014"]]}}}],"schema":"https://github.com/citation-style-language/schema/raw/master/csl-citation.json"} </w:instrText>
      </w:r>
      <w:r w:rsidR="004A0E98">
        <w:fldChar w:fldCharType="separate"/>
      </w:r>
      <w:r w:rsidR="004A0E98">
        <w:rPr>
          <w:noProof/>
        </w:rPr>
        <w:t>(Fardellone et al. 2014)</w:t>
      </w:r>
      <w:r w:rsidR="004A0E98">
        <w:fldChar w:fldCharType="end"/>
      </w:r>
      <w:r w:rsidR="004A0E98">
        <w:t>.</w:t>
      </w:r>
    </w:p>
    <w:p w14:paraId="556A8714" w14:textId="77777777" w:rsidR="003A005C" w:rsidRDefault="003A005C" w:rsidP="004159FB">
      <w:pPr>
        <w:pStyle w:val="Stytleparagraphe"/>
      </w:pPr>
    </w:p>
    <w:p w14:paraId="4D05B385" w14:textId="77777777" w:rsidR="008C4646" w:rsidRDefault="008C4646" w:rsidP="004159FB">
      <w:pPr>
        <w:pStyle w:val="Stytleparagraphe"/>
      </w:pPr>
    </w:p>
    <w:p w14:paraId="7162D5FE" w14:textId="1C3C529A" w:rsidR="003D3A47" w:rsidRDefault="003D3A47" w:rsidP="0018798A">
      <w:pPr>
        <w:pStyle w:val="Style3"/>
        <w:numPr>
          <w:ilvl w:val="0"/>
          <w:numId w:val="9"/>
        </w:numPr>
      </w:pPr>
      <w:bookmarkStart w:id="196" w:name="_Toc379376298"/>
      <w:bookmarkStart w:id="197" w:name="_Toc379387554"/>
      <w:bookmarkStart w:id="198" w:name="_Toc379807339"/>
      <w:bookmarkStart w:id="199" w:name="_Toc380653899"/>
      <w:bookmarkStart w:id="200" w:name="_Toc380744133"/>
      <w:bookmarkStart w:id="201" w:name="_Toc380946389"/>
      <w:bookmarkStart w:id="202" w:name="_Toc383883953"/>
      <w:bookmarkStart w:id="203" w:name="_Toc384754070"/>
      <w:bookmarkStart w:id="204" w:name="_Toc384756491"/>
      <w:bookmarkStart w:id="205" w:name="_Toc384816087"/>
      <w:bookmarkStart w:id="206" w:name="_Toc384826803"/>
      <w:r>
        <w:t>Limite</w:t>
      </w:r>
      <w:r w:rsidR="000766AE">
        <w:t>s</w:t>
      </w:r>
      <w:r>
        <w:t xml:space="preserve"> des anti-cytokines</w:t>
      </w:r>
      <w:bookmarkEnd w:id="196"/>
      <w:bookmarkEnd w:id="197"/>
      <w:bookmarkEnd w:id="198"/>
      <w:bookmarkEnd w:id="199"/>
      <w:bookmarkEnd w:id="200"/>
      <w:bookmarkEnd w:id="201"/>
      <w:bookmarkEnd w:id="202"/>
      <w:bookmarkEnd w:id="203"/>
      <w:bookmarkEnd w:id="204"/>
      <w:bookmarkEnd w:id="205"/>
      <w:bookmarkEnd w:id="206"/>
    </w:p>
    <w:p w14:paraId="635ACFE0" w14:textId="36CB8AF9" w:rsidR="00D4354C" w:rsidRDefault="00D4354C" w:rsidP="00625600">
      <w:pPr>
        <w:pStyle w:val="Stytleparagraphe"/>
        <w:ind w:firstLine="360"/>
      </w:pPr>
      <w:r>
        <w:t>Bien que les bénéfices des traitement aux anti-cytokines aient été mis en évidence, notamment dans la suppression des cascades inflammatoires et donc dans la symptomatologie des maladies inflammatoires, l’usage de ces molécules n’est pas anodin et comporte des limites non négligeables.</w:t>
      </w:r>
    </w:p>
    <w:p w14:paraId="399F31FF" w14:textId="1C8696EC" w:rsidR="00D4354C" w:rsidRDefault="004A0E98" w:rsidP="00625600">
      <w:pPr>
        <w:pStyle w:val="Stytleparagraphe"/>
      </w:pPr>
      <w:r>
        <w:t>Même si</w:t>
      </w:r>
      <w:r w:rsidR="00D4354C">
        <w:t xml:space="preserve"> l’usage des anti-cytokines </w:t>
      </w:r>
      <w:r>
        <w:t>est</w:t>
      </w:r>
      <w:r w:rsidR="00D4354C">
        <w:t xml:space="preserve"> ciblé en fonction de la maladie et du patient, dans de nombreux cas les réponses à ces thérapeutiques sont absentes ou partielles et non soutenues à long terme </w:t>
      </w:r>
      <w:r w:rsidR="00D4354C">
        <w:fldChar w:fldCharType="begin"/>
      </w:r>
      <w:r w:rsidR="00D4354C">
        <w:instrText xml:space="preserve"> ADDIN ZOTERO_ITEM CSL_CITATION {"citationID":"XgEhpQ2n","properties":{"formattedCitation":"(Siebert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rsidR="00D4354C">
        <w:fldChar w:fldCharType="separate"/>
      </w:r>
      <w:r w:rsidR="00D4354C">
        <w:rPr>
          <w:noProof/>
        </w:rPr>
        <w:t>(Siebert et al. 2015)</w:t>
      </w:r>
      <w:r w:rsidR="00D4354C">
        <w:fldChar w:fldCharType="end"/>
      </w:r>
      <w:r w:rsidR="00D4354C">
        <w:t>.</w:t>
      </w:r>
    </w:p>
    <w:p w14:paraId="3ECF89AC" w14:textId="7882030A" w:rsidR="00625600" w:rsidRDefault="00D4354C" w:rsidP="00625600">
      <w:pPr>
        <w:pStyle w:val="Stytleparagraphe"/>
      </w:pPr>
      <w:r>
        <w:t xml:space="preserve">Par ailleurs, le coût de ces thérapeutiques est très élevé, rendant son accès et son utilisation plus difficile que les thérapeutiques classiques </w:t>
      </w:r>
      <w:r>
        <w:fldChar w:fldCharType="begin"/>
      </w:r>
      <w:r>
        <w:instrText xml:space="preserve"> ADDIN ZOTERO_ITEM CSL_CITATION {"citationID":"rVJEKK4s","properties":{"formattedCitation":"(Siebert et al. 2015)","plainCitation":"(Siebert et al. 2015)"},"citationItems":[{"id":147,"uris":["http://zotero.org/users/local/Y4Qp1Cr8/items/GX6XTIBB"],"uri":["http://zotero.org/users/local/Y4Qp1Cr8/items/GX6XTIBB"],"itemData":{"id":147,"type":"article-journal","title":"Cytokines as therapeutic targets in rheumatoid arthritis and other inflammatory diseases","container-title":"Pharmacological Reviews","page":"280-309","volume":"67","issue":"2","source":"PubMed","abstract":"The human immune system involves highly complex and coordinated processes in which small proteins named cytokines play a key role. Cytokines have been implicated in the pathogenesis of a number of inflammatory and autoimmune diseases. Cytokines are therefore attractive therapeutic targets in these conditions. Anticytokine therapy for inflammatory diseases became a clinical reality with the introduction of tumor necrosis factor (TNF) inhibitors for the treatment of severe rheumatoid arthritis. Although these therapies have transformed the treatment of patients with severe inflammatory arthritis, there remain significant limiting factors: treatment failure is commonly seen in the clinic; safety concerns remain; there is uncertainty regarding the relevance of immunogenicity; the absence of biomarkers to direct therapy decisions and high drug costs limit availability in some healthcare systems. In this article, we provide an overview of the key efficacy and safety trials for currently approved treatments in rheumatoid arthritis and review the major lessons learned from a decade of use in clinical practice, focusing mainly on anti-TNF and anti-interleukin (IL)-6 agents. We also describe the clinical application of anticytokine therapies for other inflammatory diseases, particularly within the spondyloarthritis spectrum, and highlight differential responses across diseases. Finally, we report on the current state of trials for newer therapeutic targets, focusing mainly on the IL-17 and IL-23 pathways.","DOI":"10.1124/pr.114.009639","ISSN":"1521-0081","note":"PMID: 25697599","journalAbbreviation":"Pharmacol. Rev.","language":"eng","author":[{"family":"Siebert","given":"Stefan"},{"family":"Tsoukas","given":"Alexander"},{"family":"Robertson","given":"Jamie"},{"family":"McInnes","given":"Iain"}],"issued":{"date-parts":[["2015"]]}}}],"schema":"https://github.com/citation-style-language/schema/raw/master/csl-citation.json"} </w:instrText>
      </w:r>
      <w:r>
        <w:fldChar w:fldCharType="separate"/>
      </w:r>
      <w:r>
        <w:rPr>
          <w:noProof/>
        </w:rPr>
        <w:t>(Siebert et al. 2015)</w:t>
      </w:r>
      <w:r>
        <w:fldChar w:fldCharType="end"/>
      </w:r>
      <w:r>
        <w:t xml:space="preserve"> </w:t>
      </w:r>
      <w:r>
        <w:fldChar w:fldCharType="begin"/>
      </w:r>
      <w:r>
        <w:instrText xml:space="preserve"> ADDIN ZOTERO_ITEM CSL_CITATION {"citationID":"r0YRZ5rH","properties":{"formattedCitation":"(Keyser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fldChar w:fldCharType="separate"/>
      </w:r>
      <w:r>
        <w:rPr>
          <w:noProof/>
        </w:rPr>
        <w:t>(Keyser 2011)</w:t>
      </w:r>
      <w:r>
        <w:fldChar w:fldCharType="end"/>
      </w:r>
      <w:r>
        <w:t>.</w:t>
      </w:r>
    </w:p>
    <w:p w14:paraId="38B65050" w14:textId="77777777" w:rsidR="00625600" w:rsidRDefault="002F2B89" w:rsidP="00625600">
      <w:pPr>
        <w:pStyle w:val="Stytleparagraphe"/>
        <w:ind w:firstLine="720"/>
      </w:pPr>
      <w:r>
        <w:t>Le</w:t>
      </w:r>
      <w:r w:rsidR="00A028CE">
        <w:t xml:space="preserve"> principal effet néfaste des anti-cytokines est le risque infectieux élevé et l’immunosuppression relative due à ces molécules. Le risque infectieux est non seulement dû aux </w:t>
      </w:r>
      <w:r w:rsidR="00625600">
        <w:t>anti-cytokines, mais est également dû aux</w:t>
      </w:r>
      <w:r w:rsidR="00A028CE">
        <w:t xml:space="preserve"> maladies justifiant l’utilisation de ces thérapeutiques</w:t>
      </w:r>
      <w:r w:rsidR="00625600">
        <w:t xml:space="preserve"> qui </w:t>
      </w:r>
      <w:r w:rsidR="00A028CE">
        <w:t>sont le plus souvent associée</w:t>
      </w:r>
      <w:r w:rsidR="00625600">
        <w:t xml:space="preserve">s à un risque infectieux accru, telles que la PR. </w:t>
      </w:r>
    </w:p>
    <w:p w14:paraId="3AE1682C" w14:textId="7724DE78" w:rsidR="00625600" w:rsidRDefault="00625600" w:rsidP="00625600">
      <w:pPr>
        <w:pStyle w:val="Stytleparagraphe"/>
      </w:pPr>
      <w:r>
        <w:t>La plupart des données disponibles sur le risque infectieux des thérapies ciblées concerne les anti-TNF-α, qui est le plus utilisé en c</w:t>
      </w:r>
      <w:r w:rsidR="0030048E">
        <w:t>linique, avec le premier agent E</w:t>
      </w:r>
      <w:r>
        <w:t xml:space="preserve">tanercept introduit en 1998. En fonction de la molécule utilisée, le risque </w:t>
      </w:r>
      <w:r w:rsidR="00AF4089">
        <w:t xml:space="preserve">de complications infectieuses est hétérogène mais </w:t>
      </w:r>
      <w:r w:rsidR="00113E43">
        <w:t>significatif et donc à mesurer en fonction de l’état de santé du patient.</w:t>
      </w:r>
    </w:p>
    <w:p w14:paraId="4143AF82" w14:textId="6DC27F0F" w:rsidR="00113E43" w:rsidRDefault="00113E43" w:rsidP="00625600">
      <w:pPr>
        <w:pStyle w:val="Stytleparagraphe"/>
      </w:pPr>
      <w:r>
        <w:t xml:space="preserve">Les complications infectieuses des thérapies ciblées sont les infections bactériennes telles que la tuberculose, le Streptococcus pneumoniae, Listeria monocytogenes et les réactivations virales telles que l’hépatite B et C, l’herpès et le virus de la varicelle. Des précautions particulières et une sélection stricte des patients sont donc obligatoires avant de débuter une thérapie biologique telles que la vérification du statut vaccinal du patient et un dépistage de la tuberculose latente </w:t>
      </w:r>
      <w:r>
        <w:fldChar w:fldCharType="begin"/>
      </w:r>
      <w:r>
        <w:instrText xml:space="preserve"> ADDIN ZOTERO_ITEM CSL_CITATION {"citationID":"obYxt5fR","properties":{"formattedCitation":"(Keyser 2011)","plainCitation":"(Keyser 2011)"},"citationItems":[{"id":154,"uris":["http://zotero.org/users/local/Y4Qp1Cr8/items/ATMD7SYM"],"uri":["http://zotero.org/users/local/Y4Qp1Cr8/items/ATMD7SYM"],"itemData":{"id":154,"type":"article-journal","title":"Choice of Biologic Therapy for Patients with Rheumatoid Arthritis: The Infection Perspective","container-title":"Current Rheumatology Reviews","page":"77-87","volume":"7","issue":"1","source":"PubMed Central","abstract":"Biologicals revolutionized the treatment of Rheumatoid Arthritis (RA). The targeted suppression of key inflammatory pathways involved in joint inflammation and destruction allows better disease control, which, however, comes at the price of an elevated infection risk due to relative immunosuppression. The disease-related infection risk and the infection risk associated with the use of TNF-α inhibitors (infliximab, adalimumab, etanercept, golimumab and certolizumab pegol), rituximab, abatacept and tocilizumab are discussed. Risk factors clinicians need to take into account when selecting the most appropriate biologic therapy for RA patients, as well as precautions and screening concerning a number of specific infections, such as tuberculosis, intracellular bacterial infections, reactivation of chronic viral infections and HIV are reviewed.","DOI":"10.2174/157339711794474620","ISSN":"1573-3971","note":"PMID: 22081766\nPMCID: PMC3182090","shortTitle":"Choice of Biologic Therapy for Patients with Rheumatoid Arthritis","journalAbbreviation":"Curr Rheumatol Rev","author":[{"family":"Keyser","given":"Filip De"}],"issued":{"date-parts":[["2011",2]]}}}],"schema":"https://github.com/citation-style-language/schema/raw/master/csl-citation.json"} </w:instrText>
      </w:r>
      <w:r>
        <w:fldChar w:fldCharType="separate"/>
      </w:r>
      <w:r>
        <w:rPr>
          <w:noProof/>
        </w:rPr>
        <w:t>(Keyser 2011)</w:t>
      </w:r>
      <w:r>
        <w:fldChar w:fldCharType="end"/>
      </w:r>
      <w:r>
        <w:t>.</w:t>
      </w:r>
    </w:p>
    <w:p w14:paraId="57FA77DA" w14:textId="77777777" w:rsidR="00113E43" w:rsidRDefault="00113E43" w:rsidP="00625600">
      <w:pPr>
        <w:pStyle w:val="Stytleparagraphe"/>
      </w:pPr>
    </w:p>
    <w:p w14:paraId="3BA8F290" w14:textId="2EBB92CA" w:rsidR="003D3A47" w:rsidRDefault="00113E43" w:rsidP="003D3A47">
      <w:pPr>
        <w:pStyle w:val="Stytleparagraphe"/>
      </w:pPr>
      <w:r>
        <w:tab/>
        <w:t xml:space="preserve">Aux vues des risques et inconvénients inhérents à la prescription des thérapeutiques aux anti-cytokines, une prise en compte de la balance bénéfice-risque pour le patient est indispensable et à mettre en relation avec les autres thérapeutiques existantes sur le marché. </w:t>
      </w:r>
    </w:p>
    <w:p w14:paraId="3221CE63" w14:textId="6A763C8B" w:rsidR="003D3A47" w:rsidRDefault="000766AE" w:rsidP="0018798A">
      <w:pPr>
        <w:pStyle w:val="Style2"/>
        <w:numPr>
          <w:ilvl w:val="0"/>
          <w:numId w:val="8"/>
        </w:numPr>
      </w:pPr>
      <w:bookmarkStart w:id="207" w:name="_Toc379376299"/>
      <w:bookmarkStart w:id="208" w:name="_Toc379387555"/>
      <w:bookmarkStart w:id="209" w:name="_Toc379807340"/>
      <w:bookmarkStart w:id="210" w:name="_Toc380653900"/>
      <w:bookmarkStart w:id="211" w:name="_Toc380744134"/>
      <w:bookmarkStart w:id="212" w:name="_Toc380946390"/>
      <w:bookmarkStart w:id="213" w:name="_Toc383883954"/>
      <w:bookmarkStart w:id="214" w:name="_Toc384754071"/>
      <w:bookmarkStart w:id="215" w:name="_Toc384756492"/>
      <w:bookmarkStart w:id="216" w:name="_Toc384816088"/>
      <w:bookmarkStart w:id="217" w:name="_Toc384826804"/>
      <w:r>
        <w:t>Les anti-cytokines en parodontologie</w:t>
      </w:r>
      <w:bookmarkEnd w:id="207"/>
      <w:bookmarkEnd w:id="208"/>
      <w:bookmarkEnd w:id="209"/>
      <w:bookmarkEnd w:id="210"/>
      <w:bookmarkEnd w:id="211"/>
      <w:bookmarkEnd w:id="212"/>
      <w:bookmarkEnd w:id="213"/>
      <w:bookmarkEnd w:id="214"/>
      <w:bookmarkEnd w:id="215"/>
      <w:bookmarkEnd w:id="216"/>
      <w:bookmarkEnd w:id="217"/>
    </w:p>
    <w:p w14:paraId="0E7FBEBD" w14:textId="77777777" w:rsidR="006C72AE" w:rsidRDefault="003A1991" w:rsidP="006C72AE">
      <w:pPr>
        <w:pStyle w:val="Stytleparagraphe"/>
        <w:ind w:firstLine="360"/>
      </w:pPr>
      <w:r>
        <w:t xml:space="preserve">Les maladies parodontales telles que la parodontite chronique et les maladies inflammatoires chroniques systémiques partagent des facteurs de risque inflammatoires communs. Les cytokines inflammatoires TNF-α, IL-1 et IL-6 sont augmentées aussi bien chez les patients atteints de maladies systémiques chroniques, chez les patients atteints de parodontites et chez les patients atteints des deux maladies à la fois. Ainsi, un déséquilibre vers une réponse immunitaire pro-inflammatoire soulignerait un lien bi-directionnel entre les parodontites et les autres maladies chroniques </w:t>
      </w:r>
      <w:r>
        <w:fldChar w:fldCharType="begin"/>
      </w:r>
      <w:r>
        <w:instrText xml:space="preserve"> ADDIN ZOTERO_ITEM CSL_CITATION {"citationID":"a2O4Vt7C","properties":{"formattedCitation":"{\\rtf (Cardoso, Reis, et Manzanares-C\\uc0\\u233{}spedes 2018)}","plainCitation":"(Cardoso, Reis, et Manzanares-Céspedes 2018)"},"citationItems":[{"id":170,"uris":["http://zotero.org/users/local/Y4Qp1Cr8/items/96S2E4CB"],"uri":["http://zotero.org/users/local/Y4Qp1Cr8/items/96S2E4CB"],"itemData":{"id":170,"type":"article-journal","title":"Chronic periodontitis, inflammatory cytokines, and interrelationship with other chronic diseases","container-title":"Postgraduate Medicine","page":"98-104","volume":"130","issue":"1","source":"PubMed","abstract":"Periodontal diseases, such as chronic periodontitis, share common inflammatory risk factors with other systemic and chronic inflammatory disorders. Mucosal tissues, such as oral epithelia, are exposed to environmental stressors, such as tobacco and oral bacteria, that might be involved in promoting a systemic inflammatory state. Conversely, chronic disorders can also affect oral health. This review will summarize recent evidence for the interrelationship between chronic periodontitis and other prevalent chronic diseases such as cardiovascular diseases, diabetes, cancer and chronic respiratory diseases. The association with pregnancy is also included due to possible obstetric complications. We will focus on inflammatory cytokines such as TNF-alpha, IL-1, and IL-6, because they have been shown to be increased in patients with chronic periodontitis, in patients with chronic systemic diseases, and in patients with both chronic periodontitis and other chronic diseases. Therefore, an imbalance towards a proinflammatory immune response could underline a bidirectional link between chronic periodontitis and other chronic diseases. Finally, we highlight that a close coordination between dental and other health professionals could promote oral health and prevent or ameliorate other chronic diseases.","DOI":"10.1080/00325481.2018.1396876","ISSN":"1941-9260","note":"PMID: 29065749","journalAbbreviation":"Postgrad Med","language":"eng","author":[{"family":"Cardoso","given":"Elsa Maria"},{"family":"Reis","given":"Cátia"},{"family":"Manzanares-Céspedes","given":"Maria Cristina"}],"issued":{"date-parts":[["2018",1]]}}}],"schema":"https://github.com/citation-style-language/schema/raw/master/csl-citation.json"} </w:instrText>
      </w:r>
      <w:r>
        <w:fldChar w:fldCharType="separate"/>
      </w:r>
      <w:r w:rsidRPr="003A1991">
        <w:rPr>
          <w:lang w:val="en-US"/>
        </w:rPr>
        <w:t>(Cardoso, Reis, et Manzanares-Céspedes 2018)</w:t>
      </w:r>
      <w:r>
        <w:fldChar w:fldCharType="end"/>
      </w:r>
      <w:r>
        <w:t>.</w:t>
      </w:r>
      <w:r w:rsidR="008A6528">
        <w:t xml:space="preserve"> </w:t>
      </w:r>
    </w:p>
    <w:p w14:paraId="5A7A75EE" w14:textId="32D99544" w:rsidR="000766AE" w:rsidRDefault="00397A10" w:rsidP="00AD7E42">
      <w:pPr>
        <w:pStyle w:val="Stytleparagraphe"/>
        <w:ind w:firstLine="360"/>
      </w:pPr>
      <w:r>
        <w:t xml:space="preserve">Une étude conduite sur le rat </w:t>
      </w:r>
      <w:r w:rsidR="006C72AE">
        <w:t xml:space="preserve">diabétique </w:t>
      </w:r>
      <w:r>
        <w:t xml:space="preserve">montre que l’antagoniste du TNF-α </w:t>
      </w:r>
      <w:r w:rsidR="006C72AE">
        <w:t xml:space="preserve">permet de diminuer l’expression de RANKL et donc la différenciation ostéoclastique, favorisant la formation osseuse. Chez le rat diabétique de type I atteint de parodontite, l’expression constitutive du TNF-α induirait donc une perte osseuse alvéolaire en activant la voie de différenciation ostéoclastique via l’expression de RANKL </w:t>
      </w:r>
      <w:r w:rsidR="006C72AE">
        <w:fldChar w:fldCharType="begin"/>
      </w:r>
      <w:r w:rsidR="005D3433">
        <w:instrText xml:space="preserve"> ADDIN ZOTERO_ITEM CSL_CITATION {"citationID":"Khh3tC3M","properties":{"formattedCitation":"(J.-H. Kim et al. 2017)","plainCitation":"(J.-H. Kim et al. 2017)","noteIndex":0},"citationItems":[{"id":168,"uris":["http://zotero.org/users/local/Y4Qp1Cr8/items/KFCFMXXC"],"uri":["http://zotero.org/users/local/Y4Qp1Cr8/items/KFCFMXXC"],"itemData":{"id":168,"type":"article-journal","title":"Tumor necrosis factor-α antagonist diminishes osteocytic RANKL and sclerostin expression in diabetes rats with periodontitis","container-title":"PloS One","page":"e0189702","volume":"12","issue":"12","source":"PubMed","abstract":"Type 1 diabetes with periodontitis shows elevated TNF-α expression. Tumor necrosis factor (TNF)-α stimulates the expression of receptor activator of nuclear factor-κB ligand (RANKL) and sclerostin. The objective of this study was to determine the effect of TNF-α expression of osteocytic RANKL and sclerostin in type 1 diabetes rats with periodontitis using infliximab (IFX), a TNF-α antagonist. Rats were divided into two timepoint groups: day 3 and day 20. Each timepoint group was then divided into four subgroups: 1) control (C, n = 6 for each time point); 2) periodontitis (P, n = 6 for each time point); 3) diabetes with periodontitis (DP, n = 8 for each time point); and 4) diabetes with periodontitis treated with IFX (DP+IFX, n = 8 for each time point). To induce type 1 diabetes, rats were injected with streptozotocin (50 mg/kg dissolved in 0.1 M citrate buffer). Periodontitis was then induced by ligature of the mandibular first molars at day 7 after STZ injection (day 0). IFX was administered once for the 3 day group (on day 0) and twice for the 20 day group (on days 7 and 14). The DP group showed greater alveolar bone loss than the P group on day 20 (P = 0.020). On day 3, higher osteoclast formation and RANKL-positive osteocytes in P group (P = 0.000 and P = 0.011, respectively) and DP group (P = 0.006 and P = 0.017, respectively) than those in C group were observed. However, there was no significant difference in osteoclast formation or RANKL-positive osteocytes between P and DP groups. The DP+IFX group exhibited lower alveolar bone loss (P = 0.041), osteoclast formation (P = 0.019), and RANKL-positive osteocytes (P = 0.009) than that of the DP group. On day 20, DP group showed a lower osteoid area (P = 0.001) and more sclerostin-positive osteocytes (P = 0.000) than P group. On days 3 and 20, the DP+IFX group showed more osteoid area (P = 0.048 and 0.040, respectively) but lower sclerostin-positive osteocytes (both P = 0.000) than DP group. Taken together, these results suggest that TNF-α antagonist can diminish osteocytic RANKL/sclerostin expression and osteoclast formation, eventually recovering osteoid formation. Therefore, TNF-α might mediate alveolar bone loss via inducing expression of osteocytic RANKL and sclerostin in type 1 diabetes rats with periodontitis.","DOI":"10.1371/journal.pone.0189702","ISSN":"1932-6203","note":"PMID: 29240821\nPMCID: PMC5730195","journalAbbreviation":"PLoS ONE","language":"eng","author":[{"family":"Kim","given":"Ji-Hye"},{"family":"Kim","given":"Ae Ri"},{"family":"Choi","given":"Yun Hui"},{"family":"Jang","given":"Sungil"},{"family":"Woo","given":"Gye-Hyeong"},{"family":"Cha","given":"Jeong-Heon"},{"family":"Bak","given":"Eun-Jung"},{"family":"Yoo","given":"Yun-Jung"}],"issued":{"date-parts":[["2017"]]}}}],"schema":"https://github.com/citation-style-language/schema/raw/master/csl-citation.json"} </w:instrText>
      </w:r>
      <w:r w:rsidR="006C72AE">
        <w:fldChar w:fldCharType="separate"/>
      </w:r>
      <w:r w:rsidR="005D3433">
        <w:rPr>
          <w:noProof/>
        </w:rPr>
        <w:t>(J.-H. Kim et al. 2017)</w:t>
      </w:r>
      <w:r w:rsidR="006C72AE">
        <w:fldChar w:fldCharType="end"/>
      </w:r>
      <w:r w:rsidR="006C72AE">
        <w:t>. De même, l</w:t>
      </w:r>
      <w:r w:rsidR="008A6528">
        <w:t>’utilisation des anti-cytokines dans le traitement de la polyarthrite rhumatoïde pourrait favoriser la guérison de la maladie parodontale</w:t>
      </w:r>
      <w:r w:rsidR="001C0D6C">
        <w:t>. Cependant, il n’y a pas d’étude qui s’intéresse au rôle des anti-cytokines dans un contexte seul de parodontite</w:t>
      </w:r>
      <w:r w:rsidR="00806ED2">
        <w:t xml:space="preserve"> chez l’Homme</w:t>
      </w:r>
      <w:r w:rsidR="008A6528">
        <w:t xml:space="preserve"> </w:t>
      </w:r>
      <w:r w:rsidR="008A6528">
        <w:fldChar w:fldCharType="begin"/>
      </w:r>
      <w:r w:rsidR="008A6528">
        <w:instrText xml:space="preserve"> ADDIN ZOTERO_ITEM CSL_CITATION {"citationID":"342uEf0R","properties":{"formattedCitation":"(Kinane et al. 2011)","plainCitation":"(Kinane et al. 2011)"},"citationItems":[{"id":164,"uris":["http://zotero.org/users/local/Y4Qp1Cr8/items/GRFIC9KW"],"uri":["http://zotero.org/users/local/Y4Qp1Cr8/items/GRFIC9KW"],"itemData":{"id":164,"type":"article-journal","title":"Host-response: understanding the cellular and molecular mechanisms of host-microbial interactions--consensus of the Seventh European Workshop on Periodontology","container-title":"Journal of Clinical Periodontology","page":"44-48","volume":"38 Suppl 11","source":"PubMed","abstract":"BACKGROUND: Major challenges in periodontology include understanding the pathophysiology, the interplay between various components of the host response, parallels with other diseases and identifying biomarkers of the disease.\nOBJECTIVES: Four reviews were compiled with the aim of better understanding: (1) the role of polymorphic nuclear leucocytes (PMNs), i.e. neutrophils; (2) the function of cytokine networks in the host response; (3) whether parallels exist with rheumatoid arthritis (RA); and (4) whether useful biomarkers currently exist to help in the management of periodontal disease.\nMATERIAL AND METHODS: Based on the focused questions, electronic and manual searches were conducted for human, animal and cellular studies on the above topics.\nRESULTS: Papers fulfilling the inclusion criteria were selected and reviews were written and reviewed and corrected before the academy meeting to produce consensus statements.\nCONCLUSION: The following consensus statements were produced. PMNs are important in the pathophysiology of periodontal disease but there is limited evidence on their much quoted destructive potential. Cytokine networks are enormously complex and we are really at the beginning of understanding their role in the disease process. RA has both similarities and marked differences to periodontal disease although the existing utilization of anti-cytokine therapies and other molecules in its treatment may have importance in periodontal disease therapy. Biomarkers for periodontal disease have yet to be completely defined but the ratio of receptor activator of NF-κB ligand to osteoprotegerin appears to be a biomarker test with utility for detecting bone destruction.","DOI":"10.1111/j.1600-051X.2010.01682.x","ISSN":"1600-051X","note":"PMID: 21323703","shortTitle":"Host-response","journalAbbreviation":"J. Clin. Periodontol.","language":"eng","author":[{"family":"Kinane","given":"Denis F."},{"family":"Preshaw","given":"Philip M."},{"family":"Loos","given":"Bruno G."},{"literal":"Working Group 2 of Seventh European Workshop on Periodontology"}],"issued":{"date-parts":[["2011",3]]}}}],"schema":"https://github.com/citation-style-language/schema/raw/master/csl-citation.json"} </w:instrText>
      </w:r>
      <w:r w:rsidR="008A6528">
        <w:fldChar w:fldCharType="separate"/>
      </w:r>
      <w:r w:rsidR="008A6528">
        <w:rPr>
          <w:noProof/>
        </w:rPr>
        <w:t>(Kinane et al. 2011)</w:t>
      </w:r>
      <w:r w:rsidR="008A6528">
        <w:fldChar w:fldCharType="end"/>
      </w:r>
      <w:r w:rsidR="00AD7E42">
        <w:t>.</w:t>
      </w:r>
    </w:p>
    <w:p w14:paraId="270B0CA5" w14:textId="0CBB91F7" w:rsidR="000766AE" w:rsidRDefault="00806ED2" w:rsidP="00806ED2">
      <w:pPr>
        <w:pStyle w:val="Stytleparagraphe"/>
      </w:pPr>
      <w:r>
        <w:t>La différenciation ostéogénique des</w:t>
      </w:r>
      <w:r w:rsidR="00AD7E42">
        <w:t xml:space="preserve"> </w:t>
      </w:r>
      <w:r>
        <w:t xml:space="preserve">cellules </w:t>
      </w:r>
      <w:r w:rsidR="00AD7E42">
        <w:t>souches mésenchymateuses</w:t>
      </w:r>
      <w:r>
        <w:t xml:space="preserve"> est directement liée au TNF-α et favoriserait la régénération et la guérison parodontale. Ainsi, l’exploration de ce mécanisme de différenciation cellulaire régulé par TNF-α permettrait l’avènement de nouvelles perspectives en thérapeutiques ciblées en parodontologie </w:t>
      </w:r>
      <w:r>
        <w:fldChar w:fldCharType="begin"/>
      </w:r>
      <w:r>
        <w:instrText xml:space="preserve"> ADDIN ZOTERO_ITEM CSL_CITATION {"citationID":"2qhSuIUI","properties":{"formattedCitation":"(Xiaoguang, Yizhu, et Bin 2017)","plainCitation":"(Xiaoguang, Yizhu, et Bin 2017)"},"citationItems":[{"id":174,"uris":["http://zotero.org/users/local/Y4Qp1Cr8/items/ACFGWLXT"],"uri":["http://zotero.org/users/local/Y4Qp1Cr8/items/ACFGWLXT"],"itemData":{"id":174,"type":"article-journal","title":"[Tumor necrosis factor-α regulates the osteogenic differentiation of bone marrow mesenchymal stem cells in chronic periodontitis]","container-title":"Hua Xi Kou Qiang Yi Xue Za Zhi = Huaxi Kouqiang Yixue Zazhi = West China Journal of Stomatology","page":"334-338","volume":"35","issue":"3","source":"PubMed","abstract":"Bone marrow mesenchymal stem cells (BMSCs) and ideal adult stem cells for alveolar bone regeneration considerably help restore the structure and function of the periodontium and promote the healing of periodontal disease. Thus, BMSC features, especially the mechanism of osteogenic differentiation, has recently become a research hotspot. Tumor necrosis factor-α (TNF-α), which is the main factor in the periodontal inflammatory microenvironment, is directly related to the osteogenic differentiation of BMSCs. Exploring the TNF-α-regulated differentiation mechanism of BMSCs aids in the search for new treatment targets. Such investigation also promotes the development of stem cell therapy for periodontal diseases. This article aims to describe the potential of TNF-α in regulating the osteogenic differentiation of stem cells.","DOI":"10.7518/hxkq.2017.03.019","ISSN":"1000-1182","note":"PMID: 28675022","journalAbbreviation":"Hua Xi Kou Qiang Yi Xue Za Zhi","language":"chi","author":[{"family":"Xiaoguang","given":"Li"},{"family":"Yizhu","given":"Wang"},{"family":"Bin","given":"Guo"}],"issued":{"date-parts":[["2017",6,1]]}}}],"schema":"https://github.com/citation-style-language/schema/raw/master/csl-citation.json"} </w:instrText>
      </w:r>
      <w:r>
        <w:fldChar w:fldCharType="separate"/>
      </w:r>
      <w:r>
        <w:rPr>
          <w:noProof/>
        </w:rPr>
        <w:t>(Xiaoguang, Yizhu, et Bin 2017)</w:t>
      </w:r>
      <w:r>
        <w:fldChar w:fldCharType="end"/>
      </w:r>
      <w:r>
        <w:t xml:space="preserve">. </w:t>
      </w:r>
    </w:p>
    <w:p w14:paraId="078A830E" w14:textId="77777777" w:rsidR="00806ED2" w:rsidRDefault="00806ED2" w:rsidP="00806ED2">
      <w:pPr>
        <w:pStyle w:val="Stytleparagraphe"/>
      </w:pPr>
    </w:p>
    <w:p w14:paraId="12DB6050" w14:textId="2731B2C8" w:rsidR="00806ED2" w:rsidRDefault="00806ED2" w:rsidP="001C6154">
      <w:pPr>
        <w:pStyle w:val="Stytleparagraphe"/>
      </w:pPr>
      <w:r>
        <w:tab/>
        <w:t>Afin de pouvoir affirmer la pertinence de l’utilisation des anti-cytokines en parodontologie, il faudrait davantage d’études cliniques s’intéressant à l’effet de ces thérapeutiques s</w:t>
      </w:r>
      <w:r w:rsidR="00DC422F">
        <w:t>ur la parodontite chez l’Homme. Les études réalisées sur les modèles animaux et sur d’autres maladies inflammatoi</w:t>
      </w:r>
      <w:r w:rsidR="000E09E1">
        <w:t>res systémiques telles que la polyarthrite rhumatoïde</w:t>
      </w:r>
      <w:r w:rsidR="00DC422F">
        <w:t xml:space="preserve"> laisseraient penser à l’intérêt potentiel de la thérapie ciblée dans le traitement de la parodontite, maladie caractérisée par sa composante inflammatoire. L’utilisation des anti-cytokines en parodontologie représenterait donc une perspective thérapeutique probable, mais la prise en compte des limites de ces thérapeutiques est indispensable (cf « limites des anti-cytokines »). Le risque infectieux et d’immunosuppression inhérent à ces molécules est non négligeable et doit être considéré par le clinicien dans ses choix thérapeutiques. L’utilisation des anti-cytokines doit toujours respecter une balance bénéfice-risque favorable et répondre à des précautions et à une sélection stricte du patient, afin </w:t>
      </w:r>
      <w:r w:rsidR="001C6154">
        <w:t>de minimiser au maximum le risque infectieux. La pertinence de la prescription des anti-cytokines en parodontologie est à remettre en question en fonction de l’intérêt des autres thérapeutiques actuelles sur le marché et notamment de l’avènement de nouvelles thérapeutiques.</w:t>
      </w:r>
    </w:p>
    <w:p w14:paraId="6A650BBF" w14:textId="77777777" w:rsidR="00D02861" w:rsidRDefault="00D02861" w:rsidP="00B03C65">
      <w:pPr>
        <w:pStyle w:val="Style3"/>
        <w:numPr>
          <w:ilvl w:val="0"/>
          <w:numId w:val="0"/>
        </w:numPr>
      </w:pPr>
    </w:p>
    <w:p w14:paraId="4180A063" w14:textId="77777777" w:rsidR="00D02861" w:rsidRDefault="00D02861" w:rsidP="00B03C65">
      <w:pPr>
        <w:pStyle w:val="Style3"/>
        <w:numPr>
          <w:ilvl w:val="0"/>
          <w:numId w:val="0"/>
        </w:numPr>
      </w:pPr>
    </w:p>
    <w:p w14:paraId="7E95D56C" w14:textId="77777777" w:rsidR="00D02861" w:rsidRDefault="00D02861" w:rsidP="00B03C65">
      <w:pPr>
        <w:pStyle w:val="Style3"/>
        <w:numPr>
          <w:ilvl w:val="0"/>
          <w:numId w:val="0"/>
        </w:numPr>
      </w:pPr>
    </w:p>
    <w:p w14:paraId="552979CF" w14:textId="77777777" w:rsidR="00D02861" w:rsidRDefault="00D02861" w:rsidP="00B03C65">
      <w:pPr>
        <w:pStyle w:val="Style3"/>
        <w:numPr>
          <w:ilvl w:val="0"/>
          <w:numId w:val="0"/>
        </w:numPr>
      </w:pPr>
    </w:p>
    <w:p w14:paraId="3332D17E" w14:textId="77777777" w:rsidR="00D02861" w:rsidRDefault="00D02861" w:rsidP="00B03C65">
      <w:pPr>
        <w:pStyle w:val="Style3"/>
        <w:numPr>
          <w:ilvl w:val="0"/>
          <w:numId w:val="0"/>
        </w:numPr>
      </w:pPr>
    </w:p>
    <w:p w14:paraId="3F9B99B4" w14:textId="77777777" w:rsidR="00D02861" w:rsidRDefault="00D02861" w:rsidP="00B03C65">
      <w:pPr>
        <w:pStyle w:val="Style3"/>
        <w:numPr>
          <w:ilvl w:val="0"/>
          <w:numId w:val="0"/>
        </w:numPr>
      </w:pPr>
    </w:p>
    <w:p w14:paraId="4F645A71" w14:textId="77777777" w:rsidR="00D02861" w:rsidRDefault="00D02861" w:rsidP="00B03C65">
      <w:pPr>
        <w:pStyle w:val="Style3"/>
        <w:numPr>
          <w:ilvl w:val="0"/>
          <w:numId w:val="0"/>
        </w:numPr>
      </w:pPr>
    </w:p>
    <w:p w14:paraId="57EE88E6" w14:textId="77777777" w:rsidR="00D02861" w:rsidRDefault="00D02861" w:rsidP="00B03C65">
      <w:pPr>
        <w:pStyle w:val="Style3"/>
        <w:numPr>
          <w:ilvl w:val="0"/>
          <w:numId w:val="0"/>
        </w:numPr>
      </w:pPr>
    </w:p>
    <w:p w14:paraId="7506D650" w14:textId="77777777" w:rsidR="00D02861" w:rsidRDefault="00D02861" w:rsidP="00B03C65">
      <w:pPr>
        <w:pStyle w:val="Style3"/>
        <w:numPr>
          <w:ilvl w:val="0"/>
          <w:numId w:val="0"/>
        </w:numPr>
      </w:pPr>
    </w:p>
    <w:p w14:paraId="2258B772" w14:textId="77777777" w:rsidR="00D02861" w:rsidRDefault="00D02861" w:rsidP="00B03C65">
      <w:pPr>
        <w:pStyle w:val="Style3"/>
        <w:numPr>
          <w:ilvl w:val="0"/>
          <w:numId w:val="0"/>
        </w:numPr>
      </w:pPr>
    </w:p>
    <w:p w14:paraId="4CCD189E" w14:textId="77777777" w:rsidR="000766AE" w:rsidRDefault="000766AE" w:rsidP="00B03C65">
      <w:pPr>
        <w:pStyle w:val="Style3"/>
        <w:numPr>
          <w:ilvl w:val="0"/>
          <w:numId w:val="0"/>
        </w:numPr>
      </w:pPr>
    </w:p>
    <w:p w14:paraId="7336320C" w14:textId="77777777" w:rsidR="000766AE" w:rsidRDefault="000766AE" w:rsidP="00B03C65">
      <w:pPr>
        <w:pStyle w:val="Style3"/>
        <w:numPr>
          <w:ilvl w:val="0"/>
          <w:numId w:val="0"/>
        </w:numPr>
      </w:pPr>
    </w:p>
    <w:p w14:paraId="012AEF99" w14:textId="77777777" w:rsidR="000766AE" w:rsidRDefault="000766AE" w:rsidP="00B03C65">
      <w:pPr>
        <w:pStyle w:val="Style3"/>
        <w:numPr>
          <w:ilvl w:val="0"/>
          <w:numId w:val="0"/>
        </w:numPr>
      </w:pPr>
    </w:p>
    <w:p w14:paraId="67367029" w14:textId="77777777" w:rsidR="000766AE" w:rsidRDefault="000766AE" w:rsidP="00B03C65">
      <w:pPr>
        <w:pStyle w:val="Style3"/>
        <w:numPr>
          <w:ilvl w:val="0"/>
          <w:numId w:val="0"/>
        </w:numPr>
      </w:pPr>
    </w:p>
    <w:p w14:paraId="2E79BBD9" w14:textId="77777777" w:rsidR="000766AE" w:rsidRDefault="000766AE" w:rsidP="00B03C65">
      <w:pPr>
        <w:pStyle w:val="Style3"/>
        <w:numPr>
          <w:ilvl w:val="0"/>
          <w:numId w:val="0"/>
        </w:numPr>
      </w:pPr>
    </w:p>
    <w:p w14:paraId="0F2848CE" w14:textId="77777777" w:rsidR="000766AE" w:rsidRDefault="000766AE" w:rsidP="00B03C65">
      <w:pPr>
        <w:pStyle w:val="Style3"/>
        <w:numPr>
          <w:ilvl w:val="0"/>
          <w:numId w:val="0"/>
        </w:numPr>
      </w:pPr>
    </w:p>
    <w:p w14:paraId="177DB991" w14:textId="77777777" w:rsidR="000766AE" w:rsidRDefault="000766AE" w:rsidP="00B03C65">
      <w:pPr>
        <w:pStyle w:val="Style3"/>
        <w:numPr>
          <w:ilvl w:val="0"/>
          <w:numId w:val="0"/>
        </w:numPr>
      </w:pPr>
    </w:p>
    <w:p w14:paraId="4D44A207" w14:textId="77777777" w:rsidR="000766AE" w:rsidRDefault="000766AE" w:rsidP="00B03C65">
      <w:pPr>
        <w:pStyle w:val="Style3"/>
        <w:numPr>
          <w:ilvl w:val="0"/>
          <w:numId w:val="0"/>
        </w:numPr>
      </w:pPr>
    </w:p>
    <w:p w14:paraId="1412CDEE" w14:textId="77777777" w:rsidR="005C3A67" w:rsidRDefault="005C3A67" w:rsidP="00B03C65">
      <w:pPr>
        <w:pStyle w:val="Style3"/>
        <w:numPr>
          <w:ilvl w:val="0"/>
          <w:numId w:val="0"/>
        </w:numPr>
      </w:pPr>
    </w:p>
    <w:p w14:paraId="3072CEEC" w14:textId="77777777" w:rsidR="005C3A67" w:rsidRDefault="005C3A67" w:rsidP="00B03C65">
      <w:pPr>
        <w:pStyle w:val="Style3"/>
        <w:numPr>
          <w:ilvl w:val="0"/>
          <w:numId w:val="0"/>
        </w:numPr>
      </w:pPr>
    </w:p>
    <w:p w14:paraId="3F78F4B3" w14:textId="77777777" w:rsidR="005C3A67" w:rsidRDefault="005C3A67" w:rsidP="00B03C65">
      <w:pPr>
        <w:pStyle w:val="Style3"/>
        <w:numPr>
          <w:ilvl w:val="0"/>
          <w:numId w:val="0"/>
        </w:numPr>
      </w:pPr>
    </w:p>
    <w:p w14:paraId="07416898" w14:textId="77777777" w:rsidR="005C3A67" w:rsidRDefault="005C3A67" w:rsidP="00B03C65">
      <w:pPr>
        <w:pStyle w:val="Style3"/>
        <w:numPr>
          <w:ilvl w:val="0"/>
          <w:numId w:val="0"/>
        </w:numPr>
      </w:pPr>
    </w:p>
    <w:p w14:paraId="73565426" w14:textId="77777777" w:rsidR="005C3A67" w:rsidRDefault="005C3A67" w:rsidP="00B03C65">
      <w:pPr>
        <w:pStyle w:val="Style3"/>
        <w:numPr>
          <w:ilvl w:val="0"/>
          <w:numId w:val="0"/>
        </w:numPr>
      </w:pPr>
    </w:p>
    <w:p w14:paraId="51E73A34" w14:textId="77777777" w:rsidR="005C3A67" w:rsidRDefault="005C3A67" w:rsidP="00B03C65">
      <w:pPr>
        <w:pStyle w:val="Style3"/>
        <w:numPr>
          <w:ilvl w:val="0"/>
          <w:numId w:val="0"/>
        </w:numPr>
      </w:pPr>
    </w:p>
    <w:p w14:paraId="2EB0B53C" w14:textId="77777777" w:rsidR="005C3A67" w:rsidRDefault="005C3A67" w:rsidP="00B03C65">
      <w:pPr>
        <w:pStyle w:val="Style3"/>
        <w:numPr>
          <w:ilvl w:val="0"/>
          <w:numId w:val="0"/>
        </w:numPr>
      </w:pPr>
    </w:p>
    <w:p w14:paraId="1D2264BD" w14:textId="77777777" w:rsidR="000766AE" w:rsidRDefault="000766AE" w:rsidP="00B03C65">
      <w:pPr>
        <w:pStyle w:val="Style3"/>
        <w:numPr>
          <w:ilvl w:val="0"/>
          <w:numId w:val="0"/>
        </w:numPr>
      </w:pPr>
    </w:p>
    <w:p w14:paraId="4B3A3195" w14:textId="77777777" w:rsidR="0098646C" w:rsidRDefault="0098646C" w:rsidP="00B03C65">
      <w:pPr>
        <w:pStyle w:val="Style3"/>
        <w:numPr>
          <w:ilvl w:val="0"/>
          <w:numId w:val="0"/>
        </w:numPr>
      </w:pPr>
    </w:p>
    <w:p w14:paraId="128CF3DA" w14:textId="77777777" w:rsidR="0098646C" w:rsidRDefault="0098646C" w:rsidP="00B03C65">
      <w:pPr>
        <w:pStyle w:val="Style3"/>
        <w:numPr>
          <w:ilvl w:val="0"/>
          <w:numId w:val="0"/>
        </w:numPr>
      </w:pPr>
    </w:p>
    <w:p w14:paraId="4B7F76C2" w14:textId="77777777" w:rsidR="000766AE" w:rsidRDefault="000766AE" w:rsidP="00B03C65">
      <w:pPr>
        <w:pStyle w:val="Style3"/>
        <w:numPr>
          <w:ilvl w:val="0"/>
          <w:numId w:val="0"/>
        </w:numPr>
      </w:pPr>
    </w:p>
    <w:p w14:paraId="73FBD0FB" w14:textId="77777777" w:rsidR="000766AE" w:rsidRDefault="000766AE" w:rsidP="00B03C65">
      <w:pPr>
        <w:pStyle w:val="Style3"/>
        <w:numPr>
          <w:ilvl w:val="0"/>
          <w:numId w:val="0"/>
        </w:numPr>
      </w:pPr>
    </w:p>
    <w:p w14:paraId="0B279E9F" w14:textId="52C40833" w:rsidR="004C3E34" w:rsidRDefault="000766AE" w:rsidP="004C3E34">
      <w:pPr>
        <w:pStyle w:val="Style1"/>
        <w:pBdr>
          <w:bottom w:val="single" w:sz="6" w:space="1" w:color="auto"/>
        </w:pBdr>
      </w:pPr>
      <w:bookmarkStart w:id="218" w:name="_Toc379376300"/>
      <w:bookmarkStart w:id="219" w:name="_Toc379387556"/>
      <w:bookmarkStart w:id="220" w:name="_Toc379807341"/>
      <w:bookmarkStart w:id="221" w:name="_Toc380653901"/>
      <w:bookmarkStart w:id="222" w:name="_Toc380744135"/>
      <w:bookmarkStart w:id="223" w:name="_Toc380946391"/>
      <w:bookmarkStart w:id="224" w:name="_Toc383883955"/>
      <w:bookmarkStart w:id="225" w:name="_Toc384754072"/>
      <w:bookmarkStart w:id="226" w:name="_Toc384756493"/>
      <w:bookmarkStart w:id="227" w:name="_Toc384816089"/>
      <w:bookmarkStart w:id="228" w:name="_Toc384826805"/>
      <w:r>
        <w:t>LES AGENTS ANTI-INFLAMMATOIRES NON STEROIDIENS</w:t>
      </w:r>
      <w:bookmarkEnd w:id="218"/>
      <w:bookmarkEnd w:id="219"/>
      <w:bookmarkEnd w:id="220"/>
      <w:bookmarkEnd w:id="221"/>
      <w:bookmarkEnd w:id="222"/>
      <w:bookmarkEnd w:id="223"/>
      <w:bookmarkEnd w:id="224"/>
      <w:bookmarkEnd w:id="225"/>
      <w:bookmarkEnd w:id="226"/>
      <w:bookmarkEnd w:id="227"/>
      <w:bookmarkEnd w:id="228"/>
      <w:r w:rsidR="004C3E34">
        <w:t xml:space="preserve"> </w:t>
      </w:r>
    </w:p>
    <w:p w14:paraId="457B6EFC" w14:textId="47A73EBC" w:rsidR="00946869" w:rsidRDefault="00946869" w:rsidP="004C3E34">
      <w:pPr>
        <w:pStyle w:val="Style1"/>
        <w:numPr>
          <w:ilvl w:val="0"/>
          <w:numId w:val="0"/>
        </w:numPr>
        <w:ind w:left="1080" w:hanging="720"/>
      </w:pPr>
    </w:p>
    <w:p w14:paraId="79BE92E3" w14:textId="77777777" w:rsidR="00946869" w:rsidRPr="00946869" w:rsidRDefault="00946869" w:rsidP="00946869"/>
    <w:p w14:paraId="2B26B47D" w14:textId="77777777" w:rsidR="00946869" w:rsidRPr="00946869" w:rsidRDefault="00946869" w:rsidP="00946869"/>
    <w:p w14:paraId="64A48D0D" w14:textId="77777777" w:rsidR="00946869" w:rsidRPr="00946869" w:rsidRDefault="00946869" w:rsidP="00946869"/>
    <w:p w14:paraId="59497220" w14:textId="77777777" w:rsidR="00946869" w:rsidRPr="00946869" w:rsidRDefault="00946869" w:rsidP="00946869"/>
    <w:p w14:paraId="72FF2133" w14:textId="77777777" w:rsidR="00946869" w:rsidRPr="00946869" w:rsidRDefault="00946869" w:rsidP="00946869"/>
    <w:p w14:paraId="43A63799" w14:textId="77777777" w:rsidR="00946869" w:rsidRPr="00946869" w:rsidRDefault="00946869" w:rsidP="00946869"/>
    <w:p w14:paraId="24C24F66" w14:textId="77777777" w:rsidR="00946869" w:rsidRPr="00946869" w:rsidRDefault="00946869" w:rsidP="00946869"/>
    <w:p w14:paraId="600C49C1" w14:textId="77777777" w:rsidR="00946869" w:rsidRPr="00946869" w:rsidRDefault="00946869" w:rsidP="00946869"/>
    <w:p w14:paraId="21CF85AA" w14:textId="77777777" w:rsidR="00946869" w:rsidRPr="00946869" w:rsidRDefault="00946869" w:rsidP="00946869"/>
    <w:p w14:paraId="21CD926C" w14:textId="77777777" w:rsidR="00946869" w:rsidRPr="00946869" w:rsidRDefault="00946869" w:rsidP="00946869"/>
    <w:p w14:paraId="006E79BA" w14:textId="77777777" w:rsidR="00946869" w:rsidRPr="00946869" w:rsidRDefault="00946869" w:rsidP="00946869"/>
    <w:p w14:paraId="2A48B633" w14:textId="77777777" w:rsidR="00946869" w:rsidRPr="00946869" w:rsidRDefault="00946869" w:rsidP="00946869"/>
    <w:p w14:paraId="261356A4" w14:textId="77777777" w:rsidR="00946869" w:rsidRPr="00946869" w:rsidRDefault="00946869" w:rsidP="00946869"/>
    <w:p w14:paraId="567F93DE" w14:textId="77777777" w:rsidR="00946869" w:rsidRPr="00946869" w:rsidRDefault="00946869" w:rsidP="00946869"/>
    <w:p w14:paraId="1C86E13F" w14:textId="77777777" w:rsidR="00946869" w:rsidRPr="00946869" w:rsidRDefault="00946869" w:rsidP="00946869"/>
    <w:p w14:paraId="14B53C22" w14:textId="77777777" w:rsidR="00946869" w:rsidRPr="00946869" w:rsidRDefault="00946869" w:rsidP="00946869"/>
    <w:p w14:paraId="761E94AD" w14:textId="07D099EE" w:rsidR="00946869" w:rsidRDefault="00946869" w:rsidP="00946869"/>
    <w:p w14:paraId="68ADEE10" w14:textId="63F2986B" w:rsidR="004C3E34" w:rsidRDefault="004C3E34" w:rsidP="00946869">
      <w:pPr>
        <w:tabs>
          <w:tab w:val="left" w:pos="2181"/>
        </w:tabs>
      </w:pPr>
    </w:p>
    <w:p w14:paraId="6CCE1D1B" w14:textId="77777777" w:rsidR="00946869" w:rsidRDefault="00946869" w:rsidP="00946869">
      <w:pPr>
        <w:tabs>
          <w:tab w:val="left" w:pos="2181"/>
        </w:tabs>
      </w:pPr>
    </w:p>
    <w:p w14:paraId="3A3F85A7" w14:textId="77777777" w:rsidR="00946869" w:rsidRDefault="00946869" w:rsidP="00946869">
      <w:pPr>
        <w:tabs>
          <w:tab w:val="left" w:pos="2181"/>
        </w:tabs>
      </w:pPr>
    </w:p>
    <w:p w14:paraId="31F7206D" w14:textId="77777777" w:rsidR="00946869" w:rsidRDefault="00946869" w:rsidP="00946869">
      <w:pPr>
        <w:tabs>
          <w:tab w:val="left" w:pos="2181"/>
        </w:tabs>
      </w:pPr>
    </w:p>
    <w:p w14:paraId="70A3B762" w14:textId="77777777" w:rsidR="00946869" w:rsidRDefault="00946869" w:rsidP="00946869">
      <w:pPr>
        <w:tabs>
          <w:tab w:val="left" w:pos="2181"/>
        </w:tabs>
      </w:pPr>
    </w:p>
    <w:p w14:paraId="53BF16DF" w14:textId="2FAEEAD1" w:rsidR="00946869" w:rsidRDefault="00102351" w:rsidP="0018798A">
      <w:pPr>
        <w:pStyle w:val="Style2"/>
        <w:numPr>
          <w:ilvl w:val="0"/>
          <w:numId w:val="10"/>
        </w:numPr>
      </w:pPr>
      <w:bookmarkStart w:id="229" w:name="_Toc379807342"/>
      <w:bookmarkStart w:id="230" w:name="_Toc380653902"/>
      <w:bookmarkStart w:id="231" w:name="_Toc380744136"/>
      <w:bookmarkStart w:id="232" w:name="_Toc380946392"/>
      <w:bookmarkStart w:id="233" w:name="_Toc383883956"/>
      <w:bookmarkStart w:id="234" w:name="_Toc384754073"/>
      <w:bookmarkStart w:id="235" w:name="_Toc384756494"/>
      <w:bookmarkStart w:id="236" w:name="_Toc384816090"/>
      <w:bookmarkStart w:id="237" w:name="_Toc384826806"/>
      <w:r>
        <w:t>Prostaglandines et inflammation</w:t>
      </w:r>
      <w:bookmarkEnd w:id="229"/>
      <w:bookmarkEnd w:id="230"/>
      <w:bookmarkEnd w:id="231"/>
      <w:bookmarkEnd w:id="232"/>
      <w:bookmarkEnd w:id="233"/>
      <w:bookmarkEnd w:id="234"/>
      <w:bookmarkEnd w:id="235"/>
      <w:bookmarkEnd w:id="236"/>
      <w:bookmarkEnd w:id="237"/>
    </w:p>
    <w:p w14:paraId="431F1594" w14:textId="66906717" w:rsidR="00DC1A11" w:rsidRDefault="000524A0" w:rsidP="0018798A">
      <w:pPr>
        <w:pStyle w:val="Style3"/>
        <w:numPr>
          <w:ilvl w:val="0"/>
          <w:numId w:val="11"/>
        </w:numPr>
      </w:pPr>
      <w:bookmarkStart w:id="238" w:name="_Toc379807343"/>
      <w:bookmarkStart w:id="239" w:name="_Toc380653903"/>
      <w:bookmarkStart w:id="240" w:name="_Toc380744137"/>
      <w:bookmarkStart w:id="241" w:name="_Toc380946393"/>
      <w:bookmarkStart w:id="242" w:name="_Toc383883957"/>
      <w:bookmarkStart w:id="243" w:name="_Toc384754074"/>
      <w:bookmarkStart w:id="244" w:name="_Toc384756495"/>
      <w:bookmarkStart w:id="245" w:name="_Toc384816091"/>
      <w:bookmarkStart w:id="246" w:name="_Toc384826807"/>
      <w:r>
        <w:t>Biosynthèse des</w:t>
      </w:r>
      <w:r w:rsidR="00B606D7">
        <w:t xml:space="preserve"> </w:t>
      </w:r>
      <w:r w:rsidR="00A03474">
        <w:t>prostaglandines</w:t>
      </w:r>
      <w:bookmarkEnd w:id="238"/>
      <w:bookmarkEnd w:id="239"/>
      <w:bookmarkEnd w:id="240"/>
      <w:bookmarkEnd w:id="241"/>
      <w:bookmarkEnd w:id="242"/>
      <w:bookmarkEnd w:id="243"/>
      <w:bookmarkEnd w:id="244"/>
      <w:bookmarkEnd w:id="245"/>
      <w:bookmarkEnd w:id="246"/>
    </w:p>
    <w:p w14:paraId="07358ECC" w14:textId="0EB2B084" w:rsidR="00DE58BD" w:rsidRDefault="00DB5D86" w:rsidP="00D41F54">
      <w:pPr>
        <w:pStyle w:val="Stytleparagraphe"/>
        <w:ind w:firstLine="360"/>
      </w:pPr>
      <w:r>
        <w:rPr>
          <w:noProof/>
          <w:lang w:val="en-US"/>
        </w:rPr>
        <w:drawing>
          <wp:anchor distT="0" distB="0" distL="114300" distR="114300" simplePos="0" relativeHeight="251671552" behindDoc="0" locked="0" layoutInCell="1" allowOverlap="1" wp14:anchorId="1A2DC8C2" wp14:editId="1DE3E84E">
            <wp:simplePos x="0" y="0"/>
            <wp:positionH relativeFrom="column">
              <wp:posOffset>1143000</wp:posOffset>
            </wp:positionH>
            <wp:positionV relativeFrom="paragraph">
              <wp:posOffset>1584960</wp:posOffset>
            </wp:positionV>
            <wp:extent cx="3200400" cy="2566670"/>
            <wp:effectExtent l="0" t="0" r="0" b="0"/>
            <wp:wrapSquare wrapText="bothSides"/>
            <wp:docPr id="8" name="Picture 8" descr="Macintosh HD:Users:eric:Desktop:Capture d’écran 2018-02-07 à 15.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07 à 15.53.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66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E58BD">
        <w:t xml:space="preserve">Les prostaglandines jouent un rôle clef dans la génération de la réponse inflammatoire et contribuent au développement des signes cardinaux de l’inflammation : rougeur, chaleur, tumeur et douleur. La biosynthèse de prostaglandines est augmentée lors de la réponse inflammatoire ; leurs propriétés pro-inflammatoires sont bien connues mais leurs rôles dans la résolution de l’inflammation sont plus controversés </w:t>
      </w:r>
      <w:r w:rsidR="00DE58BD">
        <w:fldChar w:fldCharType="begin"/>
      </w:r>
      <w:r w:rsidR="00DE58BD">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DE58BD">
        <w:fldChar w:fldCharType="separate"/>
      </w:r>
      <w:r w:rsidR="00DE58BD">
        <w:rPr>
          <w:noProof/>
        </w:rPr>
        <w:t>(Ricciotti et FitzGerald 2011)</w:t>
      </w:r>
      <w:r w:rsidR="00DE58BD">
        <w:fldChar w:fldCharType="end"/>
      </w:r>
      <w:r w:rsidR="00DE58BD">
        <w:t>.</w:t>
      </w:r>
    </w:p>
    <w:p w14:paraId="0FC14A1A" w14:textId="76394901" w:rsidR="007E34DA" w:rsidRDefault="007E34DA" w:rsidP="00D41F54">
      <w:pPr>
        <w:pStyle w:val="Stytleparagraphe"/>
        <w:ind w:firstLine="360"/>
      </w:pPr>
    </w:p>
    <w:p w14:paraId="054479BA" w14:textId="77777777" w:rsidR="007E34DA" w:rsidRDefault="007E34DA" w:rsidP="00D41F54">
      <w:pPr>
        <w:pStyle w:val="Stytleparagraphe"/>
        <w:ind w:firstLine="360"/>
      </w:pPr>
    </w:p>
    <w:p w14:paraId="2EFE837A" w14:textId="7A59BD0E" w:rsidR="007E34DA" w:rsidRDefault="007E34DA" w:rsidP="00D41F54">
      <w:pPr>
        <w:pStyle w:val="Stytleparagraphe"/>
        <w:ind w:firstLine="360"/>
      </w:pPr>
    </w:p>
    <w:p w14:paraId="7506ADEB" w14:textId="77777777" w:rsidR="007E34DA" w:rsidRDefault="007E34DA" w:rsidP="00D41F54">
      <w:pPr>
        <w:pStyle w:val="Stytleparagraphe"/>
        <w:ind w:firstLine="360"/>
      </w:pPr>
    </w:p>
    <w:p w14:paraId="1C4AFEF8" w14:textId="77777777" w:rsidR="007E34DA" w:rsidRDefault="007E34DA" w:rsidP="00D41F54">
      <w:pPr>
        <w:pStyle w:val="Stytleparagraphe"/>
        <w:ind w:firstLine="360"/>
      </w:pPr>
    </w:p>
    <w:p w14:paraId="04242778" w14:textId="77777777" w:rsidR="007E34DA" w:rsidRDefault="007E34DA" w:rsidP="00D41F54">
      <w:pPr>
        <w:pStyle w:val="Stytleparagraphe"/>
        <w:ind w:firstLine="360"/>
      </w:pPr>
    </w:p>
    <w:p w14:paraId="7A0AE2FC" w14:textId="77777777" w:rsidR="007E34DA" w:rsidRDefault="007E34DA" w:rsidP="00D41F54">
      <w:pPr>
        <w:pStyle w:val="Stytleparagraphe"/>
        <w:ind w:firstLine="360"/>
      </w:pPr>
    </w:p>
    <w:p w14:paraId="620117BF" w14:textId="77777777" w:rsidR="007E34DA" w:rsidRDefault="007E34DA" w:rsidP="00D41F54">
      <w:pPr>
        <w:pStyle w:val="Stytleparagraphe"/>
        <w:ind w:firstLine="360"/>
      </w:pPr>
    </w:p>
    <w:p w14:paraId="5EF8E72E" w14:textId="7FB315C7" w:rsidR="007E34DA" w:rsidRDefault="007E34DA" w:rsidP="00D41F54">
      <w:pPr>
        <w:pStyle w:val="Stytleparagraphe"/>
        <w:ind w:firstLine="360"/>
      </w:pPr>
    </w:p>
    <w:p w14:paraId="0DC9C607" w14:textId="145777EB" w:rsidR="007E34DA" w:rsidRDefault="00DB5D86" w:rsidP="00D41F54">
      <w:pPr>
        <w:pStyle w:val="Stytleparagraphe"/>
        <w:ind w:firstLine="360"/>
      </w:pPr>
      <w:r>
        <w:rPr>
          <w:noProof/>
          <w:lang w:val="en-US"/>
        </w:rPr>
        <mc:AlternateContent>
          <mc:Choice Requires="wps">
            <w:drawing>
              <wp:anchor distT="0" distB="0" distL="114300" distR="114300" simplePos="0" relativeHeight="251672576" behindDoc="1" locked="0" layoutInCell="1" allowOverlap="1" wp14:anchorId="10A28710" wp14:editId="6526C566">
                <wp:simplePos x="0" y="0"/>
                <wp:positionH relativeFrom="column">
                  <wp:posOffset>-114300</wp:posOffset>
                </wp:positionH>
                <wp:positionV relativeFrom="paragraph">
                  <wp:posOffset>8255</wp:posOffset>
                </wp:positionV>
                <wp:extent cx="54864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F9A59" w14:textId="511CEAA8" w:rsidR="0094071B" w:rsidRPr="007E34DA" w:rsidRDefault="0094071B" w:rsidP="007E34DA">
                            <w:pPr>
                              <w:pStyle w:val="Stytleparagraphe"/>
                              <w:rPr>
                                <w:i/>
                              </w:rPr>
                            </w:pPr>
                            <w:r>
                              <w:rPr>
                                <w:i/>
                              </w:rPr>
                              <w:t xml:space="preserve">Figure 4 : Métabolisme de l’acide arachidonique </w:t>
                            </w:r>
                            <w:r w:rsidRPr="007E34DA">
                              <w:rPr>
                                <w:i/>
                              </w:rPr>
                              <w:fldChar w:fldCharType="begin"/>
                            </w:r>
                            <w:r w:rsidRPr="007E34DA">
                              <w:rPr>
                                <w:i/>
                              </w:rPr>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Pr="007E34DA">
                              <w:rPr>
                                <w:i/>
                              </w:rPr>
                              <w:fldChar w:fldCharType="separate"/>
                            </w:r>
                            <w:r w:rsidRPr="007E34DA">
                              <w:rPr>
                                <w:i/>
                                <w:noProof/>
                              </w:rPr>
                              <w:t>(Ricciotti et FitzGerald 2011)</w:t>
                            </w:r>
                            <w:r w:rsidRPr="007E34DA">
                              <w:rPr>
                                <w:i/>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8.95pt;margin-top:.65pt;width:6in;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" filled="f" stroked="f">
                <v:textbox>
                  <w:txbxContent>
                    <w:p w14:paraId="72CF9A59" w14:textId="511CEAA8" w:rsidR="0094071B" w:rsidRPr="007E34DA" w:rsidRDefault="0094071B" w:rsidP="007E34DA">
                      <w:pPr>
                        <w:pStyle w:val="Stytleparagraphe"/>
                        <w:rPr>
                          <w:i/>
                        </w:rPr>
                      </w:pPr>
                      <w:r>
                        <w:rPr>
                          <w:i/>
                        </w:rPr>
                        <w:t xml:space="preserve">Figure 4 : Métabolisme de l’acide arachidonique </w:t>
                      </w:r>
                      <w:r w:rsidRPr="007E34DA">
                        <w:rPr>
                          <w:i/>
                        </w:rPr>
                        <w:fldChar w:fldCharType="begin"/>
                      </w:r>
                      <w:r w:rsidRPr="007E34DA">
                        <w:rPr>
                          <w:i/>
                        </w:rPr>
                        <w:instrText xml:space="preserve"> ADDIN ZOTERO_ITEM CSL_CITATION {"citationID":"cqz16Gzs","properties":{"formattedCitation":"(Ricciotti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Pr="007E34DA">
                        <w:rPr>
                          <w:i/>
                        </w:rPr>
                        <w:fldChar w:fldCharType="separate"/>
                      </w:r>
                      <w:r w:rsidRPr="007E34DA">
                        <w:rPr>
                          <w:i/>
                          <w:noProof/>
                        </w:rPr>
                        <w:t>(Ricciotti et FitzGerald 2011)</w:t>
                      </w:r>
                      <w:r w:rsidRPr="007E34DA">
                        <w:rPr>
                          <w:i/>
                        </w:rPr>
                        <w:fldChar w:fldCharType="end"/>
                      </w:r>
                    </w:p>
                  </w:txbxContent>
                </v:textbox>
              </v:shape>
            </w:pict>
          </mc:Fallback>
        </mc:AlternateContent>
      </w:r>
    </w:p>
    <w:p w14:paraId="4808C9E4" w14:textId="77777777" w:rsidR="00DB5D86" w:rsidRDefault="00DB5D86" w:rsidP="00D41F54">
      <w:pPr>
        <w:pStyle w:val="Stytleparagraphe"/>
        <w:ind w:firstLine="360"/>
      </w:pPr>
    </w:p>
    <w:p w14:paraId="190BD0A0" w14:textId="77777777" w:rsidR="00DB5D86" w:rsidRDefault="003F2FE9" w:rsidP="00DB5D86">
      <w:pPr>
        <w:pStyle w:val="Stytleparagraphe"/>
        <w:ind w:firstLine="720"/>
      </w:pPr>
      <w:r>
        <w:t>L’acide arachidonique est libéré des phospholipides membranaires grâce à l’action de la phospholipase A2</w:t>
      </w:r>
      <w:r w:rsidR="00DE58BD">
        <w:t xml:space="preserve"> (PLA2)</w:t>
      </w:r>
      <w:r>
        <w:t xml:space="preserve">, avant d’être métabolisé par les voies de la lipoxygénase ou de la cyclo-oxygénase (COX) </w:t>
      </w:r>
      <w:r>
        <w:fldChar w:fldCharType="begin"/>
      </w:r>
      <w:r>
        <w:instrText xml:space="preserve"> ADDIN ZOTERO_ITEM CSL_CITATION {"citationID":"49NEtEJY","properties":{"formattedCitation":"(Iovannisci et al. 2007)","plainCitation":"(Iovannisci et al. 2007)"},"citationItems":[{"id":195,"uris":["http://zotero.org/users/local/Y4Qp1Cr8/items/ILR26FLG"],"uri":["http://zotero.org/users/local/Y4Qp1Cr8/items/ILR26FLG"],"itemData":{"id":195,"type":"article-journal","title":"Association Between A Leukotriene C4 Synthase Gene Promoter Polymorphism and Coronary Artery Calcium in Young Women: The Muscatine Study","container-title":"Arteriosclerosis, Thrombosis, and Vascular Biology","page":"394-399","volume":"27","issue":"2","source":"atvb.ahajournals.org","abstract":"&lt;p&gt;&lt;b&gt;&lt;i&gt;Objective—&lt;/i&gt;&lt;/b&gt; A majority of the recognized risk factors for atherosclerosis and the development of cardiovascular disease have been derived from the study of older populations who have already manifested clinical symptoms. If risk factors can be identified earlier in life, such as genetic variation, preventive measures may be taken before overt symptoms of pathology have manifested, and when treatments may be most effective.&lt;/p&gt;&lt;p&gt;&lt;b&gt;&lt;i&gt;Methods and Results—&lt;/i&gt;&lt;/b&gt; In an effort to identify individuals at increased risk for cardiovascular disease, we genotyped 732 members of the Muscatine Study Longitudinal Adult Cohort for candidate genetic markers associated with several pathogenetic processes. We identified age-adjusted increased risks for coronary artery calcium (OR 4.29; 95% CI 1.78, 10.31) and increased mean carotid artery intimal-medial thickness associated with the (−444)A&amp;gt;C promoter polymorphism of Leukotriene C&lt;sub&gt;4&lt;/sub&gt; Synthase (&lt;i&gt;LTC&lt;sub&gt;4&lt;/sub&gt;S&lt;/i&gt;) in women. There were no similar associations in men.&lt;/p&gt;&lt;p&gt;&lt;b&gt;&lt;i&gt;Conclusions—&lt;/i&gt;&lt;/b&gt; LTC&lt;sub&gt;4&lt;/sub&gt;S plays a key role in the process of inflammation as the rate limiting enzyme in the conversion of arachidonic acid to cysteinyl-leukotrienes, important mediators of inflammatory responses. The (−444)C variant upregulates &lt;i&gt;LTC&lt;sub&gt;4&lt;/sub&gt;S&lt;/i&gt; mRNA expression, increasing the synthesis of proinflammatory leukotrienes. Our results support genetic variation modifying inflammatory pathways as an important mechanism in the development of atherosclerosis.&lt;/p&gt;","DOI":"10.1161/01.ATV.0000252680.72734.10","ISSN":"1079-5642, 1524-4636","note":"PMID: 17110605","shortTitle":"Association Between A Leukotriene C4 Synthase Gene Promoter Polymorphism and Coronary Artery Calcium in Young Women","language":"en","author":[{"family":"Iovannisci","given":"David M."},{"family":"Lammer","given":"Edward J."},{"family":"Steiner","given":"Lori"},{"family":"Cheng","given":"Suzanne"},{"family":"Mahoney","given":"Larry T."},{"family":"Davis","given":"Patricia H."},{"family":"Lauer","given":"Ronald M."},{"family":"Burns","given":"Trudy L."}],"issued":{"date-parts":[["2007",2,1]]}}}],"schema":"https://github.com/citation-style-language/schema/raw/master/csl-citation.json"} </w:instrText>
      </w:r>
      <w:r>
        <w:fldChar w:fldCharType="separate"/>
      </w:r>
      <w:r>
        <w:rPr>
          <w:noProof/>
        </w:rPr>
        <w:t>(Iovannisci et al. 2007)</w:t>
      </w:r>
      <w:r>
        <w:fldChar w:fldCharType="end"/>
      </w:r>
      <w:r>
        <w:t>.</w:t>
      </w:r>
      <w:r w:rsidR="00DE58BD">
        <w:t xml:space="preserve"> </w:t>
      </w:r>
    </w:p>
    <w:p w14:paraId="4227B2EB" w14:textId="61D9201D" w:rsidR="00DE58BD" w:rsidRDefault="00F84A9E" w:rsidP="003325C5">
      <w:pPr>
        <w:pStyle w:val="Stytleparagraphe"/>
      </w:pPr>
      <w:r>
        <w:t>Les deux isoformes COX-1 et COX-2 catalysent la transformation de cet acide arachidonique en PGH</w:t>
      </w:r>
      <w:r w:rsidRPr="00F9401F">
        <w:rPr>
          <w:vertAlign w:val="subscript"/>
        </w:rPr>
        <w:t>2</w:t>
      </w:r>
      <w:r>
        <w:t xml:space="preserve"> puis, par l’action d’isomérases spécifiques</w:t>
      </w:r>
      <w:r w:rsidR="00F9401F">
        <w:t xml:space="preserve"> aux tissus</w:t>
      </w:r>
      <w:r>
        <w:t>, en thromboxane (TXA</w:t>
      </w:r>
      <w:r w:rsidRPr="00F9401F">
        <w:rPr>
          <w:vertAlign w:val="subscript"/>
        </w:rPr>
        <w:t>2</w:t>
      </w:r>
      <w:r>
        <w:t>) ou diverses prostaglandines (PGD</w:t>
      </w:r>
      <w:r w:rsidRPr="00F9401F">
        <w:rPr>
          <w:vertAlign w:val="subscript"/>
        </w:rPr>
        <w:t>2</w:t>
      </w:r>
      <w:r>
        <w:t>, PGE</w:t>
      </w:r>
      <w:r w:rsidRPr="00F9401F">
        <w:rPr>
          <w:vertAlign w:val="subscript"/>
        </w:rPr>
        <w:t>2</w:t>
      </w:r>
      <w:r>
        <w:t>, PGI</w:t>
      </w:r>
      <w:r w:rsidRPr="00F9401F">
        <w:rPr>
          <w:vertAlign w:val="subscript"/>
        </w:rPr>
        <w:t>2</w:t>
      </w:r>
      <w:r>
        <w:t>, PGF</w:t>
      </w:r>
      <w:r w:rsidRPr="00F9401F">
        <w:rPr>
          <w:vertAlign w:val="subscript"/>
        </w:rPr>
        <w:t>2α</w:t>
      </w:r>
      <w:r>
        <w:t>)</w:t>
      </w:r>
      <w:r w:rsidR="00F9401F">
        <w:t xml:space="preserve"> (Fig4)</w:t>
      </w:r>
      <w:r>
        <w:t>.</w:t>
      </w:r>
      <w:r w:rsidR="00F9401F">
        <w:t xml:space="preserve"> </w:t>
      </w:r>
      <w:r w:rsidR="00D84B57">
        <w:t xml:space="preserve">Ces médiateurs lipidiques sont produits de manière ubiquitaire et agissent dans le maintien de l’homéostasie tissulaire. </w:t>
      </w:r>
      <w:r w:rsidR="000524A0">
        <w:t xml:space="preserve">Les niveaux de prostaglandines sont faibles dans les tissus non enflammés, mais augmentent immédiatement en cas d’inflammation aigüe, soulignant leur rôle dans le recrutement des leucocytes et </w:t>
      </w:r>
      <w:r w:rsidR="00FB1B4B">
        <w:t xml:space="preserve">dans </w:t>
      </w:r>
      <w:r w:rsidR="000524A0">
        <w:t>l’infiltration des cellules immunitaire</w:t>
      </w:r>
      <w:r w:rsidR="00FB1B4B">
        <w:t>s</w:t>
      </w:r>
      <w:r w:rsidR="000524A0">
        <w:t xml:space="preserve"> au niveau du site inflammatoire </w:t>
      </w:r>
      <w:r w:rsidR="000524A0">
        <w:fldChar w:fldCharType="begin"/>
      </w:r>
      <w:r w:rsidR="000524A0">
        <w:instrText xml:space="preserve"> ADDIN ZOTERO_ITEM CSL_CITATION {"citationID":"HynzUn9R","properties":{"formattedCitation":"(Ricciotti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0524A0">
        <w:fldChar w:fldCharType="separate"/>
      </w:r>
      <w:r w:rsidR="000524A0">
        <w:rPr>
          <w:noProof/>
        </w:rPr>
        <w:t>(Ricciotti et FitzGerald 2011)</w:t>
      </w:r>
      <w:r w:rsidR="000524A0">
        <w:fldChar w:fldCharType="end"/>
      </w:r>
      <w:r w:rsidR="000524A0">
        <w:t xml:space="preserve">. </w:t>
      </w:r>
    </w:p>
    <w:p w14:paraId="3BD6800D" w14:textId="189F5876" w:rsidR="000524A0" w:rsidRDefault="00C674E0" w:rsidP="0018798A">
      <w:pPr>
        <w:pStyle w:val="Style3"/>
        <w:numPr>
          <w:ilvl w:val="0"/>
          <w:numId w:val="11"/>
        </w:numPr>
      </w:pPr>
      <w:bookmarkStart w:id="247" w:name="_Toc379807344"/>
      <w:bookmarkStart w:id="248" w:name="_Toc380653904"/>
      <w:bookmarkStart w:id="249" w:name="_Toc380744138"/>
      <w:bookmarkStart w:id="250" w:name="_Toc380946394"/>
      <w:bookmarkStart w:id="251" w:name="_Toc383883958"/>
      <w:bookmarkStart w:id="252" w:name="_Toc384754075"/>
      <w:bookmarkStart w:id="253" w:name="_Toc384756496"/>
      <w:bookmarkStart w:id="254" w:name="_Toc384816092"/>
      <w:bookmarkStart w:id="255" w:name="_Toc384826808"/>
      <w:r>
        <w:t>PGE</w:t>
      </w:r>
      <w:r w:rsidRPr="00C674E0">
        <w:rPr>
          <w:vertAlign w:val="subscript"/>
        </w:rPr>
        <w:t>2</w:t>
      </w:r>
      <w:bookmarkEnd w:id="247"/>
      <w:bookmarkEnd w:id="248"/>
      <w:bookmarkEnd w:id="249"/>
      <w:bookmarkEnd w:id="250"/>
      <w:bookmarkEnd w:id="251"/>
      <w:bookmarkEnd w:id="252"/>
      <w:bookmarkEnd w:id="253"/>
      <w:bookmarkEnd w:id="254"/>
      <w:bookmarkEnd w:id="255"/>
    </w:p>
    <w:p w14:paraId="7A75E735" w14:textId="1833D078" w:rsidR="000C7865" w:rsidRDefault="001B3BA6" w:rsidP="000C7865">
      <w:pPr>
        <w:pStyle w:val="Stytleparagraphe"/>
        <w:ind w:firstLine="360"/>
      </w:pPr>
      <w:r>
        <w:t>Le PGE</w:t>
      </w:r>
      <w:r w:rsidRPr="001856E4">
        <w:rPr>
          <w:vertAlign w:val="subscript"/>
        </w:rPr>
        <w:t>2</w:t>
      </w:r>
      <w:r w:rsidR="003A6740">
        <w:t xml:space="preserve"> est l’une des prostaglandines</w:t>
      </w:r>
      <w:r>
        <w:t xml:space="preserve"> les plus abondamment produites par le corps. </w:t>
      </w:r>
      <w:r w:rsidR="001856E4">
        <w:t>Ces médiateurs</w:t>
      </w:r>
      <w:r>
        <w:t xml:space="preserve"> sont intimement impliquées dans l’initiation de la réponse inflammatoire et dans l’apparition des signes cardinaux de l’inflammation et dans l’initiation de la réponse inflammatoire via une augmentation de la </w:t>
      </w:r>
      <w:r w:rsidR="001856E4">
        <w:t xml:space="preserve">dilatation artérielle et </w:t>
      </w:r>
      <w:r>
        <w:t>de l</w:t>
      </w:r>
      <w:r w:rsidR="001856E4">
        <w:t>a perméabilité micro</w:t>
      </w:r>
      <w:r w:rsidR="00D226A4">
        <w:t>-</w:t>
      </w:r>
      <w:r w:rsidR="001856E4">
        <w:t xml:space="preserve">vasculaire </w:t>
      </w:r>
      <w:r w:rsidR="001856E4">
        <w:fldChar w:fldCharType="begin"/>
      </w:r>
      <w:r w:rsidR="001856E4">
        <w:instrText xml:space="preserve"> ADDIN ZOTERO_ITEM CSL_CITATION {"citationID":"IXQekox6","properties":{"formattedCitation":"(Gomez et al. 2013)","plainCitation":"(Gomez et al. 2013)"},"citationItems":[{"id":201,"uris":["http://zotero.org/users/local/Y4Qp1Cr8/items/DDXN6YBK"],"uri":["http://zotero.org/users/local/Y4Qp1Cr8/items/DDXN6YBK"],"itemData":{"id":201,"type":"article-journal","title":"The role of prostaglandin E2 in human vascular inflammation","container-title":"Prostaglandins, Leukotrienes, and Essential Fatty Acids","page":"55-63","volume":"89","issue":"2-3","source":"PubMed","abstract":"Prostaglandins (PG) are the product of a cascade of enzymes such as cyclooxygenases and PG synthases. Among PG, PGE2 is produced by 3 isoforms of PGE synthase (PGES) and through activation of its cognate receptors (EP1-4), this PG is involved in the pathophysiology of vascular diseases. Some anti-inflammatory drugs (e.g. glucocorticoids, nonsteroidal anti-inflammatory drugs) interfere with its metabolism or effects. Vascular cells can initiate many of the responses associated with inflammation. In human vascular tissue, PGE2 is involved in many physiological processes, such as increasing vascular permeability, cell proliferation, cell migration and control of vascular smooth muscle tone. PGE2 has been shown to contribute to the pathogenesis of atherosclerosis, abdominal aortic aneurysm but also in physiologic/adaptive processes such as angiogenesis. Understanding the roles of PGE2 and its cognate receptors in vascular diseases could help to identify diagnostic and prognostic biomarkers. In addition, from these recent studies new promising therapeutic approaches like mPGES-1 inhibition and/or EP4-antagonism should be investigated.","DOI":"10.1016/j.plefa.2013.04.004","ISSN":"1532-2823","note":"PMID: 23756023","journalAbbreviation":"Prostaglandins Leukot. Essent. Fatty Acids","language":"eng","author":[{"family":"Gomez","given":"I."},{"family":"Foudi","given":"N."},{"family":"Longrois","given":"D."},{"family":"Norel","given":"X."}],"issued":{"date-parts":[["2013",8]]}}}],"schema":"https://github.com/citation-style-language/schema/raw/master/csl-citation.json"} </w:instrText>
      </w:r>
      <w:r w:rsidR="001856E4">
        <w:fldChar w:fldCharType="separate"/>
      </w:r>
      <w:r w:rsidR="001856E4">
        <w:rPr>
          <w:noProof/>
        </w:rPr>
        <w:t>(Gomez et al. 2013)</w:t>
      </w:r>
      <w:r w:rsidR="001856E4">
        <w:fldChar w:fldCharType="end"/>
      </w:r>
      <w:r w:rsidR="001856E4">
        <w:t xml:space="preserve">. Son rôle dans la douleur s’explique par son action sur les neurones sensoriels périphériques et sur les sites centraux de la moelle épinière et du cerveau </w:t>
      </w:r>
      <w:r w:rsidR="001856E4">
        <w:fldChar w:fldCharType="begin"/>
      </w:r>
      <w:r w:rsidR="001856E4">
        <w:instrText xml:space="preserve"> ADDIN ZOTERO_ITEM CSL_CITATION {"citationID":"whjz8NOI","properties":{"formattedCitation":"(Ricciotti et FitzGerald 2011)","plainCitation":"(Ricciotti et FitzGerald 2011)"},"citationItems":[{"id":181,"uris":["http://zotero.org/users/local/Y4Qp1Cr8/items/7J8TXI6N"],"uri":["http://zotero.org/users/local/Y4Qp1Cr8/items/7J8TXI6N"],"itemData":{"id":181,"type":"article-journal","title":"Prostaglandins and inflammation","container-title":"Arteriosclerosis, Thrombosis, and Vascular Biology","page":"986-1000","volume":"31","issue":"5","source":"PubMed","abstract":"Prostaglandins are lipid autacoids derived from arachidonic acid. They both sustain homeostatic functions and mediate pathogenic mechanisms, including the inflammatory response. They are generated from arachidonate by the action of cyclooxygenase isoenzymes, and their biosynthesis is blocked by nonsteroidal antiinflammatory drugs, including those selective for inhibition of cyclooxygenase-2. Despite the clinical efficacy of nonsteroidal antiinflammatory drugs, prostaglandins may function in both the promotion and resolution of inflammation. This review summarizes insights into the mechanisms of prostaglandin generation and the roles of individual mediators and their receptors in modulating the inflammatory response. Prostaglandin biology has potential clinical relevance for atherosclerosis, the response to vascular injury and aortic aneurysm.","DOI":"10.1161/ATVBAHA.110.207449","ISSN":"1524-4636","note":"PMID: 21508345\nPMCID: PMC3081099","journalAbbreviation":"Arterioscler. Thromb. Vasc. Biol.","language":"eng","author":[{"family":"Ricciotti","given":"Emanuela"},{"family":"FitzGerald","given":"Garret A."}],"issued":{"date-parts":[["2011",5]]}}}],"schema":"https://github.com/citation-style-language/schema/raw/master/csl-citation.json"} </w:instrText>
      </w:r>
      <w:r w:rsidR="001856E4">
        <w:fldChar w:fldCharType="separate"/>
      </w:r>
      <w:r w:rsidR="001856E4">
        <w:rPr>
          <w:noProof/>
        </w:rPr>
        <w:t>(Ricciotti et FitzGerald 2011)</w:t>
      </w:r>
      <w:r w:rsidR="001856E4">
        <w:fldChar w:fldCharType="end"/>
      </w:r>
      <w:r w:rsidR="001856E4">
        <w:t xml:space="preserve">. La </w:t>
      </w:r>
      <w:r w:rsidR="003A6740">
        <w:t>régulation de cet ei</w:t>
      </w:r>
      <w:r w:rsidR="001856E4">
        <w:t>cosanoïde</w:t>
      </w:r>
      <w:r w:rsidR="00752C25">
        <w:t xml:space="preserve"> pro-inflammatoire</w:t>
      </w:r>
      <w:r w:rsidR="001856E4">
        <w:t xml:space="preserve"> est primordiale, puisqu’une synthèse ou dégradation incontrôlée est associée à des pathologies graves telles que l’inflammation chronique, la maladie d’Alzheimer ou à la tumorigenèse </w:t>
      </w:r>
      <w:r w:rsidR="001856E4">
        <w:fldChar w:fldCharType="begin"/>
      </w:r>
      <w:r w:rsidR="001856E4">
        <w:instrText xml:space="preserve"> ADDIN ZOTERO_ITEM CSL_CITATION {"citationID":"KxWnf4YA","properties":{"formattedCitation":"(Legler et al. 2010)","plainCitation":"(Legler et al. 2010)"},"citationItems":[{"id":199,"uris":["http://zotero.org/users/local/Y4Qp1Cr8/items/AV88ITG3"],"uri":["http://zotero.org/users/local/Y4Qp1Cr8/items/AV88ITG3"],"itemData":{"id":199,"type":"article-journal","title":"Prostaglandin E2 at new glance: novel insights in functional diversity offer therapeutic chances","container-title":"The International Journal of Biochemistry &amp; Cell Biology","page":"198-201","volume":"42","issue":"2","source":"PubMed","abstract":"Prostaglandin E(2) (PGE(2)) is the most abundant eicosanoid and a very potent lipid mediator. PGE(2) is produced predominantly from arachidonic acid by its tightly regulated cyclooxygenases (COX) and prostaglandin E synthases (PGES). Secreted PGE(2) acts in an autocrine or paracrine manner through its four cognate G protein coupled receptors EP1 to EP4. Under physiological conditions, PGE(2) is key in many biological functions, such as regulation of immune responses, blood pressure, gastrointestinal integrity, and fertility. Deregulated PGE(2) synthesis or degradation is associated with severe pathological conditions like chronic inflammation, Alzheimer's disease, or tumorigenesis. Therefore, pharmacological inhibition of COX enzymes and PGE(2) receptor antagonism is of great therapeutic interest.","DOI":"10.1016/j.biocel.2009.09.015","ISSN":"1878-5875","note":"PMID: 19788928","shortTitle":"Prostaglandin E2 at new glance","journalAbbreviation":"Int. J. Biochem. Cell Biol.","language":"eng","author":[{"family":"Legler","given":"Daniel F."},{"family":"Bruckner","given":"Markus"},{"family":"Uetz-von Allmen","given":"Edith"},{"family":"Krause","given":"Petra"}],"issued":{"date-parts":[["2010",2]]}}}],"schema":"https://github.com/citation-style-language/schema/raw/master/csl-citation.json"} </w:instrText>
      </w:r>
      <w:r w:rsidR="001856E4">
        <w:fldChar w:fldCharType="separate"/>
      </w:r>
      <w:r w:rsidR="001856E4">
        <w:rPr>
          <w:noProof/>
        </w:rPr>
        <w:t>(Legler et al. 2010)</w:t>
      </w:r>
      <w:r w:rsidR="001856E4">
        <w:fldChar w:fldCharType="end"/>
      </w:r>
      <w:r w:rsidR="001856E4">
        <w:t xml:space="preserve">. </w:t>
      </w:r>
    </w:p>
    <w:p w14:paraId="439893C6" w14:textId="77777777" w:rsidR="00857AA7" w:rsidRDefault="00857AA7" w:rsidP="000C7865">
      <w:pPr>
        <w:pStyle w:val="Stytleparagraphe"/>
        <w:ind w:firstLine="360"/>
      </w:pPr>
    </w:p>
    <w:p w14:paraId="3644BDF0" w14:textId="35F980A7" w:rsidR="0064699E" w:rsidRDefault="0064699E" w:rsidP="000C7865">
      <w:pPr>
        <w:pStyle w:val="Stytleparagraphe"/>
        <w:ind w:firstLine="360"/>
      </w:pPr>
      <w:r>
        <w:t>Au niveau parodontal, des niveaux élevés de PGE</w:t>
      </w:r>
      <w:r w:rsidRPr="001856E4">
        <w:rPr>
          <w:vertAlign w:val="subscript"/>
        </w:rPr>
        <w:t>2</w:t>
      </w:r>
      <w:r>
        <w:rPr>
          <w:vertAlign w:val="subscript"/>
        </w:rPr>
        <w:t xml:space="preserve"> </w:t>
      </w:r>
      <w:r>
        <w:t>ont été retrouvés au niveau du fluide gingival et des tissus parodontaux des patients atteints de gingivite, parodontite ou péri-implantite. Des concentrations significativement élevées de PGE</w:t>
      </w:r>
      <w:r w:rsidRPr="001856E4">
        <w:rPr>
          <w:vertAlign w:val="subscript"/>
        </w:rPr>
        <w:t>2</w:t>
      </w:r>
      <w:r>
        <w:t xml:space="preserve"> seraient retrouvées chez les individus présentant une maladie parodontale en progression, par rapport aux individus présentant un statut parodontal sain</w:t>
      </w:r>
      <w:r w:rsidR="00857AA7">
        <w:t xml:space="preserve"> </w:t>
      </w:r>
      <w:r w:rsidR="00857AA7">
        <w:fldChar w:fldCharType="begin"/>
      </w:r>
      <w:r w:rsidR="00857AA7">
        <w:instrText xml:space="preserve"> ADDIN ZOTERO_ITEM CSL_CITATION {"citationID":"wR9ARwgQ","properties":{"formattedCitation":"(Gulati et al. 2014)","plainCitation":"(Gulati et al. 2014)"},"citationItems":[{"id":211,"uris":["http://zotero.org/users/local/Y4Qp1Cr8/items/8986DRMB"],"uri":["http://zotero.org/users/local/Y4Qp1Cr8/items/8986DRMB"],"itemData":{"id":211,"type":"article-journal","title":"Host modulation therapy: An indispensable part of perioceutics","container-title":"Journal of Indian Society of Periodontology","page":"282-288","volume":"18","issue":"3","source":"PubMed Central","abstract":"Traditionally, only antimicrobials have been used as the chemotherapeutic modality for the treatment of periodontitis. Though bacteria are the primary etiologic factors of periodontal diseases, yet the extent and severity of tissue destruction seen in periodontitis is determined by the host immuno-inflammatory response to these bacteria. This increasing awareness and knowledge of the host-microbial interaction in periodontal pathogenesis has presented the opportunity for exploring new therapeutic strategies for periodontitis by means of targeting host response via host-modulating agents. This has lead to the emergence of the field of “Perioceutics” i.e. the use of parmacotherapeutic agents including antimicrobial therapy as well as host modulatory therapy for the management of periodontitis. These host-modulating agents used as an adjunct tip the balance between periodontal health and disease progression in the direction of a healing response. In this article the host-modulating role of various systemically and locally delivered perioceutic agents will be reviewed.","DOI":"10.4103/0972-124X.134559","ISSN":"0972-124X","note":"PMID: 25024538\nPMCID: PMC4095617","shortTitle":"Host modulation therapy","journalAbbreviation":"J Indian Soc Periodontol","author":[{"family":"Gulati","given":"Minkle"},{"family":"Anand","given":"Vishal"},{"family":"Govila","given":"Vivek"},{"family":"Jain","given":"Nikil"}],"issued":{"date-parts":[["2014"]]}}}],"schema":"https://github.com/citation-style-language/schema/raw/master/csl-citation.json"} </w:instrText>
      </w:r>
      <w:r w:rsidR="00857AA7">
        <w:fldChar w:fldCharType="separate"/>
      </w:r>
      <w:r w:rsidR="00857AA7">
        <w:rPr>
          <w:noProof/>
        </w:rPr>
        <w:t>(Gulati et al. 2014)</w:t>
      </w:r>
      <w:r w:rsidR="00857AA7">
        <w:fldChar w:fldCharType="end"/>
      </w:r>
      <w:r>
        <w:t>.</w:t>
      </w:r>
    </w:p>
    <w:p w14:paraId="4F69DC95" w14:textId="77777777" w:rsidR="00857AA7" w:rsidRDefault="00857AA7" w:rsidP="000C7865">
      <w:pPr>
        <w:pStyle w:val="Stytleparagraphe"/>
        <w:ind w:firstLine="360"/>
      </w:pPr>
    </w:p>
    <w:p w14:paraId="3DA99196" w14:textId="1A04E32D" w:rsidR="00857AA7" w:rsidRPr="0064699E" w:rsidRDefault="00857AA7" w:rsidP="00857AA7">
      <w:pPr>
        <w:pStyle w:val="Stytleparagraphe"/>
        <w:ind w:firstLine="360"/>
      </w:pPr>
      <w:r>
        <w:t>PGE</w:t>
      </w:r>
      <w:r w:rsidRPr="001856E4">
        <w:rPr>
          <w:vertAlign w:val="subscript"/>
        </w:rPr>
        <w:t>2</w:t>
      </w:r>
      <w:r>
        <w:rPr>
          <w:vertAlign w:val="subscript"/>
        </w:rPr>
        <w:t xml:space="preserve"> </w:t>
      </w:r>
      <w:r>
        <w:t>exerce ses actions via sa liaison avec ses récepteurs EPs. L’activation des récepteurs EP2 et EP4 est liée à la différenciation ostéoclastique induite par PGE</w:t>
      </w:r>
      <w:r w:rsidRPr="001856E4">
        <w:rPr>
          <w:vertAlign w:val="subscript"/>
        </w:rPr>
        <w:t>2</w:t>
      </w:r>
      <w:r>
        <w:rPr>
          <w:vertAlign w:val="subscript"/>
        </w:rPr>
        <w:t xml:space="preserve"> </w:t>
      </w:r>
      <w:r>
        <w:t>et médiée par les cytokines pro-inflammatoires telles qu’IL-6. Des niveaux élevés de PGE</w:t>
      </w:r>
      <w:r w:rsidRPr="001856E4">
        <w:rPr>
          <w:vertAlign w:val="subscript"/>
        </w:rPr>
        <w:t>2</w:t>
      </w:r>
      <w:r>
        <w:t xml:space="preserve"> seraient </w:t>
      </w:r>
      <w:r w:rsidR="000D59F2">
        <w:t xml:space="preserve">alors </w:t>
      </w:r>
      <w:r>
        <w:t xml:space="preserve">associés à une augmentation de l’inflammation gingivale et à la perte d’os alvéolaire </w:t>
      </w:r>
      <w:r>
        <w:fldChar w:fldCharType="begin"/>
      </w:r>
      <w:r>
        <w:instrText xml:space="preserve"> ADDIN ZOTERO_ITEM CSL_CITATION {"citationID":"vlt4Txgj","properties":{"formattedCitation":"(Liu et al. 2005)","plainCitation":"(Liu et al. 2005)"},"citationItems":[{"id":205,"uris":["http://zotero.org/users/local/Y4Qp1Cr8/items/WQHX3CCB"],"uri":["http://zotero.org/users/local/Y4Qp1Cr8/items/WQHX3CCB"],"itemData":{"id":205,"type":"article-journal","title":"Cross-talk between the interleukin-6 and prostaglandin E(2) signaling systems results in enhancement of osteoclastogenesis through effects on the osteoprotegerin/receptor activator of nuclear factor-{kappa}B (RANK) ligand/RANK system","container-title":"Endocrinology","page":"1991-1998","volume":"146","issue":"4","source":"PubMed","abstract":"The osteoprotegerin (OPG)/receptor activator of nuclear factor-kappaB ligand (RANKL)/receptor activator of nuclear factor-kappaB (RANK) system is the dominant and final mediator of osteoclastogenesis. Abnormalities of this system have been implicated in the pathogenesis of many skeletal diseases. Cyclooxygenase (COX)-2 and prostaglandin (PG)E(2), a major eicosanoid product of the COX-2-catalyzed pathway, play key roles in normal bone tissue remodeling. PGE(2) exerts its actions by binding and activating the E series of prostaglandin (EP) receptor. Activation of EP(2) and EP(4) receptors is associated with PGE(2)-induced osteoclast differentiation. IL-6, a major proinflammatory cytokine, has also been reported to induce osteoclast differentiation. Although interactions between the COX-2/PGE(2) and IL-6 systems have been described in bone cells, the mechanisms underlying these cooperative signaling pathways and the possible involvement of the OPG/RANKL/RANK system have not been fully elucidated. We demonstrate that COX-2, PGE(2), and IL-6 stimulate osteoblast growth and osteoclast differentiation. Effects on osteoclast differentiation, particularly with IL-6, were most marked when osteoclast precursor cells were grown in coculture with osteoblasts, indicating a possible role of the RANK/RANKL/OPG system. COX-2 and PGE(2) stimulated osteoclastogenesis through inhibition of OPG secretion, stimulation of RANKL production by osteoblasts, and up-regulation of RANK expression in osteoclasts. PGE(2) stimulated IL-6 secretion by bone cells, whereas COX-2 inhibitors decreased this same parameter. IL-6, in turn, increased PGE(2) secretion, COX-2, and EP receptor subtype expression in bone cells. Finally, IL-6 was the mediator of PGE(2)-induced suppression of OPG production by osteoblasts. These findings provide evidence for cross-talk between the PGE(2) and IL-6 signaling enhance osteoclast differentiation via effects on the OPG/RANKL/RANK system in bone cells.","DOI":"10.1210/en.2004-1167","ISSN":"0013-7227","note":"PMID: 15618359","journalAbbreviation":"Endocrinology","language":"eng","author":[{"family":"Liu","given":"Xin-Hua"},{"family":"Kirschenbaum","given":"Alexander"},{"family":"Yao","given":"Shen"},{"family":"Levine","given":"Alice C."}],"issued":{"date-parts":[["2005",4]]}}}],"schema":"https://github.com/citation-style-language/schema/raw/master/csl-citation.json"} </w:instrText>
      </w:r>
      <w:r>
        <w:fldChar w:fldCharType="separate"/>
      </w:r>
      <w:r>
        <w:rPr>
          <w:noProof/>
        </w:rPr>
        <w:t>(Liu et al. 2005)</w:t>
      </w:r>
      <w:r>
        <w:fldChar w:fldCharType="end"/>
      </w:r>
      <w:r>
        <w:t>.</w:t>
      </w:r>
    </w:p>
    <w:p w14:paraId="69F6A5D5" w14:textId="4C6000A0" w:rsidR="0064699E" w:rsidRDefault="00D97008" w:rsidP="002F2D43">
      <w:pPr>
        <w:pStyle w:val="Stytleparagraphe"/>
      </w:pPr>
      <w:r>
        <w:t>Paradoxalement</w:t>
      </w:r>
      <w:r w:rsidR="00417746">
        <w:t>, une étude montre que la stimulation des fibroblastes gingivaux humains par le lipopolysaccharide (LPS) engendre la synthèse autocrine de PGE</w:t>
      </w:r>
      <w:r w:rsidR="00417746" w:rsidRPr="00417746">
        <w:rPr>
          <w:vertAlign w:val="subscript"/>
        </w:rPr>
        <w:t>2</w:t>
      </w:r>
      <w:r w:rsidR="00417746">
        <w:t>, qui en retour, augmente la production d’ostéoprotégérine (OPG) au niveau de ces fibroblastes, via les récepteurs EP1 et EP2. Pour rappel, l’OPG inhibe la différenciation ostéoclastique et favorise donc la formation osseuse. Ainsi, l’induction d’OPG dans les fi</w:t>
      </w:r>
      <w:r w:rsidR="00947058">
        <w:t>b</w:t>
      </w:r>
      <w:r w:rsidR="00417746">
        <w:t>roblastes gingivaux</w:t>
      </w:r>
      <w:r w:rsidR="00991E7B">
        <w:t xml:space="preserve"> par </w:t>
      </w:r>
      <w:r w:rsidR="00417746">
        <w:t xml:space="preserve"> </w:t>
      </w:r>
      <w:r w:rsidR="00991E7B">
        <w:t>PGE</w:t>
      </w:r>
      <w:r w:rsidR="00991E7B" w:rsidRPr="00417746">
        <w:rPr>
          <w:vertAlign w:val="subscript"/>
        </w:rPr>
        <w:t>2</w:t>
      </w:r>
      <w:r w:rsidR="00991E7B">
        <w:rPr>
          <w:vertAlign w:val="subscript"/>
        </w:rPr>
        <w:t xml:space="preserve"> </w:t>
      </w:r>
      <w:r w:rsidR="00417746">
        <w:t xml:space="preserve">pourrait être </w:t>
      </w:r>
      <w:r>
        <w:t xml:space="preserve">un mécanisme d’auto-défense qui inhibe la destruction de l’os alvéolaire au cours de l’inflammation parodontale </w:t>
      </w:r>
      <w:r>
        <w:fldChar w:fldCharType="begin"/>
      </w:r>
      <w:r>
        <w:instrText xml:space="preserve"> ADDIN ZOTERO_ITEM CSL_CITATION {"citationID":"61WelyCy","properties":{"formattedCitation":"(Kiji et al. 2007)","plainCitation":"(Kiji et al. 2007)"},"citationItems":[{"id":190,"uris":["http://zotero.org/users/local/Y4Qp1Cr8/items/KLTM7FRG"],"uri":["http://zotero.org/users/local/Y4Qp1Cr8/items/KLTM7FRG"],"itemData":{"id":190,"type":"article-journal","title":"Internal prostaglandin synthesis augments osteoprotegerin production in human gingival fibroblasts stimulated by lipopolysaccharide","container-title":"Clinical and Experimental Immunology","page":"327-334","volume":"149","issue":"2","source":"PubMed Central","abstract":"Periodontitis is an inflammatory bone disease caused by Gram-negative anaerobic bacteria. Osteoclast differentiation is regulated by the balance between receptor activator of nuclear factor kappa B ligand (RANKL) and osteoprotegerin (OPG). The purpose of this study was to examine the mechanism of OPG production in human gingival fibroblasts (HGF) stimulated by lipopolysaccharide (LPS) from periodontopathic bacteria. The expressions of Toll-like receptor 2 (TLR-2) and TLR-4 in HGF were examined using flow-cytometry. HGF were stimulated with whole cell extracts or LPS from Actinobacillus actinomycetemcomitans and Porphyromonas gingivalis with or without polymyxin B, a LPS inhibitor. In addition, HGF were stimulated with LPS, prostaglandin E2 (PGE2), various agonists of PGE receptors (EP1, EP2, EP3 and EP4 agonists) with or without indomethacin (IND), a prostaglandin synthesis inhibitor. OPG and PGE2 production was measured using an enzyme-linked immunosorbent assay (ELISA). HGF expressed both TLR-2 and TLR-4. Both A. actinomycetemcomitans and P. gingivalis LPS augmented OPG expression in HGF. Whole cell extracts from A. actinomycetemcomitans and P. gingivalis augmented OPG production by HGF; the augmentation was suppressed by polymyxin B. IND suppressed OPG production in LPS-stimulated HGF. PGE2 stimulated HGF to produce OPG. EP1 and EP2 agonists, but not EP3 and EP4 agonists, increased OPG production by HGF. These results suggest that LPS-induced OPG production by HGF is regulated via EP1 and/or EP2 receptors by endogenously generated PGE2.","DOI":"10.1111/j.1365-2249.2007.03414.x","ISSN":"0009-9104","note":"PMID: 17550374\nPMCID: PMC1941953","journalAbbreviation":"Clin Exp Immunol","author":[{"family":"Kiji","given":"M"},{"family":"Nagasawa","given":"T"},{"family":"Hormdee","given":"D"},{"family":"Yashiro","given":"R"},{"family":"Kobayashi","given":"H"},{"family":"Noguchi","given":"K"},{"family":"Nitta","given":"H"},{"family":"Izumi","given":"Y"},{"family":"Ishikawa","given":"I"}],"issued":{"date-parts":[["2007",8]]}}}],"schema":"https://github.com/citation-style-language/schema/raw/master/csl-citation.json"} </w:instrText>
      </w:r>
      <w:r>
        <w:fldChar w:fldCharType="separate"/>
      </w:r>
      <w:r>
        <w:rPr>
          <w:noProof/>
        </w:rPr>
        <w:t>(Kiji et al. 2007)</w:t>
      </w:r>
      <w:r>
        <w:fldChar w:fldCharType="end"/>
      </w:r>
      <w:r>
        <w:t>.</w:t>
      </w:r>
      <w:r w:rsidR="00991E7B">
        <w:t xml:space="preserve"> En effet, dès 1997</w:t>
      </w:r>
      <w:r w:rsidR="000D59F2">
        <w:t>,</w:t>
      </w:r>
      <w:r w:rsidR="00991E7B">
        <w:t xml:space="preserve"> une étude réalisée chez le rat montre l’implication de PGE</w:t>
      </w:r>
      <w:r w:rsidR="00991E7B" w:rsidRPr="00417746">
        <w:rPr>
          <w:vertAlign w:val="subscript"/>
        </w:rPr>
        <w:t>2</w:t>
      </w:r>
      <w:r w:rsidR="00991E7B">
        <w:rPr>
          <w:vertAlign w:val="subscript"/>
        </w:rPr>
        <w:t xml:space="preserve"> </w:t>
      </w:r>
      <w:r w:rsidR="00991E7B">
        <w:t xml:space="preserve">dans la différenciation ostéoprogénitrice </w:t>
      </w:r>
      <w:r w:rsidR="00991E7B">
        <w:fldChar w:fldCharType="begin"/>
      </w:r>
      <w:r w:rsidR="00991E7B">
        <w:instrText xml:space="preserve"> ADDIN ZOTERO_ITEM CSL_CITATION {"citationID":"yA43fvns","properties":{"formattedCitation":"(Weinreb, Suponitzky, et Keila 1997)","plainCitation":"(Weinreb, Suponitzky, et Keila 1997)"},"citationItems":[{"id":203,"uris":["http://zotero.org/users/local/Y4Qp1Cr8/items/5Z8FKC7Y"],"uri":["http://zotero.org/users/local/Y4Qp1Cr8/items/5Z8FKC7Y"],"itemData":{"id":203,"type":"article-journal","title":"Systemic administration of an anabolic dose of PGE2 in young rats increases the osteogenic capacity of bone marrow","container-title":"Bone","page":"521-526","volume":"20","issue":"6","source":"PubMed","abstract":"Prostaglandin E2 (PGE2) possesses significant anabolic properties when administered systemically (i.e., it increases bone formation and, consequently, bone mass). We recently characterized the effects of a 3 week administration of 6 mg/kg PGE2 into young rats and showed it increases cortical and cancellous bone mass and mechanical strength in long bones and bone density in the calvaria. We also found that a single dose of PGE2 induces the expression of early-response genes (c-fos, c-jun, and egr-1) in bone marrow cells within these two types of bone. These observations, together with findings by others of new cancellous bone formation in PGE2-treated animals, suggested that recruitment of osteoblasts from their precursors is a major mechanism of the anabolic effect of PGE2. To test this hypothesis directly, we injected PGE2 (6 mg/kg) or vehicle into 4-week-old rats for 2 weeks and then assessed the osteogenic potential of bone marrow in an ex vivo culture system. Primary and first-passage bone marrow cultures were established in the presence of beta-glycerophosphate, ascorbate, and dexamethasone, and osteogenic differentiation was measured by bone nodule formation and alkaline phosphatase activity. This regimen increased bone mass expressed as femoral ash weight by 4.7% and tibial cancellous bone area by 38.3%. Nodule formation at 21 days was increased in both primary and first-passage cultures from PGE2-treated rats despite seeding of the same number of marrow cells. Alkaline phosphatase activity was elevated in both primary and first-passage cultures from PGE2-treated rats beginning 6-10 days after culture initiation. Cell proliferation was only slightly elevated in cultures from PGE2-treated rats. These data strongly suggest that in vivo administration of PGE2 induces the proliferation or differentiation of osteoprogenitor cells in bone marrow, and this effect takes a major part in its anabolic effect in vivo.","ISSN":"8756-3282","note":"PMID: 9177865","journalAbbreviation":"Bone","language":"eng","author":[{"family":"Weinreb","given":"M."},{"family":"Suponitzky","given":"I."},{"family":"Keila","given":"S."}],"issued":{"date-parts":[["1997",6]]}}}],"schema":"https://github.com/citation-style-language/schema/raw/master/csl-citation.json"} </w:instrText>
      </w:r>
      <w:r w:rsidR="00991E7B">
        <w:fldChar w:fldCharType="separate"/>
      </w:r>
      <w:r w:rsidR="00991E7B">
        <w:rPr>
          <w:noProof/>
        </w:rPr>
        <w:t>(Weinreb, Suponitzky, et Keila 1997)</w:t>
      </w:r>
      <w:r w:rsidR="00991E7B">
        <w:fldChar w:fldCharType="end"/>
      </w:r>
      <w:r w:rsidR="00991E7B">
        <w:t>.</w:t>
      </w:r>
    </w:p>
    <w:p w14:paraId="6DC1BE57" w14:textId="77777777" w:rsidR="00962BD3" w:rsidRDefault="00962BD3" w:rsidP="00962BD3">
      <w:pPr>
        <w:pStyle w:val="Stytleparagraphe"/>
      </w:pPr>
    </w:p>
    <w:p w14:paraId="3CAFEED7" w14:textId="25C27BDB" w:rsidR="00962BD3" w:rsidRDefault="00962BD3" w:rsidP="0018798A">
      <w:pPr>
        <w:pStyle w:val="Style3"/>
        <w:numPr>
          <w:ilvl w:val="0"/>
          <w:numId w:val="11"/>
        </w:numPr>
        <w:tabs>
          <w:tab w:val="left" w:pos="2181"/>
        </w:tabs>
      </w:pPr>
      <w:bookmarkStart w:id="256" w:name="_Toc379807345"/>
      <w:bookmarkStart w:id="257" w:name="_Toc380653905"/>
      <w:bookmarkStart w:id="258" w:name="_Toc380744139"/>
      <w:bookmarkStart w:id="259" w:name="_Toc380946395"/>
      <w:bookmarkStart w:id="260" w:name="_Toc383883959"/>
      <w:bookmarkStart w:id="261" w:name="_Toc384754076"/>
      <w:bookmarkStart w:id="262" w:name="_Toc384756497"/>
      <w:bookmarkStart w:id="263" w:name="_Toc384816093"/>
      <w:bookmarkStart w:id="264" w:name="_Toc384826809"/>
      <w:r>
        <w:t>PGD</w:t>
      </w:r>
      <w:r w:rsidRPr="00893FAA">
        <w:rPr>
          <w:vertAlign w:val="subscript"/>
        </w:rPr>
        <w:t>2</w:t>
      </w:r>
      <w:bookmarkEnd w:id="256"/>
      <w:bookmarkEnd w:id="257"/>
      <w:bookmarkEnd w:id="258"/>
      <w:bookmarkEnd w:id="259"/>
      <w:bookmarkEnd w:id="260"/>
      <w:bookmarkEnd w:id="261"/>
      <w:bookmarkEnd w:id="262"/>
      <w:bookmarkEnd w:id="263"/>
      <w:bookmarkEnd w:id="264"/>
      <w:r w:rsidR="00893FAA">
        <w:t xml:space="preserve"> </w:t>
      </w:r>
    </w:p>
    <w:p w14:paraId="20ABB402" w14:textId="77777777" w:rsidR="0056170E" w:rsidRDefault="004100FF" w:rsidP="004100FF">
      <w:pPr>
        <w:pStyle w:val="Stytleparagraphe"/>
        <w:ind w:firstLine="360"/>
      </w:pPr>
      <w:r>
        <w:t xml:space="preserve">Contrairement à </w:t>
      </w:r>
      <w:r w:rsidRPr="004100FF">
        <w:t>PGE</w:t>
      </w:r>
      <w:r w:rsidRPr="004100FF">
        <w:rPr>
          <w:vertAlign w:val="subscript"/>
        </w:rPr>
        <w:t>2</w:t>
      </w:r>
      <w:r>
        <w:t xml:space="preserve">, </w:t>
      </w:r>
      <w:r w:rsidRPr="004100FF">
        <w:t>PGD</w:t>
      </w:r>
      <w:r w:rsidRPr="004100FF">
        <w:rPr>
          <w:vertAlign w:val="subscript"/>
        </w:rPr>
        <w:t>2</w:t>
      </w:r>
      <w:r>
        <w:rPr>
          <w:vertAlign w:val="subscript"/>
        </w:rPr>
        <w:t xml:space="preserve"> </w:t>
      </w:r>
      <w:r>
        <w:t xml:space="preserve">est une prostaglandine anti-inflammatoire impliquée dans la résolution de l’inflammation et dans la réparation des lésions tissulaires </w:t>
      </w:r>
      <w:r>
        <w:fldChar w:fldCharType="begin"/>
      </w:r>
      <w:r>
        <w:instrText xml:space="preserve"> ADDIN ZOTERO_ITEM CSL_CITATION {"citationID":"gmhWJuD5","properties":{"formattedCitation":"(Vong et al. 2010)","plainCitation":"(Vong et al. 2010)"},"citationItems":[{"id":214,"uris":["http://zotero.org/users/local/Y4Qp1Cr8/items/LD9DQEWV"],"uri":["http://zotero.org/users/local/Y4Qp1Cr8/items/LD9DQEWV"],"itemData":{"id":214,"type":"article-journal","title":"A pro-resolution mediator, prostaglandin D2, is specifically up-regulated in individuals in long-term remission from ulcerative colitis","container-title":"Proceedings of the National Academy of Sciences of the United States of America","page":"12023-12027","volume":"107","issue":"26","source":"PubMed Central","abstract":"Patients with ulcerative colitis (UC) experience unpredictable bouts of active inflammation and ulceration. Relatively little attention has been paid to the role of antiinflammatory mediators in the pathogenesis of UC, although rodent studies suggest an important role of prostaglandin (PG) D2 in the resolution of tissue injury and inflammation. The present study was performed to determine if colonic PGD2 synthesis was altered in patients in remission from UC and if expression of the key enzymes and receptors related to PGD2 was altered. During routine colon-cancer screening, colonic biopsies were obtained from healthy individuals, some of whom had been in remission from UC, without treatment, for &gt;4 y. UC patients with active disease or in medically induced remission were also biopsied. Only patients with active UC exhibited elevated expression of several proinflammatory cytokines (TNFα and IFNγ) and colonic PGE2 synthesis. In contrast, colonic PGD2 synthesis was only elevated (</w:instrText>
      </w:r>
      <w:r>
        <w:rPr>
          <w:rFonts w:ascii="Bradley Hand Bold" w:hAnsi="Bradley Hand Bold" w:cs="Bradley Hand Bold"/>
        </w:rPr>
        <w:instrText>∼</w:instrText>
      </w:r>
      <w:r>
        <w:instrText xml:space="preserve">3-fold) in the healthy individuals with a prior history of UC. This group also exhibited significantly elevated expression of DP1, the key receptor mediating the antiinflammatory actions of PGD2. Expression of the synthetic enzymes cyclooxygenase-1, cyclooxygenase-2, and hematopoietic PGD synthase was not altered in the healthy individuals with a prior history of UC. These results show a marked up-regulation of synthesis of an antiinflammatory prostanoid and expression of its receptor, specifically in individuals in long-term remission from UC. This is consistent with animal studies showing the importance of PGD2 in the induction and maintenance of remission from colitis.","DOI":"10.1073/pnas.1004982107","ISSN":"0027-8424","note":"PMID: 20547854\nPMCID: PMC2900663","journalAbbreviation":"Proc Natl Acad Sci U S A","author":[{"family":"Vong","given":"Linda"},{"family":"Ferraz","given":"Jose G. P."},{"family":"Panaccione","given":"Remo"},{"family":"Beck","given":"Paul L."},{"family":"Wallace","given":"John L."}],"issued":{"date-parts":[["2010",6,29]]}}}],"schema":"https://github.com/citation-style-language/schema/raw/master/csl-citation.json"} </w:instrText>
      </w:r>
      <w:r>
        <w:fldChar w:fldCharType="separate"/>
      </w:r>
      <w:r>
        <w:rPr>
          <w:noProof/>
        </w:rPr>
        <w:t>(Vong et al. 2010)</w:t>
      </w:r>
      <w:r>
        <w:fldChar w:fldCharType="end"/>
      </w:r>
      <w:r>
        <w:t>.</w:t>
      </w:r>
      <w:r w:rsidR="006F1FF1">
        <w:t xml:space="preserve"> </w:t>
      </w:r>
    </w:p>
    <w:p w14:paraId="4A00B8B2" w14:textId="36676F12" w:rsidR="00AE06D1" w:rsidRDefault="00AE06D1" w:rsidP="004100FF">
      <w:pPr>
        <w:pStyle w:val="Stytleparagraphe"/>
        <w:ind w:firstLine="360"/>
      </w:pPr>
      <w:r>
        <w:t>PGD</w:t>
      </w:r>
      <w:r w:rsidRPr="00AE06D1">
        <w:rPr>
          <w:vertAlign w:val="subscript"/>
        </w:rPr>
        <w:t>2</w:t>
      </w:r>
      <w:r>
        <w:t xml:space="preserve"> a cependant un rôle ambigu dans la défense de l’hôte, car en fonction de l’étiologie de la maladie, il peut jouer un rôle anti- ou pro-inflammatoire. C’est l’interaction entre la prostaglandine et son récepteur DP1 qui contrôle la balance entre les cytokines pro- et anti-inflammatoires, qui régulent l’initiation de la réponse inflammatoire. L’hématopoïétique prostaglandine D2 synthase contrôlerait alors le début et la résolution de l’inflammation aigüe </w:t>
      </w:r>
      <w:r>
        <w:fldChar w:fldCharType="begin"/>
      </w:r>
      <w:r>
        <w:instrText xml:space="preserve"> ADDIN ZOTERO_ITEM CSL_CITATION {"citationID":"t6uSS01a","properties":{"formattedCitation":"(Rajakariar et al. 2007)","plainCitation":"(Rajakariar et al. 2007)"},"citationItems":[{"id":217,"uris":["http://zotero.org/users/local/Y4Qp1Cr8/items/T6UJ25TP"],"uri":["http://zotero.org/users/local/Y4Qp1Cr8/items/T6UJ25TP"],"itemData":{"id":217,"type":"article-journal","title":"Hematopoietic prostaglandin D2 synthase controls the onset and resolution of acute inflammation through PGD2 and 15-deoxyDelta12 14 PGJ2","container-title":"Proceedings of the National Academy of Sciences of the United States of America","page":"20979-20984","volume":"104","issue":"52","source":"PubMed","abstract":"Hematopoietic prostaglandin D(2) synthase (hPGD(2)S) metabolizes cyclooxygenase (COX)-derived PGH(2) to PGD(2) and 15-deoxyDelta(12-14) PGJ(2) (15d-PGJ(2)). Unlike COX, the role of hPGD(2)S in host defense is ambiguous. PGD(2) can be either pro- or antiinflammatory depending on disease etiology, whereas the existence of 15d-PGJ(2) and its relevance to pathophysiology remain controversial. Herein, studies on hPGD(2)S KO mice reveal that 15d-PGJ(2) is synthesized in a self-resolving peritonitis, detected by using liquid chromatography-tandem MS. Together with PGD(2) working on its DP1 receptor, 15d-PGJ(2) controls the balance of pro- vs. antiinflammatory cytokines that regulate leukocyte influx and monocyte-derived macrophage efflux from the inflamed peritoneal cavity to draining lymph nodes leading to resolution. Specifically, inflammation in hPGD(2)S KOs is more severe during the onset phase arising from a substantial cytokine imbalance resulting in enhanced polymorphonuclear leukocyte and monocyte trafficking. Moreover, resolution is impaired, characterized by macrophage and surprisingly lymphocyte accumulation. Data from this work place hPGD(2)S at the center of controlling the onset and the resolution of acute inflammation where it acts as a crucial checkpoint controller of cytokine/chemokine synthesis as well as leukocyte influx and efflux. Here, we provide definitive proof that 15d-PGJ(2) is synthesized during mammalian inflammatory responses, and we highlight DP1 receptor activation as a potential antiinflammatory strategy.","DOI":"10.1073/pnas.0707394104","ISSN":"1091-6490","note":"PMID: 18077391\nPMCID: PMC2409252","journalAbbreviation":"Proc. Natl. Acad. Sci. U.S.A.","language":"eng","author":[{"family":"Rajakariar","given":"Ravindra"},{"family":"Hilliard","given":"Mark"},{"family":"Lawrence","given":"Toby"},{"family":"Trivedi","given":"Seema"},{"family":"Colville-Nash","given":"Paul"},{"family":"Bellingan","given":"Geoff"},{"family":"Fitzgerald","given":"Desmond"},{"family":"Yaqoob","given":"Muhammad M."},{"family":"Gilroy","given":"Derek W."}],"issued":{"date-parts":[["2007",12,26]]}}}],"schema":"https://github.com/citation-style-language/schema/raw/master/csl-citation.json"} </w:instrText>
      </w:r>
      <w:r>
        <w:fldChar w:fldCharType="separate"/>
      </w:r>
      <w:r>
        <w:rPr>
          <w:noProof/>
        </w:rPr>
        <w:t>(Rajakariar et al. 2007)</w:t>
      </w:r>
      <w:r>
        <w:fldChar w:fldCharType="end"/>
      </w:r>
      <w:r>
        <w:t>.</w:t>
      </w:r>
    </w:p>
    <w:p w14:paraId="6C6DE8B3" w14:textId="57BCF9AB" w:rsidR="000F03B4" w:rsidRDefault="00AE06D1" w:rsidP="00B622FC">
      <w:pPr>
        <w:pStyle w:val="Stytleparagraphe"/>
      </w:pPr>
      <w:r>
        <w:t xml:space="preserve">L’étude de Vong montre que </w:t>
      </w:r>
      <w:r w:rsidRPr="004100FF">
        <w:t>PGD</w:t>
      </w:r>
      <w:r w:rsidRPr="004100FF">
        <w:rPr>
          <w:vertAlign w:val="subscript"/>
        </w:rPr>
        <w:t>2</w:t>
      </w:r>
      <w:r w:rsidRPr="006F1FF1">
        <w:t xml:space="preserve"> </w:t>
      </w:r>
      <w:r>
        <w:t xml:space="preserve">et ses récepteurs médiateurs de ses effets anti-inflammatoires DP1 pourraient être responsables de la maintenance de la rémission chez les patients sains atteints de colite ulcéreuse </w:t>
      </w:r>
      <w:r>
        <w:fldChar w:fldCharType="begin"/>
      </w:r>
      <w:r>
        <w:instrText xml:space="preserve"> ADDIN ZOTERO_ITEM CSL_CITATION {"citationID":"yt9yBEG8","properties":{"formattedCitation":"(Vong et al. 2010)","plainCitation":"(Vong et al. 2010)"},"citationItems":[{"id":214,"uris":["http://zotero.org/users/local/Y4Qp1Cr8/items/LD9DQEWV"],"uri":["http://zotero.org/users/local/Y4Qp1Cr8/items/LD9DQEWV"],"itemData":{"id":214,"type":"article-journal","title":"A pro-resolution mediator, prostaglandin D2, is specifically up-regulated in individuals in long-term remission from ulcerative colitis","container-title":"Proceedings of the National Academy of Sciences of the United States of America","page":"12023-12027","volume":"107","issue":"26","source":"PubMed Central","abstract":"Patients with ulcerative colitis (UC) experience unpredictable bouts of active inflammation and ulceration. Relatively little attention has been paid to the role of antiinflammatory mediators in the pathogenesis of UC, although rodent studies suggest an important role of prostaglandin (PG) D2 in the resolution of tissue injury and inflammation. The present study was performed to determine if colonic PGD2 synthesis was altered in patients in remission from UC and if expression of the key enzymes and receptors related to PGD2 was altered. During routine colon-cancer screening, colonic biopsies were obtained from healthy individuals, some of whom had been in remission from UC, without treatment, for &gt;4 y. UC patients with active disease or in medically induced remission were also biopsied. Only patients with active UC exhibited elevated expression of several proinflammatory cytokines (TNFα and IFNγ) and colonic PGE2 synthesis. In contrast, colonic PGD2 synthesis was only elevated (</w:instrText>
      </w:r>
      <w:r>
        <w:rPr>
          <w:rFonts w:ascii="Bradley Hand Bold" w:hAnsi="Bradley Hand Bold" w:cs="Bradley Hand Bold"/>
        </w:rPr>
        <w:instrText>∼</w:instrText>
      </w:r>
      <w:r>
        <w:instrText xml:space="preserve">3-fold) in the healthy individuals with a prior history of UC. This group also exhibited significantly elevated expression of DP1, the key receptor mediating the antiinflammatory actions of PGD2. Expression of the synthetic enzymes cyclooxygenase-1, cyclooxygenase-2, and hematopoietic PGD synthase was not altered in the healthy individuals with a prior history of UC. These results show a marked up-regulation of synthesis of an antiinflammatory prostanoid and expression of its receptor, specifically in individuals in long-term remission from UC. This is consistent with animal studies showing the importance of PGD2 in the induction and maintenance of remission from colitis.","DOI":"10.1073/pnas.1004982107","ISSN":"0027-8424","note":"PMID: 20547854\nPMCID: PMC2900663","journalAbbreviation":"Proc Natl Acad Sci U S A","author":[{"family":"Vong","given":"Linda"},{"family":"Ferraz","given":"Jose G. P."},{"family":"Panaccione","given":"Remo"},{"family":"Beck","given":"Paul L."},{"family":"Wallace","given":"John L."}],"issued":{"date-parts":[["2010",6,29]]}}}],"schema":"https://github.com/citation-style-language/schema/raw/master/csl-citation.json"} </w:instrText>
      </w:r>
      <w:r>
        <w:fldChar w:fldCharType="separate"/>
      </w:r>
      <w:r>
        <w:rPr>
          <w:noProof/>
        </w:rPr>
        <w:t>(Vong et al. 2010)</w:t>
      </w:r>
      <w:r>
        <w:fldChar w:fldCharType="end"/>
      </w:r>
      <w:r>
        <w:t>. PGD</w:t>
      </w:r>
      <w:r w:rsidRPr="00AE06D1">
        <w:rPr>
          <w:vertAlign w:val="subscript"/>
        </w:rPr>
        <w:t>2</w:t>
      </w:r>
      <w:r>
        <w:t xml:space="preserve"> joue alors un rôle important dans l</w:t>
      </w:r>
      <w:r w:rsidR="00B622FC">
        <w:t>e maintien de l’</w:t>
      </w:r>
      <w:r>
        <w:t>homéostasie tissulaire.</w:t>
      </w:r>
    </w:p>
    <w:p w14:paraId="70DEE410" w14:textId="77777777" w:rsidR="000F03B4" w:rsidRDefault="000F03B4" w:rsidP="007D47B8">
      <w:pPr>
        <w:pStyle w:val="Style3"/>
        <w:numPr>
          <w:ilvl w:val="0"/>
          <w:numId w:val="0"/>
        </w:numPr>
        <w:tabs>
          <w:tab w:val="left" w:pos="2181"/>
        </w:tabs>
      </w:pPr>
    </w:p>
    <w:p w14:paraId="27FDD21F" w14:textId="375A5D44" w:rsidR="007D47B8" w:rsidRDefault="008F1F1B" w:rsidP="0018798A">
      <w:pPr>
        <w:pStyle w:val="Style3"/>
        <w:numPr>
          <w:ilvl w:val="0"/>
          <w:numId w:val="11"/>
        </w:numPr>
        <w:tabs>
          <w:tab w:val="left" w:pos="2181"/>
        </w:tabs>
      </w:pPr>
      <w:bookmarkStart w:id="265" w:name="_Toc380653906"/>
      <w:bookmarkStart w:id="266" w:name="_Toc380744140"/>
      <w:bookmarkStart w:id="267" w:name="_Toc380946396"/>
      <w:bookmarkStart w:id="268" w:name="_Toc383883960"/>
      <w:bookmarkStart w:id="269" w:name="_Toc384754077"/>
      <w:bookmarkStart w:id="270" w:name="_Toc384756498"/>
      <w:bookmarkStart w:id="271" w:name="_Toc384816094"/>
      <w:bookmarkStart w:id="272" w:name="_Toc384826810"/>
      <w:r>
        <w:t>COX-2 et</w:t>
      </w:r>
      <w:r w:rsidR="00DF01EA">
        <w:t xml:space="preserve"> switch inflammatoire</w:t>
      </w:r>
      <w:bookmarkEnd w:id="265"/>
      <w:bookmarkEnd w:id="266"/>
      <w:bookmarkEnd w:id="267"/>
      <w:bookmarkEnd w:id="268"/>
      <w:bookmarkEnd w:id="269"/>
      <w:bookmarkEnd w:id="270"/>
      <w:bookmarkEnd w:id="271"/>
      <w:bookmarkEnd w:id="272"/>
    </w:p>
    <w:p w14:paraId="1192EC40" w14:textId="3D8F728B" w:rsidR="008F1F1B" w:rsidRDefault="008F1F1B" w:rsidP="00E70BCA">
      <w:pPr>
        <w:pStyle w:val="Stytleparagraphe"/>
        <w:ind w:firstLine="360"/>
      </w:pPr>
      <w:r>
        <w:t>Un premier pic d’expression de COX-2 apparaît entre 2 et 6 heures après l’initiation de la réponse inflammatoire aigüe et est associé à la synthèse de PGE</w:t>
      </w:r>
      <w:r w:rsidRPr="008F1F1B">
        <w:rPr>
          <w:vertAlign w:val="subscript"/>
        </w:rPr>
        <w:t>2</w:t>
      </w:r>
      <w:r>
        <w:rPr>
          <w:vertAlign w:val="subscript"/>
        </w:rPr>
        <w:t xml:space="preserve">, </w:t>
      </w:r>
      <w:r w:rsidRPr="008F1F1B">
        <w:t>prostaglandine pro-inflammatoire.</w:t>
      </w:r>
      <w:r>
        <w:t xml:space="preserve"> Le second pic apparaît après 48 heures et est associé à la synthèse de PGD</w:t>
      </w:r>
      <w:r w:rsidRPr="008F1F1B">
        <w:rPr>
          <w:vertAlign w:val="subscript"/>
        </w:rPr>
        <w:t>2</w:t>
      </w:r>
      <w:r w:rsidRPr="008F1F1B">
        <w:t>, prostaglandine anti-inflammatoire</w:t>
      </w:r>
      <w:r>
        <w:t xml:space="preserve"> </w:t>
      </w:r>
      <w:r>
        <w:fldChar w:fldCharType="begin"/>
      </w:r>
      <w:r>
        <w:instrText xml:space="preserve"> ADDIN ZOTERO_ITEM CSL_CITATION {"citationID":"2c3h2Doa","properties":{"formattedCitation":"(Agossa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rsidRPr="008F1F1B">
        <w:t xml:space="preserve">. </w:t>
      </w:r>
      <w:r>
        <w:t xml:space="preserve">Ainsi, ce switch ente les facteurs pro- et anti-inflammatoires induits par COX-2 serait impliqué aussi bien dans l’initiation de l’inflammation aigüe que dans la résolution de l’inflammation et donc la guérison de l’hôte </w:t>
      </w:r>
      <w:r>
        <w:fldChar w:fldCharType="begin"/>
      </w:r>
      <w:r>
        <w:instrText xml:space="preserve"> ADDIN ZOTERO_ITEM CSL_CITATION {"citationID":"n4twWBIT","properties":{"formattedCitation":"(Rajakariar, Yaqoob, et Gilroy 2006)","plainCitation":"(Rajakariar, Yaqoob, et Gilroy 2006)"},"citationItems":[{"id":219,"uris":["http://zotero.org/users/local/Y4Qp1Cr8/items/2VEM3HWJ"],"uri":["http://zotero.org/users/local/Y4Qp1Cr8/items/2VEM3HWJ"],"itemData":{"id":219,"type":"article-journal","title":"COX-2 in inflammation and resolution","container-title":"Molecular Interventions","page":"199-207","volume":"6","issue":"4","source":"PubMed","abstract":"Aspirin and the other NSAIDs have popularized the notion of inhibiting prostaglandins as a common anti-inflammatory strategy based on the erroneous premise that all eicosanoids are, within the context of inflammation, generally detrimental. However, our fascination with aspirin and the emergence of COX-2 has shown a more affable side to lipid mediators based on our increasing interest in the endogenous control of acute inflammation and in factors that mediate its resolution. Epilipoxins, for instance, are produced from aspirin's acetylation of COX-2 and together with Resolvins and COX-2-derived prostaglandins of the D(2) and J(2) series represent an increasingly important family of immunoregulatory lipid mediators with strong implications for disease control and drug discovery.","DOI":"10.1124/mi.6.4.6","ISSN":"1534-0384","note":"PMID: 16960142","journalAbbreviation":"Mol. Interv.","language":"eng","author":[{"family":"Rajakariar","given":"Ravindra"},{"family":"Yaqoob","given":"Muhammad M."},{"family":"Gilroy","given":"Derek W."}],"issued":{"date-parts":[["2006",8]]}}}],"schema":"https://github.com/citation-style-language/schema/raw/master/csl-citation.json"} </w:instrText>
      </w:r>
      <w:r>
        <w:fldChar w:fldCharType="separate"/>
      </w:r>
      <w:r>
        <w:rPr>
          <w:noProof/>
        </w:rPr>
        <w:t>(Rajakariar, Yaqoob, et Gilroy 2006)</w:t>
      </w:r>
      <w:r>
        <w:fldChar w:fldCharType="end"/>
      </w:r>
      <w:r>
        <w:t xml:space="preserve">. </w:t>
      </w:r>
    </w:p>
    <w:p w14:paraId="432A162A" w14:textId="77777777" w:rsidR="00E70BCA" w:rsidRDefault="00E70BCA" w:rsidP="00E70BCA">
      <w:pPr>
        <w:pStyle w:val="Stytleparagraphe"/>
        <w:ind w:firstLine="360"/>
      </w:pPr>
    </w:p>
    <w:p w14:paraId="115E8239" w14:textId="4C7E09DF" w:rsidR="00B622FC" w:rsidRDefault="008F1F1B" w:rsidP="008F1F1B">
      <w:pPr>
        <w:pStyle w:val="Stytleparagraphe"/>
        <w:ind w:firstLine="360"/>
      </w:pPr>
      <w:r>
        <w:t xml:space="preserve">Les médicaments qui inhibent le deuxième pic de COX-2 et donc le switch vers les facteurs anti-inflammatoires auraient des effets secondaires conduisant à la persistance de la réaction inflammatoire et à sa non résolution </w:t>
      </w:r>
      <w:r>
        <w:fldChar w:fldCharType="begin"/>
      </w:r>
      <w:r>
        <w:instrText xml:space="preserve"> ADDIN ZOTERO_ITEM CSL_CITATION {"citationID":"Psu61zYL","properties":{"formattedCitation":"(Agossa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t>.</w:t>
      </w:r>
    </w:p>
    <w:p w14:paraId="71B68D63" w14:textId="77777777" w:rsidR="00B622FC" w:rsidRPr="008F1F1B" w:rsidRDefault="00B622FC" w:rsidP="007D47B8">
      <w:pPr>
        <w:pStyle w:val="Style2"/>
        <w:numPr>
          <w:ilvl w:val="0"/>
          <w:numId w:val="0"/>
        </w:numPr>
        <w:tabs>
          <w:tab w:val="left" w:pos="2181"/>
        </w:tabs>
        <w:ind w:left="720" w:hanging="360"/>
        <w:rPr>
          <w:sz w:val="28"/>
          <w:szCs w:val="28"/>
        </w:rPr>
      </w:pPr>
    </w:p>
    <w:p w14:paraId="705095A7" w14:textId="1113C475" w:rsidR="007D47B8" w:rsidRDefault="006029C8" w:rsidP="00E70BCA">
      <w:pPr>
        <w:pStyle w:val="Style2"/>
      </w:pPr>
      <w:bookmarkStart w:id="273" w:name="_Toc380653907"/>
      <w:bookmarkStart w:id="274" w:name="_Toc380744141"/>
      <w:bookmarkStart w:id="275" w:name="_Toc380946397"/>
      <w:bookmarkStart w:id="276" w:name="_Toc383883961"/>
      <w:bookmarkStart w:id="277" w:name="_Toc384754078"/>
      <w:bookmarkStart w:id="278" w:name="_Toc384756499"/>
      <w:bookmarkStart w:id="279" w:name="_Toc384816095"/>
      <w:bookmarkStart w:id="280" w:name="_Toc384826811"/>
      <w:r>
        <w:t>Aspirine à faible dose au long court</w:t>
      </w:r>
      <w:r w:rsidR="00582364">
        <w:t> : études observationnelles</w:t>
      </w:r>
      <w:bookmarkEnd w:id="273"/>
      <w:bookmarkEnd w:id="274"/>
      <w:bookmarkEnd w:id="275"/>
      <w:bookmarkEnd w:id="276"/>
      <w:bookmarkEnd w:id="277"/>
      <w:bookmarkEnd w:id="278"/>
      <w:bookmarkEnd w:id="279"/>
      <w:bookmarkEnd w:id="280"/>
    </w:p>
    <w:p w14:paraId="6DBB1E25" w14:textId="0C1C0B85" w:rsidR="00582364" w:rsidRDefault="0067692C" w:rsidP="00582364">
      <w:pPr>
        <w:pStyle w:val="Stytleparagraphe"/>
        <w:ind w:firstLine="360"/>
      </w:pPr>
      <w:r>
        <w:t xml:space="preserve">Agossa et al. </w:t>
      </w:r>
      <w:r w:rsidR="00320B97">
        <w:t xml:space="preserve">s’intéressent au rôle de l’aspirine, inhibiteur sélectif de COX-1, sur la santé parodontale, en regroupant plusieurs études observationnelles rétrospectives </w:t>
      </w:r>
      <w:r w:rsidR="00320B97">
        <w:fldChar w:fldCharType="begin"/>
      </w:r>
      <w:r w:rsidR="00320B97">
        <w:instrText xml:space="preserve"> ADDIN ZOTERO_ITEM CSL_CITATION {"citationID":"zhM29yYk","properties":{"formattedCitation":"(Agossa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rsidR="00320B97">
        <w:fldChar w:fldCharType="separate"/>
      </w:r>
      <w:r w:rsidR="00320B97">
        <w:rPr>
          <w:noProof/>
        </w:rPr>
        <w:t>(Agossa et al. 2016)</w:t>
      </w:r>
      <w:r w:rsidR="00320B97">
        <w:fldChar w:fldCharType="end"/>
      </w:r>
      <w:r w:rsidR="00FB7FD1">
        <w:t>.</w:t>
      </w:r>
    </w:p>
    <w:p w14:paraId="3E64796C" w14:textId="77777777" w:rsidR="00582364" w:rsidRDefault="00582364" w:rsidP="00582364">
      <w:pPr>
        <w:pStyle w:val="Stytleparagraphe"/>
        <w:ind w:firstLine="360"/>
      </w:pPr>
    </w:p>
    <w:p w14:paraId="5DF4BAC0" w14:textId="36D29D83" w:rsidR="00320B97" w:rsidRDefault="00320B97" w:rsidP="0067692C">
      <w:pPr>
        <w:pStyle w:val="Stytleparagraphe"/>
        <w:ind w:firstLine="360"/>
      </w:pPr>
      <w:r>
        <w:t xml:space="preserve">En 2001, Drouganis et Hirsch suggèrent que les individus âgés de plus de 50 ans, en particulier les ex-fumeurs, peuvent bénéficier des faibles doses d’aspirine quotidiennes afin de réduire le risque de perte d’attachement parodontal. Les patients traités par aspirine présentent une perte d’attache clinique significativement inférieure aux patients non traités, indépendamment de leur passé tabagique </w:t>
      </w:r>
      <w:r>
        <w:fldChar w:fldCharType="begin"/>
      </w:r>
      <w:r>
        <w:instrText xml:space="preserve"> ADDIN ZOTERO_ITEM CSL_CITATION {"citationID":"Ra85idFG","properties":{"formattedCitation":"(Drouganis et Hirsch 2001)","plainCitation":"(Drouganis et Hirsch 2001)"},"citationItems":[{"id":228,"uris":["http://zotero.org/users/local/Y4Qp1Cr8/items/966C37K5"],"uri":["http://zotero.org/users/local/Y4Qp1Cr8/items/966C37K5"],"itemData":{"id":228,"type":"article-journal","title":"Low-dose aspirin therapy and periodontal attachment loss in ex- and non-smokers","container-title":"Journal of Clinical Periodontology","page":"38-45","volume":"28","issue":"1","source":"PubMed","abstract":"BACKGROUND, AIMS: This study investigated the periodontal status of non-smokers and ex-smokers in relation to their intake of low-dose aspirin.\nMETHODS: A self-selected sample of 392 males aged 50 years and over was recruited from the general population. Subjects were included in the study if they had a minimum of 6 or more natural teeth, took aspirin (300 mg or less per day) for at least 2 years and were either ex- or non-smokers. Controls were subjects who did not take aspirin regularly. A questionnaire was used to record demographic data, medical and dental histories. Individuals who had diabetes or other systemic diseases were excluded from the study. Periodontal attachment loss (PAL) was calculated by adding measurements of gingival recession and periodontal pocket depth made by a single examiner at 6 sites around each tooth using non-pressure sensitive periodontal probes. Plaque and gingival bleeding indices were also scored. Subjects were divided into 4 groups: aspirin non-smokers, aspirin ex-smokers, no aspirin non-smokers and no aspirin ex-smokers. Data were analysed using two-way ANOVA with age as the covariate. Severity and extent of mean PAL and the cumulative distribution of the mean of the most severe sites (MSS) of PAL were analysed.\nRESULTS: Controlling for age, mean PAL in aspirin takers was significantly less 2.6+/-0.08 (se) mm than non-aspirin takers 2.9+/-0.06 (se) mm; this association was independent of smoking history. Ex-smokers had significantly more mean PAL 3.9+/-0.07 (se) mm than non-smokers 2.6+/-0.08 (se) mm, irrespective of aspirin status. When MSS-PAL was analysed, these differences became more pronounced; MSS-PAL in aspirin takers was significantly less 3.9+/-0.1 (se) mm than non-aspirin takers 4.2+/-0.08 (se) mm. Ex-smokers had significantly more MSS-PAL 4.3+/-0.08 (se) mm than non-smokers 3.8+/-0.08 (se) mm. Aspirin apparently had a protective association on PAL and it is hypothesised that low-dose aspirin may have reduced the rate of attachment loss.\nCONCLUSIONS: This hypothesis needs to be confirmed by a prospective study. The results of this study suggest that individuals aged over 50 years, particularly ex-smokers, may benefit by taking low-doses of aspirin daily to reduce their risk of periodontal attachment loss.","ISSN":"0303-6979","note":"PMID: 11142665","journalAbbreviation":"J. Clin. Periodontol.","language":"eng","author":[{"family":"Drouganis","given":"A."},{"family":"Hirsch","given":"R."}],"issued":{"date-parts":[["2001",1]]}}}],"schema":"https://github.com/citation-style-language/schema/raw/master/csl-citation.json"} </w:instrText>
      </w:r>
      <w:r>
        <w:fldChar w:fldCharType="separate"/>
      </w:r>
      <w:r>
        <w:rPr>
          <w:noProof/>
        </w:rPr>
        <w:t>(Drouganis et Hirsch 2001)</w:t>
      </w:r>
      <w:r>
        <w:fldChar w:fldCharType="end"/>
      </w:r>
      <w:r>
        <w:t>.</w:t>
      </w:r>
    </w:p>
    <w:p w14:paraId="48F16C27" w14:textId="3A745CD8" w:rsidR="00320B97" w:rsidRDefault="00320B97" w:rsidP="00582364">
      <w:pPr>
        <w:pStyle w:val="Stytleparagraphe"/>
      </w:pPr>
      <w:r>
        <w:t xml:space="preserve">De la même façon, en 2012, </w:t>
      </w:r>
      <w:r w:rsidR="00FB7FD1">
        <w:t xml:space="preserve">Faizzudin et al. suggèrent également que l’aspirine a faible dose pourrait réduire le risque de perte d’attachement parodontal. En effet, cette perte d’attachement est de 2.38 ± 0.49 mm dans le groupe témoin et de </w:t>
      </w:r>
      <w:r w:rsidR="00FB7FD1" w:rsidRPr="00FB7FD1">
        <w:t>2.01 ± 0.69 mm</w:t>
      </w:r>
      <w:r w:rsidR="00FB7FD1">
        <w:t xml:space="preserve"> dans le groupe traité, différence statistiquement significative. Il y aurait une corrélation négative entre la perte d’attachement clinique et la durée de l’apport d’aspirine, indépendamment de la dose administrée (75mg ou 150mg par jour) </w:t>
      </w:r>
      <w:r w:rsidR="00FB7FD1">
        <w:fldChar w:fldCharType="begin"/>
      </w:r>
      <w:r w:rsidR="00FB7FD1">
        <w:instrText xml:space="preserve"> ADDIN ZOTERO_ITEM CSL_CITATION {"citationID":"B5bBOzPf","properties":{"formattedCitation":"(Faizuddin et al. 2012)","plainCitation":"(Faizuddin et al. 2012)"},"citationItems":[{"id":230,"uris":["http://zotero.org/users/local/Y4Qp1Cr8/items/6VEZ7SQA"],"uri":["http://zotero.org/users/local/Y4Qp1Cr8/items/6VEZ7SQA"],"itemData":{"id":230,"type":"article-journal","title":"Association between long-term aspirin use and periodontal attachment level in humans: a cross-sectional investigation","container-title":"Australian Dental Journal","page":"45-50","volume":"57","issue":"1","source":"PubMed","abstract":"BACKGROUND: Pharmaceutical inhibition of host response pathways may be an adjunctive or alternative strategy for treating periodontal diseases. In addition to inhibition of prostaglandin synthesis, aspirin is known to modify the action of cyclo-oxygenase, changing its activity to a lipoxygenase and leading to formation of lipoxins which have a proresolving effect. This study evaluated the periodontal attachment level of subjects on long-term low dose aspirin therapy.\nMETHODS: Oral hygiene index simplified, clinical attachment loss and bleeding index were recorded for 162 subjects who were on long-term (&gt;6 months) low dose (75 mg and 150 mg) aspirin therapy (study group) and 146 subjects not taking the drug (control group).\nRESULTS: Mean clinical attachment loss was 2.38 ± 0.49 mm in the control group and 2.01 ± 0.69 mm in the study group. The difference was statistically significant at p &lt; 0.001. Correlation analysis suggested that there was a negative correlation between clinical attachment loss and duration of aspirin intake but the clinical attachment loss was not significantly different in the two dosage groups.\nCONCLUSIONS: The results of this study suggest that low dose aspirin may reduce the risk of periodontal attachment loss. This hypothesis needs to be tested by larger sample sized prospective cohort studies.","DOI":"10.1111/j.1834-7819.2011.01650.x","ISSN":"1834-7819","note":"PMID: 22369557","shortTitle":"Association between long-term aspirin use and periodontal attachment level in humans","journalAbbreviation":"Aust Dent J","language":"eng","author":[{"family":"Faizuddin","given":"M."},{"family":"Tarannum","given":"F."},{"family":"Korla","given":"N."},{"family":"Swamy","given":"S."}],"issued":{"date-parts":[["2012",3]]}}}],"schema":"https://github.com/citation-style-language/schema/raw/master/csl-citation.json"} </w:instrText>
      </w:r>
      <w:r w:rsidR="00FB7FD1">
        <w:fldChar w:fldCharType="separate"/>
      </w:r>
      <w:r w:rsidR="00FB7FD1">
        <w:rPr>
          <w:noProof/>
        </w:rPr>
        <w:t>(Faizuddin et al. 2012)</w:t>
      </w:r>
      <w:r w:rsidR="00FB7FD1">
        <w:fldChar w:fldCharType="end"/>
      </w:r>
      <w:r w:rsidR="00FB7FD1">
        <w:t xml:space="preserve">. </w:t>
      </w:r>
    </w:p>
    <w:p w14:paraId="1D1A9CD1" w14:textId="5CB1F9D9" w:rsidR="00FB7FD1" w:rsidRDefault="00FB7FD1" w:rsidP="00582364">
      <w:pPr>
        <w:pStyle w:val="Stytleparagraphe"/>
      </w:pPr>
      <w:r>
        <w:t xml:space="preserve">Plus récemment, en 2015, Kotsakis et al. rapportent des résultats contradictoires, en affirmant que l’aspirine à faible dose ne serait pas </w:t>
      </w:r>
      <w:r w:rsidR="006029C8">
        <w:t xml:space="preserve">associé un meilleur statut parodontal dans un échantillon représentatif national d’adultes américains </w:t>
      </w:r>
      <w:r w:rsidR="006029C8">
        <w:fldChar w:fldCharType="begin"/>
      </w:r>
      <w:r w:rsidR="006029C8">
        <w:instrText xml:space="preserve"> ADDIN ZOTERO_ITEM CSL_CITATION {"citationID":"nDLErXny","properties":{"formattedCitation":"(Kotsakis et al. 2015)","plainCitation":"(Kotsakis et al. 2015)"},"citationItems":[{"id":232,"uris":["http://zotero.org/users/local/Y4Qp1Cr8/items/9FZPGTUU"],"uri":["http://zotero.org/users/local/Y4Qp1Cr8/items/9FZPGTUU"],"itemData":{"id":232,"type":"article-journal","title":"Association between low-dose aspirin and periodontal disease: results from the continuous national health and nutrition examination survey (NHANES) 2011-2012","container-title":"Journal of Clinical Periodontology","page":"333-341","volume":"42","issue":"4","source":"PubMed","abstract":"AIM: Low-dose aspirin has been hypothesized as being a potential host modulatory agent for periodontitis treatment. We investigated the relationship between low-dose aspirin use and periodontitis prevalence in the continuous National Health and Nutrition Examination Survey, 2011-2012.\nMETHODS: We analysed n = 2335 adult men and women who received a full-mouth periodontal examination and responded to an aspirin use questionnaire. Periodontal disease was defined as severe, moderate or mild according to established case definitions. Mean full-mouth probing depth, attachment loss and tooth loss were also considered. Low-dose aspirin was defined by any self-reported, physician prescribed aspirin use of ≤162 mg/day.\nRESULTS: Participants had mean age (SE) 55.8 years (0.42). The prevalences of periodontitis and low-dose aspirin use were 49.5% and 25% respectively. In multivariable logistic regression models controlling for age, sex, race, socioeconomic variables and comorbidities, the odds ratios [95%CI] for moderate or severe periodontitis among low-dose aspirin users (versus non-users) were: 0.91 [0.56-1.50] and 1.06 [0.74-1.50] respectively. Results were unchanged among participants without diabetes or coronary heart disease.\nCONCLUSIONS: Within the limitations of this cross-sectional study we conclude that low-dose aspirin is not associated with prevalent periodontal status in a nationally representative sample of US adults.","DOI":"10.1111/jcpe.12380","ISSN":"1600-051X","note":"PMID: 25683058","shortTitle":"Association between low-dose aspirin and periodontal disease","journalAbbreviation":"J. Clin. Periodontol.","language":"eng","author":[{"family":"Kotsakis","given":"Georgios A."},{"family":"Thai","given":"Ashley"},{"family":"Ioannou","given":"Andreas L."},{"family":"Demmer","given":"Ryan T."},{"family":"Michalowicz","given":"Bryan S."}],"issued":{"date-parts":[["2015",4]]}}}],"schema":"https://github.com/citation-style-language/schema/raw/master/csl-citation.json"} </w:instrText>
      </w:r>
      <w:r w:rsidR="006029C8">
        <w:fldChar w:fldCharType="separate"/>
      </w:r>
      <w:r w:rsidR="006029C8">
        <w:rPr>
          <w:noProof/>
        </w:rPr>
        <w:t>(Kotsakis et al. 2015)</w:t>
      </w:r>
      <w:r w:rsidR="006029C8">
        <w:fldChar w:fldCharType="end"/>
      </w:r>
      <w:r w:rsidR="006029C8">
        <w:t xml:space="preserve">. </w:t>
      </w:r>
    </w:p>
    <w:p w14:paraId="3E805240" w14:textId="77777777" w:rsidR="00582364" w:rsidRDefault="00582364" w:rsidP="0067692C">
      <w:pPr>
        <w:pStyle w:val="Stytleparagraphe"/>
        <w:ind w:firstLine="360"/>
      </w:pPr>
    </w:p>
    <w:p w14:paraId="5BE02ECD" w14:textId="3EECD64F" w:rsidR="00582364" w:rsidRDefault="00582364" w:rsidP="0067692C">
      <w:pPr>
        <w:pStyle w:val="Stytleparagraphe"/>
        <w:ind w:firstLine="360"/>
      </w:pPr>
      <w:r>
        <w:t>Ces hypothèses contradictoires doivent cependant être confirmées par des études de cohorte prospectives interventionnelles, avec des échantillons de plus grande taille. De plus, malgré son supposé rôle protecteur, l’aspirine est connue pour son rôle antiagrégant plaquettaire et accroit donc significativement les saignements gingivaux chez les patients traités.</w:t>
      </w:r>
    </w:p>
    <w:p w14:paraId="2F92F190" w14:textId="77777777" w:rsidR="00582364" w:rsidRDefault="00582364" w:rsidP="0067692C">
      <w:pPr>
        <w:pStyle w:val="Stytleparagraphe"/>
        <w:ind w:firstLine="360"/>
      </w:pPr>
    </w:p>
    <w:p w14:paraId="3349E62C" w14:textId="3AAD13CF" w:rsidR="00582364" w:rsidRDefault="00582364" w:rsidP="00582364">
      <w:pPr>
        <w:pStyle w:val="Style2"/>
      </w:pPr>
      <w:bookmarkStart w:id="281" w:name="_Toc380653908"/>
      <w:bookmarkStart w:id="282" w:name="_Toc380744142"/>
      <w:bookmarkStart w:id="283" w:name="_Toc380946398"/>
      <w:bookmarkStart w:id="284" w:name="_Toc383883962"/>
      <w:bookmarkStart w:id="285" w:name="_Toc384754079"/>
      <w:bookmarkStart w:id="286" w:name="_Toc384756500"/>
      <w:bookmarkStart w:id="287" w:name="_Toc384816096"/>
      <w:bookmarkStart w:id="288" w:name="_Toc384826812"/>
      <w:r>
        <w:t>Aspirine et inhibiteurs non-sélectifs de COX-1 et COX-2 : études interventionnelles</w:t>
      </w:r>
      <w:bookmarkEnd w:id="281"/>
      <w:bookmarkEnd w:id="282"/>
      <w:bookmarkEnd w:id="283"/>
      <w:bookmarkEnd w:id="284"/>
      <w:bookmarkEnd w:id="285"/>
      <w:bookmarkEnd w:id="286"/>
      <w:bookmarkEnd w:id="287"/>
      <w:bookmarkEnd w:id="288"/>
    </w:p>
    <w:p w14:paraId="400DFBBF" w14:textId="78E42611" w:rsidR="000D1C6D" w:rsidRDefault="000D1C6D" w:rsidP="000D1C6D">
      <w:pPr>
        <w:pStyle w:val="Stytleparagraphe"/>
        <w:ind w:firstLine="360"/>
      </w:pPr>
      <w:r>
        <w:t xml:space="preserve">En 2016, Agossa et al. se sont intéressés à divers essais cliniques conduits au cours des 15 dernières années, afin de mesurer l’éventuel impact des AINS sur les traitements parodontaux. La revue inclue 11 études randomisées et 2 études non randomisées </w:t>
      </w:r>
      <w:r>
        <w:fldChar w:fldCharType="begin"/>
      </w:r>
      <w:r>
        <w:instrText xml:space="preserve"> ADDIN ZOTERO_ITEM CSL_CITATION {"citationID":"LUPOKVhw","properties":{"formattedCitation":"(Agossa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rsidR="00D8633A">
        <w:t>. Ces observations ont été résumées ci-dessous.</w:t>
      </w:r>
    </w:p>
    <w:p w14:paraId="696B4F79" w14:textId="77777777" w:rsidR="00B37626" w:rsidRDefault="00B37626" w:rsidP="000D1C6D">
      <w:pPr>
        <w:pStyle w:val="Stytleparagraphe"/>
        <w:ind w:firstLine="360"/>
      </w:pPr>
    </w:p>
    <w:p w14:paraId="54D4B311" w14:textId="77AEAFFC" w:rsidR="00B37626" w:rsidRDefault="00B37626" w:rsidP="000D1C6D">
      <w:pPr>
        <w:pStyle w:val="Stytleparagraphe"/>
        <w:ind w:firstLine="360"/>
      </w:pPr>
      <w:r>
        <w:t>Zeren et al. étudient l’effet de l’Ibuprofène comme thérapie adjuvante chez des patients non fumeurs atteints de parodontite</w:t>
      </w:r>
      <w:r w:rsidR="00433048">
        <w:t xml:space="preserve"> chronique</w:t>
      </w:r>
      <w:r>
        <w:t>. Des mesures des paramètres cliniques (profondeur de poche, indice de saignement, attachement clinique) et biologiques (niveaux de GCF, MMP-8 et PGE</w:t>
      </w:r>
      <w:r w:rsidRPr="001D1538">
        <w:rPr>
          <w:vertAlign w:val="subscript"/>
        </w:rPr>
        <w:t>2</w:t>
      </w:r>
      <w:r>
        <w:t xml:space="preserve">) ont été mesurés à 1, 3 et 6 mois après traitement parodontal initial. Aucune différence significative n’a été retrouvée </w:t>
      </w:r>
      <w:r w:rsidR="00433048">
        <w:t xml:space="preserve">ni pour ces paramètres cliniques, ni pour ces marqueurs, à aucun moment </w:t>
      </w:r>
      <w:r w:rsidR="00433048">
        <w:fldChar w:fldCharType="begin"/>
      </w:r>
      <w:r w:rsidR="00433048">
        <w:instrText xml:space="preserve"> ADDIN ZOTERO_ITEM CSL_CITATION {"citationID":"TCujAmaz","properties":{"formattedCitation":"(Zeren et al. 2006)","plainCitation":"(Zeren et al. 2006)"},"citationItems":[{"id":234,"uris":["http://zotero.org/users/local/Y4Qp1Cr8/items/8Q52JMQQ"],"uri":["http://zotero.org/users/local/Y4Qp1Cr8/items/8Q52JMQQ"],"itemData":{"id":234,"type":"webpage","title":"Clinical and Biochemical Evaluation of Short-Term Systemic Ibuprofen as an Adjunct to Non-Surgical Periodontal Therapy of Chronic Periodontitis","URL":"http://web.b.ebscohost.com/abstract?direct=true&amp;profile=ehost&amp;scope=site&amp;authtype=crawler&amp;jrnl=17423279&amp;AN=37793231&amp;h=sgjfS9ty0keeL%2bXOhlomC%2fi2%2feah6OksVIinVgsw3YEPTd7HcFBGv%2fk047gs%2bopbTaFnFLehl7uadK6%2fHWXo8g%3d%3d&amp;crl=c&amp;resultNs=AdminWebAuth&amp;resultLocal=ErrCrlNotAuth&amp;crlhashurl=login.aspx%3fdirect%3dtrue%26profile%3dehost%26scope%3dsite%26authtype%3dcrawler%26jrnl%3d17423279%26AN%3d37793231","author":[{"family":"Zeren et al.","given":""}],"issued":{"date-parts":[["2006"]]},"accessed":{"date-parts":[["2018",2,16]]}}}],"schema":"https://github.com/citation-style-language/schema/raw/master/csl-citation.json"} </w:instrText>
      </w:r>
      <w:r w:rsidR="00433048">
        <w:fldChar w:fldCharType="separate"/>
      </w:r>
      <w:r w:rsidR="00433048">
        <w:rPr>
          <w:noProof/>
        </w:rPr>
        <w:t>(Zeren et al. 2006)</w:t>
      </w:r>
      <w:r w:rsidR="00433048">
        <w:fldChar w:fldCharType="end"/>
      </w:r>
      <w:r w:rsidR="00433048">
        <w:t>.</w:t>
      </w:r>
    </w:p>
    <w:p w14:paraId="639543F9" w14:textId="520B66D2" w:rsidR="00D8633A" w:rsidRDefault="001D1538" w:rsidP="00D8633A">
      <w:pPr>
        <w:pStyle w:val="Stytleparagraphe"/>
      </w:pPr>
      <w:r>
        <w:t xml:space="preserve">Le </w:t>
      </w:r>
      <w:r w:rsidR="003F78BB">
        <w:t xml:space="preserve">Naproxène et </w:t>
      </w:r>
      <w:r>
        <w:t>l’</w:t>
      </w:r>
      <w:r w:rsidR="003F78BB">
        <w:t xml:space="preserve">Ioxoprofène sont deux inhibiteurs non sélectifs des cyclo-oxygénases, décrits pour leurs potentiels effets positifs sur le pardodonte. Les </w:t>
      </w:r>
      <w:r w:rsidR="00433048">
        <w:t xml:space="preserve">niveaux de myéloperoxydase (MPO) et d’élastase sont des marqueurs de l’activité granulocytaire dans le fluide créviculaire et sont donc utiles dans la surveillance parodontale. Aras et al. rapportent que le Naproxène sodique tend à diminuer les niveaux de MPO entre le début et 6 semaines, mais cette différence est non significative. Cependant, une diminution significative de l’activité de l’élastase a été observée dans le groupe traité </w:t>
      </w:r>
      <w:r w:rsidR="00CA35C9">
        <w:t xml:space="preserve">par AINS et tous les indices cliniques, sauf l’indice de saignement gingival, ont été améliorés chez le groupe traité par Naproxène </w:t>
      </w:r>
      <w:r w:rsidR="00CA35C9">
        <w:fldChar w:fldCharType="begin"/>
      </w:r>
      <w:r w:rsidR="00CA35C9">
        <w:instrText xml:space="preserve"> ADDIN ZOTERO_ITEM CSL_CITATION {"citationID":"pFgM3hSD","properties":{"formattedCitation":"(Aras et al. 2007)","plainCitation":"(Aras et al. 2007)"},"citationItems":[{"id":236,"uris":["http://zotero.org/users/local/Y4Qp1Cr8/items/RTZ8CA59"],"uri":["http://zotero.org/users/local/Y4Qp1Cr8/items/RTZ8CA59"],"itemData":{"id":236,"type":"article-journal","title":"Effect of systemically administered naproxen sodium on clinical parameters and myeloperoxidase and elastase-like activity levels in gingival crevicular fluid","container-title":"Journal of Periodontology","page":"868-873","volume":"78","issue":"5","source":"PubMed","abstract":"BACKGROUND: The present study was conducted to determine the possible effect of naproxen sodium on clinical status and the enzymatic profile of gingival crevicular fluid (GCF) when given as adjunct to periodontal treatment.\nMETHODS: A total of 34 subjects with chronic periodontitis were selected and divided into two groups to receive either naproxen sodium or placebo. At baseline, GCF samples were obtained and probing depths (PD), gingival index (GI), plaque index (PI), and gingival bleeding index (GBI) scores were recorded. In the non-steroidal anti-inflammatory drug (NSAID) group, patients were treated with a protocol consisting of baseline periodontal treatment (scaling, root planing) and naproxen sodium (275 mg) administration daily for 6 weeks. In the placebo group, patients received the same treatment except placebo was given instead of naproxen sodium. At the end of the experimental period, clinical recordings and GCF sampling were repeated. Myeloperoxidase (MPO) and elastase-like enzyme activity (ELA) levels were determined in GCF samples by a spectrophotometric method. GCF enzymatic content was calculated both as total enzyme activity and enzyme concentration.\nRESULTS: All of the clinical parameters, except mean GBI, were significantly lower in the experimental group (P &lt;0.05). At baseline and at the end of the experimental period, there were no significant differences between the NSAID and placebo groups regarding GCF MPO and ELA levels in either mode of data presentation (P &lt;0.05). However, in the NSAID group, mean ELA concentration (P = 0.002) and mean total ELA (P = 0.003) presented significant decreases with treatment. Also, with treatment, a general reduction in MPO levels was seen; however, this difference was not significant. Although constant and stable correlations between GCF enzyme levels and clinical parameters could not be found, positive and strong correlations were observed between total enzyme activity and enzyme concentrations.\nCONCLUSION: Based on the positive clinical effect and the ELA profile of GCF, it can be suggested that NSAIDs given as an adjunct to baseline periodontal treatment could be beneficial in the outcome of treatment.","DOI":"10.1902/jop.2007.060412","ISSN":"0022-3492","note":"PMID: 17470020","journalAbbreviation":"J. Periodontol.","language":"eng","author":[{"family":"Aras","given":"Hamit"},{"family":"Cağlayan","given":"Feriha"},{"family":"Güncü","given":"Güliz N."},{"family":"Berberoğlu","given":"Atilla"},{"family":"Kilinç","given":"Kamer"}],"issued":{"date-parts":[["2007",5]]}}}],"schema":"https://github.com/citation-style-language/schema/raw/master/csl-citation.json"} </w:instrText>
      </w:r>
      <w:r w:rsidR="00CA35C9">
        <w:fldChar w:fldCharType="separate"/>
      </w:r>
      <w:r w:rsidR="00CA35C9">
        <w:rPr>
          <w:noProof/>
        </w:rPr>
        <w:t>(Aras et al. 2007)</w:t>
      </w:r>
      <w:r w:rsidR="00CA35C9">
        <w:fldChar w:fldCharType="end"/>
      </w:r>
      <w:r w:rsidR="00CA35C9">
        <w:t>.</w:t>
      </w:r>
      <w:r w:rsidR="00DD621E">
        <w:t xml:space="preserve"> Inversement, Pinho et al. n’ont montré aucun avantage clinique de l’utilisation d’Ioxoprofène pendant 28 jours, en complément d’une thérapeutique parodontale mécanique, chez les patients non fumeurs </w:t>
      </w:r>
      <w:r w:rsidR="00DD621E">
        <w:fldChar w:fldCharType="begin"/>
      </w:r>
      <w:r w:rsidR="00DD621E">
        <w:instrText xml:space="preserve"> ADDIN ZOTERO_ITEM CSL_CITATION {"citationID":"MooL0yHK","properties":{"formattedCitation":"(Pinho et al. 2008)","plainCitation":"(Pinho et al. 2008)"},"citationItems":[{"id":238,"uris":["http://zotero.org/users/local/Y4Qp1Cr8/items/W6ZFSNY7"],"uri":["http://zotero.org/users/local/Y4Qp1Cr8/items/W6ZFSNY7"],"itemData":{"id":238,"type":"article-journal","title":"Short-term effect of COX-2 selective inhibitor as an adjunct for the treatment of periodontal disease: a clinical double-blind study in humans","container-title":"Brazilian Dental Journal","page":"323-328","volume":"19","issue":"4","source":"PubMed","abstract":"Adjunctive therapeutic strategies that modulate the inflammatory mediators can play a significant role in periodontal therapy. In this double-blind, placebo-controlled study, 60 subjects diagnosed as periodontitis patients were evaluated for 28 days after periodontal treatment combined with selective cyclooxygenase-2 (COX-2) inhibitor. The experimental group received scaling and root planning (SRP) combined with the Loxoprofen antiinflammatory drug (SRP+Loxoprofen). The control group received SRP combined with placebo (SRP+placebo). Plaque index (PI), probing pocket depth (PD) and bleeding on probing (BOP) were monitored with an electronic probe at baseline and after 14 and 28 days. Both groups displayed clinical improvement in PD, PI and BOP. They also showed statistically similar values (p&gt;0.05) of PD reduction on day 14 (0.4 mm) and on day 28 (0.6 mm). At the baseline, few deeper sites (&gt;or=7 mm) from SRP+Loxoprofen group were responsible and most PD reduction was observed after 14 days (p&lt;0.05). The percentage of remaining deep pockets (&gt;or=7 mm) after 14 days in the SRP+Loxoprofen group was significantly lower (p&lt;0.05) than in the SRP+placebo group. Loxoprofen presents potential effect as an adjunct of periodontal disease treatment, but long-term clinical trials are necessary to confirm its efficacy.","ISSN":"1806-4760","note":"PMID: 19180322","shortTitle":"Short-term effect of COX-2 selective inhibitor as an adjunct for the treatment of periodontal disease","journalAbbreviation":"Braz Dent J","language":"eng","author":[{"family":"Pinho","given":"Márcia de Noronha"},{"family":"Pereira","given":"Leonardo Bíscaro"},{"family":"Souza","given":"Sérgio Luís Scombatti","non-dropping-particle":"de"},{"family":"Palioto","given":"Daniela Bazan"},{"family":"Grisi","given":"Márcio Fernando de Moraes"},{"family":"Novaes","given":"Arthur Belém"},{"family":"Taba","given":"Mario"}],"issued":{"date-parts":[["2008"]]}}}],"schema":"https://github.com/citation-style-language/schema/raw/master/csl-citation.json"} </w:instrText>
      </w:r>
      <w:r w:rsidR="00DD621E">
        <w:fldChar w:fldCharType="separate"/>
      </w:r>
      <w:r w:rsidR="00DD621E">
        <w:rPr>
          <w:noProof/>
        </w:rPr>
        <w:t>(Pinho et al. 2008)</w:t>
      </w:r>
      <w:r w:rsidR="00DD621E">
        <w:fldChar w:fldCharType="end"/>
      </w:r>
      <w:r w:rsidR="003F78BB">
        <w:t>.</w:t>
      </w:r>
      <w:r w:rsidR="002A01DD">
        <w:t xml:space="preserve"> </w:t>
      </w:r>
      <w:r>
        <w:t>Vadar et al. comparent les effets du Naproxène et du Nimesulide, inhibiteur plutôt sélectif de COX-2. Les niveaux de PGE</w:t>
      </w:r>
      <w:r w:rsidRPr="001D1538">
        <w:rPr>
          <w:vertAlign w:val="subscript"/>
        </w:rPr>
        <w:t>2</w:t>
      </w:r>
      <w:r>
        <w:t xml:space="preserve"> diminuent dans tous les groupes (traités par Naproxène, Nimesulide ou les deux) sauf chez le groupe témoin. Seul le groupe traité par Nimesulide montre une réduction significative du saignement gingival par rapport au groupe placebo </w:t>
      </w:r>
      <w:r w:rsidR="006E146C">
        <w:fldChar w:fldCharType="begin"/>
      </w:r>
      <w:r w:rsidR="006E146C">
        <w:instrText xml:space="preserve"> ADDIN ZOTERO_ITEM CSL_CITATION {"citationID":"UrjaNCJc","properties":{"formattedCitation":"(Vardar, Baylas, et Huseyinov 2003)","plainCitation":"(Vardar, Baylas, et Huseyinov 2003)"},"citationItems":[{"id":244,"uris":["http://zotero.org/users/local/Y4Qp1Cr8/items/CH9R5H3T"],"uri":["http://zotero.org/users/local/Y4Qp1Cr8/items/CH9R5H3T"],"itemData":{"id":244,"type":"article-journal","title":"Effects of selective cyclooxygenase-2 inhibition on gingival tissue levels of prostaglandin E2 and prostaglandin F2alpha and clinical parameters of chronic periodontitis","container-title":"Journal of Periodontology","page":"57-63","volume":"74","issue":"1","source":"PubMed","abstract":"BACKGROUND: The purpose of the present study was to evaluate the effect of a relatively selective cyclooxygenase (COX)-2 inhibitor (nimesulide) and non-selective COX-1/COX-2 inhibitor (naproxen) used as an adjunct to non-surgical (scaling and root planing [SRP]) periodontal therapy in chronic periodontitis patients on the gingival tissue (GT) levels of prostaglandin (PG)E2 and PGF2alpha.\nMETHODS: Thirty patients with chronic periodontitis were divided into 3 groups of 10 each. One group received 100 mg of nimesulide; one received 275 mg of naproxen sodium; and the third group received placebo tablets in a 2 x 1 regimen for 10 days as an adjunct to SRP. GT samples were obtained before drug intake and on day 10. Plaque index (PI) and papillary bleeding index (PBI) scores were recorded at baseline, day 10, and at 3 months; probing depth (PD) and clinical attachment level (CAL) were recorded at baseline and at 3 months. The levels of PGE2 were detected using an enzyme immunoassay (EIA), and the levels of PGF2alpha were analyzed by radioimmunoassay (RIA). Differences among and within the groups were assessed using non-parametric statistical analysis. Ten periodontally healthy individuals served as controls.\nRESULTS: All 3 groups showed statistically significant reductions in PBI and PI on day 10 and at 3 months (P &lt; 0.02), and in PD and CAL at 3 months (P &lt; 0.02, P &lt; 0.05, respectively). In the naproxen group, GT PGE2 levels exhibited a significant decrease (P &lt; 0.05). However, the decrease of GT PGE2 levels in the nimesulide group was insignificant (P &gt; 0.05), while a significant increase was observed in the placebo group (P &lt; 0.05) on day 10. Both the nimesulide and naproxen groups showed a significant decrease (P&lt;0.05) in PGF2alpha level, while the placebo group showed a significant increase (P&lt;0.05).\nCONCLUSIONS: Nimesulides, relatively selective COX-2 inhibitors, may have additional inhibitory effects on GT PGF2alpha levels in the first week following non-surgical periodontal treatment. However, nimesulide has an insignificant effect on reducing PGE2 levels in gingival tissue. The determination of GT levels of COX-1 and COX-2 enzymes as well as PGE2 and PGF2alpha in long-term studies may provide further support for the adjunctive use of selective COX-2 inhibitors in treatment of chronic periodontitis.","DOI":"10.1902/jop.2003.74.1.57","ISSN":"0022-3492","note":"PMID: 12593597","journalAbbreviation":"J. Periodontol.","language":"eng","author":[{"family":"Vardar","given":"Saynur"},{"family":"Baylas","given":"Haluk"},{"family":"Huseyinov","given":"Afig"}],"issued":{"date-parts":[["2003",1]]}}}],"schema":"https://github.com/citation-style-language/schema/raw/master/csl-citation.json"} </w:instrText>
      </w:r>
      <w:r w:rsidR="006E146C">
        <w:fldChar w:fldCharType="separate"/>
      </w:r>
      <w:r w:rsidR="006E146C">
        <w:rPr>
          <w:noProof/>
        </w:rPr>
        <w:t>(Vardar, Baylas, et Huseyinov 2003)</w:t>
      </w:r>
      <w:r w:rsidR="006E146C">
        <w:fldChar w:fldCharType="end"/>
      </w:r>
      <w:r>
        <w:t>.</w:t>
      </w:r>
    </w:p>
    <w:p w14:paraId="60B3A830" w14:textId="77777777" w:rsidR="00492E47" w:rsidRDefault="00492E47" w:rsidP="00492E47">
      <w:pPr>
        <w:pStyle w:val="Stytleparagraphe"/>
      </w:pPr>
      <w:r>
        <w:t xml:space="preserve">En 2014, Siloah et Jacob s’intéressent à l’effet de l’administration d’aspirine à long terme sur les  résultats cliniques des thérapeutiques parodontales mécaniques chez le fumeur. Une amélioration significative des résultats chez les patients traités par aspirine </w:t>
      </w:r>
      <w:r>
        <w:fldChar w:fldCharType="begin"/>
      </w:r>
      <w:r>
        <w:instrText xml:space="preserve"> ADDIN ZOTERO_ITEM CSL_CITATION {"citationID":"y1mI9tHT","properties":{"formattedCitation":"(Shiloah et al. 2014)","plainCitation":"(Shiloah et al. 2014)"},"citationItems":[{"id":240,"uris":["http://zotero.org/users/local/Y4Qp1Cr8/items/2RP29TM3"],"uri":["http://zotero.org/users/local/Y4Qp1Cr8/items/2RP29TM3"],"itemData":{"id":240,"type":"article-journal","title":"The effect of long-term aspirin intake on the outcome of non-surgical periodontal therapy in smokers: a double-blind, randomized pilot study","container-title":"Journal of Periodontal Research","page":"102-109","volume":"49","issue":"1","source":"PubMed","abstract":"OBJECTIVE: The objective of this parallel, double-blind, randomized pilot study was to determine the effect of a daily dose of 325 mg of aspirin (ASA) on the clinical outcomes of scaling and root planing in a selected group of adult smokers.\nBACKGROUND: The response to periodontal therapy is inferior among smokers compared to non-smokers. Long-term intake of ASA has been shown to exert a positive impact on reducing both the prevalence and severity of periodontitis, among high-risk groups of subjects such as heavy smokers and diabetics. It is reasonable to assume that systemic administration of ASA in conjunction with reduction of the bacterial load by scaling and root planing may improve and prolong the benefits of periodontal therapy. To date, only few prospective interventional clinical studies have specifically addressed the periodontal needs of smokers.\nMETHODS: The study includes 24 smokers. The following clinical parameters were measured preoperatively and at 3, 6, 9 and 12 mo postoperatively: (i) gingival index; (ii) plaque index; (iii) probing depth; (iii) probing attachment level; (iv) gingival recession; and (v) bleeding scores. Study subjects received scaling and root planing over several visits and were randomly assigned into two equal groups; a control group (C), which received a placebo and a test group (T), which took a daily dose of 325 mg ASA. No additional therapy was provided over the 1 year observation period.\nRESULTS: There were more statistically significant differences (p &lt; 0.05; one- tailed) between pretest and posttest scores in the T group than in the C group. Mean percent increase in sites with probing depth 1-3 mm (T: 8.78; C: 7.21); mean percent reduction in sites with probing depth 4-6 mm (T: -7.25; C: -5.09 not statistically significant, NS); mean percent reduction in sites with probing depth ≥ 7 mm (T: -1.42; C: -02.09); mean percent reduction in sites with probing attachment level 3-4 mm (T: -3.63; C: 0.48 NS); mean percent reduction in sites with bleeding on probing (T: -12.37; C: -2.59 NS) (p &lt; 0.05, NS).\nCONCLUSIONS: Daily intake of 325 mg of ASA following scaling and root planing improved treatment outcomes in smokers, without an increase in gingival bleeding tendency. ASA promoted a higher incidence of shallow pockets and more gain in attachment level.","DOI":"10.1111/jre.12085","ISSN":"1600-0765","note":"PMID: 23594239","shortTitle":"The effect of long-term aspirin intake on the outcome of non-surgical periodontal therapy in smokers","journalAbbreviation":"J. Periodont. Res.","language":"eng","author":[{"family":"Shiloah","given":"Jacob"},{"family":"Bland","given":"Paul S."},{"family":"Scarbecz","given":"Mark"},{"family":"Patters","given":"Mark R."},{"family":"Stein","given":"Sydney H."},{"family":"Tipton","given":"David A."}],"issued":{"date-parts":[["2014",2]]}}}],"schema":"https://github.com/citation-style-language/schema/raw/master/csl-citation.json"} </w:instrText>
      </w:r>
      <w:r>
        <w:fldChar w:fldCharType="separate"/>
      </w:r>
      <w:r>
        <w:rPr>
          <w:noProof/>
        </w:rPr>
        <w:t>(Shiloah et al. 2014)</w:t>
      </w:r>
      <w:r>
        <w:fldChar w:fldCharType="end"/>
      </w:r>
      <w:r>
        <w:t xml:space="preserve">. </w:t>
      </w:r>
    </w:p>
    <w:p w14:paraId="22637FD6" w14:textId="61F94218" w:rsidR="000D1C6D" w:rsidRDefault="00492E47" w:rsidP="00C766DF">
      <w:pPr>
        <w:pStyle w:val="Stytleparagraphe"/>
      </w:pPr>
      <w:r>
        <w:t xml:space="preserve">Par ailleurs, Kurtis et al. montrent que le Flurbiprofène n’apporte aucune amélioration supplémentaire sur le statut parodontal des patients </w:t>
      </w:r>
      <w:r>
        <w:fldChar w:fldCharType="begin"/>
      </w:r>
      <w:r>
        <w:instrText xml:space="preserve"> ADDIN ZOTERO_ITEM CSL_CITATION {"citationID":"0nhd4trH","properties":{"formattedCitation":"(Kurtis et al. 2007)","plainCitation":"(Kurtis et al. 2007)"},"citationItems":[{"id":246,"uris":["http://zotero.org/users/local/Y4Qp1Cr8/items/WVGDBA2E"],"uri":["http://zotero.org/users/local/Y4Qp1Cr8/items/WVGDBA2E"],"itemData":{"id":246,"type":"article-journal","title":"GCF MMP-8 levels in smokers and non-smokers with chronic periodontitis following scaling and root planing accompanied by systemic use of flurbiprofen","container-title":"Journal of Periodontology","page":"1954-1961","volume":"78","issue":"10","source":"PubMed","abstract":"BACKGROUND: Cigarette smoking has been identified as an important risk factor for the initiation and progression of chronic periodontitis (CP). The aim of this study was to investigate the effects of phase I periodontal therapy and adjunctive flurbiprofen administration on matrix metalloproteinase (MMP)-8 levels in gingival crevicular fluid (GCF) samples from smoking and non-smoking patients with CP.\nMETHODS: Twenty-nine non-smoking and 29 smoking patients with CP were divided into four groups according to periodontal treatment modalities. Group 1 (non-smokers with CP) and group 3 (smokers with CP) patients received daily 100-mg flurbiprofen tablets in a 2 x 1 regimen for 10 days together with scaling and root planing (SRP). Patients in group 2 (non-smokers with CP) and group 4 (smokers with CP) received placebo tablets in a 2 x 1 regimen for 10 days together with SRP. Plaque index (PI), gingival index (GI), probing depth (PD), and clinical attachment level (CAL) measurements were recorded; GCF samples were collected from each sampling area at baseline and after the 10-day period of drug intake by a single examiner who was unaware of the treatment modality. Assays for GCF MMP-8 were carried out by an enzyme-linked immunosorbent assay.\nRESULTS: All groups showed statistically significant reductions in PI and GI scores following the phase I periodontal treatment (P &lt; 0.05), but no statistical differences were observed in PD and CAL scores after therapy. In all groups, the reduction of GCF MMP-8 levels after therapy was statistically significant compared to baseline levels (P &lt; 0.001). When groups 1 and 3 and 2 and 4 were compared according to GCF MMP-8 levels after the therapy, no statistically significant differences were observed (P = 0.117 and P = 0.485, respectively).\nCONCLUSION: Flurbiprofen administration had no additional inhibitory effect over SRP alone on GCF levels of MMP-8 in smokers compared to non-smokers with CP.","DOI":"10.1902/jop.2007.070149","ISSN":"0022-3492","note":"PMID: 18062117","journalAbbreviation":"J. Periodontol.","language":"eng","author":[{"family":"Kurtis","given":"Bülent"},{"family":"Tüter","given":"Gilay"},{"family":"Serdar","given":"Muhittin"},{"family":"Pinar","given":"Selin"},{"family":"Demirel","given":"Ilkim"},{"family":"Toyman","given":"Utku"}],"issued":{"date-parts":[["2007",10]]}}}],"schema":"https://github.com/citation-style-language/schema/raw/master/csl-citation.json"} </w:instrText>
      </w:r>
      <w:r>
        <w:fldChar w:fldCharType="separate"/>
      </w:r>
      <w:r>
        <w:rPr>
          <w:noProof/>
        </w:rPr>
        <w:t>(Kurtis et al. 2007)</w:t>
      </w:r>
      <w:r>
        <w:fldChar w:fldCharType="end"/>
      </w:r>
      <w:r>
        <w:t xml:space="preserve">. Seuls les fumeurs avec une supplémentation aux AINS montrent une diminution significative des marqueurs biologiques </w:t>
      </w:r>
      <w:r w:rsidR="00C766DF">
        <w:t>parodontaux.</w:t>
      </w:r>
    </w:p>
    <w:p w14:paraId="5E2BFD1F" w14:textId="77777777" w:rsidR="000D1C6D" w:rsidRDefault="000D1C6D" w:rsidP="000D1C6D">
      <w:pPr>
        <w:pStyle w:val="Stytleparagraphe"/>
        <w:ind w:firstLine="360"/>
      </w:pPr>
    </w:p>
    <w:p w14:paraId="62795D99" w14:textId="17C9AC2E" w:rsidR="00D2377D" w:rsidRDefault="00D2377D" w:rsidP="00582364">
      <w:pPr>
        <w:pStyle w:val="Style2"/>
      </w:pPr>
      <w:bookmarkStart w:id="289" w:name="_Toc380653909"/>
      <w:bookmarkStart w:id="290" w:name="_Toc380744143"/>
      <w:bookmarkStart w:id="291" w:name="_Toc380946399"/>
      <w:bookmarkStart w:id="292" w:name="_Toc383883963"/>
      <w:bookmarkStart w:id="293" w:name="_Toc384754080"/>
      <w:bookmarkStart w:id="294" w:name="_Toc384756501"/>
      <w:bookmarkStart w:id="295" w:name="_Toc384816097"/>
      <w:bookmarkStart w:id="296" w:name="_Toc384826813"/>
      <w:r>
        <w:t>Inhibiteurs sélectifs de COX-2</w:t>
      </w:r>
      <w:bookmarkEnd w:id="289"/>
      <w:bookmarkEnd w:id="290"/>
      <w:bookmarkEnd w:id="291"/>
      <w:bookmarkEnd w:id="292"/>
      <w:bookmarkEnd w:id="293"/>
      <w:bookmarkEnd w:id="294"/>
      <w:bookmarkEnd w:id="295"/>
      <w:bookmarkEnd w:id="296"/>
    </w:p>
    <w:p w14:paraId="60453521" w14:textId="4BC87E89" w:rsidR="008949B9" w:rsidRDefault="00007019" w:rsidP="00233703">
      <w:pPr>
        <w:pStyle w:val="Stytleparagraphe"/>
        <w:ind w:firstLine="360"/>
      </w:pPr>
      <w:r>
        <w:t xml:space="preserve">Parmi les anti-inflammatoires non stéroïdiens, les dérivés oxicam (Meloxicam, Piroxicam, Ténoxicam) </w:t>
      </w:r>
      <w:r w:rsidR="008949B9">
        <w:t>et les dé</w:t>
      </w:r>
      <w:r w:rsidR="00EF38A1">
        <w:t>rivés coxib (Célécoxib et Etoricox</w:t>
      </w:r>
      <w:r w:rsidR="008949B9">
        <w:t xml:space="preserve">ib) </w:t>
      </w:r>
      <w:r w:rsidR="009A0FE1">
        <w:t>ont été</w:t>
      </w:r>
      <w:r w:rsidR="008949B9">
        <w:t xml:space="preserve"> étudiés pour leu</w:t>
      </w:r>
      <w:r w:rsidR="00233703">
        <w:t xml:space="preserve">rs effets </w:t>
      </w:r>
      <w:r w:rsidR="008949B9">
        <w:t xml:space="preserve">dans le traitement des parodontites, en tant qu’inhibiteurs sélectifs de COX-2 </w:t>
      </w:r>
      <w:r w:rsidR="008949B9">
        <w:fldChar w:fldCharType="begin"/>
      </w:r>
      <w:r w:rsidR="008949B9">
        <w:instrText xml:space="preserve"> ADDIN ZOTERO_ITEM CSL_CITATION {"citationID":"CostrOU5","properties":{"formattedCitation":"(Agossa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rsidR="008949B9">
        <w:fldChar w:fldCharType="separate"/>
      </w:r>
      <w:r w:rsidR="008949B9">
        <w:rPr>
          <w:noProof/>
        </w:rPr>
        <w:t>(Agossa et al. 2016)</w:t>
      </w:r>
      <w:r w:rsidR="008949B9">
        <w:fldChar w:fldCharType="end"/>
      </w:r>
      <w:r w:rsidR="008949B9">
        <w:t xml:space="preserve"> (Vidal). </w:t>
      </w:r>
    </w:p>
    <w:p w14:paraId="5D201346" w14:textId="77777777" w:rsidR="00233703" w:rsidRDefault="00233703" w:rsidP="00233703">
      <w:pPr>
        <w:pStyle w:val="Stytleparagraphe"/>
        <w:ind w:firstLine="360"/>
      </w:pPr>
    </w:p>
    <w:p w14:paraId="125AD0CA" w14:textId="0139D3E0" w:rsidR="00E074AB" w:rsidRDefault="00233703" w:rsidP="0018798A">
      <w:pPr>
        <w:pStyle w:val="Style3"/>
        <w:numPr>
          <w:ilvl w:val="0"/>
          <w:numId w:val="12"/>
        </w:numPr>
      </w:pPr>
      <w:bookmarkStart w:id="297" w:name="_Toc380653910"/>
      <w:bookmarkStart w:id="298" w:name="_Toc380744144"/>
      <w:bookmarkStart w:id="299" w:name="_Toc380946400"/>
      <w:bookmarkStart w:id="300" w:name="_Toc383883964"/>
      <w:bookmarkStart w:id="301" w:name="_Toc384754081"/>
      <w:bookmarkStart w:id="302" w:name="_Toc384756502"/>
      <w:bookmarkStart w:id="303" w:name="_Toc384816098"/>
      <w:bookmarkStart w:id="304" w:name="_Toc384826814"/>
      <w:r>
        <w:t>Les dérivés oxicam</w:t>
      </w:r>
      <w:bookmarkEnd w:id="297"/>
      <w:bookmarkEnd w:id="298"/>
      <w:bookmarkEnd w:id="299"/>
      <w:bookmarkEnd w:id="300"/>
      <w:bookmarkEnd w:id="301"/>
      <w:bookmarkEnd w:id="302"/>
      <w:bookmarkEnd w:id="303"/>
      <w:bookmarkEnd w:id="304"/>
    </w:p>
    <w:p w14:paraId="58E1B646" w14:textId="1C59DB2F" w:rsidR="00E074AB" w:rsidRDefault="00287CA8" w:rsidP="00F5508A">
      <w:pPr>
        <w:pStyle w:val="Stytleparagraphe"/>
        <w:ind w:firstLine="360"/>
      </w:pPr>
      <w:r>
        <w:t>En 2002, une</w:t>
      </w:r>
      <w:r w:rsidR="007647AB">
        <w:t xml:space="preserve"> étude s’intéresse au rôle de Meloxicam sur les niveaux de métalloprotéinase-8 (MMP-8) dans le GCF </w:t>
      </w:r>
      <w:r w:rsidR="00C2233C">
        <w:t xml:space="preserve">(gingival crevicular fluid) </w:t>
      </w:r>
      <w:r w:rsidR="007D6A2A">
        <w:t>chez les patients atteint</w:t>
      </w:r>
      <w:r w:rsidR="007647AB">
        <w:t xml:space="preserve">s de parodontite chronique, suivant une thérapeutique parodontale initiale. 12 patients ont reçu 7,5mg de Meloxicam et 10 patients témoins ont reçu des placebos pendant 10 jours, avec détartrage et curetage radiculaire le troisième jour. Les niveaux de MMP-8 ont été mesurés avant et au dixième jour de traitement. Les paramètres cliniques et biologiques ont été comparés entre les deux groupes et avec un groupe d’individus cliniquement sains. </w:t>
      </w:r>
    </w:p>
    <w:p w14:paraId="37C92F37" w14:textId="1D53D552" w:rsidR="007647AB" w:rsidRDefault="00131E31" w:rsidP="007647AB">
      <w:pPr>
        <w:pStyle w:val="Stytleparagraphe"/>
      </w:pPr>
      <w:r>
        <w:t xml:space="preserve">Aussi bien le groupe placebo que le groupe traité par Meloxicam montrent une réduction significative de l’indice de plaque, de l’indice de saignement papillaire et des niveaux de MMP-8 dans le GCF, entre le début et 10 jours de traitement. Les niveaux de MMP-8 à 10 jours sont similaires entre le groupe traité par Meloxicam et le groupe contrôle cliniquement sain, mais ils étaient supérieurs dans le groupe placebo. </w:t>
      </w:r>
    </w:p>
    <w:p w14:paraId="342B780B" w14:textId="60B5375A" w:rsidR="00131E31" w:rsidRDefault="00131E31" w:rsidP="007647AB">
      <w:pPr>
        <w:pStyle w:val="Stytleparagraphe"/>
      </w:pPr>
      <w:r>
        <w:t xml:space="preserve">Ainsi, le Meloxicam aurait tendance à réduire les niveaux de MMP-8 in vivo lors des 10 premiers jours, utilisé </w:t>
      </w:r>
      <w:r w:rsidR="00287CA8">
        <w:t xml:space="preserve">comme adjuvant dans la phase initiale mécanique du traitement parodontal </w:t>
      </w:r>
      <w:r w:rsidR="00287CA8">
        <w:fldChar w:fldCharType="begin"/>
      </w:r>
      <w:r w:rsidR="00287CA8">
        <w:instrText xml:space="preserve"> ADDIN ZOTERO_ITEM CSL_CITATION {"citationID":"KsONyPo3","properties":{"formattedCitation":"(Buduneli et al. 2002)","plainCitation":"(Buduneli et al. 2002)"},"citationItems":[{"id":255,"uris":["http://zotero.org/users/local/Y4Qp1Cr8/items/RVLUDERD"],"uri":["http://zotero.org/users/local/Y4Qp1Cr8/items/RVLUDERD"],"itemData":{"id":255,"type":"article-journal","title":"Gingival crevicular fluid matrix metalloproteinase-8 levels following adjunctive use of meloxicam and initial phase of periodontal therapy","container-title":"Journal of Periodontology","page":"103-109","volume":"73","issue":"1","source":"PubMed","abstract":"BACKGROUND: The purpose of the present study was to assess the effects of adjunctive meloxicam on the matrix metalloproteinase-8 (MMP-8) levels of gingival crevicular fluid (GCF) in chronic periodontitis patients following the initial phase of periodontal therapy.\nMETHODS: Twelve chronic periodontitis patients received 7.5 mg meloxicam, and 10 patients received placebo tablets together with scaling and root planing in a 1 x 1 regimen for 10 days. Scaling and root planing were performed on day 3 of drug intake. The MMP-8 levels in GCF samples obtained before and on day 10 of drug intake were determined by using the immunofluorescence assay. Plaque index (PI), papilla bleeding index (PBI), and GCF MMP-8 levels were compared within each patient group, between the 2 patient groups, and also with a clinically healthy control group using non-parametric statistical analyses.\nRESULTS: Both meloxicam and placebo groups showed statistically significant reductions in PBI, PI, and GCF MMP-8 levels on day 10 compared to baseline (P&lt;0.01). The GCF MMP-8 level on day 10 in the meloxicam group was similar to the clinically healthy control group (P&gt;0.05), while it was significantly higher in the placebo group (P&lt;0.01). Positive correlations were found between MMP-8 total amounts and PBI scores at baseline and day 10 of drug intake in the patient groups.\nCONCLUSIONS: Meloxicam showed a tendency to reduce GCF MMP-8 levels in vivo within the first 10 days when used as an adjunct in the initial phase of periodontal treatment that consists of scaling and root planing. Verification of this effect on collagenase-2 downregulation, as well as on the clinical periodontal parameters in long-term studies using larger test and control groups, is needed to provide further support for the adjunctive use of selective cyclooxygenase (COX)-2 inhibitors in the treatment of chronic periodontitis.","DOI":"10.1902/jop.2002.73.1.103","ISSN":"0022-3492","note":"PMID: 11846190","journalAbbreviation":"J. Periodontol.","language":"eng","author":[{"family":"Buduneli","given":"Nurcan"},{"family":"Vardar","given":"Saynur"},{"family":"Atilla","given":"Gül"},{"family":"Sorsa","given":"Timo"},{"family":"Luoto","given":"Hanne"},{"family":"Baylas","given":"Haluk"}],"issued":{"date-parts":[["2002",1]]}}}],"schema":"https://github.com/citation-style-language/schema/raw/master/csl-citation.json"} </w:instrText>
      </w:r>
      <w:r w:rsidR="00287CA8">
        <w:fldChar w:fldCharType="separate"/>
      </w:r>
      <w:r w:rsidR="00287CA8">
        <w:rPr>
          <w:noProof/>
        </w:rPr>
        <w:t>(Buduneli et al. 2002)</w:t>
      </w:r>
      <w:r w:rsidR="00287CA8">
        <w:fldChar w:fldCharType="end"/>
      </w:r>
      <w:r w:rsidR="00287CA8">
        <w:t xml:space="preserve">. </w:t>
      </w:r>
    </w:p>
    <w:p w14:paraId="2281DEAA" w14:textId="77777777" w:rsidR="00287CA8" w:rsidRDefault="00287CA8" w:rsidP="007647AB">
      <w:pPr>
        <w:pStyle w:val="Stytleparagraphe"/>
      </w:pPr>
    </w:p>
    <w:p w14:paraId="27E47C60" w14:textId="13F9CC86" w:rsidR="00287CA8" w:rsidRDefault="00287CA8" w:rsidP="00287CA8">
      <w:pPr>
        <w:pStyle w:val="Stytleparagraphe"/>
        <w:ind w:firstLine="360"/>
      </w:pPr>
      <w:r>
        <w:t xml:space="preserve">Plus tard, une étude s’intéresse au rôle de Meloxicam sur la composition cytokinique du fluide créviculaire gingival (GCF) et sur divers paramètres cliniques (profondeur de poche, indice de plaque, indice gingival, niveaux d’attache clinique) de patients non fumeurs atteints de parodontite chronique, après thérapeutique parodontale initiale. Ces données ont été mesurées chez un groupe de 15 patients ayant reçu 7,5mg de Meloxicam pendant un mois et un groupe de 15 patients témoins. Les mesures ont été mesurées après thérapeutique parodontale, et un mois après thérapeutique parodontale.  </w:t>
      </w:r>
    </w:p>
    <w:p w14:paraId="038441D3" w14:textId="77777777" w:rsidR="00287CA8" w:rsidRDefault="00287CA8" w:rsidP="00287CA8">
      <w:pPr>
        <w:pStyle w:val="Stytleparagraphe"/>
      </w:pPr>
      <w:r>
        <w:t xml:space="preserve">Les résultats montrent une baisse significative des paramètres cliniques et du taux de récepteurs antagonistes d’IL-1 (IL-1ra) dans le GCF, à un mois, dans le groupe traité par Meloxicam, comparé aux niveaux initiaux. Au sein du groupe témoin, seul l’indice de plaque a significativement diminué. </w:t>
      </w:r>
    </w:p>
    <w:p w14:paraId="64E84978" w14:textId="3E577376" w:rsidR="00C94774" w:rsidRDefault="00287CA8" w:rsidP="00287CA8">
      <w:pPr>
        <w:pStyle w:val="Stytleparagraphe"/>
      </w:pPr>
      <w:r>
        <w:t xml:space="preserve">L’étude ne montre pas de différence significative entre les deux groupes, quant aux paramètres évalués. Ainsi, le Meloxicam n’aurait aucune influence sur les niveaux d’IL-1 et IL-1ra dans la parodontite chronique </w:t>
      </w:r>
      <w:r>
        <w:fldChar w:fldCharType="begin"/>
      </w:r>
      <w:r>
        <w:instrText xml:space="preserve"> ADDIN ZOTERO_ITEM CSL_CITATION {"citationID":"tWCvCAJN","properties":{"formattedCitation":"(Toker, Marakoglu, et Poyraz 2006)","plainCitation":"(Toker, Marakoglu, et Poyraz 2006)"},"citationItems":[{"id":257,"uris":["http://zotero.org/users/local/Y4Qp1Cr8/items/FWZ28E82"],"uri":["http://zotero.org/users/local/Y4Qp1Cr8/items/FWZ28E82"],"itemData":{"id":257,"type":"article-journal","title":"Effect of meloxicam on gingival crevicular fluid IL-1beta and IL1 receptor antagonist levels in subjects with chronic periodontitis, and its effects on clinical parameters","container-title":"Clinical Oral Investigations","page":"305-310","volume":"10","issue":"4","source":"PubMed","abstract":"The aim of the present study was to determine the effects of meloxicam after initial periodontal treatment on interleukin-1beta (IL-1beta) and IL-1 receptor antagonist (IL-1ra) in gingival crevicular fluid (GCF) and clinical parameters in the chronic periodontitis patients. Data were obtained from 30 patients with chronic periodontitis. Fifteen chronic periodontitis patients received 7.5 mg meloxicam, and 15 patients received placebo tablets in a 1x1 regimen for 1 month. All subjects were nonsmokers and had not received any periodontal therapy. The plaque index (PI), gingival index (GI), probing depth (PD), and clinical attachment level (CAL) were recorded. The GCF was collected using a paper strip: eluted and enzyme-linked immunoabsorbent assays (ELISAs) were performed to determine the cytokine levels. The clinical data and GCF samples were obtained after periodontal therapy and 1 month after periodontal therapy. The PI, GI, PD, and GCF IL-1ra decreased significantly (p&lt;0.05) in meloxicam group at first month when comparing the initial levels. While decrease of the PI was statistically significant in control group (p&lt;0.05), statistically significant changes were not determined in the other clinical parameters and GCF cytokine levels (p&gt;0.05). There were no significant differences between two groups in any of the investigated parameters. Our observations did not reveal any influence of meloxicam on levels of IL-1beta and IL-1ra in chronic periodontitis. Additional clinical studies are advisable to determine whether COX-2 selective drugs alter periodontal disease outcome with greater safety.","DOI":"10.1007/s00784-006-0062-3","ISSN":"1432-6981","note":"PMID: 16896836","journalAbbreviation":"Clin Oral Investig","language":"eng","author":[{"family":"Toker","given":"Hulya"},{"family":"Marakoglu","given":"Ismail"},{"family":"Poyraz","given":"Omer"}],"issued":{"date-parts":[["2006",12]]}}}],"schema":"https://github.com/citation-style-language/schema/raw/master/csl-citation.json"} </w:instrText>
      </w:r>
      <w:r>
        <w:fldChar w:fldCharType="separate"/>
      </w:r>
      <w:r>
        <w:rPr>
          <w:noProof/>
        </w:rPr>
        <w:t>(Toker, Marakoglu, et Poyraz 2006)</w:t>
      </w:r>
      <w:r>
        <w:fldChar w:fldCharType="end"/>
      </w:r>
      <w:r>
        <w:t>.</w:t>
      </w:r>
    </w:p>
    <w:p w14:paraId="756BF9CD" w14:textId="77777777" w:rsidR="00DF6C2C" w:rsidRDefault="00DF6C2C" w:rsidP="00287CA8">
      <w:pPr>
        <w:pStyle w:val="Stytleparagraphe"/>
      </w:pPr>
    </w:p>
    <w:p w14:paraId="61B1904A" w14:textId="2CB1820D" w:rsidR="00C94774" w:rsidRDefault="00C94774" w:rsidP="00287CA8">
      <w:pPr>
        <w:pStyle w:val="Stytleparagraphe"/>
      </w:pPr>
      <w:r>
        <w:tab/>
        <w:t xml:space="preserve">Plus récemment, en 2014, une étude s’intéresse </w:t>
      </w:r>
      <w:r w:rsidR="00762281">
        <w:t>à l’effet adjuvant</w:t>
      </w:r>
      <w:r>
        <w:t xml:space="preserve"> du Tenoxicam pendant le traitement parodontal non chirurgical, sur des paramètres cliniques et les niveaux de MMP-8 et TNF-</w:t>
      </w:r>
      <w:r>
        <w:rPr>
          <w:rFonts w:cs="Arial"/>
        </w:rPr>
        <w:t>α</w:t>
      </w:r>
      <w:r w:rsidR="00762281">
        <w:rPr>
          <w:rFonts w:cs="Arial"/>
        </w:rPr>
        <w:t xml:space="preserve"> dans le GCF</w:t>
      </w:r>
      <w:r>
        <w:t xml:space="preserve">, chez les patients atteints de parodontite chronique. </w:t>
      </w:r>
      <w:r w:rsidR="00762281">
        <w:t>Le premier groupe a reçu une dose systémique de 20mg de Tenoxicam par jour, pendant 10 jours, tandis que le second groupe a reçu un placebo. Les mesures cliniques</w:t>
      </w:r>
      <w:r w:rsidR="009D7FD0">
        <w:t xml:space="preserve"> (indice de plaque, indice gingival, indice de saignement gingival, profondeur de poche et niveau d’attachement clinique) et les </w:t>
      </w:r>
      <w:r w:rsidR="00762281">
        <w:t xml:space="preserve">échantillons de GCF ont été obtenus directement avant traitement parodontal et 30 jours après, chez tous les sujets. </w:t>
      </w:r>
    </w:p>
    <w:p w14:paraId="30D6F0AF" w14:textId="69AB847A" w:rsidR="009D7FD0" w:rsidRDefault="009D7FD0" w:rsidP="00287CA8">
      <w:pPr>
        <w:pStyle w:val="Stytleparagraphe"/>
        <w:rPr>
          <w:rFonts w:cs="Arial"/>
        </w:rPr>
      </w:pPr>
      <w:r>
        <w:t>Tous les paramètres cliniques, sauf le niveau d’attachement clinique, ont été améliorés après traitement parodontal non chirurgical, dans les deux groupes. Une baisse significative des taux de MMP-8 ont été retrouvés après traitement chez le groupe traité par Tenoxicam, contrairement au groupe placebo. Les niveaux de TNF-</w:t>
      </w:r>
      <w:r>
        <w:rPr>
          <w:rFonts w:cs="Arial"/>
        </w:rPr>
        <w:t xml:space="preserve">α ne montrent aucune différence significative. Il n’y a pas de différence clinique entre les deux groupes, quant aux paramètres cliniques. </w:t>
      </w:r>
    </w:p>
    <w:p w14:paraId="37189303" w14:textId="2C1221C4" w:rsidR="00DF6C2C" w:rsidRDefault="009D7FD0" w:rsidP="00287CA8">
      <w:pPr>
        <w:pStyle w:val="Stytleparagraphe"/>
      </w:pPr>
      <w:r>
        <w:rPr>
          <w:rFonts w:cs="Arial"/>
        </w:rPr>
        <w:t>Ainsi, l’administration de Tenoxicam pendant la phase initiale non chirurgicale du traitement parodontal diminue les taux de MMP-8 au sein du fluide créviculaire gingival, mais aucun bénéfice clinique n’a été démontré</w:t>
      </w:r>
      <w:r w:rsidR="00CF5FB5">
        <w:rPr>
          <w:rFonts w:cs="Arial"/>
        </w:rPr>
        <w:t xml:space="preserve"> </w:t>
      </w:r>
      <w:r w:rsidR="00CF5FB5">
        <w:rPr>
          <w:rFonts w:cs="Arial"/>
        </w:rPr>
        <w:fldChar w:fldCharType="begin"/>
      </w:r>
      <w:r w:rsidR="00CF5FB5">
        <w:rPr>
          <w:rFonts w:cs="Arial"/>
        </w:rPr>
        <w:instrText xml:space="preserve"> ADDIN ZOTERO_ITEM CSL_CITATION {"citationID":"gLLXvcNe","properties":{"formattedCitation":"{\\rtf (Ozg\\uc0\\u246{}ren et al. 2014)}","plainCitation":"(Ozgören et al. 2014)"},"citationItems":[{"id":259,"uris":["http://zotero.org/users/local/Y4Qp1Cr8/items/A7CEEBH2"],"uri":["http://zotero.org/users/local/Y4Qp1Cr8/items/A7CEEBH2"],"itemData":{"id":259,"type":"article-journal","title":"The adjunctive effect of tenoxicam during non-surgical periodontal treatment on clinical parameters and gingival crevicular fluid levels of MMP-8 and TNF-α in patients with chronic periodontitis - randomized, double-blind clinical trial","container-title":"Advances in Clinical and Experimental Medicine: Official Organ Wroclaw Medical University","page":"559-565","volume":"23","issue":"4","source":"PubMed","abstract":"BACKGROUND: Matrix metalloproteinases (MMPs) and cytokines play a role of extracellular matrix degradation and remodelling, and are significantly involved in the course of periodontal disease.\nOBJECTIVES: The purpose of this study was to evaluate the adjunctive effect of administering an oxicam non-steroidal anti-inflammatory drug (NSAID), tenoxicam, during non-surgical (phase 1) periodontal treatment on clinical parameters and gingival crevicular fluid (GCF) levels of MMP-8 and TNF-α in subjects with chronic periodontitis.\nMATERIAL AND METHODS: A total of 32 subjects with chronic periodontitis were randomized into two groups: 1) phase I periodontal treatment + NSAID and 2) phase I periodontal treatment + placebo. Phase I periodontal therapy consisted of scaling and root planning (SPR), which was provided by a single therapist masked with respect to group assignment. Patients in group 1 received a systemic NSAID (20 mg tenoxicam tablet once daily for 10 days). Clinical measures and GCF samples were obtained immediately prior to periodontal treatment and 30 days afterwards from all subjects. Clinical measures included a plaque index, gingival index, gingival bleeding time index, probing depth, and clinical attachment level. The MMP-8 and TNF-α levels in the GCF were assayed using an enzyme-linked immunosorbent assay.\nRESULTS: With the exception of clinical attachment level, all clinical measures showed a significant (p &lt; 0.05) improvement following non-surgical treatment in both the NSAID and placebo groups. A significant decrease in MMP-8 levels (p &lt; 0.05) was observed at post-treatment in the NSAID group but not in the placebo group (p &gt; 0.05). Treatment exhibited no effect on TNF-α levels (p &gt; 0.05). There was also no statistically significant difference in clinical measurements after treatment between the two groups (p &gt; 0.05). Moreover, the post treatment MMP-8 level in group 1 was statistically significant higher than the placebo group (p &lt; 0.05).\nCONCLUSIONS: The adjunctive administration of tenoxicam during phase I periodontal treatment decreases MMP-8 levels in gingival crevicular fluid in patients with chronic periodontitis. But no benefits were observed.","ISSN":"1899-5276","note":"PMID: 25166440","journalAbbreviation":"Adv Clin Exp Med","language":"eng","author":[{"family":"Ozgören","given":"Ozgür"},{"family":"Develioglu","given":"Hakan"},{"family":"Güncü","given":"Güliz"},{"family":"Akman","given":"Abdullah"},{"family":"Berker","given":"Ezel"}],"issued":{"date-parts":[["2014",8]]}}}],"schema":"https://github.com/citation-style-language/schema/raw/master/csl-citation.json"} </w:instrText>
      </w:r>
      <w:r w:rsidR="00CF5FB5">
        <w:rPr>
          <w:rFonts w:cs="Arial"/>
        </w:rPr>
        <w:fldChar w:fldCharType="separate"/>
      </w:r>
      <w:r w:rsidR="00CF5FB5" w:rsidRPr="00CF5FB5">
        <w:rPr>
          <w:rFonts w:cs="Arial"/>
          <w:lang w:val="en-US"/>
        </w:rPr>
        <w:t>(Ozgören et al. 2014)</w:t>
      </w:r>
      <w:r w:rsidR="00CF5FB5">
        <w:rPr>
          <w:rFonts w:cs="Arial"/>
        </w:rPr>
        <w:fldChar w:fldCharType="end"/>
      </w:r>
      <w:r>
        <w:rPr>
          <w:rFonts w:cs="Arial"/>
        </w:rPr>
        <w:t>.</w:t>
      </w:r>
    </w:p>
    <w:p w14:paraId="44CCB7D3" w14:textId="77777777" w:rsidR="00DF6C2C" w:rsidRDefault="00DF6C2C" w:rsidP="00287CA8">
      <w:pPr>
        <w:pStyle w:val="Stytleparagraphe"/>
      </w:pPr>
    </w:p>
    <w:p w14:paraId="4D060F40" w14:textId="1541F2FD" w:rsidR="00DF6C2C" w:rsidRDefault="00DF6C2C" w:rsidP="0018798A">
      <w:pPr>
        <w:pStyle w:val="Style3"/>
        <w:numPr>
          <w:ilvl w:val="0"/>
          <w:numId w:val="12"/>
        </w:numPr>
      </w:pPr>
      <w:bookmarkStart w:id="305" w:name="_Toc380653911"/>
      <w:bookmarkStart w:id="306" w:name="_Toc380744145"/>
      <w:bookmarkStart w:id="307" w:name="_Toc380946401"/>
      <w:bookmarkStart w:id="308" w:name="_Toc383883965"/>
      <w:bookmarkStart w:id="309" w:name="_Toc384754082"/>
      <w:bookmarkStart w:id="310" w:name="_Toc384756503"/>
      <w:bookmarkStart w:id="311" w:name="_Toc384816099"/>
      <w:bookmarkStart w:id="312" w:name="_Toc384826815"/>
      <w:r>
        <w:t>Les dérivés coxib</w:t>
      </w:r>
      <w:bookmarkEnd w:id="305"/>
      <w:bookmarkEnd w:id="306"/>
      <w:bookmarkEnd w:id="307"/>
      <w:bookmarkEnd w:id="308"/>
      <w:bookmarkEnd w:id="309"/>
      <w:bookmarkEnd w:id="310"/>
      <w:bookmarkEnd w:id="311"/>
      <w:bookmarkEnd w:id="312"/>
    </w:p>
    <w:p w14:paraId="2D41A44E" w14:textId="6130D9F6" w:rsidR="001C5759" w:rsidRDefault="001C5759" w:rsidP="004602D5">
      <w:pPr>
        <w:pStyle w:val="Stytleparagraphe"/>
        <w:ind w:firstLine="360"/>
      </w:pPr>
      <w:r>
        <w:t>Une première étude s’intéresse aux effets à court terme de l’administration d’Etoricoxib dans le traitement non chirurgical de la parodontite agressive. Un groupe test traité par Etoricoxib 120mg par jour pendant 7 jours et un groupe témoin ont été soumis à une thérapeutique parodontale initiale par détartrage et curetage radiculaire. Les paramètres cliniques et les taux de PGE</w:t>
      </w:r>
      <w:r w:rsidRPr="001C5759">
        <w:rPr>
          <w:vertAlign w:val="subscript"/>
        </w:rPr>
        <w:t>2</w:t>
      </w:r>
      <w:r>
        <w:t xml:space="preserve"> dans le GCF ont été mesurés initialement et un mois après traitement.</w:t>
      </w:r>
    </w:p>
    <w:p w14:paraId="165AD0D1" w14:textId="1F876F9B" w:rsidR="006B6FFB" w:rsidRDefault="0051686C" w:rsidP="002A4E3C">
      <w:pPr>
        <w:pStyle w:val="Stytleparagraphe"/>
        <w:rPr>
          <w:rFonts w:eastAsia="Times New Roman" w:cs="Arial"/>
          <w:color w:val="333333"/>
          <w:shd w:val="clear" w:color="auto" w:fill="F9F9F9"/>
        </w:rPr>
      </w:pPr>
      <w:r>
        <w:t>Quant aux paramètres cliniques étudiés, aucun</w:t>
      </w:r>
      <w:r w:rsidR="0086542B">
        <w:t>e</w:t>
      </w:r>
      <w:r>
        <w:t xml:space="preserve"> différence significative n’a été mise en évidence </w:t>
      </w:r>
      <w:r w:rsidR="006B6FFB">
        <w:t xml:space="preserve">entre les deux groupes à la fin de la période expérimentale, bien que les deux groupes présentent une amélioration significative des variables étudiées. Dans le groupe traité, la niveau d’attachement  clinique diminue de </w:t>
      </w:r>
      <w:r w:rsidR="006B6FFB">
        <w:rPr>
          <w:rFonts w:eastAsia="Times New Roman" w:cs="Arial"/>
          <w:color w:val="333333"/>
          <w:shd w:val="clear" w:color="auto" w:fill="F9F9F9"/>
        </w:rPr>
        <w:t>5.54 ± 0.47 mm à</w:t>
      </w:r>
      <w:r w:rsidR="006B6FFB" w:rsidRPr="006B6FFB">
        <w:rPr>
          <w:rFonts w:eastAsia="Times New Roman" w:cs="Arial"/>
          <w:color w:val="333333"/>
          <w:shd w:val="clear" w:color="auto" w:fill="F9F9F9"/>
        </w:rPr>
        <w:t xml:space="preserve"> 3.59 ± 0.53</w:t>
      </w:r>
      <w:r w:rsidR="006B6FFB">
        <w:rPr>
          <w:rFonts w:eastAsia="Times New Roman" w:cs="Arial"/>
          <w:color w:val="333333"/>
          <w:shd w:val="clear" w:color="auto" w:fill="F9F9F9"/>
        </w:rPr>
        <w:t xml:space="preserve"> et dans le groupe placebo de 5.92 ± 1.10 mm à</w:t>
      </w:r>
      <w:r w:rsidR="006B6FFB" w:rsidRPr="006B6FFB">
        <w:rPr>
          <w:rFonts w:eastAsia="Times New Roman" w:cs="Arial"/>
          <w:color w:val="333333"/>
          <w:shd w:val="clear" w:color="auto" w:fill="F9F9F9"/>
        </w:rPr>
        <w:t xml:space="preserve"> 3.69 ± 0.80 mm</w:t>
      </w:r>
      <w:r w:rsidR="006B6FFB">
        <w:rPr>
          <w:rFonts w:eastAsia="Times New Roman" w:cs="Arial"/>
          <w:color w:val="333333"/>
          <w:shd w:val="clear" w:color="auto" w:fill="F9F9F9"/>
        </w:rPr>
        <w:t xml:space="preserve">. </w:t>
      </w:r>
      <w:r w:rsidR="00EF38A1">
        <w:rPr>
          <w:rFonts w:eastAsia="Times New Roman" w:cs="Arial"/>
          <w:color w:val="333333"/>
          <w:shd w:val="clear" w:color="auto" w:fill="F9F9F9"/>
        </w:rPr>
        <w:t>Une réduction significative des niveaux de PGE</w:t>
      </w:r>
      <w:r w:rsidR="00EF38A1" w:rsidRPr="00EF38A1">
        <w:rPr>
          <w:rFonts w:eastAsia="Times New Roman" w:cs="Arial"/>
          <w:color w:val="333333"/>
          <w:shd w:val="clear" w:color="auto" w:fill="F9F9F9"/>
          <w:vertAlign w:val="subscript"/>
        </w:rPr>
        <w:t xml:space="preserve">2 </w:t>
      </w:r>
      <w:r w:rsidR="00EF38A1">
        <w:rPr>
          <w:rFonts w:eastAsia="Times New Roman" w:cs="Arial"/>
          <w:color w:val="333333"/>
          <w:shd w:val="clear" w:color="auto" w:fill="F9F9F9"/>
        </w:rPr>
        <w:t xml:space="preserve">a été observée après 7 jours de traitement. </w:t>
      </w:r>
    </w:p>
    <w:p w14:paraId="2A269F2A" w14:textId="51C247CD" w:rsidR="001C5759" w:rsidRPr="009A5AD9" w:rsidRDefault="00EF38A1" w:rsidP="002A4E3C">
      <w:pPr>
        <w:pStyle w:val="Stytleparagraphe"/>
      </w:pPr>
      <w:r>
        <w:rPr>
          <w:shd w:val="clear" w:color="auto" w:fill="F9F9F9"/>
        </w:rPr>
        <w:t>Ainsi, Etoricoxib n’apporte pas de bénéfice au niveau des paramètres cliniques, mais produit une diminution initiale des niveaux de PGE</w:t>
      </w:r>
      <w:r w:rsidRPr="00EF38A1">
        <w:rPr>
          <w:shd w:val="clear" w:color="auto" w:fill="F9F9F9"/>
          <w:vertAlign w:val="subscript"/>
        </w:rPr>
        <w:t>2</w:t>
      </w:r>
      <w:r>
        <w:rPr>
          <w:shd w:val="clear" w:color="auto" w:fill="F9F9F9"/>
        </w:rPr>
        <w:t xml:space="preserve"> dans le fluide créviculaire gingival, ce qui pourrait provoquer une légère amélioration </w:t>
      </w:r>
      <w:r w:rsidRPr="009A5AD9">
        <w:t xml:space="preserve">des conditions osseuses </w:t>
      </w:r>
      <w:r w:rsidRPr="009A5AD9">
        <w:fldChar w:fldCharType="begin"/>
      </w:r>
      <w:r w:rsidRPr="009A5AD9">
        <w:instrText xml:space="preserve"> ADDIN ZOTERO_ITEM CSL_CITATION {"citationID":"xfTYlOMt","properties":{"formattedCitation":"(Azoubel et al. 2008)","plainCitation":"(Azoubel et al. 2008)"},"citationItems":[{"id":263,"uris":["http://zotero.org/users/local/Y4Qp1Cr8/items/2569TR4M"],"uri":["http://zotero.org/users/local/Y4Qp1Cr8/items/2569TR4M"],"itemData":{"id":263,"type":"article-journal","title":"Adjunctive benefits of systemic etoricoxib in non-surgical treatment of aggressive periodontitis: short-term evaluation","container-title":"Journal of Periodontology","page":"1719-1725","volume":"79","issue":"9","source":"PubMed","abstract":"BACKGROUND: This pilot study assessed the effect of short-duration treatment with etoricoxib as adjuvant therapy to scaling and root planing (SRP) on the clinical and radiographic parameters and prostaglandin E(2) (PGE(2)) levels in aggressive periodontitis.\nMETHODS: Subjects were randomly allocated to test or control treatment (n = 10 in each group) and submitted to SRP and treatment with etoricoxib, 120 mg/day, or placebo for 7 days. Probing depth, clinical attachment level (CAL), gingival recession, visible plaque index, bleeding on probing, linear distance (LD) from the cemento-enamel junction to the alveolar crest, and analysis of the gray levels were recorded before and 1 month after the therapies. The prostaglandin E(2) (PGE(2)) level in the gingival crevicular fluid (GCF) was measured by radioimmunoassay at the beginning of the study and 7 and 30 days after treatment.\nRESULTS: No significant difference in the clinical parameters was observed between the groups at the end of the experimental period, although both groups presented significant improvement in all variables examined. There was a decrease in CAL from 5.54 +/- 0.47 mm to 3.59 +/- 0.53 mm in the test group and from 5.92 +/- 1.10 mm to 3.69 +/- 0.80 mm in the control group. A significant reduction in PGE(2) was found after 7 days of treatment. LD differed between the groups.\nCONCLUSION: Etoricoxib did not promote additional improvement in the clinical parameters; however, it produced an initial reduction in the PGE(2) levels in the GCF, which could be related to the discrete improvement in the bone condition.","DOI":"10.1902/jop.2008.080019","ISSN":"0022-3492","note":"PMID: 18771374","shortTitle":"Adjunctive benefits of systemic etoricoxib in non-surgical treatment of aggressive periodontitis","journalAbbreviation":"J. Periodontol.","language":"eng","author":[{"family":"Azoubel","given":"Maria Cecília F."},{"family":"Sarmento","given":"Viviane A."},{"family":"Cangussú","given":"Virna"},{"family":"Azoubel","given":"Eduardo"},{"family":"Bittencourt","given":"Sandro"},{"family":"Cunha","given":"Fernando Q."},{"family":"Ribeiro","given":"Ronaldo A."},{"family":"Brito","given":"Gerly Anne C."}],"issued":{"date-parts":[["2008",9]]}}}],"schema":"https://github.com/citation-style-language/schema/raw/master/csl-citation.json"} </w:instrText>
      </w:r>
      <w:r w:rsidRPr="009A5AD9">
        <w:fldChar w:fldCharType="separate"/>
      </w:r>
      <w:r w:rsidRPr="009A5AD9">
        <w:t>(Azoubel et al. 2008)</w:t>
      </w:r>
      <w:r w:rsidRPr="009A5AD9">
        <w:fldChar w:fldCharType="end"/>
      </w:r>
      <w:r w:rsidRPr="009A5AD9">
        <w:t>.</w:t>
      </w:r>
    </w:p>
    <w:p w14:paraId="2549561F" w14:textId="77777777" w:rsidR="004602D5" w:rsidRPr="009A5AD9" w:rsidRDefault="004602D5" w:rsidP="009A5AD9">
      <w:pPr>
        <w:pStyle w:val="Stytleparagraphe"/>
      </w:pPr>
    </w:p>
    <w:p w14:paraId="0979A427" w14:textId="33366471" w:rsidR="004602D5" w:rsidRDefault="00135A97" w:rsidP="009A5AD9">
      <w:pPr>
        <w:pStyle w:val="Stytleparagraphe"/>
        <w:ind w:firstLine="360"/>
      </w:pPr>
      <w:r>
        <w:t xml:space="preserve">La même année, </w:t>
      </w:r>
      <w:r w:rsidR="00EF35E5">
        <w:t>Yen et al. s’intéressent aux effets du Celecoxib utilisé conjointement au débridement mécanique parodontal par détartrage et surfaçage radiculaire. L’essai randomisé en double aveugle sélectionne 131 individus qui ont reçu 200mg de Celecoxib ou un placebo tous les jours pendant six mois. Les résultats cliniques ont été évalués tous les 3 mois pendant un an</w:t>
      </w:r>
      <w:r w:rsidR="00F92C58">
        <w:t>.</w:t>
      </w:r>
    </w:p>
    <w:p w14:paraId="6322FE61" w14:textId="01193040" w:rsidR="00F92C58" w:rsidRDefault="00F92C58" w:rsidP="00F92C58">
      <w:pPr>
        <w:pStyle w:val="Stytleparagraphe"/>
      </w:pPr>
      <w:r>
        <w:t>Les résultats montrent que la réduction moyenne de profondeur de poche et le gain d’attache clinique sont plus importants dans le groupe ayant reçu du Celecoxib, principalement dans les sites modérés</w:t>
      </w:r>
      <w:r w:rsidR="00483956">
        <w:t xml:space="preserve"> (4 à 6mm) et profonds (&gt; 7mm), tout au long de l’étude. Le groupe Celecoxib présente également un plus grand pourcentage de sites avec un gain d’attachement clinique &gt; 2mm et moins de sites avec une perte &gt; 2mm. Sans surprise et en cohérence avec les autres études, les deux groupes ont montré un meilleur contrôle de plaque et une réduction des scores de saignement au sondage. </w:t>
      </w:r>
    </w:p>
    <w:p w14:paraId="3E5CC5E4" w14:textId="53875208" w:rsidR="00483956" w:rsidRPr="009A5AD9" w:rsidRDefault="00483956" w:rsidP="00F92C58">
      <w:pPr>
        <w:pStyle w:val="Stytleparagraphe"/>
      </w:pPr>
      <w:r>
        <w:t xml:space="preserve">En conclusion, le Celecoxib administré en adjonction du débridement parodontal mécanique peut être efficace dans la réduction de la perte progressive d’attachement chez les patients atteints de parodontite chronique, son effet bénéfique persistant même au-delà des 6 mois suivant son administration. Cependant, une surveillance stricte des patients et l’observance des posologies sont d’une importance capitale étant donné l’augmentation des risques cardiovasculaires liée à l’administration de ce médicament </w:t>
      </w:r>
      <w:r>
        <w:fldChar w:fldCharType="begin"/>
      </w:r>
      <w:r>
        <w:instrText xml:space="preserve"> ADDIN ZOTERO_ITEM CSL_CITATION {"citationID":"OhPkxN3x","properties":{"formattedCitation":"(Yen et al. 2008)","plainCitation":"(Yen et al. 2008)"},"citationItems":[{"id":261,"uris":["http://zotero.org/users/local/Y4Qp1Cr8/items/YW7VD5ZT"],"uri":["http://zotero.org/users/local/Y4Qp1Cr8/items/YW7VD5ZT"],"itemData":{"id":261,"type":"article-journal","title":"The effect of a selective cyclooxygenase-2 inhibitor (celecoxib) on chronic periodontitis","container-title":"Journal of Periodontology","page":"104-113","volume":"79","issue":"1","source":"PubMed","abstract":"BACKGROUND: Non-steroidal anti-inflammatory agents inhibit the production of cyclooxygenase (COX) products and can attenuate bone loss. In this double-masked, placebo-controlled, randomized clinical trial, the efficacy of celecoxib (COX-2 inhibitor) was evaluated in conjunction with scaling and root planing (SRP) in subjects with chronic periodontitis (CP).\nMETHODS: A total of 131 subjects were randomized to receive SRP and either celecoxib (200 mg) or placebo every day for 6 months. Clinical outcomes were assessed every 3 months for 12 months as mean changes from baseline. Primary efficacy parameters included clinical attachment level (CAL) and probing depth (PD). Secondary outcomes included percentages of tooth sites with CAL loss or gain &gt; or =2 mm, changes in bleeding on probing (BOP), plaque index, and mobility. Prior to analysis, tooth sites were grouped based on baseline PD as shallow (1 to 3 mm), moderate (4 to 6 mm), or deep (&gt; or =7 mm).\nRESULTS: Mean PD reduction and CAL gain were greater in the celecoxib group, primarily in moderate and deep sites, throughout the study (PD: 3.84 mm versus 2.06 mm, P &lt;0.001; CAL: 3.74 mm versus 1.43 mm, P &lt;0.0001 for deep sites at 12 months). The celecoxib group also exhibited a greater percentage of sites with &gt; or =2 mm CAL gain and fewer sites with &gt; or =2 mm CAL loss. Both groups showed improved plaque control and BOP scores. Demographic, social, and behavioral factors did not affect treatment outcomes.\nCONCLUSIONS: Celecoxib can be an effective adjunctive treatment to SRP to reduce progressive attachment loss in subjects with CP. Its beneficiary effect persisted even at 6 months postadministration. However, given the increased cardiovascular risks associated with the use of this drug, close patient supervision and strict adherence to dosage and administration guidelines established by the Unites States Food and Drug Administration are of paramount importance.","DOI":"10.1902/jop.2008.070271","ISSN":"0022-3492","note":"PMID: 18166099","journalAbbreviation":"J. Periodontol.","language":"eng","author":[{"family":"Yen","given":"C. Alec"},{"family":"Damoulis","given":"Petros D."},{"family":"Stark","given":"Paul C."},{"family":"Hibberd","given":"Patricia L."},{"family":"Singh","given":"Medha"},{"family":"Papas","given":"Athena S."}],"issued":{"date-parts":[["2008",1]]}}}],"schema":"https://github.com/citation-style-language/schema/raw/master/csl-citation.json"} </w:instrText>
      </w:r>
      <w:r>
        <w:fldChar w:fldCharType="separate"/>
      </w:r>
      <w:r>
        <w:rPr>
          <w:noProof/>
        </w:rPr>
        <w:t>(Yen et al. 2008)</w:t>
      </w:r>
      <w:r>
        <w:fldChar w:fldCharType="end"/>
      </w:r>
      <w:r w:rsidR="00932113">
        <w:t xml:space="preserve"> </w:t>
      </w:r>
      <w:r w:rsidR="00932113">
        <w:fldChar w:fldCharType="begin"/>
      </w:r>
      <w:r w:rsidR="00932113">
        <w:instrText xml:space="preserve"> ADDIN ZOTERO_ITEM CSL_CITATION {"citationID":"Ak959aph","properties":{"formattedCitation":"{\\rtf (J\\uc0\\u252{}ni et al. 2004)}","plainCitation":"(Jüni et al. 2004)"},"citationItems":[{"id":272,"uris":["http://zotero.org/users/local/Y4Qp1Cr8/items/A48ZSAGS"],"uri":["http://zotero.org/users/local/Y4Qp1Cr8/items/A48ZSAGS"],"itemData":{"id":272,"type":"article-journal","title":"Risk of cardiovascular events and rofecoxib: cumulative meta-analysis","container-title":"Lancet (London, England)","page":"2021-2029","volume":"364","issue":"9450","source":"PubMed","abstract":"BACKGROUND: The cyclo-oxygenase 2 inhibitor rofecoxib was recently withdrawn because of cardiovascular adverse effects. An increased risk of myocardial infarction had been observed in 2000 in the Vioxx Gastrointestinal Outcomes Research study (VIGOR), but was attributed to cardioprotection of naproxen rather than a cardiotoxic effect of rofecoxib. We used standard and cumulative random-effects meta-analyses of randomised controlled trials and observational studies to establish whether robust evidence on the adverse effects of rofecoxib was available before September, 2004.\nMETHODS: We searched bibliographic databases and relevant files of the US Food and Drug Administration. We included all randomised controlled trials in patients with chronic musculoskeletal disorders that compared rofecoxib with other non-steroidal anti-inflammatory drugs (NSAIDs) or placebo, and cohort and case-control studies of cardiovascular risk and naproxen. Myocardial infarction was the primary endpoint.\nFINDINGS: We identified 18 randomised controlled trials and 11 observational studies. By the end of 2000 (52 myocardial infarctions, 20742 patients) the relative risk from randomised controlled trials was 2.30 (95% CI 1.22-4.33, p=0.010), and 1 year later (64 events, 21432 patients) it was 2.24 (1.24-4.02, p=0.007). There was little evidence that the relative risk differed depending on the control group (placebo, non-naproxen NSAID, or naproxen; p=0.41) or trial duration (p=0.82). In observational studies, the cardioprotective effect of naproxen was small (combined estimate 0.86 [95% CI 0.75-0.99]) and could not have explained the findings of the VIGOR trial.\nINTERPRETATION: Our findings indicate that rofecoxib should have been withdrawn several years earlier. The reasons why manufacturer and drug licensing authorities did not continuously monitor and summarise the accumulating evidence need to be clarified.","DOI":"10.1016/S0140-6736(04)17514-4","ISSN":"1474-547X","note":"PMID: 15582059","shortTitle":"Risk of cardiovascular events and rofecoxib","journalAbbreviation":"Lancet","language":"eng","author":[{"family":"Jüni","given":"Peter"},{"family":"Nartey","given":"Linda"},{"family":"Reichenbach","given":"Stephan"},{"family":"Sterchi","given":"Rebekka"},{"family":"Dieppe","given":"Paul A."},{"family":"Egger","given":"Matthias"}],"issued":{"date-parts":[["2004",12,4]]}}}],"schema":"https://github.com/citation-style-language/schema/raw/master/csl-citation.json"} </w:instrText>
      </w:r>
      <w:r w:rsidR="00932113">
        <w:fldChar w:fldCharType="separate"/>
      </w:r>
      <w:r w:rsidR="00932113" w:rsidRPr="00932113">
        <w:rPr>
          <w:lang w:val="en-US"/>
        </w:rPr>
        <w:t>(Jüni et al. 2004)</w:t>
      </w:r>
      <w:r w:rsidR="00932113">
        <w:fldChar w:fldCharType="end"/>
      </w:r>
      <w:r>
        <w:t>.</w:t>
      </w:r>
    </w:p>
    <w:p w14:paraId="2E5999BF" w14:textId="77777777" w:rsidR="00B622FC" w:rsidRPr="009A5AD9" w:rsidRDefault="00B622FC" w:rsidP="009A5AD9">
      <w:pPr>
        <w:pStyle w:val="Stytleparagraphe"/>
      </w:pPr>
    </w:p>
    <w:p w14:paraId="312DA446" w14:textId="7F5580B8" w:rsidR="007D47B8" w:rsidRDefault="007D47B8" w:rsidP="00E70BCA">
      <w:pPr>
        <w:pStyle w:val="Style2"/>
      </w:pPr>
      <w:bookmarkStart w:id="313" w:name="_Toc379807353"/>
      <w:bookmarkStart w:id="314" w:name="_Toc380653912"/>
      <w:bookmarkStart w:id="315" w:name="_Toc380744146"/>
      <w:bookmarkStart w:id="316" w:name="_Toc380946402"/>
      <w:bookmarkStart w:id="317" w:name="_Toc383883966"/>
      <w:bookmarkStart w:id="318" w:name="_Toc384754083"/>
      <w:bookmarkStart w:id="319" w:name="_Toc384756504"/>
      <w:bookmarkStart w:id="320" w:name="_Toc384816100"/>
      <w:bookmarkStart w:id="321" w:name="_Toc384826816"/>
      <w:r>
        <w:t>Conclusion</w:t>
      </w:r>
      <w:bookmarkEnd w:id="313"/>
      <w:bookmarkEnd w:id="314"/>
      <w:bookmarkEnd w:id="315"/>
      <w:bookmarkEnd w:id="316"/>
      <w:bookmarkEnd w:id="317"/>
      <w:bookmarkEnd w:id="318"/>
      <w:bookmarkEnd w:id="319"/>
      <w:bookmarkEnd w:id="320"/>
      <w:bookmarkEnd w:id="321"/>
    </w:p>
    <w:p w14:paraId="050C8F6F" w14:textId="0962DCD1" w:rsidR="00691A14" w:rsidRDefault="00F92B4C" w:rsidP="00932113">
      <w:pPr>
        <w:pStyle w:val="Stytleparagraphe"/>
        <w:ind w:firstLine="360"/>
      </w:pPr>
      <w:r>
        <w:t>Les études précédentes montrent l’intérêt supérieur des inhibiteurs sélectifs de COX-2 par rapport aux autres AINS</w:t>
      </w:r>
      <w:r w:rsidR="00A51436">
        <w:t xml:space="preserve"> administrés de manière systémique</w:t>
      </w:r>
      <w:r>
        <w:t xml:space="preserve">, en tant que thérapeutique combinée au débridement mécanique non chirurgical, dans le traitement des </w:t>
      </w:r>
      <w:r w:rsidR="00585B32">
        <w:t>parodontites chroniques</w:t>
      </w:r>
      <w:r w:rsidR="008C6649">
        <w:t>, notamment  chez les patients fumeurs</w:t>
      </w:r>
      <w:r w:rsidR="00585B32">
        <w:t>. Parmi l</w:t>
      </w:r>
      <w:r>
        <w:t xml:space="preserve">es inhibiteurs sélectifs de COX-2, les dérivés des coxib, </w:t>
      </w:r>
      <w:r w:rsidR="007760E8">
        <w:t xml:space="preserve">Etoricoxib et Celecoxib semblent présenter des résultats cliniques plus bénéfiques, prédictibles et à long terme que les dérivés des oxicam. </w:t>
      </w:r>
      <w:r w:rsidR="00585B32">
        <w:t>Cependant, l’usage systémique de tout médicament anti-inflammatoire non stéroïdien présente des effets secondaires non négligeables, à prendre en compte dans l’évaluation de la balance bénéfique-risque.</w:t>
      </w:r>
    </w:p>
    <w:p w14:paraId="4DE74E7E" w14:textId="6C32EE26" w:rsidR="00691A14" w:rsidRDefault="004F3DBC" w:rsidP="00932113">
      <w:pPr>
        <w:pStyle w:val="Stytleparagraphe"/>
      </w:pPr>
      <w:r>
        <w:t>Dès 2000, une étude conduite chez le rat montre que l’inhibition simultanée de COX-1 et COX-2 serait à l’origine d</w:t>
      </w:r>
      <w:r w:rsidR="004C55B8">
        <w:t>’ulcères gastriques provoqué</w:t>
      </w:r>
      <w:r>
        <w:t xml:space="preserve">s par les AINS </w:t>
      </w:r>
      <w:r>
        <w:fldChar w:fldCharType="begin"/>
      </w:r>
      <w:r>
        <w:instrText xml:space="preserve"> ADDIN ZOTERO_ITEM CSL_CITATION {"citationID":"3RGscW9y","properties":{"formattedCitation":"(Wallace et al. 2000)","plainCitation":"(Wallace et al. 2000)"},"citationItems":[{"id":268,"uris":["http://zotero.org/users/local/Y4Qp1Cr8/items/PHZ8TFWR"],"uri":["http://zotero.org/users/local/Y4Qp1Cr8/items/PHZ8TFWR"],"itemData":{"id":268,"type":"article-journal","title":"NSAID-induced gastric damage in rats: requirement for inhibition of both cyclooxygenase 1 and 2","container-title":"Gastroenterology","page":"706-714","volume":"119","issue":"3","source":"PubMed","abstract":"BACKGROUND &amp; AIMS: Selective cyclooxygenase (COX)-2 inhibitors produce less gastric damage than conventional nonsteroidal anti-inflammatory drugs (NSAIDs), suggesting that NSAIDs cause damage by inhibiting COX-1. We tested this hypothesis in rats by using a selective COX-1 inhibitor (SC-560).\nMETHODS: The effects of SC-560, celecoxib (selective COX-2 inhibitor), or a combination of both inhibitors on gastric damage and prostaglandin synthesis were determined. Selectivity of the drugs for COX-1 vs. COX-2 was assessed in the carrageenan-airpouch model. A COX-1-preferential inhibitor, ketorolac, was also evaluated. The effects of these inhibitors on leukocyte adherence to vascular endothelium and on gastric blood flow were assessed.\nRESULTS: SC-560 markedly reduced gastric prostaglandin synthesis and platelet COX-1 activity, but spared COX-2 and did not cause gastric damage. Celecoxib did not affect gastric prostaglandin E(2) synthesis and did not cause gastric damage. However, the combination of SC-560 and celecoxib invariably caused hemorrhagic erosion formation, comparable to that seen with indomethacin. Ketorolac caused damage only at doses that inhibited both COX isoforms, or when given with a COX-2 inhibitor. Celecoxib, but not SC-560, significantly increased leukocyte adherence, whereas SC-560, but not celecoxib, reduced gastric blood flow.\nCONCLUSIONS: Inhibition of both COX-1 and COX-2 is required for NSAID-induced gastric injury in the rat.","ISSN":"0016-5085","note":"PMID: 10982765","shortTitle":"NSAID-induced gastric damage in rats","journalAbbreviation":"Gastroenterology","language":"eng","author":[{"family":"Wallace","given":"J. L."},{"family":"McKnight","given":"W."},{"family":"Reuter","given":"B. K."},{"family":"Vergnolle","given":"N."}],"issued":{"date-parts":[["2000",9]]}}}],"schema":"https://github.com/citation-style-language/schema/raw/master/csl-citation.json"} </w:instrText>
      </w:r>
      <w:r>
        <w:fldChar w:fldCharType="separate"/>
      </w:r>
      <w:r>
        <w:rPr>
          <w:noProof/>
        </w:rPr>
        <w:t>(Wallace et al. 2000)</w:t>
      </w:r>
      <w:r>
        <w:fldChar w:fldCharType="end"/>
      </w:r>
      <w:r w:rsidR="004C55B8">
        <w:t>. Les inhibiteurs non sélectifs de la COX augmenteraient la motilité gastrique et provoqueraient de graves lésions, contrairement aux inhibiteurs sélectifs de COX</w:t>
      </w:r>
      <w:r w:rsidR="00472273">
        <w:t>-</w:t>
      </w:r>
      <w:r w:rsidR="004C55B8">
        <w:t xml:space="preserve">1 ou de COX-2. La propriété ulcérogène gastrique des AINS nécessiterait donc l’inhibition simultanée des deux cyclo-oxygénases. L’inhibition de COX-1 régulerait positivement COX-2, ce qui pourrait contrecarrer l’effet délétère de cette inhibition </w:t>
      </w:r>
      <w:r w:rsidR="004C55B8">
        <w:fldChar w:fldCharType="begin"/>
      </w:r>
      <w:r w:rsidR="004C55B8">
        <w:instrText xml:space="preserve"> ADDIN ZOTERO_ITEM CSL_CITATION {"citationID":"f03j6C41","properties":{"formattedCitation":"(Tanaka et al. 2001)","plainCitation":"(Tanaka et al. 2001)"},"citationItems":[{"id":274,"uris":["http://zotero.org/users/local/Y4Qp1Cr8/items/YVYH72MU"],"uri":["http://zotero.org/users/local/Y4Qp1Cr8/items/YVYH72MU"],"itemData":{"id":274,"type":"article-journal","title":"Inhibition of both COX-1 and COX-2 is required for development of gastric damage in response to nonsteroidal antiinflammatory drugs","container-title":"Journal of Physiology, Paris","page":"21-27","volume":"95","issue":"1-6","source":"PubMed","abstract":"We examined the gastric ulcerogenic property of selective COX-1 and/or COX-2 inhibitors in rats, and investigated whether COX-1 inhibition is by itself sufficient for induction of gastric damage. Animals fasted for 18 h were given various COX inhibitors p.o., either alone or in combination, and they were killed 8 h later. The nonselective COX inhibitors such as indomethacin, naproxen and dicrofenac inhibited PG production, increased gastric motility, and provoked severe gastric lesions. In contrast, the selective COX-2 inhibitor rofecoxib did not induce any damage in the stomach, with no effect on the mucosal PGE(2) contents and gastric motility. Likewise, the selective COX-1 inhibitor SC-560 also did not cause gastric damage, despite causing a significant decrease in PGE(2) contents. The combined administration of SC-560 and rofecoxib, however, provoked gross damage in the gastric mucosa, in a dose-dependent manner. SC-560 also caused a marked gastric hypermotility, whereas rofecoxib had no effect on basal gastric motor activity. On the other hand, the COX-2 mRNA was expressed in the stomach after administration of SC-560, while the normal gastric mucosa expressed only COX-1 mRNA but not COX-2 mRNA. These results suggest that the gastric ulcerogenic property of conventional NSAIDs is not accounted for solely by COX-1 inhibition and requires the inhibition of both COX-1 and COX-2. The inhibition of COX-1 up-regulates the COX-2 expression, and this may counteract the deleterious influences, such as gastric hypermotility and the subsequent events, due to a PG deficiency caused by COX-1 inhibition.","ISSN":"0928-4257","note":"PMID: 11595414","journalAbbreviation":"J. Physiol. Paris","language":"eng","author":[{"family":"Tanaka","given":"A."},{"family":"Araki","given":"H."},{"family":"Komoike","given":"Y."},{"family":"Hase","given":"S."},{"family":"Takeuchi","given":"K."}],"issued":{"date-parts":[["2001",12]]}}}],"schema":"https://github.com/citation-style-language/schema/raw/master/csl-citation.json"} </w:instrText>
      </w:r>
      <w:r w:rsidR="004C55B8">
        <w:fldChar w:fldCharType="separate"/>
      </w:r>
      <w:r w:rsidR="004C55B8">
        <w:rPr>
          <w:noProof/>
        </w:rPr>
        <w:t>(Tanaka et al. 2001)</w:t>
      </w:r>
      <w:r w:rsidR="004C55B8">
        <w:fldChar w:fldCharType="end"/>
      </w:r>
      <w:r w:rsidR="004C55B8">
        <w:t>.</w:t>
      </w:r>
    </w:p>
    <w:p w14:paraId="5656C03D" w14:textId="77777777" w:rsidR="00FF05EF" w:rsidRDefault="00FF05EF" w:rsidP="00932113">
      <w:pPr>
        <w:pStyle w:val="Stytleparagraphe"/>
      </w:pPr>
    </w:p>
    <w:p w14:paraId="58DCBF12" w14:textId="441CA3DD" w:rsidR="00724A79" w:rsidRDefault="00724A79" w:rsidP="00932113">
      <w:pPr>
        <w:pStyle w:val="Stytleparagraphe"/>
      </w:pPr>
      <w:r>
        <w:t xml:space="preserve">Les anti-inflammatoires non stéroïdiens prescrits de manière  inappropriée en cas de cellulite cervico-faciale sans antibiothérapie exacerbent et provoquent l’extension de foyers infectieux dentaires chroniques, pouvant causer des dégâts considérables voire mortels. Les AINS seraient notamment impliqués dans la diffusion médiatinale des cellulites cervicales extensives. En raison de ces risques potentiels, l’usage de ces médicaments doit être contrôlé, raisonné et approprié </w:t>
      </w:r>
      <w:r>
        <w:fldChar w:fldCharType="begin"/>
      </w:r>
      <w:r>
        <w:instrText xml:space="preserve"> ADDIN ZOTERO_ITEM CSL_CITATION {"citationID":"VAp7gSqJ","properties":{"formattedCitation":"(Righini et al. 2007)","plainCitation":"(Righini et al. 2007)"},"citationItems":[{"id":270,"uris":["http://zotero.org/users/local/Y4Qp1Cr8/items/FZS4KNSU"],"uri":["http://zotero.org/users/local/Y4Qp1Cr8/items/FZS4KNSU"],"itemData":{"id":270,"type":"article-journal","title":"[Diffuse cervical cellulites and descending necrotizing mediastinitis]","container-title":"Annales D'oto-Laryngologie Et De Chirurgie Cervico Faciale: Bulletin De La Societe D'oto-Laryngologie Des Hopitaux De Paris","page":"292-300","volume":"124","issue":"6","source":"PubMed","abstract":"OBJECTIVES: To give a report on the progress in physical examination, investigations and treatment of diffuse cervical cellulites (DCC) associated with descending necrotizing mediastinitis.\nMATERIALS AND METHODS: A Retrospective study (1995-2005) of patients presenting DCC with mediastinitis was made. All had a cervical and thoracic Computed tomography (CT) scan. The references were collected by a Medline search.\nRESULTS: Six men and 2 women, average ages 53 years were treated. Four had an immunodeficient status. Two had had an anti-inflammatory drug treatment without antibiotic treatment. The average for diagnosis and treatment was 4 days. In 2 cases we found a dental origin and in 6 cases a pharyngeal origin. The most frequently identified germs were streptococcus beta haemolytic group A and Prevotella. In 4 cases, no physical sign of mediastinitis was noted. The diagnosis of mediastinitis was made thanks to the thoracic CT scan. All the patients were treated by broad-spectrum antibiotic therapy. All had cervical and thoracic surgical drainage. Mediastinal drainage was made by cervical way in 3 cases and by thoracotomy in 5 cases. One patient died.\nCONCLUSIONS: The DCC with mediastinum extension are serious infectious emergencies with a high mortality rate. Clinical diagnosis of mediastinitis is difficult. A thoracic CT scan should be performed systematically. Performing thoracotomy best controls mediastinal drainage.","DOI":"10.1016/j.aorl.2007.02.001","ISSN":"0003-438X","note":"PMID: 17689483","journalAbbreviation":"Ann Otolaryngol Chir Cervicofac","language":"fre","author":[{"family":"Righini","given":"C.-A."},{"family":"Motto","given":"E."},{"family":"Ferretti","given":"G."},{"family":"Boubagra","given":"K."},{"family":"Soriano","given":"E."},{"family":"Reyt","given":"E."}],"issued":{"date-parts":[["2007",12]]}}}],"schema":"https://github.com/citation-style-language/schema/raw/master/csl-citation.json"} </w:instrText>
      </w:r>
      <w:r>
        <w:fldChar w:fldCharType="separate"/>
      </w:r>
      <w:r>
        <w:rPr>
          <w:noProof/>
        </w:rPr>
        <w:t>(Righini et al. 2007)</w:t>
      </w:r>
      <w:r>
        <w:fldChar w:fldCharType="end"/>
      </w:r>
      <w:r>
        <w:t>.</w:t>
      </w:r>
    </w:p>
    <w:p w14:paraId="5919C784" w14:textId="77777777" w:rsidR="00FF05EF" w:rsidRDefault="00FF05EF" w:rsidP="00932113">
      <w:pPr>
        <w:pStyle w:val="Stytleparagraphe"/>
      </w:pPr>
    </w:p>
    <w:p w14:paraId="56A0B272" w14:textId="499FDF72" w:rsidR="00BA1233" w:rsidRDefault="00BA1233" w:rsidP="00932113">
      <w:pPr>
        <w:pStyle w:val="Stytleparagraphe"/>
      </w:pPr>
      <w:r>
        <w:t xml:space="preserve">L’aspirine est très connue en tant qu’antiagrégant plaquettaire. </w:t>
      </w:r>
      <w:r w:rsidR="00766E82">
        <w:t xml:space="preserve">Ainsi, cette molécule augmente le saignement gingival et le risque hémorragique, rendant le débridement mécanique plus compliqué. Cependant, l’administration à long terme de faibles doses d’aspirine n’est pas une contre-indication au traitement  parodontal mécanique, mais il faut néanmoins respecter les précautions d’hémostase locale adéquates </w:t>
      </w:r>
      <w:r w:rsidR="00766E82">
        <w:fldChar w:fldCharType="begin"/>
      </w:r>
      <w:r w:rsidR="00766E82">
        <w:instrText xml:space="preserve"> ADDIN ZOTERO_ITEM CSL_CITATION {"citationID":"snau2kKv","properties":{"formattedCitation":"(Ding et al. 2017)","plainCitation":"(Ding et al. 2017)"},"citationItems":[{"id":276,"uris":["http://zotero.org/users/local/Y4Qp1Cr8/items/HX7D6HDI"],"uri":["http://zotero.org/users/local/Y4Qp1Cr8/items/HX7D6HDI"],"itemData":{"id":276,"type":"article-journal","title":"[Bleeding control of periodontal mechanical therapy for patients taking aspirin]","container-title":"Beijing Da Xue Xue Bao. Yi Xue Ban = Journal of Peking University. Health Sciences","page":"49-53","volume":"49","issue":"1","source":"PubMed","abstract":"OBJECTIVE: To investigate the feasibility of periodontal mechanical therapy for chronic periodontitis and coronary heart disease patients with low dose of aspirin.\nMETHODS: Sixty nine chronic periodontitis patients with coronary heart disease were randomly selected as the experimental group (medication group, group A), the control group (withdrawal group, group B) including 20 chronic periodontitis patients with coronary artery disease, stopping the drug for one week and another control group with 50 chronic periodontitis patients (group C). The three groups were examined with pocket probing, and received supragingival scaling, subgingival scaling, and root planning. Local bleeding after operation was observed. In 30 minutes after periodontal mechanical treatment, there was still a need to take some hemostatic measures (containing the oxidized cellulose putting in the periodontal pocket, gauze oppressing, and suturing). Nd:YAG laser was used to stop bleeding 60 minutes after operation.\nRESULTS: At baseline, there was no significant difference in the three groups, as to the plaque index(PLI), the probing depth (PD), and the attachment loss (AL). The bleeding index (BI)in group A was significantly higher than that in group C (P=0.024), higher than that in group B (P=0.088). The platelet maximum aggregation rate (Agg(max)) was detected in some subjects. The average Agg(max) value group A was 15.2%, which was much greater than that in group B (60.7%) and group C (62.5%). The three groups were all safe in the treatment of periodontal therapy. There were five cases of active bleeding in group A, one case in group B and one case in group C in 30 minutes after operation. In 60 minutes after operation, there was one case of bleeding actively in group A. Nd:YAG laser was used to stop bleeding successfully.\nCONCLUSION: The chronic periodontitis and coronary heart disease patients with long-term oral administration of low dose of aspirin can be safely treated with periodontal mechanical treatment, and the effect of local hemostasis is positive without stopping the drug.","ISSN":"1671-167X","note":"PMID: 28203003","journalAbbreviation":"Beijing Da Xue Xue Bao","language":"chi","author":[{"family":"Ding","given":"F."},{"family":"Lyu","given":"Y. L."},{"family":"Xuan","given":"W."},{"family":"Liu","given":"D. Y."},{"family":"Duan","given":"X. Q."},{"family":"Han","given":"X."}],"issued":{"date-parts":[["2017"]],"season":"18"}}}],"schema":"https://github.com/citation-style-language/schema/raw/master/csl-citation.json"} </w:instrText>
      </w:r>
      <w:r w:rsidR="00766E82">
        <w:fldChar w:fldCharType="separate"/>
      </w:r>
      <w:r w:rsidR="00766E82">
        <w:rPr>
          <w:noProof/>
        </w:rPr>
        <w:t>(Ding et al. 2017)</w:t>
      </w:r>
      <w:r w:rsidR="00766E82">
        <w:fldChar w:fldCharType="end"/>
      </w:r>
      <w:r w:rsidR="00766E82">
        <w:t>.</w:t>
      </w:r>
    </w:p>
    <w:p w14:paraId="4D07E73F" w14:textId="77777777" w:rsidR="00FF05EF" w:rsidRDefault="00FF05EF" w:rsidP="00932113">
      <w:pPr>
        <w:pStyle w:val="Stytleparagraphe"/>
      </w:pPr>
    </w:p>
    <w:p w14:paraId="433F42FD" w14:textId="77777777" w:rsidR="00FF05EF" w:rsidRDefault="00846E7B" w:rsidP="00932113">
      <w:pPr>
        <w:pStyle w:val="Stytleparagraphe"/>
      </w:pPr>
      <w:r>
        <w:t xml:space="preserve">Les inhibiteurs sélectifs de COX-2 présentent des effets indésirables cardiovasculaires qui ont même conduit au retrait du marché d’une des molécules, le Rofecoxib, en 2004 </w:t>
      </w:r>
      <w:r>
        <w:fldChar w:fldCharType="begin"/>
      </w:r>
      <w:r>
        <w:instrText xml:space="preserve"> ADDIN ZOTERO_ITEM CSL_CITATION {"citationID":"aj3PD6i7","properties":{"formattedCitation":"{\\rtf (J\\uc0\\u252{}ni et al. 2004)}","plainCitation":"(Jüni et al. 2004)"},"citationItems":[{"id":272,"uris":["http://zotero.org/users/local/Y4Qp1Cr8/items/A48ZSAGS"],"uri":["http://zotero.org/users/local/Y4Qp1Cr8/items/A48ZSAGS"],"itemData":{"id":272,"type":"article-journal","title":"Risk of cardiovascular events and rofecoxib: cumulative meta-analysis","container-title":"Lancet (London, England)","page":"2021-2029","volume":"364","issue":"9450","source":"PubMed","abstract":"BACKGROUND: The cyclo-oxygenase 2 inhibitor rofecoxib was recently withdrawn because of cardiovascular adverse effects. An increased risk of myocardial infarction had been observed in 2000 in the Vioxx Gastrointestinal Outcomes Research study (VIGOR), but was attributed to cardioprotection of naproxen rather than a cardiotoxic effect of rofecoxib. We used standard and cumulative random-effects meta-analyses of randomised controlled trials and observational studies to establish whether robust evidence on the adverse effects of rofecoxib was available before September, 2004.\nMETHODS: We searched bibliographic databases and relevant files of the US Food and Drug Administration. We included all randomised controlled trials in patients with chronic musculoskeletal disorders that compared rofecoxib with other non-steroidal anti-inflammatory drugs (NSAIDs) or placebo, and cohort and case-control studies of cardiovascular risk and naproxen. Myocardial infarction was the primary endpoint.\nFINDINGS: We identified 18 randomised controlled trials and 11 observational studies. By the end of 2000 (52 myocardial infarctions, 20742 patients) the relative risk from randomised controlled trials was 2.30 (95% CI 1.22-4.33, p=0.010), and 1 year later (64 events, 21432 patients) it was 2.24 (1.24-4.02, p=0.007). There was little evidence that the relative risk differed depending on the control group (placebo, non-naproxen NSAID, or naproxen; p=0.41) or trial duration (p=0.82). In observational studies, the cardioprotective effect of naproxen was small (combined estimate 0.86 [95% CI 0.75-0.99]) and could not have explained the findings of the VIGOR trial.\nINTERPRETATION: Our findings indicate that rofecoxib should have been withdrawn several years earlier. The reasons why manufacturer and drug licensing authorities did not continuously monitor and summarise the accumulating evidence need to be clarified.","DOI":"10.1016/S0140-6736(04)17514-4","ISSN":"1474-547X","note":"PMID: 15582059","shortTitle":"Risk of cardiovascular events and rofecoxib","journalAbbreviation":"Lancet","language":"eng","author":[{"family":"Jüni","given":"Peter"},{"family":"Nartey","given":"Linda"},{"family":"Reichenbach","given":"Stephan"},{"family":"Sterchi","given":"Rebekka"},{"family":"Dieppe","given":"Paul A."},{"family":"Egger","given":"Matthias"}],"issued":{"date-parts":[["2004",12,4]]}}}],"schema":"https://github.com/citation-style-language/schema/raw/master/csl-citation.json"} </w:instrText>
      </w:r>
      <w:r>
        <w:fldChar w:fldCharType="separate"/>
      </w:r>
      <w:r w:rsidRPr="00846E7B">
        <w:rPr>
          <w:lang w:val="en-US"/>
        </w:rPr>
        <w:t>(Jüni et al. 2004)</w:t>
      </w:r>
      <w:r>
        <w:fldChar w:fldCharType="end"/>
      </w:r>
      <w:r>
        <w:t xml:space="preserve">. </w:t>
      </w:r>
    </w:p>
    <w:p w14:paraId="19C72F0D" w14:textId="6CF9BB59" w:rsidR="00724A79" w:rsidRDefault="00846E7B" w:rsidP="00932113">
      <w:pPr>
        <w:pStyle w:val="Stytleparagraphe"/>
      </w:pPr>
      <w:r>
        <w:t>La gravité des effets indésirables relevés conduit à la remise en question de l’intérêt de l’usage systémique ces molécules en parodontologie.</w:t>
      </w:r>
    </w:p>
    <w:p w14:paraId="154BED50" w14:textId="77777777" w:rsidR="00766E82" w:rsidRDefault="00766E82" w:rsidP="00932113">
      <w:pPr>
        <w:pStyle w:val="Stytleparagraphe"/>
      </w:pPr>
    </w:p>
    <w:p w14:paraId="75735AA6" w14:textId="77777777" w:rsidR="00846E7B" w:rsidRDefault="00846E7B" w:rsidP="00932113">
      <w:pPr>
        <w:pStyle w:val="Stytleparagraphe"/>
      </w:pPr>
    </w:p>
    <w:p w14:paraId="04BD06EB" w14:textId="77777777" w:rsidR="00585B32" w:rsidRDefault="00585B32" w:rsidP="00F92B4C">
      <w:pPr>
        <w:pStyle w:val="Stytleparagraphe"/>
        <w:ind w:firstLine="360"/>
      </w:pPr>
    </w:p>
    <w:p w14:paraId="592BDB99" w14:textId="77777777" w:rsidR="00023C30" w:rsidRDefault="00023C30" w:rsidP="00023C30">
      <w:pPr>
        <w:spacing w:line="360" w:lineRule="auto"/>
        <w:rPr>
          <w:rFonts w:ascii="Arial" w:hAnsi="Arial"/>
          <w:sz w:val="28"/>
        </w:rPr>
      </w:pPr>
    </w:p>
    <w:p w14:paraId="02945693" w14:textId="77777777" w:rsidR="00023C30" w:rsidRDefault="00023C30" w:rsidP="00023C30">
      <w:pPr>
        <w:spacing w:line="360" w:lineRule="auto"/>
        <w:rPr>
          <w:rFonts w:ascii="Arial" w:hAnsi="Arial"/>
          <w:sz w:val="28"/>
        </w:rPr>
      </w:pPr>
    </w:p>
    <w:p w14:paraId="0FC9FEA7" w14:textId="77777777" w:rsidR="00023C30" w:rsidRDefault="00023C30" w:rsidP="00023C30">
      <w:pPr>
        <w:spacing w:line="360" w:lineRule="auto"/>
        <w:rPr>
          <w:rFonts w:ascii="Arial" w:hAnsi="Arial"/>
          <w:sz w:val="28"/>
        </w:rPr>
      </w:pPr>
    </w:p>
    <w:p w14:paraId="533AF774" w14:textId="77777777" w:rsidR="00023C30" w:rsidRDefault="00023C30" w:rsidP="00023C30">
      <w:pPr>
        <w:spacing w:line="360" w:lineRule="auto"/>
        <w:rPr>
          <w:rFonts w:ascii="Arial" w:hAnsi="Arial"/>
          <w:sz w:val="28"/>
        </w:rPr>
      </w:pPr>
    </w:p>
    <w:p w14:paraId="1834031F" w14:textId="77777777" w:rsidR="00023C30" w:rsidRDefault="00023C30" w:rsidP="00023C30">
      <w:pPr>
        <w:spacing w:line="360" w:lineRule="auto"/>
        <w:rPr>
          <w:rFonts w:ascii="Arial" w:hAnsi="Arial"/>
          <w:sz w:val="28"/>
        </w:rPr>
      </w:pPr>
    </w:p>
    <w:p w14:paraId="1E6877E8" w14:textId="77777777" w:rsidR="00023C30" w:rsidRDefault="00023C30" w:rsidP="00023C30">
      <w:pPr>
        <w:spacing w:line="360" w:lineRule="auto"/>
        <w:rPr>
          <w:rFonts w:ascii="Arial" w:hAnsi="Arial"/>
          <w:sz w:val="28"/>
        </w:rPr>
      </w:pPr>
    </w:p>
    <w:p w14:paraId="28CCC93D" w14:textId="77777777" w:rsidR="00023C30" w:rsidRPr="001F28E7" w:rsidRDefault="00023C30" w:rsidP="00023C30">
      <w:pPr>
        <w:spacing w:line="360" w:lineRule="auto"/>
        <w:rPr>
          <w:rFonts w:ascii="Arial" w:hAnsi="Arial"/>
          <w:sz w:val="28"/>
        </w:rPr>
      </w:pPr>
    </w:p>
    <w:p w14:paraId="5350E75A" w14:textId="77777777" w:rsidR="00023C30" w:rsidRDefault="00023C30" w:rsidP="00023C30">
      <w:pPr>
        <w:pStyle w:val="ListParagraph"/>
        <w:spacing w:line="360" w:lineRule="auto"/>
        <w:ind w:left="1080"/>
        <w:rPr>
          <w:rFonts w:ascii="Arial" w:hAnsi="Arial"/>
          <w:sz w:val="28"/>
        </w:rPr>
      </w:pPr>
    </w:p>
    <w:p w14:paraId="61C83864" w14:textId="77777777" w:rsidR="00023C30" w:rsidRPr="00DE07A7" w:rsidRDefault="00023C30" w:rsidP="00023C30">
      <w:pPr>
        <w:spacing w:line="360" w:lineRule="auto"/>
        <w:rPr>
          <w:rFonts w:ascii="Arial" w:hAnsi="Arial"/>
          <w:sz w:val="28"/>
        </w:rPr>
      </w:pPr>
    </w:p>
    <w:p w14:paraId="59284638" w14:textId="77777777" w:rsidR="00023C30" w:rsidRDefault="00023C30" w:rsidP="00023C30">
      <w:pPr>
        <w:pStyle w:val="ListParagraph"/>
        <w:spacing w:line="360" w:lineRule="auto"/>
        <w:ind w:left="1080"/>
        <w:rPr>
          <w:rFonts w:ascii="Arial" w:hAnsi="Arial"/>
          <w:sz w:val="28"/>
        </w:rPr>
      </w:pPr>
    </w:p>
    <w:p w14:paraId="791AAFC7" w14:textId="77777777" w:rsidR="00023C30" w:rsidRDefault="00023C30" w:rsidP="00023C30">
      <w:pPr>
        <w:pStyle w:val="ListParagraph"/>
        <w:spacing w:line="360" w:lineRule="auto"/>
        <w:ind w:left="1080"/>
        <w:rPr>
          <w:rFonts w:ascii="Arial" w:hAnsi="Arial"/>
          <w:sz w:val="28"/>
        </w:rPr>
      </w:pPr>
    </w:p>
    <w:p w14:paraId="0FD6528B" w14:textId="77777777" w:rsidR="00023C30" w:rsidRDefault="00023C30" w:rsidP="00023C30">
      <w:pPr>
        <w:pStyle w:val="ListParagraph"/>
        <w:spacing w:line="360" w:lineRule="auto"/>
        <w:ind w:left="1080"/>
        <w:rPr>
          <w:rFonts w:ascii="Arial" w:hAnsi="Arial"/>
          <w:sz w:val="28"/>
        </w:rPr>
      </w:pPr>
    </w:p>
    <w:p w14:paraId="50740C46" w14:textId="5821670C" w:rsidR="00FF05EF" w:rsidRDefault="00FF05EF" w:rsidP="00FF05EF"/>
    <w:p w14:paraId="147B21E9" w14:textId="48634D5B" w:rsidR="00D2377D" w:rsidRDefault="00034FB3" w:rsidP="00FF05EF">
      <w:pPr>
        <w:pStyle w:val="Style1"/>
        <w:pBdr>
          <w:bottom w:val="single" w:sz="6" w:space="1" w:color="auto"/>
        </w:pBdr>
      </w:pPr>
      <w:bookmarkStart w:id="322" w:name="_Toc380744147"/>
      <w:bookmarkStart w:id="323" w:name="_Toc380946403"/>
      <w:bookmarkStart w:id="324" w:name="_Toc383883967"/>
      <w:bookmarkStart w:id="325" w:name="_Toc384754084"/>
      <w:bookmarkStart w:id="326" w:name="_Toc384756505"/>
      <w:bookmarkStart w:id="327" w:name="_Toc384816101"/>
      <w:bookmarkStart w:id="328" w:name="_Toc384826817"/>
      <w:r>
        <w:t xml:space="preserve">LES </w:t>
      </w:r>
      <w:r w:rsidR="00FF05EF">
        <w:t>M</w:t>
      </w:r>
      <w:r w:rsidR="00023C30">
        <w:t>EDIATEURS LIPIDIQUES ENDOGENES</w:t>
      </w:r>
      <w:bookmarkEnd w:id="322"/>
      <w:bookmarkEnd w:id="323"/>
      <w:bookmarkEnd w:id="324"/>
      <w:bookmarkEnd w:id="325"/>
      <w:bookmarkEnd w:id="326"/>
      <w:bookmarkEnd w:id="327"/>
      <w:bookmarkEnd w:id="328"/>
    </w:p>
    <w:p w14:paraId="44B4BE87" w14:textId="77777777" w:rsidR="00742FEB" w:rsidRDefault="00742FEB" w:rsidP="00742FEB">
      <w:pPr>
        <w:pStyle w:val="Style1"/>
        <w:numPr>
          <w:ilvl w:val="0"/>
          <w:numId w:val="0"/>
        </w:numPr>
        <w:ind w:left="1080"/>
        <w:jc w:val="left"/>
      </w:pPr>
    </w:p>
    <w:p w14:paraId="528746D0" w14:textId="5A76FF90" w:rsidR="00023C30" w:rsidRDefault="00023C30" w:rsidP="00FF05EF">
      <w:pPr>
        <w:pStyle w:val="Style1"/>
        <w:numPr>
          <w:ilvl w:val="0"/>
          <w:numId w:val="0"/>
        </w:numPr>
        <w:ind w:left="1080"/>
        <w:jc w:val="left"/>
      </w:pPr>
    </w:p>
    <w:p w14:paraId="467FC062" w14:textId="77777777" w:rsidR="00023C30" w:rsidRPr="00023C30" w:rsidRDefault="00023C30" w:rsidP="00023C30"/>
    <w:p w14:paraId="75FB004A" w14:textId="77777777" w:rsidR="00023C30" w:rsidRPr="00023C30" w:rsidRDefault="00023C30" w:rsidP="00023C30"/>
    <w:p w14:paraId="744B1B65" w14:textId="77777777" w:rsidR="00023C30" w:rsidRPr="00023C30" w:rsidRDefault="00023C30" w:rsidP="00023C30"/>
    <w:p w14:paraId="081E52BC" w14:textId="77777777" w:rsidR="00023C30" w:rsidRPr="00023C30" w:rsidRDefault="00023C30" w:rsidP="00023C30"/>
    <w:p w14:paraId="78342AF8" w14:textId="77777777" w:rsidR="00023C30" w:rsidRPr="00023C30" w:rsidRDefault="00023C30" w:rsidP="00023C30"/>
    <w:p w14:paraId="28D93D95" w14:textId="77777777" w:rsidR="00023C30" w:rsidRPr="00023C30" w:rsidRDefault="00023C30" w:rsidP="00023C30"/>
    <w:p w14:paraId="220895E7" w14:textId="77777777" w:rsidR="00023C30" w:rsidRPr="00023C30" w:rsidRDefault="00023C30" w:rsidP="00023C30"/>
    <w:p w14:paraId="40770028" w14:textId="77777777" w:rsidR="00023C30" w:rsidRPr="00023C30" w:rsidRDefault="00023C30" w:rsidP="00023C30"/>
    <w:p w14:paraId="3747111B" w14:textId="77777777" w:rsidR="00023C30" w:rsidRPr="00023C30" w:rsidRDefault="00023C30" w:rsidP="00023C30"/>
    <w:p w14:paraId="7CA0BE81" w14:textId="77777777" w:rsidR="00023C30" w:rsidRPr="00023C30" w:rsidRDefault="00023C30" w:rsidP="00023C30"/>
    <w:p w14:paraId="0901A2DB" w14:textId="77777777" w:rsidR="00023C30" w:rsidRPr="00023C30" w:rsidRDefault="00023C30" w:rsidP="00023C30"/>
    <w:p w14:paraId="64202C72" w14:textId="77777777" w:rsidR="00023C30" w:rsidRPr="00023C30" w:rsidRDefault="00023C30" w:rsidP="00023C30"/>
    <w:p w14:paraId="1923434C" w14:textId="77777777" w:rsidR="00023C30" w:rsidRPr="00023C30" w:rsidRDefault="00023C30" w:rsidP="00023C30"/>
    <w:p w14:paraId="478F3D1B" w14:textId="77777777" w:rsidR="00023C30" w:rsidRPr="00023C30" w:rsidRDefault="00023C30" w:rsidP="00023C30"/>
    <w:p w14:paraId="63CF9319" w14:textId="77777777" w:rsidR="00023C30" w:rsidRPr="00023C30" w:rsidRDefault="00023C30" w:rsidP="00023C30"/>
    <w:p w14:paraId="32964368" w14:textId="77777777" w:rsidR="00023C30" w:rsidRPr="00023C30" w:rsidRDefault="00023C30" w:rsidP="00023C30"/>
    <w:p w14:paraId="4EACF2BB" w14:textId="77777777" w:rsidR="00023C30" w:rsidRPr="00023C30" w:rsidRDefault="00023C30" w:rsidP="00023C30"/>
    <w:p w14:paraId="0C7A83A4" w14:textId="77777777" w:rsidR="00023C30" w:rsidRPr="00023C30" w:rsidRDefault="00023C30" w:rsidP="00023C30"/>
    <w:p w14:paraId="445ADDEC" w14:textId="77777777" w:rsidR="00023C30" w:rsidRDefault="00023C30" w:rsidP="00023C30">
      <w:pPr>
        <w:tabs>
          <w:tab w:val="left" w:pos="2638"/>
        </w:tabs>
      </w:pPr>
    </w:p>
    <w:p w14:paraId="46518496" w14:textId="74E0BB91" w:rsidR="00023C30" w:rsidRDefault="00B8600B" w:rsidP="0018798A">
      <w:pPr>
        <w:pStyle w:val="Style2"/>
        <w:numPr>
          <w:ilvl w:val="0"/>
          <w:numId w:val="13"/>
        </w:numPr>
      </w:pPr>
      <w:bookmarkStart w:id="329" w:name="_Toc380744148"/>
      <w:bookmarkStart w:id="330" w:name="_Toc380946404"/>
      <w:bookmarkStart w:id="331" w:name="_Toc383883968"/>
      <w:bookmarkStart w:id="332" w:name="_Toc384754085"/>
      <w:bookmarkStart w:id="333" w:name="_Toc384756506"/>
      <w:bookmarkStart w:id="334" w:name="_Toc384816102"/>
      <w:bookmarkStart w:id="335" w:name="_Toc384826818"/>
      <w:r>
        <w:t>Généralités</w:t>
      </w:r>
      <w:bookmarkEnd w:id="329"/>
      <w:bookmarkEnd w:id="330"/>
      <w:bookmarkEnd w:id="331"/>
      <w:bookmarkEnd w:id="332"/>
      <w:bookmarkEnd w:id="333"/>
      <w:bookmarkEnd w:id="334"/>
      <w:bookmarkEnd w:id="335"/>
    </w:p>
    <w:p w14:paraId="6FB16440" w14:textId="68A32D1C" w:rsidR="00023C30" w:rsidRDefault="00023C30" w:rsidP="00023C30">
      <w:pPr>
        <w:pStyle w:val="Stytleparagraphe"/>
        <w:ind w:firstLine="360"/>
      </w:pPr>
      <w:r>
        <w:t>Afin de palier aux effets indésirables préc</w:t>
      </w:r>
      <w:r w:rsidR="00CA058A">
        <w:t>édemment cités, les recherches actuelle</w:t>
      </w:r>
      <w:r>
        <w:t xml:space="preserve">s s’intéressent à des voies de contrôle plus sûres et fiables, afin de </w:t>
      </w:r>
      <w:r w:rsidR="00D1512E">
        <w:t>réguler</w:t>
      </w:r>
      <w:r>
        <w:t xml:space="preserve"> la réponse inflammatoire parodontale. </w:t>
      </w:r>
      <w:r w:rsidR="00211649">
        <w:t>La résolution de l’inflammation</w:t>
      </w:r>
      <w:r>
        <w:t xml:space="preserve"> est un mécanisme actif et physiologique qui implique des médiateurs lipidiques endogènes tels que les résolvines, les marésines, les lipoxines et les protectines </w:t>
      </w:r>
      <w:r w:rsidR="00041C7D">
        <w:t>afin de promouvoir le retour à l’homéostasie</w:t>
      </w:r>
      <w:r w:rsidR="00DA7748">
        <w:t xml:space="preserve"> tissulaire</w:t>
      </w:r>
      <w:r w:rsidR="00041C7D">
        <w:t xml:space="preserve"> </w:t>
      </w:r>
      <w:r>
        <w:fldChar w:fldCharType="begin"/>
      </w:r>
      <w:r>
        <w:instrText xml:space="preserve"> ADDIN ZOTERO_ITEM CSL_CITATION {"citationID":"27R405BQ","properties":{"formattedCitation":"(Agossa et al. 2016)","plainCitation":"(Agossa et al. 2016)"},"citationItems":[{"id":4,"uris":["http://zotero.org/users/local/Y4Qp1Cr8/items/BG22VWRQ"],"uri":["http://zotero.org/users/local/Y4Qp1Cr8/items/BG22VWRQ"],"itemData":{"id":4,"type":"article-journal","title":"Systemic Application of Anti-inflammatory Agents in Periodontal Treatment","container-title":"Clinical Anti-Inflammatory &amp; Anti-Allergy Drugs","page":"3-13","volume":"2","source":"ResearchGate","abstract":"Periodontitis is a group of inflammatory diseases with infectious etiology characterized by destruction of tooth supporting tissues. Periodontal treatment aims to suppress periodontal pathogens mainly through mechanical debridement. Anti-inflammatory drugs, especially non-steroidal anti-inflammatory drugs (NSAIDs), have been proposed as adjunctive therapy. This review aims to provide an overview on the potential effects of systemic use of NSAIDs on periodontal treatment outcomes. Several NSAIDs, non-selective and selective COX inhibitors have been evaluated. Some of them improve clinical outcomes of mechanical periodontal treatment and, in some cases, also induce changes in the biochemical profile of gingival crevicular fluid. However, the results obtained should be balanced with the potential side effects of these drugs.","DOI":"10.2174/221270380201160517185229","author":[{"family":"Agossa","given":"Kevimy"},{"family":"Morand","given":"David-Nicolas"},{"family":"Tenenbaum","given":"Henri"},{"family":"Davideau","given":"Jean-Luc"},{"family":"Huck","given":"Olivier"}],"issued":{"date-parts":[["2016",5,17]]}}}],"schema":"https://github.com/citation-style-language/schema/raw/master/csl-citation.json"} </w:instrText>
      </w:r>
      <w:r>
        <w:fldChar w:fldCharType="separate"/>
      </w:r>
      <w:r>
        <w:rPr>
          <w:noProof/>
        </w:rPr>
        <w:t>(Agossa et al. 2016)</w:t>
      </w:r>
      <w:r>
        <w:fldChar w:fldCharType="end"/>
      </w:r>
      <w:r>
        <w:t>.</w:t>
      </w:r>
      <w:r w:rsidR="00041C7D">
        <w:t xml:space="preserve"> Ces médiateurs ont des propriétés anti-inflammatoires et pro-résolutives, protègent les organes contre les dommages collatéraux,  stimulent la clairance des débris inflammatoires et favorisent la défense anti-microbienne des muqueuses </w:t>
      </w:r>
      <w:r w:rsidR="00041C7D">
        <w:fldChar w:fldCharType="begin"/>
      </w:r>
      <w:r w:rsidR="00041C7D">
        <w:instrText xml:space="preserve"> ADDIN ZOTERO_ITEM CSL_CITATION {"citationID":"iPYO8Jju","properties":{"formattedCitation":"(Serhan, Chiang, et Van Dyke 2008)","plainCitation":"(Serhan, Chiang, et Van Dyke 2008)"},"citationItems":[{"id":285,"uris":["http://zotero.org/users/local/Y4Qp1Cr8/items/T683T8E8"],"uri":["http://zotero.org/users/local/Y4Qp1Cr8/items/T683T8E8"],"itemData":{"id":285,"type":"article-journal","title":"Resolving inflammation: dual anti-inflammatory and pro-resolution lipid mediators","container-title":"Nature Reviews. Immunology","page":"349-361","volume":"8","issue":"5","source":"PubMed","abstract":"Active resolution of acute inflammation is a previously unrecognized interface between innate and adaptive immunity. Once thought to be a passive process, the resolution of inflammation is now shown to involve active biochemical programmes that enable inflamed tissues to return to homeostasis. This Review presents new cellular and molecular mechanisms for the resolution of inflammation, revealing key roles for eicosanoids, such as lipoxins, and recently discovered families of endogenous chemical mediators, termed resolvins and protectins. These mediators have anti-inflammatory and pro-resolution properties, thereby protecting organs from collateral damage, stimulating the clearance of inflammatory debris and promoting mucosal antimicrobial defence.","DOI":"10.1038/nri2294","ISSN":"1474-1741","note":"PMID: 18437155\nPMCID: PMC2744593","shortTitle":"Resolving inflammation","journalAbbreviation":"Nat. Rev. Immunol.","language":"eng","author":[{"family":"Serhan","given":"Charles N."},{"family":"Chiang","given":"Nan"},{"family":"Van Dyke","given":"Thomas E."}],"issued":{"date-parts":[["2008",5]]}}}],"schema":"https://github.com/citation-style-language/schema/raw/master/csl-citation.json"} </w:instrText>
      </w:r>
      <w:r w:rsidR="00041C7D">
        <w:fldChar w:fldCharType="separate"/>
      </w:r>
      <w:r w:rsidR="00041C7D">
        <w:rPr>
          <w:noProof/>
        </w:rPr>
        <w:t>(Serhan, Chiang, et Van Dyke 2008)</w:t>
      </w:r>
      <w:r w:rsidR="00041C7D">
        <w:fldChar w:fldCharType="end"/>
      </w:r>
      <w:r w:rsidR="00041C7D">
        <w:t>.</w:t>
      </w:r>
    </w:p>
    <w:p w14:paraId="6A12CE01" w14:textId="6E999531" w:rsidR="00DA7748" w:rsidRDefault="00DA7748" w:rsidP="00DA7748">
      <w:pPr>
        <w:pStyle w:val="Stytleparagraphe"/>
        <w:ind w:firstLine="360"/>
      </w:pPr>
      <w:r>
        <w:t xml:space="preserve">Les lipoxines sont dérivées des acides gras endogènes tels que l’acide arachidonique, tandis que les résolvines, les protectines et les marésines sont dérivées d’acides gras alimentaires tels que les omega-3. Ces médiateurs sont biosynthétisés lors de la phase de résolution de l’inflammation aigue.  </w:t>
      </w:r>
      <w:r>
        <w:fldChar w:fldCharType="begin"/>
      </w:r>
      <w:r>
        <w:instrText xml:space="preserve"> ADDIN ZOTERO_ITEM CSL_CITATION {"citationID":"nhtp4Ys7","properties":{"formattedCitation":"(Freire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rsidR="00E057E8">
        <w:t xml:space="preserve"> (fig 5)</w:t>
      </w:r>
      <w:r>
        <w:t xml:space="preserve">. </w:t>
      </w:r>
    </w:p>
    <w:p w14:paraId="3917298D" w14:textId="1B40532B" w:rsidR="00E057E8" w:rsidRDefault="00E057E8" w:rsidP="00DA7748">
      <w:pPr>
        <w:pStyle w:val="Stytleparagraphe"/>
        <w:ind w:firstLine="360"/>
      </w:pPr>
      <w:r w:rsidRPr="00E057E8">
        <w:rPr>
          <w:noProof/>
          <w:lang w:val="en-US"/>
        </w:rPr>
        <w:drawing>
          <wp:anchor distT="0" distB="0" distL="114300" distR="114300" simplePos="0" relativeHeight="251673600" behindDoc="0" locked="0" layoutInCell="1" allowOverlap="1" wp14:anchorId="7342AEF8" wp14:editId="1A593517">
            <wp:simplePos x="0" y="0"/>
            <wp:positionH relativeFrom="column">
              <wp:posOffset>-228600</wp:posOffset>
            </wp:positionH>
            <wp:positionV relativeFrom="paragraph">
              <wp:posOffset>120650</wp:posOffset>
            </wp:positionV>
            <wp:extent cx="4130675" cy="4572000"/>
            <wp:effectExtent l="0" t="0" r="9525" b="0"/>
            <wp:wrapSquare wrapText="bothSides"/>
            <wp:docPr id="13" name="Picture 13" descr="Macintosh HD:Users:eric:Desktop:Capture d’écran 2018-02-19 à 16.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19 à 16.34.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675" cy="457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A1DDF7" w14:textId="68EB85B8" w:rsidR="00E057E8" w:rsidRDefault="0059409D" w:rsidP="00DA7748">
      <w:pPr>
        <w:pStyle w:val="Stytleparagraphe"/>
        <w:ind w:firstLine="360"/>
      </w:pPr>
      <w:r>
        <w:rPr>
          <w:noProof/>
          <w:lang w:val="en-US"/>
        </w:rPr>
        <mc:AlternateContent>
          <mc:Choice Requires="wps">
            <w:drawing>
              <wp:anchor distT="0" distB="0" distL="114300" distR="114300" simplePos="0" relativeHeight="251674624" behindDoc="0" locked="0" layoutInCell="1" allowOverlap="1" wp14:anchorId="5DC63749" wp14:editId="1B2F2F50">
                <wp:simplePos x="0" y="0"/>
                <wp:positionH relativeFrom="column">
                  <wp:posOffset>-25400</wp:posOffset>
                </wp:positionH>
                <wp:positionV relativeFrom="paragraph">
                  <wp:posOffset>429260</wp:posOffset>
                </wp:positionV>
                <wp:extent cx="1485900" cy="2743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485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CBE67" w14:textId="0E1E7E21" w:rsidR="0094071B" w:rsidRPr="00E057E8" w:rsidRDefault="0094071B" w:rsidP="00E057E8">
                            <w:pPr>
                              <w:pStyle w:val="Stytleparagraphe"/>
                              <w:rPr>
                                <w:i/>
                              </w:rPr>
                            </w:pPr>
                            <w:r w:rsidRPr="00E057E8">
                              <w:rPr>
                                <w:i/>
                              </w:rPr>
                              <w:t>Fig</w:t>
                            </w:r>
                            <w:r>
                              <w:rPr>
                                <w:i/>
                              </w:rPr>
                              <w:t>ure</w:t>
                            </w:r>
                            <w:r w:rsidRPr="00E057E8">
                              <w:rPr>
                                <w:i/>
                              </w:rPr>
                              <w:t xml:space="preserve"> 5 : Résolution naturelle de l’inflammation (Freire et Van Dyke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9" type="#_x0000_t202" style="position:absolute;left:0;text-align:left;margin-left:-1.95pt;margin-top:33.8pt;width:117pt;height:3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wxwNE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" filled="f" stroked="f">
                <v:textbox>
                  <w:txbxContent>
                    <w:p w14:paraId="6B9CBE67" w14:textId="0E1E7E21" w:rsidR="0094071B" w:rsidRPr="00E057E8" w:rsidRDefault="0094071B" w:rsidP="00E057E8">
                      <w:pPr>
                        <w:pStyle w:val="Stytleparagraphe"/>
                        <w:rPr>
                          <w:i/>
                        </w:rPr>
                      </w:pPr>
                      <w:r w:rsidRPr="00E057E8">
                        <w:rPr>
                          <w:i/>
                        </w:rPr>
                        <w:t>Fig</w:t>
                      </w:r>
                      <w:r>
                        <w:rPr>
                          <w:i/>
                        </w:rPr>
                        <w:t>ure</w:t>
                      </w:r>
                      <w:r w:rsidRPr="00E057E8">
                        <w:rPr>
                          <w:i/>
                        </w:rPr>
                        <w:t xml:space="preserve"> 5 : Résolution naturelle de l’inflammation (Freire et Van Dyke 2013)</w:t>
                      </w:r>
                    </w:p>
                  </w:txbxContent>
                </v:textbox>
                <w10:wrap type="square"/>
              </v:shape>
            </w:pict>
          </mc:Fallback>
        </mc:AlternateContent>
      </w:r>
    </w:p>
    <w:p w14:paraId="04CD1B1C" w14:textId="4D73A771" w:rsidR="00E057E8" w:rsidRDefault="00E057E8" w:rsidP="00DA7748">
      <w:pPr>
        <w:pStyle w:val="Stytleparagraphe"/>
        <w:ind w:firstLine="360"/>
      </w:pPr>
    </w:p>
    <w:p w14:paraId="4B95B47F" w14:textId="77777777" w:rsidR="00E057E8" w:rsidRDefault="00E057E8" w:rsidP="00DA7748">
      <w:pPr>
        <w:pStyle w:val="Stytleparagraphe"/>
        <w:ind w:firstLine="360"/>
      </w:pPr>
    </w:p>
    <w:p w14:paraId="493A563C" w14:textId="77777777" w:rsidR="00E057E8" w:rsidRDefault="00E057E8" w:rsidP="00DA7748">
      <w:pPr>
        <w:pStyle w:val="Stytleparagraphe"/>
        <w:ind w:firstLine="360"/>
      </w:pPr>
    </w:p>
    <w:p w14:paraId="6B07601D" w14:textId="77777777" w:rsidR="00DA7748" w:rsidRDefault="00DA7748" w:rsidP="00E057E8">
      <w:pPr>
        <w:pStyle w:val="Stytleparagraphe"/>
      </w:pPr>
    </w:p>
    <w:p w14:paraId="38F95D60" w14:textId="2038749F" w:rsidR="002033FB" w:rsidRDefault="00DA7748" w:rsidP="0018798A">
      <w:pPr>
        <w:pStyle w:val="Style3"/>
        <w:numPr>
          <w:ilvl w:val="0"/>
          <w:numId w:val="14"/>
        </w:numPr>
      </w:pPr>
      <w:bookmarkStart w:id="336" w:name="_Toc380744149"/>
      <w:bookmarkStart w:id="337" w:name="_Toc380946405"/>
      <w:bookmarkStart w:id="338" w:name="_Toc383883969"/>
      <w:bookmarkStart w:id="339" w:name="_Toc384754086"/>
      <w:bookmarkStart w:id="340" w:name="_Toc384756507"/>
      <w:bookmarkStart w:id="341" w:name="_Toc384816103"/>
      <w:bookmarkStart w:id="342" w:name="_Toc384826819"/>
      <w:r>
        <w:t>Les lipoxines</w:t>
      </w:r>
      <w:bookmarkEnd w:id="336"/>
      <w:bookmarkEnd w:id="337"/>
      <w:bookmarkEnd w:id="338"/>
      <w:bookmarkEnd w:id="339"/>
      <w:bookmarkEnd w:id="340"/>
      <w:bookmarkEnd w:id="341"/>
      <w:bookmarkEnd w:id="342"/>
    </w:p>
    <w:p w14:paraId="485A2C7E" w14:textId="4AA1EDDF" w:rsidR="00285ECE" w:rsidRDefault="00285ECE" w:rsidP="00023C30">
      <w:pPr>
        <w:pStyle w:val="Stytleparagraphe"/>
        <w:ind w:firstLine="360"/>
      </w:pPr>
      <w:r>
        <w:t>Tandis que les leucotriènes et les prostaglandines amplifient l’inflammation, les lipoxines ont des actions anti-inflammatoires uniques. Lors des phases d’initiation de la réponse inflammatoire, on remarque une expression précoce des leucotriènes et prostaglandines avec recrutement des polynucléaires neutrophiles</w:t>
      </w:r>
      <w:r w:rsidR="002033FB">
        <w:t xml:space="preserve"> (PMN)</w:t>
      </w:r>
      <w:r>
        <w:t xml:space="preserve">, suivie par la biosynthèse de lipoxines (LX), concomitante à la résolution spontanée. </w:t>
      </w:r>
      <w:r w:rsidR="002033FB">
        <w:t>Les eicosanoïdes exprimés dans les premières phases de l’inflammation favorisent le passage des lipides anti-inflammatoires. Le profil fonctionnel des média</w:t>
      </w:r>
      <w:r w:rsidR="00DA7748">
        <w:t xml:space="preserve">teurs lipidiques change lors de </w:t>
      </w:r>
      <w:r w:rsidR="002033FB">
        <w:t xml:space="preserve">l’inflammation aigue afin de reprogrammer les PMN de l’exsudat dans le but de promouvoir la résolution de l’inflammation </w:t>
      </w:r>
      <w:r w:rsidR="002033FB">
        <w:fldChar w:fldCharType="begin"/>
      </w:r>
      <w:r w:rsidR="002033FB">
        <w:instrText xml:space="preserve"> ADDIN ZOTERO_ITEM CSL_CITATION {"citationID":"hJThpGFm","properties":{"formattedCitation":"(Levy et al. 2001)","plainCitation":"(Levy et al. 2001)"},"citationItems":[{"id":278,"uris":["http://zotero.org/users/local/Y4Qp1Cr8/items/KCDGP5IP"],"uri":["http://zotero.org/users/local/Y4Qp1Cr8/items/KCDGP5IP"],"itemData":{"id":278,"type":"article-journal","title":"Lipid mediator class switching during acute inflammation: signals in resolution","container-title":"Nature Immunology","page":"612-619","volume":"2","issue":"7","source":"PubMed","abstract":"Leukotrienes (LTs) and prostaglandins (PGs) amplify acute inflammation, whereas lipoxins (LXs) have unique anti-inflammatory actions. Temporal analyses of these eicosanoids in clinical and experimental exudates showed early coordinate appearance of LT and PG with polymorphonuclear neutrophil (PMN) recruitment. This was followed by LX biosynthesis, which was concurrent with spontaneous resolution. Human peripheral blood PMNs exposed to PGE2 (as in exudates) switched eicosanoid biosynthesis from predominantly LTB4 and 5-lipoxygenase (5-LO)-initiated pathways to LXA4, a 15-LO product that \"stopped\" PMN infiltration. These results indicate that first-phase eicosanoids promote a shift to anti-inflammatory lipids: functionally distinct lipid-mediator profiles switch during acute exudate formation to \"reprogram\" the exudate PMNs to promote resolution.","DOI":"10.1038/89759","ISSN":"1529-2908","note":"PMID: 11429545","shortTitle":"Lipid mediator class switching during acute inflammation","journalAbbreviation":"Nat. Immunol.","language":"eng","author":[{"family":"Levy","given":"B. D."},{"family":"Clish","given":"C. B."},{"family":"Schmidt","given":"B."},{"family":"Gronert","given":"K."},{"family":"Serhan","given":"C. N."}],"issued":{"date-parts":[["2001",7]]}}}],"schema":"https://github.com/citation-style-language/schema/raw/master/csl-citation.json"} </w:instrText>
      </w:r>
      <w:r w:rsidR="002033FB">
        <w:fldChar w:fldCharType="separate"/>
      </w:r>
      <w:r w:rsidR="002033FB">
        <w:rPr>
          <w:noProof/>
        </w:rPr>
        <w:t>(Levy et al. 2001)</w:t>
      </w:r>
      <w:r w:rsidR="002033FB">
        <w:fldChar w:fldCharType="end"/>
      </w:r>
      <w:r w:rsidR="002033FB">
        <w:t>.</w:t>
      </w:r>
    </w:p>
    <w:p w14:paraId="1349761B" w14:textId="77777777" w:rsidR="00AE702F" w:rsidRDefault="00AE702F" w:rsidP="00023C30">
      <w:pPr>
        <w:pStyle w:val="Stytleparagraphe"/>
        <w:ind w:firstLine="360"/>
      </w:pPr>
    </w:p>
    <w:p w14:paraId="074703DE" w14:textId="6452B240" w:rsidR="00062B8B" w:rsidRDefault="00062B8B" w:rsidP="00023C30">
      <w:pPr>
        <w:pStyle w:val="Stytleparagraphe"/>
        <w:ind w:firstLine="360"/>
      </w:pPr>
      <w:r>
        <w:t xml:space="preserve">L’une des voies de synthèse des lipoxines est déclenchée par l’aspirine, qui favorise l’acétylation de COX-2, entraine un changement de son activité et favorise la production de lipoxines. L’aspirine bloque aussi la synthèse de prostaglandines par acétylation de la COX-2 et inhibe alors l’inflammation </w:t>
      </w:r>
      <w:r>
        <w:fldChar w:fldCharType="begin"/>
      </w:r>
      <w:r>
        <w:instrText xml:space="preserve"> ADDIN ZOTERO_ITEM CSL_CITATION {"citationID":"NcmxwJKV","properties":{"formattedCitation":"(Freire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w:t>
      </w:r>
    </w:p>
    <w:p w14:paraId="14FD72B6" w14:textId="77777777" w:rsidR="00E057E8" w:rsidRDefault="00E057E8" w:rsidP="00023C30">
      <w:pPr>
        <w:pStyle w:val="Stytleparagraphe"/>
        <w:ind w:firstLine="360"/>
      </w:pPr>
    </w:p>
    <w:p w14:paraId="538D2428" w14:textId="4FDA8CFA" w:rsidR="00062B8B" w:rsidRDefault="00B0650F" w:rsidP="0018798A">
      <w:pPr>
        <w:pStyle w:val="Style3"/>
        <w:numPr>
          <w:ilvl w:val="0"/>
          <w:numId w:val="14"/>
        </w:numPr>
      </w:pPr>
      <w:bookmarkStart w:id="343" w:name="_Toc380744150"/>
      <w:bookmarkStart w:id="344" w:name="_Toc380946406"/>
      <w:bookmarkStart w:id="345" w:name="_Toc383883970"/>
      <w:bookmarkStart w:id="346" w:name="_Toc384754087"/>
      <w:bookmarkStart w:id="347" w:name="_Toc384756508"/>
      <w:bookmarkStart w:id="348" w:name="_Toc384816104"/>
      <w:bookmarkStart w:id="349" w:name="_Toc384826820"/>
      <w:r>
        <w:t>Les résolvines</w:t>
      </w:r>
      <w:bookmarkEnd w:id="343"/>
      <w:bookmarkEnd w:id="344"/>
      <w:bookmarkEnd w:id="345"/>
      <w:bookmarkEnd w:id="346"/>
      <w:bookmarkEnd w:id="347"/>
      <w:bookmarkEnd w:id="348"/>
      <w:bookmarkEnd w:id="349"/>
    </w:p>
    <w:p w14:paraId="2C1FA396" w14:textId="5D36231A" w:rsidR="00B0650F" w:rsidRDefault="007C7C90" w:rsidP="007C7C90">
      <w:pPr>
        <w:pStyle w:val="Stytleparagraphe"/>
        <w:ind w:firstLine="360"/>
      </w:pPr>
      <w:r>
        <w:t>Les résolvines de la série E sont dérivées de l’acide eicosapentaénoïque par l’intermédiaire de COX-2 modifiée par l’aspirine. Les intermédiaires produits sont absorb</w:t>
      </w:r>
      <w:r w:rsidR="000153EF">
        <w:t>és par les neutrophiles humains</w:t>
      </w:r>
      <w:r>
        <w:t xml:space="preserve"> et métabolisés en résolvines E1 et E2 par la 5-lipoxygénase et entrainent une </w:t>
      </w:r>
      <w:r w:rsidR="007D2E0E">
        <w:t>réduction</w:t>
      </w:r>
      <w:r>
        <w:t xml:space="preserve"> des signes cardinaux de l’inflammation.</w:t>
      </w:r>
    </w:p>
    <w:p w14:paraId="2D0C0259" w14:textId="77777777" w:rsidR="00C75158" w:rsidRDefault="007C7C90" w:rsidP="000153EF">
      <w:pPr>
        <w:pStyle w:val="Stytleparagraphe"/>
      </w:pPr>
      <w:r>
        <w:t xml:space="preserve">Les résolvines de la série D sont dérivées de l’acide docosahexanoïque et réduisent l’inflammation. </w:t>
      </w:r>
      <w:r w:rsidR="00FD2A63">
        <w:t>La conversion de cet acide par l’aspirine produit des molécules à double action anti-inflammatoire et pro-résolutives</w:t>
      </w:r>
      <w:r w:rsidR="00C75158">
        <w:t>.</w:t>
      </w:r>
    </w:p>
    <w:p w14:paraId="056BCAA3" w14:textId="77777777" w:rsidR="00AE702F" w:rsidRDefault="00AE702F" w:rsidP="000153EF">
      <w:pPr>
        <w:pStyle w:val="Stytleparagraphe"/>
      </w:pPr>
    </w:p>
    <w:p w14:paraId="47CA0588" w14:textId="18A9BA5F" w:rsidR="000153EF" w:rsidRDefault="00C75158" w:rsidP="00AE702F">
      <w:pPr>
        <w:pStyle w:val="Stytleparagraphe"/>
        <w:ind w:firstLine="360"/>
      </w:pPr>
      <w:r>
        <w:t>Les résolvines induisent les fonctions principales de la résolution de l’</w:t>
      </w:r>
      <w:r w:rsidR="00DB1F07">
        <w:t>inflammation</w:t>
      </w:r>
      <w:r>
        <w:t xml:space="preserve"> y compris la prévention de la pénétration des neutrophiles, la phagocytose des neutrophiles pro-apoptotiques pour effacer les lésions et améliore la clairance de l’inflammation dans les la lésion pour favoriser la </w:t>
      </w:r>
      <w:r w:rsidR="00DB1F07">
        <w:t>régénération</w:t>
      </w:r>
      <w:r>
        <w:t xml:space="preserve"> tissulaire </w:t>
      </w:r>
      <w:r>
        <w:fldChar w:fldCharType="begin"/>
      </w:r>
      <w:r>
        <w:instrText xml:space="preserve"> ADDIN ZOTERO_ITEM CSL_CITATION {"citationID":"IikQbtd8","properties":{"formattedCitation":"(Freire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rsidR="00FD2A63">
        <w:t>.</w:t>
      </w:r>
    </w:p>
    <w:p w14:paraId="78BCA9DC" w14:textId="1C20A487" w:rsidR="00023C30" w:rsidRDefault="00205515" w:rsidP="0018798A">
      <w:pPr>
        <w:pStyle w:val="Style3"/>
        <w:numPr>
          <w:ilvl w:val="0"/>
          <w:numId w:val="14"/>
        </w:numPr>
      </w:pPr>
      <w:bookmarkStart w:id="350" w:name="_Toc380744151"/>
      <w:bookmarkStart w:id="351" w:name="_Toc380946407"/>
      <w:bookmarkStart w:id="352" w:name="_Toc383883971"/>
      <w:bookmarkStart w:id="353" w:name="_Toc384754088"/>
      <w:bookmarkStart w:id="354" w:name="_Toc384756509"/>
      <w:bookmarkStart w:id="355" w:name="_Toc384816105"/>
      <w:bookmarkStart w:id="356" w:name="_Toc384826821"/>
      <w:r>
        <w:t>Les protectines</w:t>
      </w:r>
      <w:bookmarkEnd w:id="350"/>
      <w:bookmarkEnd w:id="351"/>
      <w:bookmarkEnd w:id="352"/>
      <w:bookmarkEnd w:id="353"/>
      <w:bookmarkEnd w:id="354"/>
      <w:bookmarkEnd w:id="355"/>
      <w:bookmarkEnd w:id="356"/>
    </w:p>
    <w:p w14:paraId="64CA2BEB" w14:textId="599A6C12" w:rsidR="00205515" w:rsidRDefault="0010757B" w:rsidP="0010757B">
      <w:pPr>
        <w:pStyle w:val="Stytleparagraphe"/>
        <w:ind w:firstLine="360"/>
      </w:pPr>
      <w:r>
        <w:t xml:space="preserve">Les protectines sont aussi biosynthétisées par la voie de la lipoxygénase et produit la protectine D1 et la neuroprotectine. La neuroprotectine agit au niveau du tissu nerveux et du système immunitaire. La protectine D1 est également produite par les lymphocytes du sang périphérique humain et réduit la sécrétion de TNF-α et IFN-γ, bloque la migration des lymphocytes T et favorise leur apoptose. </w:t>
      </w:r>
    </w:p>
    <w:p w14:paraId="7D00E3CB" w14:textId="77777777" w:rsidR="0010757B" w:rsidRDefault="0010757B" w:rsidP="0010757B">
      <w:pPr>
        <w:pStyle w:val="Stytleparagraphe"/>
      </w:pPr>
      <w:r>
        <w:t xml:space="preserve">Une autre voie de synthèse est médiée par l’aspirine qui utilise la COX-2. </w:t>
      </w:r>
    </w:p>
    <w:p w14:paraId="1430D079" w14:textId="1B683C5B" w:rsidR="0010757B" w:rsidRDefault="0010757B" w:rsidP="0010757B">
      <w:pPr>
        <w:pStyle w:val="Stytleparagraphe"/>
      </w:pPr>
      <w:r>
        <w:t xml:space="preserve">Les deux protectines réduisent la transmigration des PMN à travers les cellules endothéliales et améliorent les propriétés d’apoptose des PMN et des macrophages </w:t>
      </w:r>
      <w:r>
        <w:fldChar w:fldCharType="begin"/>
      </w:r>
      <w:r>
        <w:instrText xml:space="preserve"> ADDIN ZOTERO_ITEM CSL_CITATION {"citationID":"ZKefV3dD","properties":{"formattedCitation":"(Freire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w:t>
      </w:r>
    </w:p>
    <w:p w14:paraId="4D48DFCA" w14:textId="77777777" w:rsidR="0010757B" w:rsidRDefault="0010757B" w:rsidP="00205515">
      <w:pPr>
        <w:pStyle w:val="Style3"/>
        <w:numPr>
          <w:ilvl w:val="0"/>
          <w:numId w:val="0"/>
        </w:numPr>
        <w:ind w:left="1080"/>
      </w:pPr>
    </w:p>
    <w:p w14:paraId="57C46B3A" w14:textId="255263C4" w:rsidR="00205515" w:rsidRDefault="00205515" w:rsidP="0018798A">
      <w:pPr>
        <w:pStyle w:val="Style3"/>
        <w:numPr>
          <w:ilvl w:val="0"/>
          <w:numId w:val="14"/>
        </w:numPr>
      </w:pPr>
      <w:bookmarkStart w:id="357" w:name="_Toc380744152"/>
      <w:bookmarkStart w:id="358" w:name="_Toc380946408"/>
      <w:bookmarkStart w:id="359" w:name="_Toc383883972"/>
      <w:bookmarkStart w:id="360" w:name="_Toc384754089"/>
      <w:bookmarkStart w:id="361" w:name="_Toc384756510"/>
      <w:bookmarkStart w:id="362" w:name="_Toc384816106"/>
      <w:bookmarkStart w:id="363" w:name="_Toc384826822"/>
      <w:r>
        <w:t>Les marésines</w:t>
      </w:r>
      <w:bookmarkEnd w:id="357"/>
      <w:bookmarkEnd w:id="358"/>
      <w:bookmarkEnd w:id="359"/>
      <w:bookmarkEnd w:id="360"/>
      <w:bookmarkEnd w:id="361"/>
      <w:bookmarkEnd w:id="362"/>
      <w:bookmarkEnd w:id="363"/>
    </w:p>
    <w:p w14:paraId="5E9F0168" w14:textId="12FDCFEA" w:rsidR="002F53B7" w:rsidRDefault="00890643" w:rsidP="002F53B7">
      <w:pPr>
        <w:pStyle w:val="Stytleparagraphe"/>
        <w:ind w:firstLine="360"/>
      </w:pPr>
      <w:r>
        <w:rPr>
          <w:noProof/>
          <w:lang w:val="en-US"/>
        </w:rPr>
        <w:drawing>
          <wp:anchor distT="0" distB="0" distL="114300" distR="114300" simplePos="0" relativeHeight="251675648" behindDoc="0" locked="0" layoutInCell="1" allowOverlap="1" wp14:anchorId="51239F40" wp14:editId="4D8F8E85">
            <wp:simplePos x="0" y="0"/>
            <wp:positionH relativeFrom="column">
              <wp:posOffset>1600200</wp:posOffset>
            </wp:positionH>
            <wp:positionV relativeFrom="paragraph">
              <wp:posOffset>1593850</wp:posOffset>
            </wp:positionV>
            <wp:extent cx="4000500" cy="3945255"/>
            <wp:effectExtent l="0" t="0" r="12700" b="0"/>
            <wp:wrapSquare wrapText="bothSides"/>
            <wp:docPr id="15" name="Picture 15" descr="Macintosh HD:Users:eric:Desktop:Capture d’écran 2018-02-20 à 09.2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esktop:Capture d’écran 2018-02-20 à 09.28.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9452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757B">
        <w:t xml:space="preserve">Les marésines, ou « macrophage mediators in resolving inflammation », produites par les macrophages, sont des molécules clefs dans le maintien de l’homéostasie. La phagocytose des cellules apoptotiques médiées par les macrophages conduit à la biosynthèse de résolvine E1, protectine D1, lipoxine A4 et marésine-1. La marésine-1 stimule la phagocytose des cellules apoptotiques et a des propriétés régénératives </w:t>
      </w:r>
      <w:r w:rsidR="0010757B">
        <w:fldChar w:fldCharType="begin"/>
      </w:r>
      <w:r w:rsidR="0010757B">
        <w:instrText xml:space="preserve"> ADDIN ZOTERO_ITEM CSL_CITATION {"citationID":"AjQ4xlRA","properties":{"formattedCitation":"(Freire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rsidR="0010757B">
        <w:fldChar w:fldCharType="separate"/>
      </w:r>
      <w:r w:rsidR="0010757B">
        <w:rPr>
          <w:noProof/>
        </w:rPr>
        <w:t>(Freire et Van Dyke 2013)</w:t>
      </w:r>
      <w:r w:rsidR="0010757B">
        <w:fldChar w:fldCharType="end"/>
      </w:r>
      <w:r w:rsidR="0010757B">
        <w:t>.</w:t>
      </w:r>
    </w:p>
    <w:p w14:paraId="1F02ADD6" w14:textId="5E382426" w:rsidR="002F53B7" w:rsidRDefault="002F53B7" w:rsidP="002F53B7">
      <w:pPr>
        <w:pStyle w:val="Stytleparagraphe"/>
        <w:ind w:firstLine="360"/>
      </w:pPr>
    </w:p>
    <w:p w14:paraId="44D3A317" w14:textId="2F62E3BA" w:rsidR="002A4E9C" w:rsidRDefault="00890643" w:rsidP="002F53B7">
      <w:pPr>
        <w:pStyle w:val="Stytleparagraphe"/>
        <w:ind w:firstLine="360"/>
      </w:pPr>
      <w:r>
        <w:rPr>
          <w:noProof/>
          <w:lang w:val="en-US"/>
        </w:rPr>
        <mc:AlternateContent>
          <mc:Choice Requires="wps">
            <w:drawing>
              <wp:anchor distT="0" distB="0" distL="114300" distR="114300" simplePos="0" relativeHeight="251677696" behindDoc="0" locked="0" layoutInCell="1" allowOverlap="1" wp14:anchorId="441250CE" wp14:editId="12AAF568">
                <wp:simplePos x="0" y="0"/>
                <wp:positionH relativeFrom="column">
                  <wp:posOffset>0</wp:posOffset>
                </wp:positionH>
                <wp:positionV relativeFrom="paragraph">
                  <wp:posOffset>440690</wp:posOffset>
                </wp:positionV>
                <wp:extent cx="1485900" cy="2743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27002" w14:textId="77777777" w:rsidR="0094071B" w:rsidRDefault="0094071B" w:rsidP="002F53B7">
                            <w:pPr>
                              <w:pStyle w:val="Stytleparagraphe"/>
                              <w:rPr>
                                <w:i/>
                              </w:rPr>
                            </w:pPr>
                          </w:p>
                          <w:p w14:paraId="1A119B9C" w14:textId="66CAD371" w:rsidR="0094071B" w:rsidRPr="00E057E8" w:rsidRDefault="0094071B" w:rsidP="002F53B7">
                            <w:pPr>
                              <w:pStyle w:val="Stytleparagraphe"/>
                              <w:rPr>
                                <w:i/>
                              </w:rPr>
                            </w:pPr>
                            <w:r>
                              <w:rPr>
                                <w:i/>
                              </w:rPr>
                              <w:t>Figure 6</w:t>
                            </w:r>
                            <w:r w:rsidRPr="00E057E8">
                              <w:rPr>
                                <w:i/>
                              </w:rPr>
                              <w:t xml:space="preserve"> : </w:t>
                            </w:r>
                            <w:r>
                              <w:rPr>
                                <w:i/>
                              </w:rPr>
                              <w:t>Rôles des médiateurs lipidiques endogènes</w:t>
                            </w:r>
                            <w:r w:rsidRPr="00E057E8">
                              <w:rPr>
                                <w:i/>
                              </w:rPr>
                              <w:t xml:space="preserve"> (Freire et Van Dyke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0" type="#_x0000_t202" style="position:absolute;left:0;text-align:left;margin-left:0;margin-top:34.7pt;width:117pt;height:3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nK/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" filled="f" stroked="f">
                <v:textbox>
                  <w:txbxContent>
                    <w:p w14:paraId="16B27002" w14:textId="77777777" w:rsidR="0094071B" w:rsidRDefault="0094071B" w:rsidP="002F53B7">
                      <w:pPr>
                        <w:pStyle w:val="Stytleparagraphe"/>
                        <w:rPr>
                          <w:i/>
                        </w:rPr>
                      </w:pPr>
                    </w:p>
                    <w:p w14:paraId="1A119B9C" w14:textId="66CAD371" w:rsidR="0094071B" w:rsidRPr="00E057E8" w:rsidRDefault="0094071B" w:rsidP="002F53B7">
                      <w:pPr>
                        <w:pStyle w:val="Stytleparagraphe"/>
                        <w:rPr>
                          <w:i/>
                        </w:rPr>
                      </w:pPr>
                      <w:r>
                        <w:rPr>
                          <w:i/>
                        </w:rPr>
                        <w:t>Figure 6</w:t>
                      </w:r>
                      <w:r w:rsidRPr="00E057E8">
                        <w:rPr>
                          <w:i/>
                        </w:rPr>
                        <w:t xml:space="preserve"> : </w:t>
                      </w:r>
                      <w:r>
                        <w:rPr>
                          <w:i/>
                        </w:rPr>
                        <w:t>Rôles des médiateurs lipidiques endogènes</w:t>
                      </w:r>
                      <w:r w:rsidRPr="00E057E8">
                        <w:rPr>
                          <w:i/>
                        </w:rPr>
                        <w:t xml:space="preserve"> (Freire et Van Dyke 2013)</w:t>
                      </w:r>
                    </w:p>
                  </w:txbxContent>
                </v:textbox>
                <w10:wrap type="square"/>
              </v:shape>
            </w:pict>
          </mc:Fallback>
        </mc:AlternateContent>
      </w:r>
    </w:p>
    <w:p w14:paraId="286CA5DF" w14:textId="77777777" w:rsidR="002A4E9C" w:rsidRDefault="002A4E9C" w:rsidP="002A4E9C"/>
    <w:p w14:paraId="6DF378E1" w14:textId="1D51D3C9" w:rsidR="002A4E9C" w:rsidRDefault="001E7104" w:rsidP="0018798A">
      <w:pPr>
        <w:pStyle w:val="Style2"/>
        <w:numPr>
          <w:ilvl w:val="0"/>
          <w:numId w:val="13"/>
        </w:numPr>
      </w:pPr>
      <w:bookmarkStart w:id="364" w:name="_Toc380744153"/>
      <w:bookmarkStart w:id="365" w:name="_Toc380946409"/>
      <w:bookmarkStart w:id="366" w:name="_Toc383883973"/>
      <w:bookmarkStart w:id="367" w:name="_Toc384754090"/>
      <w:bookmarkStart w:id="368" w:name="_Toc384756511"/>
      <w:bookmarkStart w:id="369" w:name="_Toc384816107"/>
      <w:bookmarkStart w:id="370" w:name="_Toc384826823"/>
      <w:r>
        <w:t>Rôle des médiateurs lipidiques</w:t>
      </w:r>
      <w:r w:rsidR="002A4E9C">
        <w:t xml:space="preserve"> </w:t>
      </w:r>
      <w:r w:rsidR="006E135B">
        <w:t>dans la maladie parodontale</w:t>
      </w:r>
      <w:bookmarkEnd w:id="364"/>
      <w:bookmarkEnd w:id="365"/>
      <w:bookmarkEnd w:id="366"/>
      <w:bookmarkEnd w:id="367"/>
      <w:bookmarkEnd w:id="368"/>
      <w:bookmarkEnd w:id="369"/>
      <w:bookmarkEnd w:id="370"/>
    </w:p>
    <w:p w14:paraId="4E519248" w14:textId="1C3525C4" w:rsidR="00487560" w:rsidRDefault="00A47DA2" w:rsidP="00487560">
      <w:pPr>
        <w:pStyle w:val="Stytleparagraphe"/>
        <w:ind w:firstLine="360"/>
      </w:pPr>
      <w:r>
        <w:t>En cas d’agression bactérienne, les tissus de l’hôte protègent le parodonte en initiant une phase d’inflammation aigüe, qui permet l’élimination des pathogènes. Cette inflammation doit idéalement être auto-limitée par l’hôte afin de maintenir l’homéostasie tissulaire. Les voies pro-inflammatoires qui initient l’inflammation aigüe sont médiées par les cytokines, les chimiokines et les médiateurs lipidiques. Une inflammation excessive ou non résolutive devient chronique et conduit à des lésions tissulaires ou une cicatrisation incomplète avec formation d’une fibrose cicatricielle</w:t>
      </w:r>
      <w:r w:rsidR="00487560">
        <w:t xml:space="preserve">. Ainsi, la résolution de l’inflammation est un processus actif qui implique la synthèse endogène des médiateurs lipidiques, qui dérivent des mêmes eicosanoïdes que les médiateurs pro-inflammatoires </w:t>
      </w:r>
      <w:r w:rsidR="00487560">
        <w:fldChar w:fldCharType="begin"/>
      </w:r>
      <w:r w:rsidR="00487560">
        <w:instrText xml:space="preserve"> ADDIN ZOTERO_ITEM CSL_CITATION {"citationID":"KFALUN4s","properties":{"formattedCitation":"(Mustafa et al. 2013)","plainCitation":"(Mustafa et al. 2013)"},"citationItems":[{"id":291,"uris":["http://zotero.org/users/local/Y4Qp1Cr8/items/Z5HKWCVL"],"uri":["http://zotero.org/users/local/Y4Qp1Cr8/items/Z5HKWCVL"],"itemData":{"id":291,"type":"article-journal","title":"Resolvin D1 protects periodontal ligament","container-title":"American Journal of Physiology. Cell Physiology","page":"C673-679","volume":"305","issue":"6","source":"PubMed","abstract":"Resolution agonists are endogenous mediators that drive inflammation to homeostasis. We earlier demonstrated in vivo activity of resolvins and lipoxins on regenerative periodontal wound healing. The goal of this study was to determine the impact of resolvin D1 (RvD1) on the function of human periodontal ligament (PDL) fibroblasts, which are critical for wound healing during regeneration of the soft and hard tissues around teeth. Primary cells were cultured from biopsies obtained from three individuals free of periodontal diseases. Peripheral blood mononuclear cells were isolated by density gradient centrifugation from whole blood of healthy volunteers. PGE2, leukotriene B4 (LTB4), and lipoxin A4 (LXA4) in culture supernatants were measured by ELISA. The direct impact of RvD1 on PDL fibroblast proliferation was measured and wound closure was analyzed in vitro using a fibroblast culture \"scratch assay.\" PDL fibroblast function in response to RvD1 was further characterized by basic FGF production by ELISA. IL-1β and TNF-α enhanced the production of PGE2. Treatment of PDL cells and monocytes with 0.1-10 ng/ml RvD1 (0.27-27 M) reduced cytokine induced production of PGE2 and upregulated LXA4 production by both PDL cells and monocytes. RvD1 significantly enhanced PDL fibroblast proliferation and wound closure as well as basic FGF release. The results demonstrate that anti-inflammatory and proresolution actions of RvD1 with upregulation of arachidonic acid-derived endogenous resolution pathways (LXA4) and suggest resolution pathway synergy establishing a novel mechanism for the proresolution activity of the ω-3 docosahexaenoic acid-derived resolution agonist RvD1.","DOI":"10.1152/ajpcell.00242.2012","ISSN":"1522-1563","note":"PMID: 23864609\nPMCID: PMC3761172","journalAbbreviation":"Am. J. Physiol., Cell Physiol.","language":"eng","author":[{"family":"Mustafa","given":"Manal"},{"family":"Zarrough","given":"Ahmed"},{"family":"Bolstad","given":"Anne Isine"},{"family":"Lygre","given":"Henning"},{"family":"Mustafa","given":"Kamal"},{"family":"Hasturk","given":"Hatice"},{"family":"Serhan","given":"Charles"},{"family":"Kantarci","given":"Alpdogan"},{"family":"Van Dyke","given":"Thomas E."}],"issued":{"date-parts":[["2013",9,15]]}}}],"schema":"https://github.com/citation-style-language/schema/raw/master/csl-citation.json"} </w:instrText>
      </w:r>
      <w:r w:rsidR="00487560">
        <w:fldChar w:fldCharType="separate"/>
      </w:r>
      <w:r w:rsidR="00487560">
        <w:rPr>
          <w:noProof/>
        </w:rPr>
        <w:t>(Mustafa et al. 2013)</w:t>
      </w:r>
      <w:r w:rsidR="00487560">
        <w:fldChar w:fldCharType="end"/>
      </w:r>
      <w:r w:rsidR="00487560">
        <w:t>.</w:t>
      </w:r>
    </w:p>
    <w:p w14:paraId="1FF24E05" w14:textId="77777777" w:rsidR="00F83CA7" w:rsidRDefault="00F83CA7" w:rsidP="00487560">
      <w:pPr>
        <w:pStyle w:val="Stytleparagraphe"/>
        <w:ind w:firstLine="360"/>
      </w:pPr>
    </w:p>
    <w:p w14:paraId="2DA7D2A9" w14:textId="754B699B" w:rsidR="00F83CA7" w:rsidRDefault="00F83CA7" w:rsidP="00487560">
      <w:pPr>
        <w:pStyle w:val="Stytleparagraphe"/>
        <w:ind w:firstLine="360"/>
      </w:pPr>
      <w:r>
        <w:t>Dès 2000, Pouliot et al. mettent en évidence le rôle immunomodulateur de la lipoxine A4 (LXA4) en cas de maladie parodontale. La LXA4 bloque le trafic des neutrophiles et abaisse les niveaux de PGE</w:t>
      </w:r>
      <w:r w:rsidRPr="00F83CA7">
        <w:rPr>
          <w:vertAlign w:val="subscript"/>
        </w:rPr>
        <w:t>2</w:t>
      </w:r>
      <w:r>
        <w:t xml:space="preserve"> dans les exsudats inflammatoires et favorise donc le retour à l’homéostasie </w:t>
      </w:r>
      <w:r>
        <w:fldChar w:fldCharType="begin"/>
      </w:r>
      <w:r>
        <w:instrText xml:space="preserve"> ADDIN ZOTERO_ITEM CSL_CITATION {"citationID":"iG6LUq5q","properties":{"formattedCitation":"(Pouliot et al. 2000)","plainCitation":"(Pouliot et al. 2000)"},"citationItems":[{"id":301,"uris":["http://zotero.org/users/local/Y4Qp1Cr8/items/GDBWBK5S"],"uri":["http://zotero.org/users/local/Y4Qp1Cr8/items/GDBWBK5S"],"itemData":{"id":301,"type":"article-journal","title":"Lipoxin A4 Analogues Inhibit Leukocyte Recruitment to Porphyromonas gingivalis:  A Role for Cyclooxygenase-2 and Lipoxins in Periodontal Disease","container-title":"Biochemistry","page":"4761-4768","volume":"39","issue":"16","source":"ACS Publications","abstract":"The potential involvement of the inducible cyclooxygenase isoform (COX-2) and the role of novel lipid mediators were investigated in the pathogenesis of periodontal disease. Crevicular fluids from localized juvenile periodontitis (LJP) patients contained prostaglandin (PG)E2 and 5-lipoxygenase-derived products, leukotriene B4, and the biosynthesis interaction product, lipoxin (LX)A4. Neutrophils from peripheral blood of LJP patients, but not from asymptomatic donors, also generated LXA4, suggesting a role for this immunomodulatory molecule in periodontal disease. To characterize host responses of interest to periodontal pathogens, Porphyromonas gingivalis was introduced within murine dorsal air pouches. In the air pouch cavity, P. gingivalis elicited leukocyte infiltration, concomitant with elevated PGE2 levels in the cellular exudates, and upregulated COX-2 expression in infiltrated leukocytes. In addition, human neutrophils exposed to P. gingivalis also upregulated COX-2 expression. Blood borne P. gingivalis gave significant increases in the murine tissue levels of COX-2 mRNA associated with both heart and lungs, supporting a potential role for this oral pathogen in the evolution of systemic events. The administration of metabolically stable analogues of LX and of aspirin-triggered LX potently blocked neutrophil traffic into the dorsal pouch cavity and lowered PGE2 levels within exudates. Together, these results identify PMN as an additional and potentially important source of PGE2 in periodontal tissues. Moreover, they provide evidence for a novel protective role for LX in periodontitis, limiting further PMN recruitment and PMN-mediated tissue injury that can lead to loss of inflammatory barriers that prevent systemic tissue invasion of oral microbial pathogens.","DOI":"10.1021/bi992551b","ISSN":"0006-2960","shortTitle":"Lipoxin A4 Analogues Inhibit Leukocyte Recruitment to Porphyromonas gingivalis","journalAbbreviation":"Biochemistry","author":[{"family":"Pouliot","given":"Marc"},{"family":"Clish","given":"Clary B."},{"family":"Petasis","given":"Nicos A."},{"family":"Van Dyke","given":"Thomas E."},{"family":"Serhan","given":"Charles N."}],"issued":{"date-parts":[["2000",4,1]]}}}],"schema":"https://github.com/citation-style-language/schema/raw/master/csl-citation.json"} </w:instrText>
      </w:r>
      <w:r>
        <w:fldChar w:fldCharType="separate"/>
      </w:r>
      <w:r>
        <w:rPr>
          <w:noProof/>
        </w:rPr>
        <w:t>(Pouliot et al. 2000)</w:t>
      </w:r>
      <w:r>
        <w:fldChar w:fldCharType="end"/>
      </w:r>
      <w:r>
        <w:t>.</w:t>
      </w:r>
    </w:p>
    <w:p w14:paraId="6AEA2AF7" w14:textId="77777777" w:rsidR="001E7104" w:rsidRDefault="001E7104" w:rsidP="00487560">
      <w:pPr>
        <w:pStyle w:val="Stytleparagraphe"/>
        <w:ind w:firstLine="360"/>
      </w:pPr>
    </w:p>
    <w:p w14:paraId="347F2C29" w14:textId="5DF88E36" w:rsidR="001E7104" w:rsidRDefault="001E7104" w:rsidP="00487560">
      <w:pPr>
        <w:pStyle w:val="Stytleparagraphe"/>
        <w:ind w:firstLine="360"/>
      </w:pPr>
      <w:r>
        <w:t xml:space="preserve">En 2006, Hasturk et al. sont les premiers à démontrer que les récepteurs de la résolvine E1 sur les neutrophiles humains sont distincts des récepteurs de la LXA4, ALX. La résolvine E1 empêche l’initiation et la progression de la destruction tissulaire dans la maladie parodontale et inhibe la résorption osseuse médiée par les ostéoclastes </w:t>
      </w:r>
      <w:r>
        <w:fldChar w:fldCharType="begin"/>
      </w:r>
      <w:r>
        <w:instrText xml:space="preserve"> ADDIN ZOTERO_ITEM CSL_CITATION {"citationID":"GuKCnDY2","properties":{"formattedCitation":"(Hasturk et al. 2006)","plainCitation":"(Hasturk et al. 2006)"},"citationItems":[{"id":303,"uris":["http://zotero.org/users/local/Y4Qp1Cr8/items/9BP7FULH"],"uri":["http://zotero.org/users/local/Y4Qp1Cr8/items/9BP7FULH"],"itemData":{"id":303,"type":"article-journal","title":"RvE1 protects from local inflammation and osteoclast- mediated bone destruction in periodontitis","container-title":"FASEB journal: official publication of the Federation of American Societies for Experimental Biology","page":"401-403","volume":"20","issue":"2","source":"PubMed","abstract":"Periodontitis is a well-appreciated example of leukocyte-mediated bone loss and inflammation that has pathogenic features similar to those observed in other inflammatory diseases such as arthritis. Resolvins are a new family of bioactive products of omega-3 fatty acid transformation circuits initiated by aspirin treatment that counter proinflammatory signals. Because it is now increasingly apparent that local inflammation plays a critical role in many diseases, including cardiovascular disease, atherosclerosis, and asthma, experiments were undertaken to evaluate the actions of the newly described EPA-derived Resolvin E1 (RvE1) in regulation of neutrophil tissue destruction and resolution of inflammation. The actions of an aspirin-triggered lipoxin (LX) analog and RvE1 in a human disease, localized aggressive periodontitis (LAP), were determined. Results indicate that neutrophils from LAP are refractory to anti-inflammatory molecules of the LX series, whereas LAP neutrophils respond to RvE1. In addition, RvE1 specifically binds to human neutrophils at a site that is functionally distinct from the LX receptor. Consistent with these potent actions, topical application of RvE1 in rabbit periodontitis conferred dramatic protection against inflammation induced tissue and bone loss associated with periodontitis.","DOI":"10.1096/fj.05-4724fje","ISSN":"1530-6860","note":"PMID: 16373400","journalAbbreviation":"FASEB J.","language":"eng","author":[{"family":"Hasturk","given":"H."},{"family":"Kantarci","given":"A."},{"family":"Ohira","given":"T."},{"family":"Arita","given":"M."},{"family":"Ebrahimi","given":"N."},{"family":"Chiang","given":"N."},{"family":"Petasis","given":"N. A."},{"family":"Levy","given":"B. D."},{"family":"Serhan","given":"C. N."},{"family":"Van Dyke","given":"T. E."}],"issued":{"date-parts":[["2006",2]]}}}],"schema":"https://github.com/citation-style-language/schema/raw/master/csl-citation.json"} </w:instrText>
      </w:r>
      <w:r>
        <w:fldChar w:fldCharType="separate"/>
      </w:r>
      <w:r>
        <w:rPr>
          <w:noProof/>
        </w:rPr>
        <w:t>(Hasturk et al. 2006)</w:t>
      </w:r>
      <w:r>
        <w:fldChar w:fldCharType="end"/>
      </w:r>
      <w:r>
        <w:t>.</w:t>
      </w:r>
    </w:p>
    <w:p w14:paraId="2A65BDF5" w14:textId="77777777" w:rsidR="00487560" w:rsidRDefault="00487560" w:rsidP="00487560">
      <w:pPr>
        <w:pStyle w:val="Stytleparagraphe"/>
      </w:pPr>
    </w:p>
    <w:p w14:paraId="670ADA70" w14:textId="518C267A" w:rsidR="00F86451" w:rsidRDefault="00F86451" w:rsidP="00A47DA2">
      <w:pPr>
        <w:pStyle w:val="Stytleparagraphe"/>
        <w:ind w:firstLine="360"/>
      </w:pPr>
      <w:r>
        <w:t xml:space="preserve">Mustafa et al. démontrent </w:t>
      </w:r>
      <w:r w:rsidR="00A47DA2">
        <w:t>que la résolvine D1 améliore significativement la prolifération des fibroblastes du ligament parodontal humain et la fermeture des plaies</w:t>
      </w:r>
      <w:r w:rsidR="00487560">
        <w:t xml:space="preserve"> en réduisant les taux de PGE</w:t>
      </w:r>
      <w:r w:rsidR="00487560" w:rsidRPr="00487560">
        <w:rPr>
          <w:vertAlign w:val="subscript"/>
        </w:rPr>
        <w:t>2</w:t>
      </w:r>
      <w:r w:rsidR="00487560">
        <w:t>. Ces fibroblastes sont indispensables à la régénération des tissus durs et mous qui soutiennent la dent</w:t>
      </w:r>
      <w:r w:rsidR="00A47DA2">
        <w:t xml:space="preserve"> </w:t>
      </w:r>
      <w:r w:rsidR="00A47DA2">
        <w:fldChar w:fldCharType="begin"/>
      </w:r>
      <w:r w:rsidR="00A47DA2">
        <w:instrText xml:space="preserve"> ADDIN ZOTERO_ITEM CSL_CITATION {"citationID":"IsXZ9D11","properties":{"formattedCitation":"(Mustafa et al. 2013)","plainCitation":"(Mustafa et al. 2013)"},"citationItems":[{"id":291,"uris":["http://zotero.org/users/local/Y4Qp1Cr8/items/Z5HKWCVL"],"uri":["http://zotero.org/users/local/Y4Qp1Cr8/items/Z5HKWCVL"],"itemData":{"id":291,"type":"article-journal","title":"Resolvin D1 protects periodontal ligament","container-title":"American Journal of Physiology. Cell Physiology","page":"C673-679","volume":"305","issue":"6","source":"PubMed","abstract":"Resolution agonists are endogenous mediators that drive inflammation to homeostasis. We earlier demonstrated in vivo activity of resolvins and lipoxins on regenerative periodontal wound healing. The goal of this study was to determine the impact of resolvin D1 (RvD1) on the function of human periodontal ligament (PDL) fibroblasts, which are critical for wound healing during regeneration of the soft and hard tissues around teeth. Primary cells were cultured from biopsies obtained from three individuals free of periodontal diseases. Peripheral blood mononuclear cells were isolated by density gradient centrifugation from whole blood of healthy volunteers. PGE2, leukotriene B4 (LTB4), and lipoxin A4 (LXA4) in culture supernatants were measured by ELISA. The direct impact of RvD1 on PDL fibroblast proliferation was measured and wound closure was analyzed in vitro using a fibroblast culture \"scratch assay.\" PDL fibroblast function in response to RvD1 was further characterized by basic FGF production by ELISA. IL-1β and TNF-α enhanced the production of PGE2. Treatment of PDL cells and monocytes with 0.1-10 ng/ml RvD1 (0.27-27 M) reduced cytokine induced production of PGE2 and upregulated LXA4 production by both PDL cells and monocytes. RvD1 significantly enhanced PDL fibroblast proliferation and wound closure as well as basic FGF release. The results demonstrate that anti-inflammatory and proresolution actions of RvD1 with upregulation of arachidonic acid-derived endogenous resolution pathways (LXA4) and suggest resolution pathway synergy establishing a novel mechanism for the proresolution activity of the ω-3 docosahexaenoic acid-derived resolution agonist RvD1.","DOI":"10.1152/ajpcell.00242.2012","ISSN":"1522-1563","note":"PMID: 23864609\nPMCID: PMC3761172","journalAbbreviation":"Am. J. Physiol., Cell Physiol.","language":"eng","author":[{"family":"Mustafa","given":"Manal"},{"family":"Zarrough","given":"Ahmed"},{"family":"Bolstad","given":"Anne Isine"},{"family":"Lygre","given":"Henning"},{"family":"Mustafa","given":"Kamal"},{"family":"Hasturk","given":"Hatice"},{"family":"Serhan","given":"Charles"},{"family":"Kantarci","given":"Alpdogan"},{"family":"Van Dyke","given":"Thomas E."}],"issued":{"date-parts":[["2013",9,15]]}}}],"schema":"https://github.com/citation-style-language/schema/raw/master/csl-citation.json"} </w:instrText>
      </w:r>
      <w:r w:rsidR="00A47DA2">
        <w:fldChar w:fldCharType="separate"/>
      </w:r>
      <w:r w:rsidR="00A47DA2">
        <w:rPr>
          <w:noProof/>
        </w:rPr>
        <w:t>(Mustafa et al. 2013)</w:t>
      </w:r>
      <w:r w:rsidR="00A47DA2">
        <w:fldChar w:fldCharType="end"/>
      </w:r>
      <w:r w:rsidR="00A47DA2">
        <w:t xml:space="preserve">. </w:t>
      </w:r>
    </w:p>
    <w:p w14:paraId="6B42D76F" w14:textId="77777777" w:rsidR="009A5E3F" w:rsidRDefault="009A5E3F" w:rsidP="00A47DA2">
      <w:pPr>
        <w:pStyle w:val="Stytleparagraphe"/>
        <w:ind w:firstLine="360"/>
      </w:pPr>
    </w:p>
    <w:p w14:paraId="7E4FA7B8" w14:textId="138F327C" w:rsidR="009A5E3F" w:rsidRDefault="009A5E3F" w:rsidP="00A47DA2">
      <w:pPr>
        <w:pStyle w:val="Stytleparagraphe"/>
        <w:ind w:firstLine="360"/>
      </w:pPr>
      <w:r>
        <w:t>Dans</w:t>
      </w:r>
      <w:r w:rsidR="00C62A0B">
        <w:t xml:space="preserve"> une publication sur la résolution natuelle de l’inflammation,</w:t>
      </w:r>
      <w:r>
        <w:t xml:space="preserve"> Freire et al.</w:t>
      </w:r>
      <w:r w:rsidR="00C62A0B">
        <w:t xml:space="preserve"> nous résume le rôle des différents médiateurs lipidiques sur le parodonte. L’augmentation des niveaux de lipoxine A4 chez le modèle lapin le protège contre le développement de la maladie parodontale. La résolvine E1 appliquée de manière topique sur les tissus réduit les signes d’activité de la maladie parodontale, diminue la destruction osseuse de 95%, réduit le nombre de neutrophile au sein des tissus et l’infiltration leucocytaire. </w:t>
      </w:r>
    </w:p>
    <w:p w14:paraId="779088FF" w14:textId="297B828B" w:rsidR="00C62A0B" w:rsidRDefault="00C62A0B" w:rsidP="00C62A0B">
      <w:pPr>
        <w:pStyle w:val="Stytleparagraphe"/>
      </w:pPr>
      <w:r>
        <w:t>Un essai clinique conduit chez des patients atteints de parodontite modérée à sévère supplémentés en acide omega-3 polyinsaturés et aspirine et avec détartrage et surfaçage radiculaire montre des profondeurs de poche,</w:t>
      </w:r>
      <w:r w:rsidR="0007406B">
        <w:t xml:space="preserve"> </w:t>
      </w:r>
      <w:r>
        <w:t xml:space="preserve">des niveaux d’attachement radiculaire plus élevés et des niveaux de médiateurs pro-inflammatoires réduits dans la salive, par rapport aux patients ayant reçu un traitement parodontal mécanique seul </w:t>
      </w:r>
      <w:r>
        <w:fldChar w:fldCharType="begin"/>
      </w:r>
      <w:r>
        <w:instrText xml:space="preserve"> ADDIN ZOTERO_ITEM CSL_CITATION {"citationID":"bq50CYL6","properties":{"formattedCitation":"(Freire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fldChar w:fldCharType="separate"/>
      </w:r>
      <w:r>
        <w:rPr>
          <w:noProof/>
        </w:rPr>
        <w:t>(Freire et Van Dyke 2013)</w:t>
      </w:r>
      <w:r>
        <w:fldChar w:fldCharType="end"/>
      </w:r>
      <w:r>
        <w:t xml:space="preserve">. </w:t>
      </w:r>
    </w:p>
    <w:p w14:paraId="44EE3D9D" w14:textId="77777777" w:rsidR="002A4E9C" w:rsidRPr="002A4E9C" w:rsidRDefault="002A4E9C" w:rsidP="002A4E9C">
      <w:pPr>
        <w:pStyle w:val="Stytleparagraphe"/>
      </w:pPr>
    </w:p>
    <w:p w14:paraId="665B2791" w14:textId="67368CC0" w:rsidR="002A4E9C" w:rsidRDefault="0028264E" w:rsidP="002A4E9C">
      <w:pPr>
        <w:pStyle w:val="Stytleparagraphe"/>
      </w:pPr>
      <w:r>
        <w:tab/>
        <w:t>Cianci et al. met</w:t>
      </w:r>
      <w:r w:rsidR="006E135B">
        <w:t>tent</w:t>
      </w:r>
      <w:r>
        <w:t xml:space="preserve"> en évidence le rôle des cellules souches du ligament parodontal dans la libération des médiateurs qui favorisent la résolution de l’inflammation et la destruction des pathogènes. L’étude souligne le rôle de la </w:t>
      </w:r>
      <w:r w:rsidR="001E7104">
        <w:t xml:space="preserve">lipoxine A4, </w:t>
      </w:r>
      <w:r>
        <w:t xml:space="preserve">puissant signal d’arrêt endogène de l’inflammation. La LXA4 atténue l’inflammation excessive, favorise la résolution de l’inflammation et protège contre les lésions tissulaires induites par les leucocytes. Ce médiateur améliore la capacité de prolifération, de migration et de cicatrisation des cellules souches du ligament parodontal humain, outil prometteur en dentisterie régénérative </w:t>
      </w:r>
      <w:r>
        <w:fldChar w:fldCharType="begin"/>
      </w:r>
      <w:r>
        <w:instrText xml:space="preserve"> ADDIN ZOTERO_ITEM CSL_CITATION {"citationID":"vkbdZdRz","properties":{"formattedCitation":"(Cianci et al. 2016)","plainCitation":"(Cianci et al. 2016)"},"citationItems":[{"id":299,"uris":["http://zotero.org/users/local/Y4Qp1Cr8/items/4T76LV93"],"uri":["http://zotero.org/users/local/Y4Qp1Cr8/items/4T76LV93"],"itemData":{"id":299,"type":"article-journal","title":"Human Periodontal Stem Cells Release Specialized Proresolving Mediators and Carry Immunomodulatory and Prohealing Properties Regulated by Lipoxins","container-title":"Stem Cells Translational Medicine","page":"20-32","volume":"5","issue":"1","source":"PubMed","abstract":"Unresolved inflammation and tissue destruction are underlying mechanisms of periodontitis, which is linked to dysregulated polymorphonuclear neutrophil (PMN) functions. Lipoxin A4 (LXA4) is a specialized proresolving lipid mediator (SPM) that dampens excessive inflammation, promotes resolution, and protects from leukocyte-mediated tissue damage. Human periodontal ligament stem cells (hPDLSCs) represent key players during tissue regeneration and may contribute to resolution of inflammation; thus, they may represent a promising tool in regenerative dentistry. In the present study, we investigated the actions of hPDLSCs on PMN apoptosis and antimicrobial functions, and determined the impact of LXA4 on hPDLSCs. hPDLSCs significantly reduced apoptosis and stimulated microbicidal activity of human PMNs, via both cell-cell interactions and paracrine mechanisms. Lipid mediator metabololipidomics analysis demonstrated that hPDLSCs biosynthesize SPMs, including resolvin D1, D2, D5, and D6; protectin D1; maresins; and LXB4; as well as prostaglandins D2, E2, and F2α. LXA4 significantly enhanced proliferation, migration, and wound healing capacity of hPDLSCs through the activation of its cognate receptor ALX/FPR2, expressed on hPDLSCs. Together, these results demonstrate that hPDLSCs modulate PMN functions, and provide the first evidence that stem cells generate SPM and that the LXA4-ALX/FPR2 axis regulates regenerative functions of hPDLSCs by a novel receptor-mediated mechanism.\nSIGNIFICANCE: These findings uncovered unappreciated features of stem cells from the periodontal ligament, supporting the notion that these cells may act as master regulators of pathophysiological events through the release of mediators that promote the resolution of inflammation and bacterial killing. The study also demonstrated that it is possible to modulate important functions of periodontal stem cells using lipoxin A4, a potent endogenous stop signal of inflammation. Thus, this study revealed an unappreciated anti-inflammatory proregenerative circuit that may be exploited to combat periodontal pathologies using resident stem cells. Moreover, the data may represent a more general template to explain the immunomodulatory functions of stem cells.","DOI":"10.5966/sctm.2015-0163","ISSN":"2157-6564","note":"PMID: 26607175\nPMCID: PMC4704879","journalAbbreviation":"Stem Cells Transl Med","language":"eng","author":[{"family":"Cianci","given":"Eleonora"},{"family":"Recchiuti","given":"Antonio"},{"family":"Trubiani","given":"Oriana"},{"family":"Diomede","given":"Francesca"},{"family":"Marchisio","given":"Marco"},{"family":"Miscia","given":"Sebastiano"},{"family":"Colas","given":"Romain A."},{"family":"Dalli","given":"Jesmond"},{"family":"Serhan","given":"Charles N."},{"family":"Romano","given":"Mario"}],"issued":{"date-parts":[["2016",1]]}}}],"schema":"https://github.com/citation-style-language/schema/raw/master/csl-citation.json"} </w:instrText>
      </w:r>
      <w:r>
        <w:fldChar w:fldCharType="separate"/>
      </w:r>
      <w:r>
        <w:rPr>
          <w:noProof/>
        </w:rPr>
        <w:t>(Cianci et al. 2016)</w:t>
      </w:r>
      <w:r>
        <w:fldChar w:fldCharType="end"/>
      </w:r>
      <w:r>
        <w:t>.</w:t>
      </w:r>
    </w:p>
    <w:p w14:paraId="4E834F55" w14:textId="77777777" w:rsidR="007822E4" w:rsidRDefault="007822E4" w:rsidP="002A4E9C">
      <w:pPr>
        <w:pStyle w:val="Stytleparagraphe"/>
      </w:pPr>
    </w:p>
    <w:p w14:paraId="1E874560" w14:textId="43C7406F" w:rsidR="007822E4" w:rsidRDefault="007822E4" w:rsidP="0018798A">
      <w:pPr>
        <w:pStyle w:val="Style2"/>
        <w:numPr>
          <w:ilvl w:val="0"/>
          <w:numId w:val="13"/>
        </w:numPr>
      </w:pPr>
      <w:bookmarkStart w:id="371" w:name="_Toc380946410"/>
      <w:bookmarkStart w:id="372" w:name="_Toc383883974"/>
      <w:bookmarkStart w:id="373" w:name="_Toc384754091"/>
      <w:bookmarkStart w:id="374" w:name="_Toc384756512"/>
      <w:bookmarkStart w:id="375" w:name="_Toc384816108"/>
      <w:bookmarkStart w:id="376" w:name="_Toc384826824"/>
      <w:r>
        <w:t>Conclusion</w:t>
      </w:r>
      <w:bookmarkEnd w:id="371"/>
      <w:bookmarkEnd w:id="372"/>
      <w:bookmarkEnd w:id="373"/>
      <w:bookmarkEnd w:id="374"/>
      <w:bookmarkEnd w:id="375"/>
      <w:bookmarkEnd w:id="376"/>
    </w:p>
    <w:p w14:paraId="467D3104" w14:textId="39BA2B8F" w:rsidR="007822E4" w:rsidRDefault="007822E4" w:rsidP="007822E4">
      <w:pPr>
        <w:pStyle w:val="Stytleparagraphe"/>
        <w:ind w:firstLine="360"/>
      </w:pPr>
      <w:r>
        <w:t xml:space="preserve">Il est désormais démontré que la résolution de l’inflammation est modulée par des médiateurs protecteurs, tels que les lipoxines dérivées de l’acide arachidonique, les lipoxines déclenchées par l’aspirine, les résolvines de la série E, les résolvines de la série D, les protectines et les marésines. </w:t>
      </w:r>
      <w:r w:rsidR="0007406B">
        <w:t xml:space="preserve">L’interaction entre ces médiateurs et les récepteurs couplés à la protéine G des cellules immunitaires innées conduisent à un arrêt de l’infiltration leucocytaire, monocytaire et des macrophages, un retour à la normale de la perméabilité vasculaire, l’apoptose des PMN et de l’élimination des PMN apoptotiques neutrophiles, des agents bactériens et des débris nécrotiques au sein du site.  Ces événements cellulaires conduisent au retour vers l’homéostasie tissulaire et donc au résultat idéal de l’inflammation </w:t>
      </w:r>
      <w:r w:rsidR="0007406B">
        <w:fldChar w:fldCharType="begin"/>
      </w:r>
      <w:r w:rsidR="0007406B">
        <w:instrText xml:space="preserve"> ADDIN ZOTERO_ITEM CSL_CITATION {"citationID":"2OoX7kh2","properties":{"formattedCitation":"(Freire et Van Dyke 2013)","plainCitation":"(Freire et Van Dyke 2013)"},"citationItems":[{"id":295,"uris":["http://zotero.org/users/local/Y4Qp1Cr8/items/9BXQTGWE"],"uri":["http://zotero.org/users/local/Y4Qp1Cr8/items/9BXQTGWE"],"itemData":{"id":295,"type":"article-journal","title":"Natural resolution of inflammation","container-title":"Periodontology 2000","page":"149-164","volume":"63","issue":"1","source":"PubMed Central","DOI":"10.1111/prd.12034","ISSN":"0906-6713","note":"PMID: 23931059\nPMCID: PMC4022040","journalAbbreviation":"Periodontol 2000","author":[{"family":"Freire","given":"Marcelo O."},{"family":"Van Dyke","given":"Thomas E."}],"issued":{"date-parts":[["2013",10]]}}}],"schema":"https://github.com/citation-style-language/schema/raw/master/csl-citation.json"} </w:instrText>
      </w:r>
      <w:r w:rsidR="0007406B">
        <w:fldChar w:fldCharType="separate"/>
      </w:r>
      <w:r w:rsidR="0007406B">
        <w:rPr>
          <w:noProof/>
        </w:rPr>
        <w:t>(Freire et Van Dyke 2013)</w:t>
      </w:r>
      <w:r w:rsidR="0007406B">
        <w:fldChar w:fldCharType="end"/>
      </w:r>
      <w:r w:rsidR="0007406B">
        <w:t>.</w:t>
      </w:r>
    </w:p>
    <w:p w14:paraId="3625CF43" w14:textId="77777777" w:rsidR="0007406B" w:rsidRDefault="0007406B" w:rsidP="007822E4">
      <w:pPr>
        <w:pStyle w:val="Stytleparagraphe"/>
        <w:ind w:firstLine="360"/>
      </w:pPr>
    </w:p>
    <w:p w14:paraId="638D0DA9" w14:textId="44D9C6C7" w:rsidR="0007406B" w:rsidRPr="002A4E9C" w:rsidRDefault="0007406B" w:rsidP="007822E4">
      <w:pPr>
        <w:pStyle w:val="Stytleparagraphe"/>
        <w:ind w:firstLine="360"/>
      </w:pPr>
      <w:r>
        <w:t>Les études précédemment citées soulignent le rôle de ces médiateurs lipidiques dans la cicatrisation parodontale, dans la prévention de l’inflammation chronique, dans le maintien des tissus mous et osseux et dans l’amélioration des paramètres cliniques chez les patients atteints de parodontite. Ces médiateurs sont essentiels à la régénération des tissus parodontaux et présentent donc une bonne perspective thérapeutique, bien que leur application concrète en thérapie parodontale reste un objectif à atteindre. Davantage d’études conduites sur l’Homme seront nécessaires afin d’évaluer leur intérêt et leur sûreté en parodontologie.</w:t>
      </w:r>
    </w:p>
    <w:p w14:paraId="5B49F985" w14:textId="77777777" w:rsidR="002A4E9C" w:rsidRPr="002A4E9C" w:rsidRDefault="002A4E9C" w:rsidP="002A4E9C">
      <w:pPr>
        <w:pStyle w:val="Stytleparagraphe"/>
      </w:pPr>
    </w:p>
    <w:p w14:paraId="66F09E0B" w14:textId="77777777" w:rsidR="002A4E9C" w:rsidRPr="002A4E9C" w:rsidRDefault="002A4E9C" w:rsidP="002A4E9C">
      <w:pPr>
        <w:pStyle w:val="Stytleparagraphe"/>
      </w:pPr>
    </w:p>
    <w:p w14:paraId="725577F6" w14:textId="77777777" w:rsidR="002A4E9C" w:rsidRPr="002A4E9C" w:rsidRDefault="002A4E9C" w:rsidP="002A4E9C">
      <w:pPr>
        <w:pStyle w:val="Stytleparagraphe"/>
      </w:pPr>
    </w:p>
    <w:p w14:paraId="064ED578" w14:textId="77777777" w:rsidR="002A4E9C" w:rsidRPr="002A4E9C" w:rsidRDefault="002A4E9C" w:rsidP="002A4E9C">
      <w:pPr>
        <w:pStyle w:val="Stytleparagraphe"/>
      </w:pPr>
    </w:p>
    <w:p w14:paraId="1324CD6F" w14:textId="77777777" w:rsidR="002A4E9C" w:rsidRPr="002A4E9C" w:rsidRDefault="002A4E9C" w:rsidP="002A4E9C">
      <w:pPr>
        <w:pStyle w:val="Stytleparagraphe"/>
      </w:pPr>
    </w:p>
    <w:p w14:paraId="75508469" w14:textId="77777777" w:rsidR="002A4E9C" w:rsidRPr="002A4E9C" w:rsidRDefault="002A4E9C" w:rsidP="002A4E9C">
      <w:pPr>
        <w:pStyle w:val="Stytleparagraphe"/>
      </w:pPr>
    </w:p>
    <w:p w14:paraId="3F6F16EA" w14:textId="77777777" w:rsidR="002A4E9C" w:rsidRPr="002A4E9C" w:rsidRDefault="002A4E9C" w:rsidP="002A4E9C">
      <w:pPr>
        <w:pStyle w:val="Stytleparagraphe"/>
      </w:pPr>
    </w:p>
    <w:p w14:paraId="51D654E0" w14:textId="77777777" w:rsidR="002A4E9C" w:rsidRPr="002A4E9C" w:rsidRDefault="002A4E9C" w:rsidP="002A4E9C">
      <w:pPr>
        <w:pStyle w:val="Stytleparagraphe"/>
      </w:pPr>
    </w:p>
    <w:p w14:paraId="0B6A1CC3" w14:textId="77777777" w:rsidR="002A4E9C" w:rsidRPr="002A4E9C" w:rsidRDefault="002A4E9C" w:rsidP="002A4E9C">
      <w:pPr>
        <w:pStyle w:val="Stytleparagraphe"/>
      </w:pPr>
    </w:p>
    <w:p w14:paraId="664BAB15" w14:textId="77777777" w:rsidR="002A4E9C" w:rsidRPr="002A4E9C" w:rsidRDefault="002A4E9C" w:rsidP="002A4E9C">
      <w:pPr>
        <w:pStyle w:val="Stytleparagraphe"/>
      </w:pPr>
    </w:p>
    <w:p w14:paraId="17AC6DFA" w14:textId="77777777" w:rsidR="002A4E9C" w:rsidRPr="002A4E9C" w:rsidRDefault="002A4E9C" w:rsidP="002A4E9C">
      <w:pPr>
        <w:pStyle w:val="Stytleparagraphe"/>
      </w:pPr>
    </w:p>
    <w:p w14:paraId="2605F9A9" w14:textId="77777777" w:rsidR="002A4E9C" w:rsidRPr="002A4E9C" w:rsidRDefault="002A4E9C" w:rsidP="002A4E9C">
      <w:pPr>
        <w:pStyle w:val="Stytleparagraphe"/>
      </w:pPr>
    </w:p>
    <w:p w14:paraId="2A648949" w14:textId="77777777" w:rsidR="002A4E9C" w:rsidRPr="002A4E9C" w:rsidRDefault="002A4E9C" w:rsidP="002A4E9C">
      <w:pPr>
        <w:pStyle w:val="Stytleparagraphe"/>
      </w:pPr>
    </w:p>
    <w:p w14:paraId="7FC7288A" w14:textId="352F6738" w:rsidR="00E3706F" w:rsidRDefault="00E3706F" w:rsidP="002A4E9C"/>
    <w:p w14:paraId="6329AF9A" w14:textId="77777777" w:rsidR="00E3706F" w:rsidRPr="00E3706F" w:rsidRDefault="00E3706F" w:rsidP="00E3706F"/>
    <w:p w14:paraId="7FA10D32" w14:textId="77777777" w:rsidR="00E3706F" w:rsidRPr="00E3706F" w:rsidRDefault="00E3706F" w:rsidP="00E3706F"/>
    <w:p w14:paraId="4BCE3D00" w14:textId="77777777" w:rsidR="00E3706F" w:rsidRPr="00E3706F" w:rsidRDefault="00E3706F" w:rsidP="00E3706F"/>
    <w:p w14:paraId="22E7D990" w14:textId="77777777" w:rsidR="00E3706F" w:rsidRPr="00E3706F" w:rsidRDefault="00E3706F" w:rsidP="00E3706F"/>
    <w:p w14:paraId="0A4A01D2" w14:textId="77777777" w:rsidR="00E3706F" w:rsidRPr="00E3706F" w:rsidRDefault="00E3706F" w:rsidP="00E3706F"/>
    <w:p w14:paraId="00A01FA9" w14:textId="77777777" w:rsidR="00E3706F" w:rsidRPr="00E3706F" w:rsidRDefault="00E3706F" w:rsidP="00E3706F"/>
    <w:p w14:paraId="72BA1EF7" w14:textId="77777777" w:rsidR="00E3706F" w:rsidRPr="00E3706F" w:rsidRDefault="00E3706F" w:rsidP="00E3706F"/>
    <w:p w14:paraId="4744B566" w14:textId="77777777" w:rsidR="00E3706F" w:rsidRPr="00E3706F" w:rsidRDefault="00E3706F" w:rsidP="00E3706F"/>
    <w:p w14:paraId="5CC9E58F" w14:textId="77777777" w:rsidR="00E3706F" w:rsidRPr="00E3706F" w:rsidRDefault="00E3706F" w:rsidP="00E3706F"/>
    <w:p w14:paraId="7697921A" w14:textId="352B2452" w:rsidR="002F53B7" w:rsidRDefault="002F53B7" w:rsidP="00E3706F">
      <w:pPr>
        <w:tabs>
          <w:tab w:val="left" w:pos="4848"/>
        </w:tabs>
      </w:pPr>
    </w:p>
    <w:p w14:paraId="1D539F40" w14:textId="77777777" w:rsidR="00C353BD" w:rsidRDefault="00C353BD" w:rsidP="00C353BD">
      <w:pPr>
        <w:spacing w:line="360" w:lineRule="auto"/>
        <w:rPr>
          <w:rFonts w:ascii="Arial" w:hAnsi="Arial"/>
          <w:sz w:val="28"/>
        </w:rPr>
      </w:pPr>
    </w:p>
    <w:p w14:paraId="2C11258E" w14:textId="77777777" w:rsidR="00C353BD" w:rsidRDefault="00C353BD" w:rsidP="00C353BD">
      <w:pPr>
        <w:spacing w:line="360" w:lineRule="auto"/>
        <w:rPr>
          <w:rFonts w:ascii="Arial" w:hAnsi="Arial"/>
          <w:sz w:val="28"/>
        </w:rPr>
      </w:pPr>
    </w:p>
    <w:p w14:paraId="28DA811E" w14:textId="77777777" w:rsidR="00C353BD" w:rsidRDefault="00C353BD" w:rsidP="00C353BD">
      <w:pPr>
        <w:spacing w:line="360" w:lineRule="auto"/>
        <w:rPr>
          <w:rFonts w:ascii="Arial" w:hAnsi="Arial"/>
          <w:sz w:val="28"/>
        </w:rPr>
      </w:pPr>
    </w:p>
    <w:p w14:paraId="61982F24" w14:textId="77777777" w:rsidR="00C353BD" w:rsidRDefault="00C353BD" w:rsidP="00C353BD">
      <w:pPr>
        <w:spacing w:line="360" w:lineRule="auto"/>
        <w:rPr>
          <w:rFonts w:ascii="Arial" w:hAnsi="Arial"/>
          <w:sz w:val="28"/>
        </w:rPr>
      </w:pPr>
    </w:p>
    <w:p w14:paraId="265570B7" w14:textId="77777777" w:rsidR="00C353BD" w:rsidRDefault="00C353BD" w:rsidP="00C353BD">
      <w:pPr>
        <w:spacing w:line="360" w:lineRule="auto"/>
        <w:rPr>
          <w:rFonts w:ascii="Arial" w:hAnsi="Arial"/>
          <w:sz w:val="28"/>
        </w:rPr>
      </w:pPr>
    </w:p>
    <w:p w14:paraId="36D1E0E4" w14:textId="77777777" w:rsidR="00C353BD" w:rsidRDefault="00C353BD" w:rsidP="00C353BD">
      <w:pPr>
        <w:spacing w:line="360" w:lineRule="auto"/>
        <w:rPr>
          <w:rFonts w:ascii="Arial" w:hAnsi="Arial"/>
          <w:sz w:val="28"/>
        </w:rPr>
      </w:pPr>
    </w:p>
    <w:p w14:paraId="2CAD5E73" w14:textId="77777777" w:rsidR="00C353BD" w:rsidRPr="001F28E7" w:rsidRDefault="00C353BD" w:rsidP="00C353BD">
      <w:pPr>
        <w:spacing w:line="360" w:lineRule="auto"/>
        <w:rPr>
          <w:rFonts w:ascii="Arial" w:hAnsi="Arial"/>
          <w:sz w:val="28"/>
        </w:rPr>
      </w:pPr>
    </w:p>
    <w:p w14:paraId="120D3088" w14:textId="77777777" w:rsidR="00C353BD" w:rsidRDefault="00C353BD" w:rsidP="00C353BD">
      <w:pPr>
        <w:pStyle w:val="ListParagraph"/>
        <w:spacing w:line="360" w:lineRule="auto"/>
        <w:ind w:left="1080"/>
        <w:rPr>
          <w:rFonts w:ascii="Arial" w:hAnsi="Arial"/>
          <w:sz w:val="28"/>
        </w:rPr>
      </w:pPr>
    </w:p>
    <w:p w14:paraId="4B8B86B0" w14:textId="77777777" w:rsidR="00D70AFD" w:rsidRDefault="00D70AFD" w:rsidP="00C353BD">
      <w:pPr>
        <w:pStyle w:val="ListParagraph"/>
        <w:spacing w:line="360" w:lineRule="auto"/>
        <w:ind w:left="1080"/>
        <w:rPr>
          <w:rFonts w:ascii="Arial" w:hAnsi="Arial"/>
          <w:sz w:val="28"/>
        </w:rPr>
      </w:pPr>
    </w:p>
    <w:p w14:paraId="1F0B8136" w14:textId="77777777" w:rsidR="00C353BD" w:rsidRPr="00DE07A7" w:rsidRDefault="00C353BD" w:rsidP="00C353BD">
      <w:pPr>
        <w:spacing w:line="360" w:lineRule="auto"/>
        <w:rPr>
          <w:rFonts w:ascii="Arial" w:hAnsi="Arial"/>
          <w:sz w:val="28"/>
        </w:rPr>
      </w:pPr>
    </w:p>
    <w:p w14:paraId="1768CA1D" w14:textId="77777777" w:rsidR="00C353BD" w:rsidRDefault="00C353BD" w:rsidP="00C353BD">
      <w:pPr>
        <w:pStyle w:val="ListParagraph"/>
        <w:spacing w:line="360" w:lineRule="auto"/>
        <w:ind w:left="1080"/>
        <w:rPr>
          <w:rFonts w:ascii="Arial" w:hAnsi="Arial"/>
          <w:sz w:val="28"/>
        </w:rPr>
      </w:pPr>
    </w:p>
    <w:p w14:paraId="2A1E77AE" w14:textId="77777777" w:rsidR="00C353BD" w:rsidRDefault="00C353BD" w:rsidP="00C353BD">
      <w:pPr>
        <w:pStyle w:val="ListParagraph"/>
        <w:spacing w:line="360" w:lineRule="auto"/>
        <w:ind w:left="1080"/>
        <w:rPr>
          <w:rFonts w:ascii="Arial" w:hAnsi="Arial"/>
          <w:sz w:val="28"/>
        </w:rPr>
      </w:pPr>
    </w:p>
    <w:p w14:paraId="6DE20A13" w14:textId="77777777" w:rsidR="00C353BD" w:rsidRDefault="00C353BD" w:rsidP="00C353BD">
      <w:pPr>
        <w:pStyle w:val="ListParagraph"/>
        <w:spacing w:line="360" w:lineRule="auto"/>
        <w:ind w:left="1080"/>
        <w:rPr>
          <w:rFonts w:ascii="Arial" w:hAnsi="Arial"/>
          <w:sz w:val="28"/>
        </w:rPr>
      </w:pPr>
    </w:p>
    <w:p w14:paraId="13A98021" w14:textId="77777777" w:rsidR="00C353BD" w:rsidRDefault="00C353BD" w:rsidP="00C353BD"/>
    <w:p w14:paraId="531D31DC" w14:textId="77777777" w:rsidR="00E3706F" w:rsidRDefault="00E3706F" w:rsidP="00E3706F">
      <w:pPr>
        <w:tabs>
          <w:tab w:val="left" w:pos="4848"/>
        </w:tabs>
      </w:pPr>
    </w:p>
    <w:p w14:paraId="220E971F" w14:textId="15708C7F" w:rsidR="00E3706F" w:rsidRDefault="00C353BD" w:rsidP="00E3706F">
      <w:pPr>
        <w:pStyle w:val="Style1"/>
        <w:pBdr>
          <w:bottom w:val="single" w:sz="6" w:space="1" w:color="auto"/>
        </w:pBdr>
      </w:pPr>
      <w:bookmarkStart w:id="377" w:name="_Toc380946411"/>
      <w:bookmarkStart w:id="378" w:name="_Toc383883975"/>
      <w:bookmarkStart w:id="379" w:name="_Toc384754092"/>
      <w:bookmarkStart w:id="380" w:name="_Toc384756513"/>
      <w:bookmarkStart w:id="381" w:name="_Toc384816109"/>
      <w:bookmarkStart w:id="382" w:name="_Toc384826825"/>
      <w:r>
        <w:t>LES STATINES</w:t>
      </w:r>
      <w:bookmarkEnd w:id="377"/>
      <w:bookmarkEnd w:id="378"/>
      <w:bookmarkEnd w:id="379"/>
      <w:bookmarkEnd w:id="380"/>
      <w:bookmarkEnd w:id="381"/>
      <w:bookmarkEnd w:id="382"/>
    </w:p>
    <w:p w14:paraId="19CAAADF" w14:textId="77777777" w:rsidR="00C353BD" w:rsidRDefault="00C353BD" w:rsidP="00C353BD">
      <w:pPr>
        <w:pStyle w:val="Style1"/>
        <w:numPr>
          <w:ilvl w:val="0"/>
          <w:numId w:val="0"/>
        </w:numPr>
        <w:ind w:left="1080"/>
        <w:jc w:val="left"/>
      </w:pPr>
    </w:p>
    <w:p w14:paraId="24C83DB4" w14:textId="6B733937" w:rsidR="00415EA0" w:rsidRDefault="00415EA0" w:rsidP="00E3706F">
      <w:pPr>
        <w:pStyle w:val="Style1"/>
        <w:numPr>
          <w:ilvl w:val="0"/>
          <w:numId w:val="0"/>
        </w:numPr>
        <w:ind w:left="1080"/>
      </w:pPr>
    </w:p>
    <w:p w14:paraId="6ECCF0BD" w14:textId="77777777" w:rsidR="00415EA0" w:rsidRPr="00415EA0" w:rsidRDefault="00415EA0" w:rsidP="00415EA0"/>
    <w:p w14:paraId="77BFE6AB" w14:textId="77777777" w:rsidR="00415EA0" w:rsidRPr="00415EA0" w:rsidRDefault="00415EA0" w:rsidP="00415EA0"/>
    <w:p w14:paraId="7CC60113" w14:textId="77777777" w:rsidR="00415EA0" w:rsidRPr="00415EA0" w:rsidRDefault="00415EA0" w:rsidP="00415EA0"/>
    <w:p w14:paraId="30B50AB1" w14:textId="77777777" w:rsidR="00415EA0" w:rsidRPr="00415EA0" w:rsidRDefault="00415EA0" w:rsidP="00415EA0"/>
    <w:p w14:paraId="29024079" w14:textId="77777777" w:rsidR="00415EA0" w:rsidRPr="00415EA0" w:rsidRDefault="00415EA0" w:rsidP="00415EA0"/>
    <w:p w14:paraId="288DCB7C" w14:textId="77777777" w:rsidR="00415EA0" w:rsidRPr="00415EA0" w:rsidRDefault="00415EA0" w:rsidP="00415EA0"/>
    <w:p w14:paraId="1849EFDC" w14:textId="77777777" w:rsidR="00415EA0" w:rsidRPr="00415EA0" w:rsidRDefault="00415EA0" w:rsidP="00415EA0"/>
    <w:p w14:paraId="3B8935BC" w14:textId="77777777" w:rsidR="00415EA0" w:rsidRPr="00415EA0" w:rsidRDefault="00415EA0" w:rsidP="00415EA0"/>
    <w:p w14:paraId="24E704D4" w14:textId="77777777" w:rsidR="00415EA0" w:rsidRPr="00415EA0" w:rsidRDefault="00415EA0" w:rsidP="00415EA0"/>
    <w:p w14:paraId="1C33187C" w14:textId="77777777" w:rsidR="00415EA0" w:rsidRPr="00415EA0" w:rsidRDefault="00415EA0" w:rsidP="00415EA0"/>
    <w:p w14:paraId="253F60C3" w14:textId="77777777" w:rsidR="00415EA0" w:rsidRPr="00415EA0" w:rsidRDefault="00415EA0" w:rsidP="00415EA0"/>
    <w:p w14:paraId="5FC0DA43" w14:textId="77777777" w:rsidR="00415EA0" w:rsidRPr="00415EA0" w:rsidRDefault="00415EA0" w:rsidP="00415EA0"/>
    <w:p w14:paraId="10235729" w14:textId="77777777" w:rsidR="00415EA0" w:rsidRPr="00415EA0" w:rsidRDefault="00415EA0" w:rsidP="00415EA0"/>
    <w:p w14:paraId="67546852" w14:textId="77777777" w:rsidR="00415EA0" w:rsidRPr="00415EA0" w:rsidRDefault="00415EA0" w:rsidP="00415EA0"/>
    <w:p w14:paraId="3D9F5672" w14:textId="77777777" w:rsidR="00415EA0" w:rsidRPr="00415EA0" w:rsidRDefault="00415EA0" w:rsidP="00415EA0"/>
    <w:p w14:paraId="164AD9CE" w14:textId="77777777" w:rsidR="00415EA0" w:rsidRPr="00415EA0" w:rsidRDefault="00415EA0" w:rsidP="00415EA0"/>
    <w:p w14:paraId="1B52FC95" w14:textId="77777777" w:rsidR="00415EA0" w:rsidRPr="00415EA0" w:rsidRDefault="00415EA0" w:rsidP="00415EA0"/>
    <w:p w14:paraId="6820DBB3" w14:textId="77777777" w:rsidR="00415EA0" w:rsidRDefault="00415EA0" w:rsidP="00415EA0"/>
    <w:p w14:paraId="434E8B84" w14:textId="77777777" w:rsidR="007E09D6" w:rsidRDefault="007E09D6" w:rsidP="00415EA0"/>
    <w:p w14:paraId="7CDC57CB" w14:textId="77777777" w:rsidR="00DD6D2C" w:rsidRDefault="00DD6D2C" w:rsidP="00415EA0"/>
    <w:p w14:paraId="07FAE223" w14:textId="3D482E33" w:rsidR="00DD6D2C" w:rsidRPr="00415EA0" w:rsidRDefault="00DD6D2C" w:rsidP="0018798A">
      <w:pPr>
        <w:pStyle w:val="Style2"/>
        <w:numPr>
          <w:ilvl w:val="0"/>
          <w:numId w:val="15"/>
        </w:numPr>
      </w:pPr>
      <w:bookmarkStart w:id="383" w:name="_Toc380946412"/>
      <w:bookmarkStart w:id="384" w:name="_Toc383883976"/>
      <w:bookmarkStart w:id="385" w:name="_Toc384754093"/>
      <w:bookmarkStart w:id="386" w:name="_Toc384756514"/>
      <w:bookmarkStart w:id="387" w:name="_Toc384816110"/>
      <w:bookmarkStart w:id="388" w:name="_Toc384826826"/>
      <w:r>
        <w:t>Introduction</w:t>
      </w:r>
      <w:bookmarkEnd w:id="383"/>
      <w:bookmarkEnd w:id="384"/>
      <w:bookmarkEnd w:id="385"/>
      <w:bookmarkEnd w:id="386"/>
      <w:bookmarkEnd w:id="387"/>
      <w:bookmarkEnd w:id="388"/>
    </w:p>
    <w:p w14:paraId="241D7E30" w14:textId="427D12D4" w:rsidR="00415EA0" w:rsidRDefault="007E09D6" w:rsidP="007E09D6">
      <w:pPr>
        <w:pStyle w:val="Stytleparagraphe"/>
        <w:ind w:firstLine="720"/>
      </w:pPr>
      <w:r>
        <w:t>Des études réalisées chez l’Homme et l’animal montrent les statines, notamment  la simvastatine, l’</w:t>
      </w:r>
      <w:r w:rsidR="00DD6D2C">
        <w:t xml:space="preserve">atorvastatine et la pravastatine, </w:t>
      </w:r>
      <w:r>
        <w:t>peuvent avoir un rôle bénéfique sur le processus de cicatrisation des plaies</w:t>
      </w:r>
      <w:r w:rsidR="00DD6D2C">
        <w:t xml:space="preserve"> </w:t>
      </w:r>
      <w:r w:rsidR="00DD6D2C">
        <w:fldChar w:fldCharType="begin"/>
      </w:r>
      <w:r w:rsidR="00DD6D2C">
        <w:instrText xml:space="preserve"> ADDIN ZOTERO_ITEM CSL_CITATION {"citationID":"CPzRgEwn","properties":{"formattedCitation":"(Farsaei, Khalili, et Farboud 2012)","plainCitation":"(Farsaei, Khalili, et Farboud 2012)"},"citationItems":[{"id":308,"uris":["http://zotero.org/users/local/Y4Qp1Cr8/items/VWAHFRZT"],"uri":["http://zotero.org/users/local/Y4Qp1Cr8/items/VWAHFRZT"],"itemData":{"id":308,"type":"article-journal","title":"Potential role of statins on wound healing: review of the literature","container-title":"International Wound Journal","page":"238-247","volume":"9","issue":"3","source":"PubMed","abstract":"Wound healing is a dynamic and complex biological process, which requires coordinated events including haemostasis, inflammation, proliferation, revascularisation and remodelling. Impaired wound healing is a common problem that occurs in both community and hospital settings. Various experimental and clinical studies have evaluated different modalities for the treatment of topical wounds, such as sugar, antibiotics, honey and phytotherapies; also statins have diverse pleiotropic effects that have been suggested to be useful to improve wound healing. Data derived from both animal and human studies showed that statins especially atorvastatin, simvastatin and pravastatin can accelerate the wound-healing process. However, further high-quality and evidence-based studies are needed to address the best statin drug, appropriate dose, the best administration route, duration of treatment and to determine correlation between pleiotropic effects of statins and their probable clinical benefits.","DOI":"10.1111/j.1742-481X.2011.00888.x","ISSN":"1742-481X","note":"PMID: 22050652","shortTitle":"Potential role of statins on wound healing","journalAbbreviation":"Int Wound J","language":"eng","author":[{"family":"Farsaei","given":"Shadi"},{"family":"Khalili","given":"Hossein"},{"family":"Farboud","given":"Effat Sadat"}],"issued":{"date-parts":[["2012",6]]}}}],"schema":"https://github.com/citation-style-language/schema/raw/master/csl-citation.json"} </w:instrText>
      </w:r>
      <w:r w:rsidR="00DD6D2C">
        <w:fldChar w:fldCharType="separate"/>
      </w:r>
      <w:r w:rsidR="00DD6D2C">
        <w:rPr>
          <w:noProof/>
        </w:rPr>
        <w:t>(Farsaei, Khalili, et Farboud 2012)</w:t>
      </w:r>
      <w:r w:rsidR="00DD6D2C">
        <w:fldChar w:fldCharType="end"/>
      </w:r>
      <w:r>
        <w:t xml:space="preserve">. </w:t>
      </w:r>
      <w:r w:rsidR="00DD6D2C">
        <w:t xml:space="preserve">L’utilisation étendue des statines conduit à des effets aussi bien bénéfiques qu’indésirables, c’est ce qu’on appelle l’effet pléiotropique </w:t>
      </w:r>
      <w:r w:rsidR="00DD6D2C">
        <w:fldChar w:fldCharType="begin"/>
      </w:r>
      <w:r w:rsidR="00DD6D2C">
        <w:instrText xml:space="preserve"> ADDIN ZOTERO_ITEM CSL_CITATION {"citationID":"c5cdS0Pf","properties":{"formattedCitation":"(Horiuchi et Maeda 2006)","plainCitation":"(Horiuchi et Maeda 2006)"},"citationItems":[{"id":318,"uris":["http://zotero.org/users/local/Y4Qp1Cr8/items/QQY88TCM"],"uri":["http://zotero.org/users/local/Y4Qp1Cr8/items/QQY88TCM"],"itemData":{"id":318,"type":"article-journal","title":"Statins and bone metabolism","container-title":"Oral Diseases","page":"85-101","volume":"12","issue":"2","source":"Wiley Online Library","abstract":"3-Hydroxy-3-methylglutaryl coenzyme A reductase inhibitors (statins) are potent inhibitors of cholesterol biosynthesis. Cholesterol-lowering therapy using statins significantly reduces the risk of coronary heart disease. However, extensive use of statins leads to increases of other undesirable as well as beneficial effects, so-called pleiotropic effects. With respect to these effects, statins augment the expression of bone morphogenetic protein-2, a potent simulator of osteoblast differentiation and its activity, and promote mineralization by cultured osteoblasts, indicating that statins have an anabolic effect on bone. Chronic administration of statins in ovariectomized (OVX) rats modestly increases bone mineral density (BMD) of cancellous bone but not of compact bone. In clinical studies, there are conflicting results regarding the clinical benefits of this therapy for the treatment of osteoporosis. Observational studies suggest an association between statin use and reduction in fracture risk. Clinical trials reported no effect of statin treatment on BMD in hip and spine, and on bone turnover. Statins also may influence oral osseous tissues. Administration of statins in combination with osteoporosis therapy appears to improve alveolar bone architecture in the mandibles of OVX rats with maxillary molar extraction. Statins continue to be considered as potential therapeutic agents for patients with osteoporosis and possibly with periodontal disease. Development of new statins that are more specific and potent for bone metabolism will greatly increase the usefulness of these drugs for the treatment of bone diseases.","DOI":"10.1111/j.1601-0825.2005.01172.x","ISSN":"1601-0825","language":"en","author":[{"family":"Horiuchi","given":"N"},{"family":"Maeda","given":"T"}],"issued":{"date-parts":[["2006",3,1]]}}}],"schema":"https://github.com/citation-style-language/schema/raw/master/csl-citation.json"} </w:instrText>
      </w:r>
      <w:r w:rsidR="00DD6D2C">
        <w:fldChar w:fldCharType="separate"/>
      </w:r>
      <w:r w:rsidR="00DD6D2C">
        <w:rPr>
          <w:noProof/>
        </w:rPr>
        <w:t>(Horiuchi et Maeda 2006)</w:t>
      </w:r>
      <w:r w:rsidR="00DD6D2C">
        <w:fldChar w:fldCharType="end"/>
      </w:r>
      <w:r w:rsidR="00DD6D2C">
        <w:t xml:space="preserve">. Des études de haute qualité et niveau de preuve sont donc nécessaires afin d’évaluer la meilleure statine utiliser pour l’indication voulue, la posologie utile et la voie d’administration, afin d’améliorer au mieux la balance bénéfice-risque pour le patient </w:t>
      </w:r>
      <w:r w:rsidR="00DD6D2C">
        <w:fldChar w:fldCharType="begin"/>
      </w:r>
      <w:r w:rsidR="00DD6D2C">
        <w:instrText xml:space="preserve"> ADDIN ZOTERO_ITEM CSL_CITATION {"citationID":"P86O58NH","properties":{"formattedCitation":"(Farsaei, Khalili, et Farboud 2012)","plainCitation":"(Farsaei, Khalili, et Farboud 2012)"},"citationItems":[{"id":308,"uris":["http://zotero.org/users/local/Y4Qp1Cr8/items/VWAHFRZT"],"uri":["http://zotero.org/users/local/Y4Qp1Cr8/items/VWAHFRZT"],"itemData":{"id":308,"type":"article-journal","title":"Potential role of statins on wound healing: review of the literature","container-title":"International Wound Journal","page":"238-247","volume":"9","issue":"3","source":"PubMed","abstract":"Wound healing is a dynamic and complex biological process, which requires coordinated events including haemostasis, inflammation, proliferation, revascularisation and remodelling. Impaired wound healing is a common problem that occurs in both community and hospital settings. Various experimental and clinical studies have evaluated different modalities for the treatment of topical wounds, such as sugar, antibiotics, honey and phytotherapies; also statins have diverse pleiotropic effects that have been suggested to be useful to improve wound healing. Data derived from both animal and human studies showed that statins especially atorvastatin, simvastatin and pravastatin can accelerate the wound-healing process. However, further high-quality and evidence-based studies are needed to address the best statin drug, appropriate dose, the best administration route, duration of treatment and to determine correlation between pleiotropic effects of statins and their probable clinical benefits.","DOI":"10.1111/j.1742-481X.2011.00888.x","ISSN":"1742-481X","note":"PMID: 22050652","shortTitle":"Potential role of statins on wound healing","journalAbbreviation":"Int Wound J","language":"eng","author":[{"family":"Farsaei","given":"Shadi"},{"family":"Khalili","given":"Hossein"},{"family":"Farboud","given":"Effat Sadat"}],"issued":{"date-parts":[["2012",6]]}}}],"schema":"https://github.com/citation-style-language/schema/raw/master/csl-citation.json"} </w:instrText>
      </w:r>
      <w:r w:rsidR="00DD6D2C">
        <w:fldChar w:fldCharType="separate"/>
      </w:r>
      <w:r w:rsidR="00DD6D2C">
        <w:rPr>
          <w:noProof/>
        </w:rPr>
        <w:t>(Farsaei, Khalili, et Farboud 2012)</w:t>
      </w:r>
      <w:r w:rsidR="00DD6D2C">
        <w:fldChar w:fldCharType="end"/>
      </w:r>
      <w:r w:rsidR="00DD6D2C">
        <w:t>.</w:t>
      </w:r>
    </w:p>
    <w:p w14:paraId="1703E27D" w14:textId="77777777" w:rsidR="00213B8C" w:rsidRDefault="00213B8C" w:rsidP="007E09D6">
      <w:pPr>
        <w:pStyle w:val="Stytleparagraphe"/>
        <w:ind w:firstLine="720"/>
      </w:pPr>
    </w:p>
    <w:p w14:paraId="2F528CF0" w14:textId="369B4919" w:rsidR="00213B8C" w:rsidRDefault="00694325" w:rsidP="00DD6D2C">
      <w:pPr>
        <w:pStyle w:val="Stytleparagraphe"/>
      </w:pPr>
      <w:r>
        <w:t>Dès 2006, Hori</w:t>
      </w:r>
      <w:r w:rsidR="008C5582">
        <w:t>uchi</w:t>
      </w:r>
      <w:r>
        <w:t xml:space="preserve"> et al. s’intéressent au rôle des statines sur le métabolisme osseux et suggère leur intérêt potentiel dans le traitement de l’ostéoporose et des maladies parodontales. </w:t>
      </w:r>
      <w:r w:rsidR="00DD6D2C">
        <w:t>Les statines augmentent l’expression de la bone morphogenetic protein-2 (BMP-2), régulateur positif de la différenciation o</w:t>
      </w:r>
      <w:r w:rsidR="002020C2">
        <w:t xml:space="preserve">stéoblastique et de la minéralisation  osseuse. Cependant, une étude conduite chez le rat ovariectomisé montre que l’usage de statines augmente </w:t>
      </w:r>
      <w:r w:rsidR="00691ACC">
        <w:t xml:space="preserve">modestement la densité osseuse minérale de l’os spongieux, mais pas de l’os compact. </w:t>
      </w:r>
      <w:r w:rsidR="009D0E41">
        <w:t>Les données quant à l</w:t>
      </w:r>
      <w:r>
        <w:t xml:space="preserve">’intérêt des statines dans le traitement de l’ostéoporose sont conflictuelles </w:t>
      </w:r>
      <w:r>
        <w:fldChar w:fldCharType="begin"/>
      </w:r>
      <w:r>
        <w:instrText xml:space="preserve"> ADDIN ZOTERO_ITEM CSL_CITATION {"citationID":"FGzsUIVc","properties":{"formattedCitation":"(Horiuchi et Maeda 2006)","plainCitation":"(Horiuchi et Maeda 2006)"},"citationItems":[{"id":318,"uris":["http://zotero.org/users/local/Y4Qp1Cr8/items/QQY88TCM"],"uri":["http://zotero.org/users/local/Y4Qp1Cr8/items/QQY88TCM"],"itemData":{"id":318,"type":"article-journal","title":"Statins and bone metabolism","container-title":"Oral Diseases","page":"85-101","volume":"12","issue":"2","source":"Wiley Online Library","abstract":"3-Hydroxy-3-methylglutaryl coenzyme A reductase inhibitors (statins) are potent inhibitors of cholesterol biosynthesis. Cholesterol-lowering therapy using statins significantly reduces the risk of coronary heart disease. However, extensive use of statins leads to increases of other undesirable as well as beneficial effects, so-called pleiotropic effects. With respect to these effects, statins augment the expression of bone morphogenetic protein-2, a potent simulator of osteoblast differentiation and its activity, and promote mineralization by cultured osteoblasts, indicating that statins have an anabolic effect on bone. Chronic administration of statins in ovariectomized (OVX) rats modestly increases bone mineral density (BMD) of cancellous bone but not of compact bone. In clinical studies, there are conflicting results regarding the clinical benefits of this therapy for the treatment of osteoporosis. Observational studies suggest an association between statin use and reduction in fracture risk. Clinical trials reported no effect of statin treatment on BMD in hip and spine, and on bone turnover. Statins also may influence oral osseous tissues. Administration of statins in combination with osteoporosis therapy appears to improve alveolar bone architecture in the mandibles of OVX rats with maxillary molar extraction. Statins continue to be considered as potential therapeutic agents for patients with osteoporosis and possibly with periodontal disease. Development of new statins that are more specific and potent for bone metabolism will greatly increase the usefulness of these drugs for the treatment of bone diseases.","DOI":"10.1111/j.1601-0825.2005.01172.x","ISSN":"1601-0825","language":"en","author":[{"family":"Horiuchi","given":"N"},{"family":"Maeda","given":"T"}],"issued":{"date-parts":[["2006",3,1]]}}}],"schema":"https://github.com/citation-style-language/schema/raw/master/csl-citation.json"} </w:instrText>
      </w:r>
      <w:r>
        <w:fldChar w:fldCharType="separate"/>
      </w:r>
      <w:r>
        <w:rPr>
          <w:noProof/>
        </w:rPr>
        <w:t>(Horiuchi et Maeda 2006)</w:t>
      </w:r>
      <w:r>
        <w:fldChar w:fldCharType="end"/>
      </w:r>
      <w:r>
        <w:t xml:space="preserve">. </w:t>
      </w:r>
    </w:p>
    <w:p w14:paraId="7E5025B6" w14:textId="77777777" w:rsidR="00F54643" w:rsidRDefault="00F54643" w:rsidP="00DD6D2C">
      <w:pPr>
        <w:pStyle w:val="Stytleparagraphe"/>
      </w:pPr>
    </w:p>
    <w:p w14:paraId="2FFA3451" w14:textId="09DFD511" w:rsidR="00B96770" w:rsidRDefault="00C01C05" w:rsidP="0018798A">
      <w:pPr>
        <w:pStyle w:val="Style2"/>
        <w:numPr>
          <w:ilvl w:val="0"/>
          <w:numId w:val="15"/>
        </w:numPr>
      </w:pPr>
      <w:bookmarkStart w:id="389" w:name="_Toc380946413"/>
      <w:bookmarkStart w:id="390" w:name="_Toc383883977"/>
      <w:bookmarkStart w:id="391" w:name="_Toc384754094"/>
      <w:bookmarkStart w:id="392" w:name="_Toc384756515"/>
      <w:bookmarkStart w:id="393" w:name="_Toc384816111"/>
      <w:bookmarkStart w:id="394" w:name="_Toc384826827"/>
      <w:r>
        <w:t>Les statines en parodontologie</w:t>
      </w:r>
      <w:bookmarkEnd w:id="389"/>
      <w:bookmarkEnd w:id="390"/>
      <w:bookmarkEnd w:id="391"/>
      <w:bookmarkEnd w:id="392"/>
      <w:bookmarkEnd w:id="393"/>
      <w:bookmarkEnd w:id="394"/>
    </w:p>
    <w:p w14:paraId="32DEFF15" w14:textId="2D9C4082" w:rsidR="00B96770" w:rsidRDefault="00CA5D63" w:rsidP="0018798A">
      <w:pPr>
        <w:pStyle w:val="Style3"/>
        <w:numPr>
          <w:ilvl w:val="0"/>
          <w:numId w:val="16"/>
        </w:numPr>
      </w:pPr>
      <w:bookmarkStart w:id="395" w:name="_Toc380946414"/>
      <w:bookmarkStart w:id="396" w:name="_Toc383883978"/>
      <w:bookmarkStart w:id="397" w:name="_Toc384754095"/>
      <w:bookmarkStart w:id="398" w:name="_Toc384756516"/>
      <w:bookmarkStart w:id="399" w:name="_Toc384816112"/>
      <w:bookmarkStart w:id="400" w:name="_Toc384826828"/>
      <w:r>
        <w:t>Simvastatine et régénération osseuse</w:t>
      </w:r>
      <w:bookmarkEnd w:id="395"/>
      <w:bookmarkEnd w:id="396"/>
      <w:bookmarkEnd w:id="397"/>
      <w:bookmarkEnd w:id="398"/>
      <w:bookmarkEnd w:id="399"/>
      <w:bookmarkEnd w:id="400"/>
    </w:p>
    <w:p w14:paraId="6AFD93FD" w14:textId="1FA8B4F1" w:rsidR="00B96770" w:rsidRDefault="00B527D8" w:rsidP="00B527D8">
      <w:pPr>
        <w:pStyle w:val="Stytleparagraphe"/>
        <w:ind w:firstLine="360"/>
      </w:pPr>
      <w:r>
        <w:t>En maintenant des niveaux élevés d’activité de phosphatase alcaline, la simvastatine permet le maintie</w:t>
      </w:r>
      <w:r w:rsidR="00D10CC1">
        <w:t>n des fonctions ostéoblastiques in vitro.</w:t>
      </w:r>
    </w:p>
    <w:p w14:paraId="222C7C49" w14:textId="6476D3AA" w:rsidR="00D10CC1" w:rsidRDefault="00D10CC1" w:rsidP="00D10CC1">
      <w:pPr>
        <w:pStyle w:val="Stytleparagraphe"/>
      </w:pPr>
      <w:r>
        <w:t>In vivo, une étude réalisée chez le rat avec parodontite induite par des ligatures montre que le traitement topique par la simvastatine permet de récupérer l’os alvéolaire perdu, avec une inversion de 46% de la hauteur osseuse. Cependant, cet os néoformé est faiblement minéralisé</w:t>
      </w:r>
      <w:r w:rsidR="001A6FA4">
        <w:t xml:space="preserve"> </w:t>
      </w:r>
      <w:r w:rsidR="001A6FA4">
        <w:fldChar w:fldCharType="begin"/>
      </w:r>
      <w:r w:rsidR="001A6FA4">
        <w:instrText xml:space="preserve"> ADDIN ZOTERO_ITEM CSL_CITATION {"citationID":"Ts9mMHsA","properties":{"formattedCitation":"(Seto et al. 2008)","plainCitation":"(Seto et al. 2008)"},"citationItems":[{"id":326,"uris":["http://zotero.org/users/local/Y4Qp1Cr8/items/YK94RXJN"],"uri":["http://zotero.org/users/local/Y4Qp1Cr8/items/YK94RXJN"],"itemData":{"id":326,"type":"article-journal","title":"Topical administration of simvastatin recovers alveolar bone loss in rats","container-title":"Journal of Periodontal Research","page":"261-267","volume":"43","issue":"3","source":"PubMed","abstract":"BACKGROUND AND OBJECTIVE: Simvastatin, a cholesterol-lowering drug, has been reported to show anabolic effects on bone metabolism. We examined the effects of simvastatin in vitro using cultured rat calvaria cells and in vivo using periodontitis-induced rats.\nMATERIAL AND METHODS: Alkaline phosphatase activity and bone nodule formation were measured in cultured rat calvaria cells. Nylon ligature was placed around the maxillary molars of Fischer male rats for 20 d to induce alveolar bone resorption. After ligature removal, simvastatin was topically injected into the buccal gingivae for 70 d and then microcomputed tomography and histological examinations were performed.\nRESULTS: Simvastatin maintained high alkaline phosphatase activity and increased bone nodule formation in rat calvaria cells in a dose-dependent manner, showing that simvastatin increased and maintained a high level of osteoblastic function. Microcomputed tomography images revealed that treatment with simvastatin recovered the ligature-induced alveolar bone resorption, showing a 46% reversal of bone height. Histological examination clarified that low-mineralized alveolar bone was formed in simvastatin-treated rats.\nCONCLUSION: These findings demonstrate that simvastatin has the potential to stimulate osteoblastic function and that topical administration of simvastatin may be effective for the recovery of alveolar bone loss in rats.","DOI":"10.1111/j.1600-0765.2007.01024.x","ISSN":"1600-0765","note":"PMID: 18447852","journalAbbreviation":"J. Periodont. Res.","language":"eng","author":[{"family":"Seto","given":"H."},{"family":"Ohba","given":"H."},{"family":"Tokunaga","given":"K."},{"family":"Hama","given":"H."},{"family":"Horibe","given":"M."},{"family":"Nagata","given":"T."}],"issued":{"date-parts":[["2008",6]]}}}],"schema":"https://github.com/citation-style-language/schema/raw/master/csl-citation.json"} </w:instrText>
      </w:r>
      <w:r w:rsidR="001A6FA4">
        <w:fldChar w:fldCharType="separate"/>
      </w:r>
      <w:r w:rsidR="001A6FA4">
        <w:rPr>
          <w:noProof/>
        </w:rPr>
        <w:t>(Seto et al. 2008)</w:t>
      </w:r>
      <w:r w:rsidR="001A6FA4">
        <w:fldChar w:fldCharType="end"/>
      </w:r>
      <w:r w:rsidR="001A6FA4">
        <w:t>.</w:t>
      </w:r>
    </w:p>
    <w:p w14:paraId="5C3AC493" w14:textId="77777777" w:rsidR="00481C11" w:rsidRDefault="00481C11" w:rsidP="00D10CC1">
      <w:pPr>
        <w:pStyle w:val="Stytleparagraphe"/>
      </w:pPr>
    </w:p>
    <w:p w14:paraId="5594182A" w14:textId="04DB1392" w:rsidR="00481C11" w:rsidRDefault="00481C11" w:rsidP="000F27BF">
      <w:pPr>
        <w:pStyle w:val="Stytleparagraphe"/>
      </w:pPr>
      <w:r>
        <w:t>Maciel-Oliveira et al. montrent qu’une seul application topique de 2,5% de simvastatine améliore la qualité de l’os nouvellement formé et diminue la résorption osseuse. En effet, l’os néoformé présente des espaces médullaires réduits, des fibres de collagène régulières, donnant un aspect d’os lamellaire</w:t>
      </w:r>
      <w:r w:rsidR="000F27BF">
        <w:t xml:space="preserve"> régénéré</w:t>
      </w:r>
      <w:r>
        <w:t xml:space="preserve">. </w:t>
      </w:r>
      <w:r>
        <w:fldChar w:fldCharType="begin"/>
      </w:r>
      <w:r>
        <w:instrText xml:space="preserve"> ADDIN ZOTERO_ITEM CSL_CITATION {"citationID":"4o8WK3pE","properties":{"formattedCitation":"(Maciel-Oliveira, Bradaschia-Correa, et Arana-Chavez 2011)","plainCitation":"(Maciel-Oliveira, Bradaschia-Correa, et Arana-Chavez 2011)"},"citationItems":[{"id":324,"uris":["http://zotero.org/users/local/Y4Qp1Cr8/items/IU69UNDV"],"uri":["http://zotero.org/users/local/Y4Qp1Cr8/items/IU69UNDV"],"itemData":{"id":324,"type":"article-journal","title":"Early alveolar bone regeneration in rats after topical administration of simvastatin","container-title":"Oral Surgery, Oral Medicine, Oral Pathology, Oral Radiology, and Endodontics","page":"170-179","volume":"112","issue":"2","source":"PubMed","abstract":"OBJECTIVES: The aim of this study was to ultrastructurally examine the influence of simvastatin on bone healing in surgically created defects in rat mandibles.\nSTUDY DESIGN: Bone defects 0.8 mm in diameter were created in the buccal aspect of first mandibular molar roots and filled with 2.5% simvastatin gel, while the controls were allowed to heal spontaneously. The rats were humanely killed 7, 9, 11, or 14 days postoperatively, and the specimens were processed for scanning and transmission electron microscopy, as well as for colloidal gold immunolabeling of osteopontin.\nRESULTS: The regenerated alveolar bone in the simvastatin-treated defects presented smaller marrow spaces, and the collagen fibrils were regularly packed exhibiting a lamellar bone aspect. Osteopontin was present through the bone matrix during the wound healing and alveolar bone regeneration.\nCONCLUSION: The present study provides evidence that a single topical application of 2.5% simvastatin gel improves the quality of the new bone and decreases bone resorption.","DOI":"10.1016/j.tripleo.2010.08.027","ISSN":"1528-395X","note":"PMID: 21194993","journalAbbreviation":"Oral Surg Oral Med Oral Pathol Oral Radiol Endod","language":"eng","author":[{"family":"Maciel-Oliveira","given":"Newton"},{"family":"Bradaschia-Correa","given":"Vivian"},{"family":"Arana-Chavez","given":"Victor E."}],"issued":{"date-parts":[["2011",8]]}}}],"schema":"https://github.com/citation-style-language/schema/raw/master/csl-citation.json"} </w:instrText>
      </w:r>
      <w:r>
        <w:fldChar w:fldCharType="separate"/>
      </w:r>
      <w:r>
        <w:rPr>
          <w:noProof/>
        </w:rPr>
        <w:t>(Maciel-Oliveira, Bradaschia-Correa, et Arana-Chavez 2011)</w:t>
      </w:r>
      <w:r>
        <w:fldChar w:fldCharType="end"/>
      </w:r>
      <w:r w:rsidR="00EA7148">
        <w:t>.</w:t>
      </w:r>
    </w:p>
    <w:p w14:paraId="638A6CFA" w14:textId="507AEB86" w:rsidR="000F27BF" w:rsidRDefault="000F27BF" w:rsidP="000F27BF">
      <w:pPr>
        <w:pStyle w:val="Stytleparagraphe"/>
      </w:pPr>
      <w:r>
        <w:t xml:space="preserve">Nassar et al. confirment le rôle bénéfique de la simvastatine contre la perte osseuse alvéolaire dans un modèle de parodontite expérimentale chez le rat </w:t>
      </w:r>
      <w:r>
        <w:fldChar w:fldCharType="begin"/>
      </w:r>
      <w:r>
        <w:instrText xml:space="preserve"> ADDIN ZOTERO_ITEM CSL_CITATION {"citationID":"0qUsW3MB","properties":{"formattedCitation":"(Nassar et al. 2014)","plainCitation":"(Nassar et al. 2014)"},"citationItems":[{"id":338,"uris":["http://zotero.org/users/local/Y4Qp1Cr8/items/2LLPLZ5M"],"uri":["http://zotero.org/users/local/Y4Qp1Cr8/items/2LLPLZ5M"],"itemData":{"id":338,"type":"article-journal","title":"Evaluation of the effect of simvastatin on the progression of alveolar bone loss in experimental periodontitis--an animal study","container-title":"Journal of the International Academy of Periodontology","page":"2-7","volume":"16","issue":"1","source":"PubMed","abstract":"AIM: The aim of the present study was to evaluate the effect of simvastatin, a potent antiinflammatory drug, on the progression of alveolar bone loss in an experimental model of periodontitis in rats.\nMATERIAL AND METHODS: A cotton ligature was used around the lower right first molar in a submarginal position in order to induce experimental periodontitis. Sixty rats were divided into 12 groups consisting of three control groups, three simvastatin groups, three ligature groups, and three ligature plus simvastatin groups. The distance between the cemento-enamel junction and the alveolar crest was determined at the mesial root surfaces of the lower right first molars by radiographic as well as profilometric analyses.\nRESULTS: In rats of the experimental periodontitis group (ligature), alveolar bone loss was higher compared to the control groups. However, simvastatin was associated with decreased alveolar bone loss in all treatment groups with experimental periodontitis (p &lt; 0.01).\nCONCLUSION: Simvastatin treatment seems to be a beneficial and supporting therapeutic that favors protection against alveolar bone loss in a model of experimental periodontitis in rats.","ISSN":"1466-2094","note":"PMID: 24712102","journalAbbreviation":"J Int Acad Periodontol","language":"eng","author":[{"family":"Nassar","given":"Carlos Augusto"},{"family":"Battistetti","given":"Guilherme Degani"},{"family":"Nahsan","given":"Flávia Pardo Salata"},{"family":"Olegário","given":"Joice"},{"family":"Marconato","given":"Juliana"},{"family":"Marin","given":"Caroline Fernandes"},{"family":"Faccioni","given":"Daniele Marin"},{"family":"Costa","given":"Karine Figueiredo","non-dropping-particle":"da"},{"family":"Kottwitz","given":"Luciana Bill Mikito"},{"family":"Nassar","given":"Patricia Oehlmeyer"}],"issued":{"date-parts":[["2014",1]]}}}],"schema":"https://github.com/citation-style-language/schema/raw/master/csl-citation.json"} </w:instrText>
      </w:r>
      <w:r>
        <w:fldChar w:fldCharType="separate"/>
      </w:r>
      <w:r>
        <w:rPr>
          <w:noProof/>
        </w:rPr>
        <w:t>(Nassar et al. 2014)</w:t>
      </w:r>
      <w:r>
        <w:fldChar w:fldCharType="end"/>
      </w:r>
      <w:r>
        <w:t>.</w:t>
      </w:r>
    </w:p>
    <w:p w14:paraId="1ACCD3B0" w14:textId="77777777" w:rsidR="00E230A8" w:rsidRDefault="00E230A8" w:rsidP="000F27BF">
      <w:pPr>
        <w:pStyle w:val="Stytleparagraphe"/>
      </w:pPr>
    </w:p>
    <w:p w14:paraId="3EE1C02F" w14:textId="64600B94" w:rsidR="00E230A8" w:rsidRDefault="00E230A8" w:rsidP="000F27BF">
      <w:pPr>
        <w:pStyle w:val="Stytleparagraphe"/>
      </w:pPr>
      <w:r>
        <w:t>En 2013, Dalcico et al. montrent que le traitement par simvastatine chez un modèle de parodontite expérimentale chez le rat</w:t>
      </w:r>
      <w:r w:rsidR="00441A96">
        <w:t xml:space="preserve"> diminue la perte osseuse alvéolaire via ses actions anti-inflammatoires et anti-oxydantes. La simvastatine réduit l’expression des métalloprotéases 1 et 8, de RANK et RANKL et augmente les niveaux de BMP-2 et OPG dans le tissu parodontal, ce qui a pour effet l’inhibition de la différenciation ostéoclastique et la promotion du remodelage osseux dans ce modèle de parodontite expérimentale </w:t>
      </w:r>
      <w:r w:rsidR="00441A96">
        <w:fldChar w:fldCharType="begin"/>
      </w:r>
      <w:r w:rsidR="00441A96">
        <w:instrText xml:space="preserve"> ADDIN ZOTERO_ITEM CSL_CITATION {"citationID":"wpxUTtMZ","properties":{"formattedCitation":"(Dalcico et al. 2013)","plainCitation":"(Dalcico et al. 2013)"},"citationItems":[{"id":334,"uris":["http://zotero.org/users/local/Y4Qp1Cr8/items/A376RXVJ"],"uri":["http://zotero.org/users/local/Y4Qp1Cr8/items/A376RXVJ"],"itemData":{"id":334,"type":"article-journal","title":"Protective mechanisms of simvastatin in experimental periodontal disease","container-title":"Journal of Periodontology","page":"1145-1157","volume":"84","issue":"8","source":"PubMed","abstract":"BACKGROUND: Simvastatin is a cholesterol-lowering drug whose pleiotropic effects may have a therapeutic impact on bone. This study evaluates the effect of simvastatin on rats subjected to experimental periodontal disease.\nMETHODS: Periodontitis was induced by ligature placement around the maxillary left second molar of rats for 11 days. Groups of six animals received oral saline or simvastatin (3, 10, and 30 mg/kg/day) until sacrifice on day 11. Alveolar bone loss was determined by macroscopic and histologic examination. The serum levels of aspartate aminotransferase (AST), alanine aminotransferase (ALT), and total alkaline phosphatase (TAP) were evaluated. Gingival myeloperoxidase activity and gingival levels of interleukin-1β (IL-1β), tumor necrosis factor-α, IL-10, reduced glutathione, malonaldehyde, and nitrate/nitrite were analyzed to investigate oxidative stress and inflammation. Expression of inducible nitric oxide synthase (iNOS), matrix metalloproteinases 1 and 8 (MMP-1 and -8), bone morphogenetic protein-2 (BMP-2), receptor activator of nuclear factor κB (RANK), RANK ligand (RANKL), and osteoprotegerin (OPG) were also investigated by immunohistochemistry to assess bone turnover and metabolism. Immunofluorescence microscopy was used to confirm the expression of RANKL in rats' maxillae.\nRESULTS: Treatment with simvastatin improved alveolar bone loss within all of the parameters studied, thus demonstrating anti-inflammatory and antioxidant activity. Simvastatin reduced expression of iNOS, MMP-1 and -8, RANK, and RANKL and increased BMP-2 and OPG levels in the periodontal tissue. Simvastatin (30 mg/kg) increased TAP activity on day 11 compared with the saline group. No differences were found in the levels of AST and ALT in any of the groups studied.\nCONCLUSION: The present data suggest that simvastatin prevents inflammatory bone resorption in experimental periodontitis, which may be mediated by its anti-inflammatory and antioxidant properties.","DOI":"10.1902/jop.2012.120114","ISSN":"1943-3670","note":"PMID: 23181416","journalAbbreviation":"J. Periodontol.","language":"eng","author":[{"family":"Dalcico","given":"Roberta"},{"family":"Menezes","given":"Adriana M. A.","non-dropping-particle":"de"},{"family":"Deocleciano","given":"Otacilio B."},{"family":"Oriá","given":"Reinaldo B."},{"family":"Vale","given":"Mariana L."},{"family":"Ribeiro","given":"Ronaldo A."},{"family":"Brito","given":"Gerly A. de C."}],"issued":{"date-parts":[["2013",8]]}}}],"schema":"https://github.com/citation-style-language/schema/raw/master/csl-citation.json"} </w:instrText>
      </w:r>
      <w:r w:rsidR="00441A96">
        <w:fldChar w:fldCharType="separate"/>
      </w:r>
      <w:r w:rsidR="00441A96">
        <w:rPr>
          <w:noProof/>
        </w:rPr>
        <w:t>(Dalcico et al. 2013)</w:t>
      </w:r>
      <w:r w:rsidR="00441A96">
        <w:fldChar w:fldCharType="end"/>
      </w:r>
      <w:r w:rsidR="00441A96">
        <w:t>.</w:t>
      </w:r>
    </w:p>
    <w:p w14:paraId="1FE0E31D" w14:textId="77777777" w:rsidR="00EA7148" w:rsidRDefault="00EA7148" w:rsidP="00D10CC1">
      <w:pPr>
        <w:pStyle w:val="Stytleparagraphe"/>
      </w:pPr>
    </w:p>
    <w:p w14:paraId="6EC190B9" w14:textId="77777777" w:rsidR="00441A96" w:rsidRDefault="00DA4533" w:rsidP="00D10CC1">
      <w:pPr>
        <w:pStyle w:val="Stytleparagraphe"/>
      </w:pPr>
      <w:r>
        <w:t xml:space="preserve">En 2014, une revue systématique s’intéresse au rôle de la simvastatine dans la promotion de la régénération osseuse, en prenant en compte le niveau de preuve des articles à l’appui. 41 articles inclus ont été réalisés chez l’animal et principalement axées sur les défauts extra-buccaux, tandis que seulement 4 essais contrôlés randomisés ont évalué </w:t>
      </w:r>
      <w:r w:rsidR="009A7397">
        <w:t>les effets du gel injectable de simvastatine (1,2mg/0,1ml)</w:t>
      </w:r>
      <w:r>
        <w:t xml:space="preserve"> chez les patients atteints de parodontite. </w:t>
      </w:r>
    </w:p>
    <w:p w14:paraId="7DEFCF8E" w14:textId="12DA08F6" w:rsidR="00DA4533" w:rsidRDefault="00A635AE" w:rsidP="00D10CC1">
      <w:pPr>
        <w:pStyle w:val="Stytleparagraphe"/>
      </w:pPr>
      <w:r>
        <w:t>Ainsi, la plupart des études qui soulignent le rôle de la simvastatine sur la régénération osseuse provien</w:t>
      </w:r>
      <w:r w:rsidR="009A7397">
        <w:t>nen</w:t>
      </w:r>
      <w:r>
        <w:t>t d’études animales. Seule l’utilisation de la simvastatine topique sous-gingivale après détartrage et curetage radiculaire chez les patients parodontaux apporterait un bénéfice</w:t>
      </w:r>
      <w:r w:rsidR="009A7397">
        <w:t xml:space="preserve">, mais aucune autre application n’a été correctement évaluée chez l’Homme </w:t>
      </w:r>
      <w:r w:rsidR="009A7397">
        <w:fldChar w:fldCharType="begin"/>
      </w:r>
      <w:r w:rsidR="009A7397">
        <w:instrText xml:space="preserve"> ADDIN ZOTERO_ITEM CSL_CITATION {"citationID":"Aos7gaNK","properties":{"formattedCitation":"(Montero, Manzano, et Albaladejo 2014)","plainCitation":"(Montero, Manzano, et Albaladejo 2014)"},"citationItems":[{"id":322,"uris":["http://zotero.org/users/local/Y4Qp1Cr8/items/5D3CCZL5"],"uri":["http://zotero.org/users/local/Y4Qp1Cr8/items/5D3CCZL5"],"itemData":{"id":322,"type":"article-journal","title":"The role of topical simvastatin on bone regeneration: A systematic review","container-title":"Journal of Clinical and Experimental Dentistry","page":"e286-290","volume":"6","issue":"3","source":"PubMed","abstract":"OBJECTIVES: The aim of this systematic review was to summarize the results concerning the use of simvastatin for promoting bone regeneration and to discuss the level of scientific evidence supporting such findings.\nMATERIAL AND METHODS: A Pubmed search using \"Simvastatin\"[Mesh] AND \"Bone Regeneration\"[Mesh] as Boolean operators was constrained to the last 10 years and only included papers written in English.\nRESULTS: Of the 41 relevant papers reviewed, most of them (76.2%) have been published in the last 5 years, and most of them address animal studies (66.6%) performed on rats or rabbits in extraoral regions. Only 4 randomized controlled trials (RCTs) assessed the role of topical simvastatin in periodontal patients.\nCONCLUSIONS: A large part of the evidence concerning the role of topical simvastatin on bone regeneration comes from animal studies (mainly rats) focusing on extraoral bone defects. Only the use of subgingival simvastatin after root scaling has been properly supported by RCT. Key words:Simvastatin, bone regeneration, topical administration, osteogenesis, osteoinduction.","DOI":"10.4317/jced.51415","ISSN":"1989-5488","note":"PMID: 25136432\nPMCID: PMC4134860","shortTitle":"The role of topical simvastatin on bone regeneration","journalAbbreviation":"J Clin Exp Dent","language":"eng","author":[{"family":"Montero","given":"Javier"},{"family":"Manzano","given":"Guillermo"},{"family":"Albaladejo","given":"Alberto"}],"issued":{"date-parts":[["2014",7]]}}}],"schema":"https://github.com/citation-style-language/schema/raw/master/csl-citation.json"} </w:instrText>
      </w:r>
      <w:r w:rsidR="009A7397">
        <w:fldChar w:fldCharType="separate"/>
      </w:r>
      <w:r w:rsidR="009A7397">
        <w:rPr>
          <w:noProof/>
        </w:rPr>
        <w:t>(Montero, Manzano, et Albaladejo 2014)</w:t>
      </w:r>
      <w:r w:rsidR="009A7397">
        <w:fldChar w:fldCharType="end"/>
      </w:r>
      <w:r w:rsidR="009A7397">
        <w:t>.</w:t>
      </w:r>
    </w:p>
    <w:p w14:paraId="676BB684" w14:textId="77777777" w:rsidR="00EA7148" w:rsidRDefault="00EA7148" w:rsidP="00D10CC1">
      <w:pPr>
        <w:pStyle w:val="Stytleparagraphe"/>
      </w:pPr>
    </w:p>
    <w:p w14:paraId="53A91FDB" w14:textId="77777777" w:rsidR="00441A96" w:rsidRDefault="00441A96" w:rsidP="00D10CC1">
      <w:pPr>
        <w:pStyle w:val="Stytleparagraphe"/>
      </w:pPr>
    </w:p>
    <w:p w14:paraId="42BAE5FA" w14:textId="77777777" w:rsidR="00D70AFD" w:rsidRDefault="00D70AFD" w:rsidP="00D10CC1">
      <w:pPr>
        <w:pStyle w:val="Stytleparagraphe"/>
      </w:pPr>
    </w:p>
    <w:p w14:paraId="1A37EE66" w14:textId="77777777" w:rsidR="00441A96" w:rsidRDefault="00441A96" w:rsidP="00D10CC1">
      <w:pPr>
        <w:pStyle w:val="Stytleparagraphe"/>
      </w:pPr>
    </w:p>
    <w:p w14:paraId="617D3C42" w14:textId="5DA807DC" w:rsidR="00D10CC1" w:rsidRDefault="0031672E" w:rsidP="0018798A">
      <w:pPr>
        <w:pStyle w:val="Style3"/>
        <w:numPr>
          <w:ilvl w:val="0"/>
          <w:numId w:val="16"/>
        </w:numPr>
      </w:pPr>
      <w:bookmarkStart w:id="401" w:name="_Toc380946415"/>
      <w:bookmarkStart w:id="402" w:name="_Toc383883979"/>
      <w:bookmarkStart w:id="403" w:name="_Toc384754096"/>
      <w:bookmarkStart w:id="404" w:name="_Toc384756517"/>
      <w:bookmarkStart w:id="405" w:name="_Toc384816113"/>
      <w:bookmarkStart w:id="406" w:name="_Toc384826829"/>
      <w:r>
        <w:t>Rôle des statines sur l’inflammation</w:t>
      </w:r>
      <w:r w:rsidR="00CE2475">
        <w:t xml:space="preserve"> parodontale</w:t>
      </w:r>
      <w:bookmarkEnd w:id="401"/>
      <w:bookmarkEnd w:id="402"/>
      <w:bookmarkEnd w:id="403"/>
      <w:bookmarkEnd w:id="404"/>
      <w:bookmarkEnd w:id="405"/>
      <w:bookmarkEnd w:id="406"/>
    </w:p>
    <w:p w14:paraId="3B161AA9" w14:textId="18BEB23D" w:rsidR="006201DA" w:rsidRDefault="00CE2475" w:rsidP="00CE2475">
      <w:pPr>
        <w:pStyle w:val="Stytleparagraphe"/>
        <w:ind w:firstLine="360"/>
      </w:pPr>
      <w:r>
        <w:t xml:space="preserve">Les statines représentent un groupe de médicaments qui visent à baisser les niveaux de cholestérol chez les patients à risque cardio- ou cérebro-vasculaire. Une étude s’intéresse </w:t>
      </w:r>
      <w:r w:rsidR="0017273C">
        <w:t xml:space="preserve">compare les niveaux d’IL-1β dans le fluide créviculaire gingival de patients atteints de parodontites chronique généralisée, avec ou sans médication hypocholestérolémiante. Les résultats montrent des taux réduits d’IL-1β chez les patients traités par statines, ce qui souligne leur rôle anti-inflammatoire sur la maladie parodontale </w:t>
      </w:r>
      <w:r w:rsidR="0017273C">
        <w:fldChar w:fldCharType="begin"/>
      </w:r>
      <w:r w:rsidR="0017273C">
        <w:instrText xml:space="preserve"> ADDIN ZOTERO_ITEM CSL_CITATION {"citationID":"MWgjdnrl","properties":{"formattedCitation":"(Suresh et al. 2013)","plainCitation":"(Suresh et al. 2013)"},"citationItems":[{"id":336,"uris":["http://zotero.org/users/local/Y4Qp1Cr8/items/Z74XG7ZT"],"uri":["http://zotero.org/users/local/Y4Qp1Cr8/items/Z74XG7ZT"],"itemData":{"id":336,"type":"article-journal","title":"Evaluation of anti-inflammatory effect of statins in chronic periodontitis","container-title":"Indian Journal of Pharmacology","page":"391-394","volume":"45","issue":"4","source":"PubMed","abstract":"OBJECTIVES: Statins are the group of lipid-lowering drugs commonly used to control cardiovascular and cerebrovascular diseases. Statins have potential anti-inflammatory effect by blocking the intermediate metabolites of the mevalonate pathway. The objective of this study was to evaluate the anti-inflammatory effect of statin medication in chronic periodontitis patients.\nMATERIALS AND METHODS: Thirty patients of age group between 40 and 60 years were selected from the outpatient pool of Department of Periodontics, Thaimoogambigai Dental College and Hospital, Chennai. Thirty patients selected were grouped into two groups, Group-I consists of patients with generalized chronic periodontitis and on statin medication and Group-II consists of patients with generalized chronic periodontitis. Clinical parameters were recorded and gingival crevicular fluid (GCF) samples were analyzed for interleukin (IL)-1β using commercially available enzyme-linked immunosorbent assay.\nRESULTS: The mean GCF IL-1β levels in generalized chronic periodontitis patients who are on statin medication (Group-I) were lower than the generalized chronic periodontitis patients without statin medication (Group-II).\nCONCLUSION: Reduction of GCF IL-1β levels in statin users indicate that statins have anti-inflammatory effect on periodontal disease.","DOI":"10.4103/0253-7613.115017","ISSN":"1998-3751","note":"PMID: 24014917\nPMCID: PMC3757610","journalAbbreviation":"Indian J Pharmacol","language":"eng","author":[{"family":"Suresh","given":"Snophia"},{"family":"Narayana","given":"Satya"},{"family":"Jayakumar","given":"P."},{"family":"Sudhakar","given":"Uma"},{"family":"Pramod","given":"V."}],"issued":{"date-parts":[["2013",8]]}}}],"schema":"https://github.com/citation-style-language/schema/raw/master/csl-citation.json"} </w:instrText>
      </w:r>
      <w:r w:rsidR="0017273C">
        <w:fldChar w:fldCharType="separate"/>
      </w:r>
      <w:r w:rsidR="0017273C">
        <w:rPr>
          <w:noProof/>
        </w:rPr>
        <w:t>(Suresh et al. 2013)</w:t>
      </w:r>
      <w:r w:rsidR="0017273C">
        <w:fldChar w:fldCharType="end"/>
      </w:r>
      <w:r w:rsidR="0017273C">
        <w:t>.</w:t>
      </w:r>
    </w:p>
    <w:p w14:paraId="071A5217" w14:textId="77777777" w:rsidR="00EC0F6B" w:rsidRDefault="00EC0F6B" w:rsidP="00CE2475">
      <w:pPr>
        <w:pStyle w:val="Stytleparagraphe"/>
        <w:ind w:firstLine="360"/>
      </w:pPr>
    </w:p>
    <w:p w14:paraId="17CBEEC9" w14:textId="34D1DF7E" w:rsidR="00EC0F6B" w:rsidRDefault="00EC0F6B" w:rsidP="00EC0F6B">
      <w:pPr>
        <w:pStyle w:val="Stytleparagraphe"/>
        <w:ind w:firstLine="360"/>
      </w:pPr>
      <w:r>
        <w:t xml:space="preserve">Une revue systématique de 2013 confirme que les statines ont d’importants effets anti-inflammatoires et immunomodulateurs. Elles réduisent les taux de protéine-C reactive, puissant marqueur de l’inflammation, de métalloprotéinases et de leurs intermédiaires tels que le TNF-α et sont capables d’inhiber l’adhésion et l’extravasation des leucocytes. Par ailleurs, les statines inhibent la formation d’ostéoclastes et conduisent à l’apoptose de ces cellules. Elles permettent la formation osseuse en augmentant l’expression de la BMP-2  dans les ostéoblastes </w:t>
      </w:r>
      <w:r>
        <w:fldChar w:fldCharType="begin"/>
      </w:r>
      <w:r>
        <w:instrText xml:space="preserve"> ADDIN ZOTERO_ITEM CSL_CITATION {"citationID":"AOnG6mUF","properties":{"formattedCitation":"(Estanislau et al. 2015)","plainCitation":"(Estanislau et al. 2015)"},"citationItems":[{"id":320,"uris":["http://zotero.org/users/local/Y4Qp1Cr8/items/7TTS2WQQ"],"uri":["http://zotero.org/users/local/Y4Qp1Cr8/items/7TTS2WQQ"],"itemData":{"id":320,"type":"article-journal","title":"Pleiotropic effects of statins on the treatment of chronic periodontitis--a systematic review","container-title":"British Journal of Clinical Pharmacology","page":"877-885","volume":"79","issue":"6","source":"PubMed","abstract":"AIM: Statins are inhibitors of 3-hydroxy-3-methylglutaryl coenzyme A reductase and are an important group of hypolipidaemic drugs, widely used in the treatment of hypercholesterolaemia and cardiovascular disease. Some studies have shown that statins are able to modulate inflammation and alveolar bone loss.\nMETHODS: In order to evaluate whether statins could influence periodontal treatment, improving the clinical and radiographic parameters in chronic periodontitis, a systematic review was conducted in the databases PUBMED and BIREME, searching for articles in English and Portuguese, published between the years 2004 and 2014, using the combined keywords statin, periodontal disease, periodontitis and alveolar bone. Studies regarding the treatment of chronic periodontitis in humans, blind or double-blind, retrospective cohort or randomized controlled trials that used statins topically or systemically were selected.\nRESULTS: Statins have important anti-inflammatory and immune effects, reducing levels of C-reactive protein and matrix metalloproteinases and their intermediate products, such as tumour necrosis factor-α, and are also able to inhibit the adhesion and extravasation of leukocytes, which block the co-stimulation of T cells. Statins reduce bone resorption by inhibiting osteoclast formation and lead to increased apoptosis of these cells. The effect of statins on bone formation is related to the increased gene expression of bone morphogenetic protein in osteoblasts.\nCONCLUSION: Although we found biological mechanisms and clinical results that show lower alveolar bone loss and reduction of clinical signs of inflammation, further studies are needed to evaluate the clinical applicability of statins in the routine treatment of chronic periodontitis.","DOI":"10.1111/bcp.12564","ISSN":"1365-2125","note":"PMID: 25444240\nPMCID: PMC4456120","journalAbbreviation":"Br J Clin Pharmacol","language":"eng","author":[{"family":"Estanislau","given":"Ilanna Mara Gomes"},{"family":"Terceiro","given":"Icrólio Ribeiro Colares"},{"family":"Lisboa","given":"Mario Roberto Pontes"},{"family":"Teles","given":"Patrícia de Barros"},{"family":"Carvalho","given":"Rosimary de Sousa"},{"family":"Martins","given":"Ricardo Souza"},{"family":"Moreira","given":"Maria Mônica Studart Mendes"}],"issued":{"date-parts":[["2015",6]]}}}],"schema":"https://github.com/citation-style-language/schema/raw/master/csl-citation.json"} </w:instrText>
      </w:r>
      <w:r>
        <w:fldChar w:fldCharType="separate"/>
      </w:r>
      <w:r>
        <w:rPr>
          <w:noProof/>
        </w:rPr>
        <w:t>(Estanislau et al. 2015)</w:t>
      </w:r>
      <w:r>
        <w:fldChar w:fldCharType="end"/>
      </w:r>
      <w:r>
        <w:t xml:space="preserve">. </w:t>
      </w:r>
    </w:p>
    <w:p w14:paraId="1CF673CD" w14:textId="77777777" w:rsidR="00502734" w:rsidRDefault="00502734" w:rsidP="00D10CC1">
      <w:pPr>
        <w:pStyle w:val="Stytleparagraphe"/>
      </w:pPr>
    </w:p>
    <w:p w14:paraId="58BDC3E9" w14:textId="7E718255" w:rsidR="00FE4F69" w:rsidRDefault="00502734" w:rsidP="0018798A">
      <w:pPr>
        <w:pStyle w:val="Style3"/>
        <w:numPr>
          <w:ilvl w:val="0"/>
          <w:numId w:val="16"/>
        </w:numPr>
      </w:pPr>
      <w:bookmarkStart w:id="407" w:name="_Toc380946416"/>
      <w:bookmarkStart w:id="408" w:name="_Toc383883980"/>
      <w:bookmarkStart w:id="409" w:name="_Toc384754097"/>
      <w:bookmarkStart w:id="410" w:name="_Toc384756518"/>
      <w:bookmarkStart w:id="411" w:name="_Toc384816114"/>
      <w:bookmarkStart w:id="412" w:name="_Toc384826830"/>
      <w:r>
        <w:t xml:space="preserve">Statines et traitement </w:t>
      </w:r>
      <w:r w:rsidR="0027635D">
        <w:t>des parodontites chroniques</w:t>
      </w:r>
      <w:bookmarkEnd w:id="407"/>
      <w:bookmarkEnd w:id="408"/>
      <w:bookmarkEnd w:id="409"/>
      <w:bookmarkEnd w:id="410"/>
      <w:bookmarkEnd w:id="411"/>
      <w:bookmarkEnd w:id="412"/>
    </w:p>
    <w:p w14:paraId="54A0C010" w14:textId="24AA196C" w:rsidR="00FE4F69" w:rsidRDefault="0083228E" w:rsidP="00B96770">
      <w:pPr>
        <w:pStyle w:val="Stytleparagraphe"/>
      </w:pPr>
      <w:r>
        <w:tab/>
        <w:t xml:space="preserve">En 2010, Pradeep et al. montrent une amélioration des paramètres cliniques chez les patients ayant reçu un débridage mécanique parodontal et une délivrance locale de simvastatine </w:t>
      </w:r>
      <w:r w:rsidR="00411ED2">
        <w:t xml:space="preserve">au niveau des défauts intra-osseux </w:t>
      </w:r>
      <w:r>
        <w:t xml:space="preserve">chez les patients que chez les patients avec détartrage et surfaçage seul. On constate une baisse significative du saignement gingival et de la profondeur de poche un gain d’attache clinique important à 6 mois </w:t>
      </w:r>
      <w:r>
        <w:fldChar w:fldCharType="begin"/>
      </w:r>
      <w:r w:rsidR="00411ED2">
        <w:instrText xml:space="preserve"> ADDIN ZOTERO_ITEM CSL_CITATION {"citationID":"oqTsHVYo","properties":{"formattedCitation":"(Avani R. Pradeep et Thorat 2010)","plainCitation":"(Avani R. Pradeep et Thorat 2010)"},"citationItems":[{"id":310,"uris":["http://zotero.org/users/local/Y4Qp1Cr8/items/IEP2MFKZ"],"uri":["http://zotero.org/users/local/Y4Qp1Cr8/items/IEP2MFKZ"],"itemData":{"id":310,"type":"article-journal","title":"Clinical effect of subgingivally delivered simvastatin in the treatment of patients with chronic periodontitis: a randomized clinical trial","container-title":"Journal of Periodontology","page":"214-222","volume":"81","issue":"2","source":"PubMed","abstract":"BACKGROUND: Periodontitis is an inflammatory disease that results in bone resorption creating bony defects, which may cause tooth loss. Various drugs have been studied using local delivery to improve the periodontal health and to achieve periodontal regeneration. Simvastatin (SMV) is a specific competitive inhibitor of 3-hydroxy-2-methyl-glutaryl coenzyme A reductase. The present study was designed to investigate the effectiveness of SMV, 1.2 mg, in an indigenously prepared biodegradable controlled-release gel as an adjunct to scaling and root planing (SRP) in the treatment of chronic periodontitis.\nMETHODS: Sixty patients were categorized into two treatment groups: SRP plus placebo (group 1) and SRP plus SMV, 1.2 mg (group 2). Clinical parameters were recorded at baseline before SRP and at 1, 2, 4, and 6 months; they included modified sulcus bleeding index (mSBI), probing depth (PD), and clinical attachment level (CAL). At baseline and after 6 months, radiologic assessment of intrabony defect (IBD) fill was done using computer-aided software. The mean concentration of SMV in gingival crevicular fluid was estimated by reverse-phase high-performance liquid chromatography.\nRESULTS: All subjects tolerated the drug, without any postapplication inflammation. Both therapies resulted in significant improvements. The decrease in mSBI score at 6 months was greater in group 2 (2.3267 +/- 0.8017) compared to group 1 (0.5033 +/- 0.6815). The mean decrease in PD from baseline to 6 months was 1.20 +/- 1.24 mm and 4.26 +/- 1.59 mm in groups 1 and 2, respectively. Mean CAL gain from baseline to 6 months was 1.63 +/- 1.99 mm and 4.36 +/- 1.92 mm in groups 1 and 2, respectively. In group 2, there was greater decrease in mean IBD (1.41 +/- 0.74 mm or 32.54%) compared to group 1 (0.09 +/- 0.58 mm or 2.16%).\nCONCLUSION: There was a greater decrease in gingival index and PD and more CAL gain with significant IBD fill at sites treated with SRP plus locally delivered SMV in patients with chronic periodontitis.","DOI":"10.1902/jop.2009.090429","ISSN":"1943-3670","note":"PMID: 20151799","shortTitle":"Clinical effect of subgingivally delivered simvastatin in the treatment of patients with chronic periodontitis","journalAbbreviation":"J. Periodontol.","language":"eng","author":[{"family":"Pradeep","given":"Avani R."},{"family":"Thorat","given":"Manojkumar S."}],"issued":{"date-parts":[["2010",2]]}}}],"schema":"https://github.com/citation-style-language/schema/raw/master/csl-citation.json"} </w:instrText>
      </w:r>
      <w:r>
        <w:fldChar w:fldCharType="separate"/>
      </w:r>
      <w:r w:rsidR="00411ED2">
        <w:rPr>
          <w:noProof/>
        </w:rPr>
        <w:t>(Avani R. Pradeep et Thorat 2010)</w:t>
      </w:r>
      <w:r>
        <w:fldChar w:fldCharType="end"/>
      </w:r>
      <w:r>
        <w:t>.</w:t>
      </w:r>
      <w:r w:rsidR="00411ED2">
        <w:t xml:space="preserve"> En 2013, Pradeep et al. arrivent aux mêmes conclusions, chez les patients atteints de diabète de type II </w:t>
      </w:r>
      <w:r w:rsidR="00411ED2">
        <w:fldChar w:fldCharType="begin"/>
      </w:r>
      <w:r w:rsidR="00CA4874">
        <w:instrText xml:space="preserve"> ADDIN ZOTERO_ITEM CSL_CITATION {"citationID":"qZol7cXp","properties":{"formattedCitation":"(A. R. Pradeep, Rao, et al. 2013)","plainCitation":"(A. R. Pradeep, Rao, et al. 2013)"},"citationItems":[{"id":316,"uris":["http://zotero.org/users/local/Y4Qp1Cr8/items/MVYJ6Z3E"],"uri":["http://zotero.org/users/local/Y4Qp1Cr8/items/MVYJ6Z3E"],"itemData":{"id":316,"type":"article-journal","title":"Efficacy of subgingivally delivered simvastatin in the treatment of patients with type 2 diabetes and chronic periodontitis: a randomized double-masked controlled clinical trial","container-title":"Journal of Periodontology","page":"24-31","volume":"84","issue":"1","source":"PubMed","abstract":"BACKGROUND: Simvastatin (SMV) is a specific competitive inhibitor of 3-hydroxy-2-methyl-glutaryl coenzyme A reductase. Recently, it has been reported that statins promote bone formation. The present study is designed to investigate the effectiveness of 1.2% SMV in an indigenously prepared, biodegradable, controlled-release gel as an adjunct to scaling and root planing (SRP) in the treatment of patients with type 2 diabetes and chronic periodontitis (CP).\nMETHODS: Thirty-eight patients were categorized into two treatment groups: SRP plus 1.2% SMV and SRP plus placebo. Clinical parameters were recorded at baseline before SRP and at 3, 6, and 9 months; they included modified sulcus bleeding index (mSBI), probing depth (PD), and clinical attachment level (CAL). At baseline and after 6 and 9 months, radiologic assessment of intrabony defect (IBD) fill was done using computer-aided software.\nRESULTS: Mean PD reduction and mean CAL gain were found to be greater in the SMV group than the placebo group at 3, 6, and 9 months. Furthermore, significantly greater mean percentage of bone fill was found in the SMV group (32.64% ± 12.90%) compared to the placebo group (4.22% ± 9.75%) after 9 months.\nCONCLUSION: There was a greater decrease in mSBI and PD and more CAL gain with significant IBD fill at sites treated with SRP plus locally delivered SMV in patients with type 2 diabetes and CP.","DOI":"10.1902/jop.2012.110721","ISSN":"1943-3670","note":"PMID: 22420871","shortTitle":"Efficacy of subgingivally delivered simvastatin in the treatment of patients with type 2 diabetes and chronic periodontitis","journalAbbreviation":"J. Periodontol.","language":"eng","author":[{"family":"Pradeep","given":"A. R."},{"family":"Rao","given":"Nishanth S."},{"family":"Bajaj","given":"Pavan"},{"family":"Kumari","given":"Minal"}],"issued":{"date-parts":[["2013",1]]}}}],"schema":"https://github.com/citation-style-language/schema/raw/master/csl-citation.json"} </w:instrText>
      </w:r>
      <w:r w:rsidR="00411ED2">
        <w:fldChar w:fldCharType="separate"/>
      </w:r>
      <w:r w:rsidR="00CA4874">
        <w:rPr>
          <w:noProof/>
        </w:rPr>
        <w:t>(A. R. Pradeep, Rao, et al. 2013)</w:t>
      </w:r>
      <w:r w:rsidR="00411ED2">
        <w:fldChar w:fldCharType="end"/>
      </w:r>
      <w:r w:rsidR="00411ED2">
        <w:t>.</w:t>
      </w:r>
    </w:p>
    <w:p w14:paraId="2C520ABF" w14:textId="742A9A46" w:rsidR="00CA5D63" w:rsidRDefault="00CA5D63" w:rsidP="00B96770">
      <w:pPr>
        <w:pStyle w:val="Stytleparagraphe"/>
      </w:pPr>
    </w:p>
    <w:p w14:paraId="6D115757" w14:textId="186FECB6" w:rsidR="0012001C" w:rsidRDefault="0012001C" w:rsidP="00B96770">
      <w:pPr>
        <w:pStyle w:val="Stytleparagraphe"/>
      </w:pPr>
      <w:r>
        <w:t xml:space="preserve">En 2013 également, Pradeep et al. s’intéressent aux effets du gel d’atorvastatine 1,2% injectée au niveau des défauts intra-osseux chez le patient atteint de parodontite chronique, en adjonction du débridage parodontal mécanique. Les résultats montrent des profondeurs de poche réduits et des gains d’attache clinique supérieurs chez les patients traités à l’atorvastatine, comparé au groupe avec un gel placebo, à 3, 6 et 9 mois. De plus, après 9 mois, l’examen radiographique montre un comblement osseux supérieur dans le groupe traité. Ainsi, l’atorvastatine utilisé en complément du détartrage et surfaçage radiculaire apparaît être une bonne option thérapeutique dans le traitement des défauts intra-osseux chez les patients atteints de parodontites chroniques </w:t>
      </w:r>
      <w:r>
        <w:fldChar w:fldCharType="begin"/>
      </w:r>
      <w:r w:rsidR="00CA4874">
        <w:instrText xml:space="preserve"> ADDIN ZOTERO_ITEM CSL_CITATION {"citationID":"ddJkGqOx","properties":{"formattedCitation":"(A. R. Pradeep, Kumari, et al. 2013)","plainCitation":"(A. R. Pradeep, Kumari, et al. 2013)"},"citationItems":[{"id":314,"uris":["http://zotero.org/users/local/Y4Qp1Cr8/items/ZVBB4S5L"],"uri":["http://zotero.org/users/local/Y4Qp1Cr8/items/ZVBB4S5L"],"itemData":{"id":314,"type":"article-journal","title":"Clinical efficacy of subgingivally delivered 1.2% atorvastatin in chronic periodontitis: a randomized controlled clinical trial","container-title":"Journal of Periodontology","page":"871-879","volume":"84","issue":"7","source":"PubMed","abstract":"BACKGROUND: Atorvastatin (ATV) is a specific competitive inhibitor of 3-hydroxy-2-methyl-glutaryl coenzyme A reductase. Recently, statins have shown pleiotropic effects such as anti-inflammation and bone stimulation. The aim of the present study is to investigate the effectiveness of 1.2% ATV as an adjunct to scaling and root planing (SRP) in the treatment of intrabony defects (IBDs).\nMETHODS: Sixty individuals were randomized into two treatment groups: SRP plus 1.2% ATV and SRP plus placebo gel. At baseline and 3, 6, and 9 months, clinical parameters, which included modified sulcus bleeding index, plaque index, probing depth (PD), and clinical attachment level (CAL), were recorded at baseline. Radiologic assessment of IBD fill was done using computer-aided software at baseline and 6 and 9 months.\nRESULTS: Mean PD reduction and mean CAL gain were greater in the ATV group than the placebo group at 3, 6, and 9 months. A significantly greater mean percentage of radiographic bone fill was found in the ATV group (35.49% ± 5.50%) compared to the placebo group (1.82% ± 1.32%) after 9 months.\nCONCLUSION: ATV as an adjunct to SRP can provide a new direction in the management of IBDs.","DOI":"10.1902/jop.2012.120393","ISSN":"1943-3670","note":"PMID: 23030241","shortTitle":"Clinical efficacy of subgingivally delivered 1.2% atorvastatin in chronic periodontitis","journalAbbreviation":"J. Periodontol.","language":"eng","author":[{"family":"Pradeep","given":"A. R."},{"family":"Kumari","given":"Minal"},{"family":"Rao","given":"Nishanth S."},{"family":"Martande","given":"Santosh S."},{"family":"Naik","given":"Savitha B."}],"issued":{"date-parts":[["2013",7]]}}}],"schema":"https://github.com/citation-style-language/schema/raw/master/csl-citation.json"} </w:instrText>
      </w:r>
      <w:r>
        <w:fldChar w:fldCharType="separate"/>
      </w:r>
      <w:r w:rsidR="00CA4874">
        <w:rPr>
          <w:noProof/>
        </w:rPr>
        <w:t>(A. R. Pradeep, Kumari, et al. 2013)</w:t>
      </w:r>
      <w:r>
        <w:fldChar w:fldCharType="end"/>
      </w:r>
      <w:r>
        <w:t>.</w:t>
      </w:r>
    </w:p>
    <w:p w14:paraId="4DB84E82" w14:textId="77777777" w:rsidR="00CA4874" w:rsidRDefault="00CA4874" w:rsidP="00B96770">
      <w:pPr>
        <w:pStyle w:val="Stytleparagraphe"/>
      </w:pPr>
    </w:p>
    <w:p w14:paraId="32A8BF99" w14:textId="72EC2B83" w:rsidR="00CA4874" w:rsidRDefault="00CA4874" w:rsidP="00B96770">
      <w:pPr>
        <w:pStyle w:val="Stytleparagraphe"/>
      </w:pPr>
      <w:r>
        <w:t xml:space="preserve">De la même façon, en 2015, Pradeep et al. </w:t>
      </w:r>
      <w:r w:rsidR="0026644C">
        <w:t xml:space="preserve">montrent que le gel de rosuvastatine 1,2% administré localement au niveau des défauts intra-osseux et des poches parodontales permet de réduire le saignement gingival et la profondeur de poche et d’obtenir un gain d’attache clinique significatif, sans aucun effet indésirable </w:t>
      </w:r>
      <w:r w:rsidR="0026644C">
        <w:fldChar w:fldCharType="begin"/>
      </w:r>
      <w:r w:rsidR="0026644C">
        <w:instrText xml:space="preserve"> ADDIN ZOTERO_ITEM CSL_CITATION {"citationID":"sipiE8De","properties":{"formattedCitation":"(A. R. Pradeep et al. 2015)","plainCitation":"(A. R. Pradeep et al. 2015)"},"citationItems":[{"id":312,"uris":["http://zotero.org/users/local/Y4Qp1Cr8/items/IJTCC4KL"],"uri":["http://zotero.org/users/local/Y4Qp1Cr8/items/IJTCC4KL"],"itemData":{"id":312,"type":"article-journal","title":"Efficacy of locally delivered 1.2% rosuvastatin gel to non-surgical treatment of patients with chronic periodontitis: a randomized, placebo-controlled clinical trial","container-title":"Journal of Periodontology","page":"738-745","volume":"86","issue":"6","source":"PubMed","abstract":"BACKGROUND: Chronic periodontitis (CP) is an inflammatory condition affecting tooth-supporting tissues and alveolar bone that surround the tooth, leading to formation of a deepened gingival sulcus that is highly prone to pathologic changes and, ultimately, bone resorption and tooth loss. In the literature, several pharmacologic agents have been administered via local delivery routes directly into diseased sites, affirming improvement in periodontal status. Therefore, this study aims to determine the clinical effectiveness of subgingivally delivered 1.2% rosuvastatin (RSV) gel incorporated into a methylcellulose vehicle for its controlled release into intrabony defect (IBD) sites as an adjunct to scaling and root planing (SRP) for treatment of patients with CP.\nMETHODS: Sixty-five patients were categorized into two treatment groups: group 1, SRP plus 1.2 mg RSV; group 2, SRP plus placebo. Clinical parameters, including modified sulcus bleeding index (mSBI), probing depth (PD), and clinical attachment level (CAL), were recorded at baseline (before SRP) and at 1, 3, 4, and 6 months. Radiologic assessment of IBD fill was analyzed at baseline and after 6 months using software.\nRESULTS: There was significant improvement in both study groups. At 6 months, there was a greater decrease in mSBI scores in group 1 (3.71 ± 0.24) compared to group 2 (1.48 ± 0.33). The mean decrease in PD from baseline to 6 months was 4.04 ± 0.34 and 1.31 ± 0.24 mm in groups 1 and 2, respectively. Mean CAL gain from baseline to 6 months was 4.2 ± 0.17 and 1.4 ± 0.15 mm in groups 1 and 2, respectively. In group 1, there was a greater decrease in mean IBD (2.23 ± 0.32 mm, 48.58%) compared to group 2 (0.46 ± 0.02 mm, 10.02%). All patients tolerated the drug without any adverse reaction.\nCONCLUSION: Rosuvastatin in situ gel (1.2%), when delivered locally into IBD/pocket sites, showed a greater reduction than placebo in PD and gingival index, along with increased gain in CAL.","DOI":"10.1902/jop.2015.140631","ISSN":"1943-3670","note":"PMID: 25786565","shortTitle":"Efficacy of locally delivered 1.2% rosuvastatin gel to non-surgical treatment of patients with chronic periodontitis","journalAbbreviation":"J. Periodontol.","language":"eng","author":[{"family":"Pradeep","given":"A. R."},{"family":"Karvekar","given":"Shruti"},{"family":"Nagpal","given":"Kanika"},{"family":"Patnaik","given":"Kaushik"},{"family":"Guruprasad","given":"C. N."},{"family":"Kumaraswamy","given":"K. M."}],"issued":{"date-parts":[["2015",6]]}}}],"schema":"https://github.com/citation-style-language/schema/raw/master/csl-citation.json"} </w:instrText>
      </w:r>
      <w:r w:rsidR="0026644C">
        <w:fldChar w:fldCharType="separate"/>
      </w:r>
      <w:r w:rsidR="0026644C">
        <w:rPr>
          <w:noProof/>
        </w:rPr>
        <w:t>(A. R. Pradeep et al. 2015)</w:t>
      </w:r>
      <w:r w:rsidR="0026644C">
        <w:fldChar w:fldCharType="end"/>
      </w:r>
      <w:r w:rsidR="0026644C">
        <w:t>.</w:t>
      </w:r>
    </w:p>
    <w:p w14:paraId="1243EC98" w14:textId="77777777" w:rsidR="00BD72B3" w:rsidRDefault="00BD72B3" w:rsidP="00B96770">
      <w:pPr>
        <w:pStyle w:val="Stytleparagraphe"/>
      </w:pPr>
    </w:p>
    <w:p w14:paraId="52D8314D" w14:textId="3A7462B6" w:rsidR="00BD72B3" w:rsidRDefault="00F11DAF" w:rsidP="0018798A">
      <w:pPr>
        <w:pStyle w:val="Style2"/>
        <w:numPr>
          <w:ilvl w:val="0"/>
          <w:numId w:val="15"/>
        </w:numPr>
      </w:pPr>
      <w:bookmarkStart w:id="413" w:name="_Toc380946417"/>
      <w:bookmarkStart w:id="414" w:name="_Toc383883981"/>
      <w:bookmarkStart w:id="415" w:name="_Toc384754098"/>
      <w:bookmarkStart w:id="416" w:name="_Toc384756519"/>
      <w:bookmarkStart w:id="417" w:name="_Toc384816115"/>
      <w:bookmarkStart w:id="418" w:name="_Toc384826831"/>
      <w:r>
        <w:t>Conclusion</w:t>
      </w:r>
      <w:bookmarkEnd w:id="413"/>
      <w:bookmarkEnd w:id="414"/>
      <w:bookmarkEnd w:id="415"/>
      <w:bookmarkEnd w:id="416"/>
      <w:bookmarkEnd w:id="417"/>
      <w:bookmarkEnd w:id="418"/>
    </w:p>
    <w:p w14:paraId="7D9415BE" w14:textId="09CC0DC5" w:rsidR="00F11DAF" w:rsidRDefault="00CD5BF4" w:rsidP="008246F2">
      <w:pPr>
        <w:pStyle w:val="Stytleparagraphe"/>
        <w:ind w:firstLine="360"/>
      </w:pPr>
      <w:r>
        <w:t>L’ensemble des études portant sur l’effet des statines dans le traitement des parodontites chroniques et des défauts intra-osseux semblent converger dans la même direction et placent les statines en tant que potentiel traitement, utilisé en complément du traitement non-chirurgical classique par détartrage et surfaçage radiculaire. Désormais, les effets biologiques des statines dans la régénération de l’os alvéolaire sont largement décrits et les résultats cliniques montrant une réduction des profondeurs de poches parodontales, une réduction de la résorption osseuse et des gains d’attache clinique semblent reproductibles, à travers les différents essais cliniques conduits chez l’Homme. Les statines agissent alors comme véritables anti-inflammatoires et immunomodulateurs et représentent une perspective thérapeutique probable.</w:t>
      </w:r>
    </w:p>
    <w:p w14:paraId="5A9EC2D6" w14:textId="77777777" w:rsidR="00DA3EA4" w:rsidRDefault="00DA3EA4" w:rsidP="008246F2">
      <w:pPr>
        <w:pStyle w:val="Stytleparagraphe"/>
        <w:ind w:firstLine="360"/>
      </w:pPr>
    </w:p>
    <w:p w14:paraId="666347F2" w14:textId="0B65D140" w:rsidR="00CD5BF4" w:rsidRDefault="00CD5BF4" w:rsidP="008246F2">
      <w:pPr>
        <w:pStyle w:val="Stytleparagraphe"/>
        <w:ind w:firstLine="360"/>
      </w:pPr>
      <w:r>
        <w:t>Cependant, davantage d’études sont nécessaires pour évaluer les possibilités d’utilisation clinique</w:t>
      </w:r>
      <w:r w:rsidR="008669C0">
        <w:t xml:space="preserve"> topique</w:t>
      </w:r>
      <w:r>
        <w:t xml:space="preserve"> des statines</w:t>
      </w:r>
      <w:r w:rsidR="008669C0">
        <w:t xml:space="preserve"> sous forme de gel</w:t>
      </w:r>
      <w:r>
        <w:t xml:space="preserve"> dans le traitement de la parodontite chronique</w:t>
      </w:r>
      <w:r w:rsidR="008669C0">
        <w:t xml:space="preserve">, à travers un protocole bien établi, fiable, reproductible et sûr pour le patient. </w:t>
      </w:r>
    </w:p>
    <w:p w14:paraId="17A57EAF" w14:textId="77777777" w:rsidR="00DA3EA4" w:rsidRDefault="00DA3EA4" w:rsidP="008246F2">
      <w:pPr>
        <w:pStyle w:val="Stytleparagraphe"/>
        <w:ind w:firstLine="360"/>
      </w:pPr>
    </w:p>
    <w:p w14:paraId="550C826E" w14:textId="77777777" w:rsidR="009F51CB" w:rsidRDefault="009F51CB" w:rsidP="009F51CB">
      <w:pPr>
        <w:spacing w:line="360" w:lineRule="auto"/>
        <w:rPr>
          <w:rFonts w:ascii="Arial" w:hAnsi="Arial"/>
          <w:sz w:val="28"/>
        </w:rPr>
      </w:pPr>
    </w:p>
    <w:p w14:paraId="5BF49BF0" w14:textId="77777777" w:rsidR="009F51CB" w:rsidRDefault="009F51CB" w:rsidP="009F51CB">
      <w:pPr>
        <w:spacing w:line="360" w:lineRule="auto"/>
        <w:rPr>
          <w:rFonts w:ascii="Arial" w:hAnsi="Arial"/>
          <w:sz w:val="28"/>
        </w:rPr>
      </w:pPr>
    </w:p>
    <w:p w14:paraId="520F2831" w14:textId="77777777" w:rsidR="009F51CB" w:rsidRDefault="009F51CB" w:rsidP="009F51CB">
      <w:pPr>
        <w:spacing w:line="360" w:lineRule="auto"/>
        <w:rPr>
          <w:rFonts w:ascii="Arial" w:hAnsi="Arial"/>
          <w:sz w:val="28"/>
        </w:rPr>
      </w:pPr>
    </w:p>
    <w:p w14:paraId="2A85D01F" w14:textId="77777777" w:rsidR="009F51CB" w:rsidRDefault="009F51CB" w:rsidP="009F51CB">
      <w:pPr>
        <w:spacing w:line="360" w:lineRule="auto"/>
        <w:rPr>
          <w:rFonts w:ascii="Arial" w:hAnsi="Arial"/>
          <w:sz w:val="28"/>
        </w:rPr>
      </w:pPr>
    </w:p>
    <w:p w14:paraId="6A8DF373" w14:textId="77777777" w:rsidR="009F51CB" w:rsidRDefault="009F51CB" w:rsidP="009F51CB">
      <w:pPr>
        <w:spacing w:line="360" w:lineRule="auto"/>
        <w:rPr>
          <w:rFonts w:ascii="Arial" w:hAnsi="Arial"/>
          <w:sz w:val="28"/>
        </w:rPr>
      </w:pPr>
    </w:p>
    <w:p w14:paraId="62C179D6" w14:textId="77777777" w:rsidR="009F51CB" w:rsidRPr="001F28E7" w:rsidRDefault="009F51CB" w:rsidP="009F51CB">
      <w:pPr>
        <w:spacing w:line="360" w:lineRule="auto"/>
        <w:rPr>
          <w:rFonts w:ascii="Arial" w:hAnsi="Arial"/>
          <w:sz w:val="28"/>
        </w:rPr>
      </w:pPr>
    </w:p>
    <w:p w14:paraId="336BF8A2" w14:textId="77777777" w:rsidR="009F51CB" w:rsidRPr="00B85E22" w:rsidRDefault="009F51CB" w:rsidP="00B85E22">
      <w:pPr>
        <w:spacing w:line="360" w:lineRule="auto"/>
        <w:rPr>
          <w:rFonts w:ascii="Arial" w:hAnsi="Arial"/>
          <w:sz w:val="28"/>
        </w:rPr>
      </w:pPr>
    </w:p>
    <w:p w14:paraId="502E3C49" w14:textId="77777777" w:rsidR="009F51CB" w:rsidRPr="00DE07A7" w:rsidRDefault="009F51CB" w:rsidP="009F51CB">
      <w:pPr>
        <w:spacing w:line="360" w:lineRule="auto"/>
        <w:rPr>
          <w:rFonts w:ascii="Arial" w:hAnsi="Arial"/>
          <w:sz w:val="28"/>
        </w:rPr>
      </w:pPr>
    </w:p>
    <w:p w14:paraId="18CBA9C5" w14:textId="77777777" w:rsidR="009F51CB" w:rsidRDefault="009F51CB" w:rsidP="009F51CB">
      <w:pPr>
        <w:pStyle w:val="ListParagraph"/>
        <w:spacing w:line="360" w:lineRule="auto"/>
        <w:ind w:left="1080"/>
        <w:rPr>
          <w:rFonts w:ascii="Arial" w:hAnsi="Arial"/>
          <w:sz w:val="28"/>
        </w:rPr>
      </w:pPr>
    </w:p>
    <w:p w14:paraId="583C9799" w14:textId="77777777" w:rsidR="009F51CB" w:rsidRDefault="009F51CB" w:rsidP="009F51CB">
      <w:pPr>
        <w:pStyle w:val="ListParagraph"/>
        <w:spacing w:line="360" w:lineRule="auto"/>
        <w:ind w:left="1080"/>
        <w:rPr>
          <w:rFonts w:ascii="Arial" w:hAnsi="Arial"/>
          <w:sz w:val="28"/>
        </w:rPr>
      </w:pPr>
    </w:p>
    <w:p w14:paraId="2790A8CB" w14:textId="77777777" w:rsidR="009F51CB" w:rsidRDefault="009F51CB" w:rsidP="009F51CB">
      <w:pPr>
        <w:pStyle w:val="ListParagraph"/>
        <w:spacing w:line="360" w:lineRule="auto"/>
        <w:ind w:left="1080"/>
        <w:rPr>
          <w:rFonts w:ascii="Arial" w:hAnsi="Arial"/>
          <w:sz w:val="28"/>
        </w:rPr>
      </w:pPr>
    </w:p>
    <w:p w14:paraId="73A82FE9" w14:textId="77777777" w:rsidR="009F51CB" w:rsidRDefault="009F51CB" w:rsidP="009F51CB"/>
    <w:p w14:paraId="1642F861" w14:textId="77777777" w:rsidR="009F51CB" w:rsidRDefault="009F51CB" w:rsidP="009F51CB">
      <w:pPr>
        <w:tabs>
          <w:tab w:val="left" w:pos="4848"/>
        </w:tabs>
      </w:pPr>
    </w:p>
    <w:p w14:paraId="73B64B87" w14:textId="388B4642" w:rsidR="009F51CB" w:rsidRDefault="00C9659E" w:rsidP="009F51CB">
      <w:pPr>
        <w:pStyle w:val="Style1"/>
        <w:pBdr>
          <w:bottom w:val="single" w:sz="6" w:space="1" w:color="auto"/>
        </w:pBdr>
      </w:pPr>
      <w:r>
        <w:t xml:space="preserve"> </w:t>
      </w:r>
      <w:bookmarkStart w:id="419" w:name="_Toc383883982"/>
      <w:bookmarkStart w:id="420" w:name="_Toc384754099"/>
      <w:bookmarkStart w:id="421" w:name="_Toc384756520"/>
      <w:bookmarkStart w:id="422" w:name="_Toc384816116"/>
      <w:bookmarkStart w:id="423" w:name="_Toc384826832"/>
      <w:r>
        <w:t xml:space="preserve">LES MEMBRANES NANOFIBREUSES </w:t>
      </w:r>
      <w:r w:rsidR="006B1E48">
        <w:t>BIO</w:t>
      </w:r>
      <w:r>
        <w:t>ACTIVES</w:t>
      </w:r>
      <w:bookmarkEnd w:id="419"/>
      <w:bookmarkEnd w:id="420"/>
      <w:bookmarkEnd w:id="421"/>
      <w:bookmarkEnd w:id="422"/>
      <w:bookmarkEnd w:id="423"/>
    </w:p>
    <w:p w14:paraId="00AF2956" w14:textId="1192115B" w:rsidR="0025059D" w:rsidRDefault="0025059D" w:rsidP="009F51CB">
      <w:pPr>
        <w:pStyle w:val="Style1"/>
        <w:numPr>
          <w:ilvl w:val="0"/>
          <w:numId w:val="0"/>
        </w:numPr>
        <w:ind w:left="1080"/>
      </w:pPr>
    </w:p>
    <w:p w14:paraId="77886246" w14:textId="77777777" w:rsidR="0025059D" w:rsidRPr="0025059D" w:rsidRDefault="0025059D" w:rsidP="0025059D"/>
    <w:p w14:paraId="16D5BD2C" w14:textId="77777777" w:rsidR="0025059D" w:rsidRPr="0025059D" w:rsidRDefault="0025059D" w:rsidP="0025059D"/>
    <w:p w14:paraId="0C4C7CA7" w14:textId="77777777" w:rsidR="0025059D" w:rsidRPr="0025059D" w:rsidRDefault="0025059D" w:rsidP="0025059D"/>
    <w:p w14:paraId="377D4E46" w14:textId="77777777" w:rsidR="0025059D" w:rsidRPr="0025059D" w:rsidRDefault="0025059D" w:rsidP="0025059D"/>
    <w:p w14:paraId="2FA7BF69" w14:textId="77777777" w:rsidR="0025059D" w:rsidRPr="0025059D" w:rsidRDefault="0025059D" w:rsidP="0025059D"/>
    <w:p w14:paraId="76BB2998" w14:textId="77777777" w:rsidR="0025059D" w:rsidRPr="0025059D" w:rsidRDefault="0025059D" w:rsidP="0025059D"/>
    <w:p w14:paraId="43C1BE46" w14:textId="77777777" w:rsidR="0025059D" w:rsidRPr="0025059D" w:rsidRDefault="0025059D" w:rsidP="0025059D"/>
    <w:p w14:paraId="69474192" w14:textId="77777777" w:rsidR="0025059D" w:rsidRPr="0025059D" w:rsidRDefault="0025059D" w:rsidP="0025059D"/>
    <w:p w14:paraId="6492FF2A" w14:textId="77777777" w:rsidR="0025059D" w:rsidRPr="0025059D" w:rsidRDefault="0025059D" w:rsidP="0025059D"/>
    <w:p w14:paraId="0780B523" w14:textId="77777777" w:rsidR="0025059D" w:rsidRDefault="0025059D" w:rsidP="0025059D"/>
    <w:p w14:paraId="47245256" w14:textId="77777777" w:rsidR="00C9659E" w:rsidRDefault="00C9659E" w:rsidP="0025059D"/>
    <w:p w14:paraId="577795FE" w14:textId="77777777" w:rsidR="00C9659E" w:rsidRPr="0025059D" w:rsidRDefault="00C9659E" w:rsidP="0025059D"/>
    <w:p w14:paraId="0F1D3183" w14:textId="77777777" w:rsidR="0025059D" w:rsidRPr="0025059D" w:rsidRDefault="0025059D" w:rsidP="0025059D"/>
    <w:p w14:paraId="3BAA41AD" w14:textId="77777777" w:rsidR="0025059D" w:rsidRPr="0025059D" w:rsidRDefault="0025059D" w:rsidP="0025059D"/>
    <w:p w14:paraId="44311E43" w14:textId="77777777" w:rsidR="0025059D" w:rsidRPr="0025059D" w:rsidRDefault="0025059D" w:rsidP="0025059D"/>
    <w:p w14:paraId="0A37BE43" w14:textId="77777777" w:rsidR="0025059D" w:rsidRPr="0025059D" w:rsidRDefault="0025059D" w:rsidP="0025059D"/>
    <w:p w14:paraId="43306775" w14:textId="77777777" w:rsidR="0025059D" w:rsidRPr="0025059D" w:rsidRDefault="0025059D" w:rsidP="0025059D"/>
    <w:p w14:paraId="4E3FB4B1" w14:textId="77777777" w:rsidR="0025059D" w:rsidRPr="0025059D" w:rsidRDefault="0025059D" w:rsidP="0025059D"/>
    <w:p w14:paraId="2BB09418" w14:textId="7D03C5EF" w:rsidR="0025059D" w:rsidRDefault="0025059D" w:rsidP="0025059D"/>
    <w:p w14:paraId="14CD67A6" w14:textId="270E0EAB" w:rsidR="0025059D" w:rsidRDefault="0025059D" w:rsidP="0025059D"/>
    <w:p w14:paraId="615574E9" w14:textId="2289E07F" w:rsidR="009F51CB" w:rsidRDefault="009F51CB" w:rsidP="0025059D">
      <w:pPr>
        <w:tabs>
          <w:tab w:val="left" w:pos="4687"/>
        </w:tabs>
      </w:pPr>
    </w:p>
    <w:p w14:paraId="6E0C9C02" w14:textId="4835F1D0" w:rsidR="00402E03" w:rsidRDefault="007C5DFE" w:rsidP="0018798A">
      <w:pPr>
        <w:pStyle w:val="Style2"/>
        <w:numPr>
          <w:ilvl w:val="0"/>
          <w:numId w:val="17"/>
        </w:numPr>
      </w:pPr>
      <w:bookmarkStart w:id="424" w:name="_Toc383883983"/>
      <w:bookmarkStart w:id="425" w:name="_Toc384754100"/>
      <w:bookmarkStart w:id="426" w:name="_Toc384756521"/>
      <w:bookmarkStart w:id="427" w:name="_Toc384816117"/>
      <w:bookmarkStart w:id="428" w:name="_Toc384826833"/>
      <w:r>
        <w:t>Introduction</w:t>
      </w:r>
      <w:bookmarkEnd w:id="424"/>
      <w:bookmarkEnd w:id="425"/>
      <w:bookmarkEnd w:id="426"/>
      <w:bookmarkEnd w:id="427"/>
      <w:bookmarkEnd w:id="428"/>
    </w:p>
    <w:p w14:paraId="1EEE388C" w14:textId="3FA11C0B" w:rsidR="007C5DFE" w:rsidRDefault="007C5DFE" w:rsidP="0018798A">
      <w:pPr>
        <w:pStyle w:val="Style3"/>
        <w:numPr>
          <w:ilvl w:val="0"/>
          <w:numId w:val="19"/>
        </w:numPr>
      </w:pPr>
      <w:bookmarkStart w:id="429" w:name="_Toc383883984"/>
      <w:bookmarkStart w:id="430" w:name="_Toc384754101"/>
      <w:bookmarkStart w:id="431" w:name="_Toc384756522"/>
      <w:bookmarkStart w:id="432" w:name="_Toc384816118"/>
      <w:bookmarkStart w:id="433" w:name="_Toc384826834"/>
      <w:r>
        <w:t>Les membranes</w:t>
      </w:r>
      <w:bookmarkEnd w:id="429"/>
      <w:bookmarkEnd w:id="430"/>
      <w:bookmarkEnd w:id="431"/>
      <w:bookmarkEnd w:id="432"/>
      <w:bookmarkEnd w:id="433"/>
    </w:p>
    <w:p w14:paraId="2E163248" w14:textId="2864370D" w:rsidR="00D124AD" w:rsidRDefault="00D124AD" w:rsidP="000D2CAA">
      <w:pPr>
        <w:pStyle w:val="Stytleparagraphe"/>
        <w:ind w:firstLine="360"/>
      </w:pPr>
      <w:r>
        <w:t>L’objectif des différentes thérapeutiques régénératives est de restaurer l’intégrité et la fonction de l’ensemble du système d’attachement, à savoir les tissus mous (gencive, ligament parodontal) et minéralisés (cément, os alvéolaire). En l’absence de thérapeutique adéquate, la cicatrisation naturelle de ces tissus conduit à une réparation tissulaire et non à une vraie régénération, à cause de la compétition entre ces tissus qui ont des taux de différenciation, prolifération et migration cellulaire variables.</w:t>
      </w:r>
    </w:p>
    <w:p w14:paraId="23E203A7" w14:textId="4963E072" w:rsidR="00D124AD" w:rsidRDefault="00D124AD" w:rsidP="00D124AD">
      <w:pPr>
        <w:pStyle w:val="Stytleparagraphe"/>
      </w:pPr>
      <w:r>
        <w:t xml:space="preserve">Initialement, les membranes étaient utilisées en parodontologie en tant que barrières physiques afin de compartimenter les tissus parodontaux superficiels et profonds pour permettre la maturation indépendant de leurs cellules et donc la régénération de l’attache conjonctive </w:t>
      </w:r>
      <w:r>
        <w:fldChar w:fldCharType="begin"/>
      </w:r>
      <w:r>
        <w:instrText xml:space="preserve"> ADDIN ZOTERO_ITEM CSL_CITATION {"citationID":"9qYTfPZy","properties":{"formattedCitation":"(Ramseier et al. 2012)","plainCitation":"(Ramseier et al. 2012)","noteIndex":0},"citationItems":[{"id":384,"uris":["http://zotero.org/users/local/Y4Qp1Cr8/items/IHXE2N43"],"uri":["http://zotero.org/users/local/Y4Qp1Cr8/items/IHXE2N43"],"itemData":{"id":384,"type":"article-journal","title":"Advanced regenerative technologies for periodontal tissue repair","container-title":"Periodontology 2000","page":"185-202","volume":"59","issue":"1","source":"PubMed Central","DOI":"10.1111/j.1600-0757.2011.00432.x","ISSN":"0906-6713","note":"PMID: 22507066\nPMCID: PMC3335769","journalAbbreviation":"Periodontol 2000","author":[{"family":"Ramseier","given":"Christoph A."},{"family":"Rasperini","given":"Giulio"},{"family":"Batia","given":"Salvatore"},{"family":"Giannobile","given":"William V."}],"issued":{"date-parts":[["2012",6]]}}}],"schema":"https://github.com/citation-style-language/schema/raw/master/csl-citation.json"} </w:instrText>
      </w:r>
      <w:r>
        <w:fldChar w:fldCharType="separate"/>
      </w:r>
      <w:r>
        <w:rPr>
          <w:noProof/>
        </w:rPr>
        <w:t>(Ramseier et al. 2012)</w:t>
      </w:r>
      <w:r>
        <w:fldChar w:fldCharType="end"/>
      </w:r>
      <w:r>
        <w:t xml:space="preserve"> </w:t>
      </w:r>
      <w:r>
        <w:fldChar w:fldCharType="begin"/>
      </w:r>
      <w:r w:rsidR="00F00AA6">
        <w:instrText xml:space="preserve"> ADDIN ZOTERO_ITEM CSL_CITATION {"citationID":"OXMZaLfD","properties":{"formattedCitation":"(J.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F00AA6">
        <w:rPr>
          <w:noProof/>
        </w:rPr>
        <w:t>(J. H. Kim et al. 2014)</w:t>
      </w:r>
      <w:r>
        <w:fldChar w:fldCharType="end"/>
      </w:r>
      <w:r>
        <w:t xml:space="preserve">. </w:t>
      </w:r>
    </w:p>
    <w:p w14:paraId="1C7CD87D" w14:textId="5C7BDB0D" w:rsidR="00D124AD" w:rsidRDefault="008A169E" w:rsidP="00D124AD">
      <w:pPr>
        <w:pStyle w:val="Stytleparagraphe"/>
      </w:pPr>
      <w:r>
        <w:t xml:space="preserve">Le succès de la </w:t>
      </w:r>
      <w:r w:rsidR="00D124AD">
        <w:t>régénération parodontale se caractérise par :</w:t>
      </w:r>
    </w:p>
    <w:p w14:paraId="03679615" w14:textId="71A27BD5" w:rsidR="00D124AD" w:rsidRDefault="00D124AD" w:rsidP="00D124AD">
      <w:pPr>
        <w:pStyle w:val="Stytleparagraphe"/>
        <w:numPr>
          <w:ilvl w:val="0"/>
          <w:numId w:val="3"/>
        </w:numPr>
      </w:pPr>
      <w:r>
        <w:t>la régénération de l’os alvéolaire,</w:t>
      </w:r>
    </w:p>
    <w:p w14:paraId="36C3813D" w14:textId="01757E0A" w:rsidR="00D124AD" w:rsidRDefault="00D124AD" w:rsidP="00D124AD">
      <w:pPr>
        <w:pStyle w:val="Stytleparagraphe"/>
        <w:numPr>
          <w:ilvl w:val="0"/>
          <w:numId w:val="3"/>
        </w:numPr>
      </w:pPr>
      <w:r>
        <w:t>la formation d’un tissu conjonctif fibreux,</w:t>
      </w:r>
    </w:p>
    <w:p w14:paraId="5717F54E" w14:textId="6A381649" w:rsidR="00E30FD0" w:rsidRDefault="00D124AD" w:rsidP="00E30FD0">
      <w:pPr>
        <w:pStyle w:val="Stytleparagraphe"/>
        <w:numPr>
          <w:ilvl w:val="0"/>
          <w:numId w:val="3"/>
        </w:numPr>
      </w:pPr>
      <w:r>
        <w:t>la fixation du tissu conjonctif de la surface de la racine à l’os.</w:t>
      </w:r>
    </w:p>
    <w:p w14:paraId="04BBDBFE" w14:textId="5A7F1B24" w:rsidR="00D1488F" w:rsidRPr="00D1488F" w:rsidRDefault="00D1488F" w:rsidP="00D1488F">
      <w:pPr>
        <w:pStyle w:val="Stytleparagraphe"/>
      </w:pPr>
      <w:r>
        <w:t>De nos jours, les membranes ont considérablement évolué et représentent alors une perspective considérable en régénération parodontale via l’utilisation de molécules bioactives et le recrutement des cellules souches qui potentialisent la cicatrisation des tissus parodontaux</w:t>
      </w:r>
      <w:r w:rsidR="00304A5E">
        <w:t xml:space="preserve">. Ces membranes permettent la libération contrôlée dans le temps et dans l’espace de facteurs impliqués dans l’inflammation tissulaire et agissent alors comme véritables modulateurs de la cicatrisation parodontale </w:t>
      </w:r>
      <w:r>
        <w:fldChar w:fldCharType="begin"/>
      </w:r>
      <w:r w:rsidR="00F00AA6">
        <w:instrText xml:space="preserve"> ADDIN ZOTERO_ITEM CSL_CITATION {"citationID":"RTODCEAt","properties":{"formattedCitation":"(J.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F00AA6">
        <w:rPr>
          <w:noProof/>
        </w:rPr>
        <w:t>(J. H. Kim et al. 2014a)</w:t>
      </w:r>
      <w:r>
        <w:fldChar w:fldCharType="end"/>
      </w:r>
      <w:r w:rsidR="000C25B4">
        <w:t xml:space="preserve"> </w:t>
      </w:r>
      <w:r w:rsidR="000C25B4">
        <w:fldChar w:fldCharType="begin"/>
      </w:r>
      <w:r w:rsidR="000C25B4">
        <w:instrText xml:space="preserve"> ADDIN ZOTERO_ITEM CSL_CITATION {"citationID":"AsyAUCi2","properties":{"formattedCitation":"(D.-N.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0C25B4">
        <w:fldChar w:fldCharType="separate"/>
      </w:r>
      <w:r w:rsidR="000C25B4">
        <w:rPr>
          <w:noProof/>
        </w:rPr>
        <w:t>(D.-N. Morand et al. 2015)</w:t>
      </w:r>
      <w:r w:rsidR="000C25B4">
        <w:fldChar w:fldCharType="end"/>
      </w:r>
      <w:r>
        <w:t>.</w:t>
      </w:r>
    </w:p>
    <w:p w14:paraId="4D2A96F0" w14:textId="77777777" w:rsidR="00E30FD0" w:rsidRDefault="00E30FD0" w:rsidP="00E30FD0">
      <w:pPr>
        <w:pStyle w:val="Stytleparagraphe"/>
        <w:rPr>
          <w:b/>
          <w:sz w:val="28"/>
        </w:rPr>
      </w:pPr>
    </w:p>
    <w:p w14:paraId="001B85B2" w14:textId="7817A8D3" w:rsidR="001631A5" w:rsidRDefault="001631A5" w:rsidP="0018798A">
      <w:pPr>
        <w:pStyle w:val="Style3"/>
        <w:numPr>
          <w:ilvl w:val="0"/>
          <w:numId w:val="19"/>
        </w:numPr>
      </w:pPr>
      <w:bookmarkStart w:id="434" w:name="_Toc383883985"/>
      <w:bookmarkStart w:id="435" w:name="_Toc384754102"/>
      <w:bookmarkStart w:id="436" w:name="_Toc384756523"/>
      <w:bookmarkStart w:id="437" w:name="_Toc384816119"/>
      <w:bookmarkStart w:id="438" w:name="_Toc384826835"/>
      <w:r>
        <w:t>Les cellules souches mésenchymateuses</w:t>
      </w:r>
      <w:bookmarkEnd w:id="434"/>
      <w:bookmarkEnd w:id="435"/>
      <w:bookmarkEnd w:id="436"/>
      <w:bookmarkEnd w:id="437"/>
      <w:bookmarkEnd w:id="438"/>
    </w:p>
    <w:p w14:paraId="2746FE45" w14:textId="7A7F8CE4" w:rsidR="00124325" w:rsidRDefault="00124325" w:rsidP="00124325">
      <w:pPr>
        <w:pStyle w:val="Stytleparagraphe"/>
        <w:ind w:firstLine="360"/>
      </w:pPr>
      <w:r>
        <w:t xml:space="preserve">Lors de la réponse immunitaire, les cellules souches mésenchymateuses (CSM) migrent au niveau des tissus lésés et favorisent la réparation et régénération tissulaire </w:t>
      </w:r>
      <w:r w:rsidR="00F00AA6">
        <w:t xml:space="preserve">en régulant la différenciation tissulaire, la sécrétion cytokinique et la libération de facteurs de croissance. La conception de certaines biomatrices vise à rétablir le microenvironnement des CSM afin de favoriser leur fonctionnement in vivo et donc la régénération tissulaire </w:t>
      </w:r>
      <w:r w:rsidR="00F00AA6">
        <w:fldChar w:fldCharType="begin"/>
      </w:r>
      <w:r w:rsidR="00F00AA6">
        <w:instrText xml:space="preserve"> ADDIN ZOTERO_ITEM CSL_CITATION {"citationID":"pkvrcy1e","properties":{"formattedCitation":"(J. H. Kim et al. 2014b)","plainCitation":"(J. H. Kim et al. 2014b)","noteIndex":0},"citationItems":[{"id":381,"uris":["http://zotero.org/users/local/Y4Qp1Cr8/items/R2D334DN"],"uri":["http://zotero.org/users/local/Y4Qp1Cr8/items/R2D334DN"],"itemData":{"id":381,"type":"article-journal","title":"Advanced Biomatrix Designs for Regenerative Therapy of Periodontal Tissues","container-title":"Journal of Dental Research","page":"1203-1211","volume":"93","issue":"12","source":"PubMed Central","abstract":"Periodontitis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tissues.","DOI":"10.1177/0022034514540682","ISSN":"0022-0345","note":"PMID: 25139364\nPMCID: PMC4462799","journalAbbreviation":"J Dent Res","author":[{"family":"Kim","given":"J.H."},{"family":"Park","given":"C.H."},{"family":"Perez","given":"R.A."},{"family":"Lee","given":"H.Y."},{"family":"Jang","given":"J.H."},{"family":"Lee","given":"H.H."},{"family":"Wall","given":"I.B."},{"family":"Shi","given":"S."},{"family":"Kim","given":"H.W."}],"issued":{"date-parts":[["2014",12]]}}}],"schema":"https://github.com/citation-style-language/schema/raw/master/csl-citation.json"} </w:instrText>
      </w:r>
      <w:r w:rsidR="00F00AA6">
        <w:fldChar w:fldCharType="separate"/>
      </w:r>
      <w:r w:rsidR="00F00AA6">
        <w:rPr>
          <w:noProof/>
        </w:rPr>
        <w:t>(J. H. Kim et al. 2014)</w:t>
      </w:r>
      <w:r w:rsidR="00F00AA6">
        <w:fldChar w:fldCharType="end"/>
      </w:r>
      <w:r w:rsidR="00F00AA6">
        <w:t>.</w:t>
      </w:r>
    </w:p>
    <w:p w14:paraId="10DEAA41" w14:textId="77777777" w:rsidR="00124325" w:rsidRDefault="00124325" w:rsidP="00124325">
      <w:pPr>
        <w:pStyle w:val="Stytleparagraphe"/>
        <w:ind w:left="360"/>
      </w:pPr>
    </w:p>
    <w:p w14:paraId="05502735" w14:textId="78030096" w:rsidR="00124325" w:rsidRDefault="00124325" w:rsidP="0018798A">
      <w:pPr>
        <w:pStyle w:val="Style3"/>
        <w:numPr>
          <w:ilvl w:val="0"/>
          <w:numId w:val="18"/>
        </w:numPr>
      </w:pPr>
      <w:bookmarkStart w:id="439" w:name="_Toc383883986"/>
      <w:bookmarkStart w:id="440" w:name="_Toc384754103"/>
      <w:bookmarkStart w:id="441" w:name="_Toc384756524"/>
      <w:bookmarkStart w:id="442" w:name="_Toc384816120"/>
      <w:bookmarkStart w:id="443" w:name="_Toc384826836"/>
      <w:r>
        <w:t xml:space="preserve">Conception </w:t>
      </w:r>
      <w:r w:rsidR="007E3D8D">
        <w:t xml:space="preserve">nanofibreuse </w:t>
      </w:r>
      <w:r>
        <w:t>des biomatrices</w:t>
      </w:r>
      <w:bookmarkEnd w:id="439"/>
      <w:bookmarkEnd w:id="440"/>
      <w:bookmarkEnd w:id="441"/>
      <w:bookmarkEnd w:id="442"/>
      <w:bookmarkEnd w:id="443"/>
    </w:p>
    <w:p w14:paraId="4CF23365" w14:textId="6DD9BDCD" w:rsidR="006B1E48" w:rsidRDefault="00124325" w:rsidP="00124325">
      <w:pPr>
        <w:pStyle w:val="Stytleparagraphe"/>
        <w:ind w:firstLine="360"/>
      </w:pPr>
      <w:r>
        <w:t xml:space="preserve">Le contrôle des caractéristiques physiques et chimiques de la surface de la matrice détermine la reconnaissance de ligands spécifiques et donc la réponse cellulaire. </w:t>
      </w:r>
      <w:r w:rsidR="00161D1C">
        <w:t>Une matrice qui imite la matrice extra-cellulaire native en terme de composition, topographie et rigidité est mieux reconnaissable par les CSM et favorise la différenciation des cellules cibles</w:t>
      </w:r>
      <w:r w:rsidR="00C60620">
        <w:t xml:space="preserve"> </w:t>
      </w:r>
      <w:r w:rsidR="00C60620">
        <w:fldChar w:fldCharType="begin"/>
      </w:r>
      <w:r w:rsidR="00C60620">
        <w:instrText xml:space="preserve"> ADDIN ZOTERO_ITEM CSL_CITATION {"citationID":"z2CSxk8O","properties":{"formattedCitation":"(Lee et al. 2014)","plainCitation":"(Lee et al. 2014)","noteIndex":0},"citationItems":[{"id":387,"uris":["http://zotero.org/users/local/Y4Qp1Cr8/items/76LKQRWA"],"uri":["http://zotero.org/users/local/Y4Qp1Cr8/items/76LKQRWA"],"itemData":{"id":387,"type":"article-journal","title":"Biointerface control of electrospun fiber scaffolds for bone regeneration: engineered protein link to mineralized surface","container-title":"Acta Biomaterialia","page":"2750-2761","volume":"10","issue":"6","source":"PubMed","abstract":"Control over the interface of biomaterials that favors the initial adhesion and subsequent differentiation of stem cells is one of the key strategies in bone tissue engineering. Here we engineer the interface of biopolymer electrospun fiber matrices with a fusion protein of fibronectin 9-10 domain (FNIII9-10) and osteocalcin (OCN), aiming to stimulate mesenchymal stem cell (MSC) functions, including initial adhesion, growth and osteogenic differentiation. In particular, a specific tethering of FNIII9-10-OCN protein was facilitated by the hydroxyapatite (HA) mineralization of the biopolymer surface through a molecular recognition of OCN to the HA crystal lattice. The FNIII9-10-OCN anchorage to the HA-mineralized fiber was observed to be highly specific and tightly bound to preserve stability over a long period. Initial cell adhesion levels, as well as the spreading shape and process, of MSCs within 24h were strikingly different between the fibers linked with and without fusion protein. Significant up-regulations in the mRNA expression of adhesion signaling molecules occurred with the fusion protein link, as analyzed by the reverse transcriptase polymerase chain reaction. The expression of a series of osteogenic-related genes at later stages, over 2-3weeks, was significantly improved in the fusion protein-tailored fiber, and the osteogenic protein levels were highly stimulated, as confirmed by immunofluorescence imaging and fluorescence-activated cell sorting analyses. In vivo study in a rat calvarium model confirmed a higher quantity of new bone formation in the fiber linked with fusion protein, and a further increase was noticed when the MSCs were tissue-engineered with the fusion protein-linked fiber. Collectively, these results indicate that FN-OCN fusion protein links via HA mineralization is a facile tool to generate a biointerface with cell-attractive and osteogenic potential, and that the engineered fibrous matrix is a potential bone regenerative scaffold.","DOI":"10.1016/j.actbio.2014.01.021","ISSN":"1878-7568","note":"PMID: 24468581","shortTitle":"Biointerface control of electrospun fiber scaffolds for bone regeneration","journalAbbreviation":"Acta Biomater","language":"eng","author":[{"family":"Lee","given":"Jae Ho"},{"family":"Park","given":"Jeong-Hui"},{"family":"El-Fiqi","given":"Ahmed"},{"family":"Kim","given":"Joong-Hyun"},{"family":"Yun","given":"Ye-Rang"},{"family":"Jang","given":"Jun-Hyeog"},{"family":"Han","given":"Cheol-Min"},{"family":"Lee","given":"Eun-Jung"},{"family":"Kim","given":"Hae-Won"}],"issued":{"date-parts":[["2014",6]]}}}],"schema":"https://github.com/citation-style-language/schema/raw/master/csl-citation.json"} </w:instrText>
      </w:r>
      <w:r w:rsidR="00C60620">
        <w:fldChar w:fldCharType="separate"/>
      </w:r>
      <w:r w:rsidR="00C60620">
        <w:rPr>
          <w:noProof/>
        </w:rPr>
        <w:t>(Lee et al. 2014)</w:t>
      </w:r>
      <w:r w:rsidR="00C60620">
        <w:fldChar w:fldCharType="end"/>
      </w:r>
      <w:r w:rsidR="00161D1C">
        <w:t xml:space="preserve">. </w:t>
      </w:r>
    </w:p>
    <w:p w14:paraId="5D43BBEC" w14:textId="57FC505F" w:rsidR="005B429A" w:rsidRDefault="005B429A" w:rsidP="005B429A">
      <w:pPr>
        <w:pStyle w:val="Stytleparagraphe"/>
      </w:pPr>
      <w:r>
        <w:t xml:space="preserve">Les avancées technologiques, notamment via l’électrospinning, permettent d’imiter au plus près l’architecture de la matrice extra-cellulaire native via des matrices de structure nanofibreuse. Ces matrices supportent les cellules parodontales ligamentaires, osseuses et les cellules souches et les stimulent afin qu’elles produisent leur propre matrice extra-cellulaire, environnement idéal pour la régénération tissulaire </w:t>
      </w:r>
      <w:r>
        <w:fldChar w:fldCharType="begin"/>
      </w:r>
      <w:r w:rsidR="005D0162">
        <w:instrText xml:space="preserve"> ADDIN ZOTERO_ITEM CSL_CITATION {"citationID":"MzBkClDH","properties":{"formattedCitation":"(J.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sidR="005D0162">
        <w:rPr>
          <w:noProof/>
        </w:rPr>
        <w:t>(J. H. Kim et al. 2014)</w:t>
      </w:r>
      <w:r>
        <w:fldChar w:fldCharType="end"/>
      </w:r>
      <w:r w:rsidR="005D0162">
        <w:t xml:space="preserve">. </w:t>
      </w:r>
      <w:r>
        <w:t xml:space="preserve"> </w:t>
      </w:r>
    </w:p>
    <w:p w14:paraId="588A9972" w14:textId="77777777" w:rsidR="007C5DFE" w:rsidRDefault="007C5DFE" w:rsidP="005B429A">
      <w:pPr>
        <w:pStyle w:val="Stytleparagraphe"/>
      </w:pPr>
    </w:p>
    <w:p w14:paraId="6BF3A30B" w14:textId="552E6E2E" w:rsidR="00DF7AF7" w:rsidRDefault="005D0162" w:rsidP="005B429A">
      <w:pPr>
        <w:pStyle w:val="Stytleparagraphe"/>
      </w:pPr>
      <w:r>
        <w:t>L’avènement de l’impression 3D a permi</w:t>
      </w:r>
      <w:r w:rsidR="00A85A61">
        <w:t>s</w:t>
      </w:r>
      <w:r>
        <w:t xml:space="preserve"> la formation de membranes sur-mesures reproduisant</w:t>
      </w:r>
      <w:r w:rsidR="00A85A61">
        <w:t xml:space="preserve"> l’architecture du ligament parodontal naturel qui guident l’orientation spatiale complexe des fibres desmodontales régénérées, essentielles au support des forces masticatoires </w:t>
      </w:r>
      <w:r>
        <w:fldChar w:fldCharType="begin"/>
      </w:r>
      <w:r>
        <w:instrText xml:space="preserve"> ADDIN ZOTERO_ITEM CSL_CITATION {"citationID":"m60fqy8o","properties":{"formattedCitation":"(Park et al. 2014)","plainCitation":"(Park et al. 2014)","noteIndex":0},"citationItems":[{"id":389,"uris":["http://zotero.org/users/local/Y4Qp1Cr8/items/PI7V5R8V"],"uri":["http://zotero.org/users/local/Y4Qp1Cr8/items/PI7V5R8V"],"itemData":{"id":389,"type":"article-journal","title":"Image-Based, Fiber Guiding Scaffolds: A Platform for Regenerating Tissue Interfaces","container-title":"Tissue Engineering. Part C, Methods","page":"533-542","volume":"20","issue":"7","source":"PubMed Central","abstract":"In the oral and craniofacial complex, tooth loss is the most commonly acquired disfiguring injury. Among the most formidable challenges of reconstructing tooth-supporting osseous defects in the oral cavity is the regeneration of functional multi-tissue complexes involving bone, ligament, and tooth cementum. Furthermore, periodontal multi-tissue engineering with spatiotemporal orientation of the periodontal ligament (PDL) remains the most challenging obstacle for restoration of physiological loading and homeostasis. We report on the ability of a hybrid computer-designed scaffold—developed utilizing computed tomography—to predictably facilitate the regeneration and integration of dental supporting tissues. Here, we provide the protocol for rapid prototyping, manufacture, surgical implantation, and evaluation of dual-architecture scaffolds for controlling fiber orientation and facilitating morphogenesis of bone-ligament complexes. In contrast to conventional single-system methods of fibrous tissue formation, our protocol supports rigorous control of multi-compartmental scaffold architecture using computational scaffold design and manufacturing by 3D printing, as well as the evaluation of newly regenerated tissue physiology for clinical implementation.","DOI":"10.1089/ten.tec.2013.0619","ISSN":"1937-3384","note":"PMID: 24188695\nPMCID: PMC4074763","shortTitle":"Image-Based, Fiber Guiding Scaffolds","journalAbbreviation":"Tissue Eng Part C Methods","author":[{"family":"Park","given":"Chan Ho"},{"family":"Rios","given":"Hector F."},{"family":"Taut","given":"Andrei D."},{"family":"Padial-Molina","given":"Miguel"},{"family":"Flanagan","given":"Colleen L."},{"family":"Pilipchuk","given":"Sophia P."},{"family":"Hollister","given":"Scott J."},{"family":"Giannobile","given":"William V."}],"issued":{"date-parts":[["2014",7,1]]}}}],"schema":"https://github.com/citation-style-language/schema/raw/master/csl-citation.json"} </w:instrText>
      </w:r>
      <w:r>
        <w:fldChar w:fldCharType="separate"/>
      </w:r>
      <w:r>
        <w:rPr>
          <w:noProof/>
        </w:rPr>
        <w:t>(Park et al. 2014)</w:t>
      </w:r>
      <w:r>
        <w:fldChar w:fldCharType="end"/>
      </w:r>
      <w:r>
        <w:t xml:space="preserve">. </w:t>
      </w:r>
      <w:r w:rsidR="00DF7AF7">
        <w:t xml:space="preserve"> </w:t>
      </w:r>
    </w:p>
    <w:p w14:paraId="01927AFD" w14:textId="77777777" w:rsidR="003B099A" w:rsidRDefault="003B099A" w:rsidP="005B429A">
      <w:pPr>
        <w:pStyle w:val="Stytleparagraphe"/>
      </w:pPr>
    </w:p>
    <w:p w14:paraId="64E665E3" w14:textId="77777777" w:rsidR="003B099A" w:rsidRDefault="003B099A" w:rsidP="003B099A">
      <w:pPr>
        <w:pStyle w:val="Stytleparagraphe"/>
        <w:ind w:firstLine="360"/>
      </w:pPr>
      <w:r>
        <w:t>L’approche biomimétique consiste à copier la composition et l’architecture de matrice extracellulaire native afin de créer des matrices aux propriétés proches des tissus naturels. Les biomatrices thérapeutiquement actives permettent la délivrance contrôlée de multiples facteurs biologiques impliqués dans la réparation et la régénération parodontale.</w:t>
      </w:r>
    </w:p>
    <w:p w14:paraId="75DFA7BA" w14:textId="07A2F5C7" w:rsidR="003B099A" w:rsidRDefault="003B099A" w:rsidP="003B099A">
      <w:pPr>
        <w:pStyle w:val="Stytleparagraphe"/>
        <w:ind w:firstLine="360"/>
      </w:pPr>
      <w:r>
        <w:t xml:space="preserve">Les biomatrices dérivées des cellules souches, synthétisées par les cellules vivantes, imitent mieux la matrice extracellulaire native et guident la différenciation des cellules souches </w:t>
      </w:r>
      <w:r>
        <w:fldChar w:fldCharType="begin"/>
      </w:r>
      <w:r>
        <w:instrText xml:space="preserve"> ADDIN ZOTERO_ITEM CSL_CITATION {"citationID":"LG6QcBfK","properties":{"formattedCitation":"(J. H. Kim et al. 2014b)","plainCitation":"(J. H. Kim et al. 2014b)","noteIndex":0},"citationItems":[{"id":381,"uris":["http://zotero.org/users/local/Y4Qp1Cr8/items/R2D334DN"],"uri":["http://zotero.org/users/local/Y4Qp1Cr8/items/R2D334DN"],"itemData":{"id":381,"type":"article-journal","title":"Advanced Biomatrix Designs for Regenerative Therapy of Periodontal Tissues","container-title":"Journal of Dental Research","page":"1203-1211","volume":"93","issue":"12","source":"PubMed Central","abstract":"Periodontitis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tissues.","DOI":"10.1177/0022034514540682","ISSN":"0022-0345","note":"PMID: 25139364\nPMCID: PMC4462799","journalAbbreviation":"J Dent Res","author":[{"family":"Kim","given":"J.H."},{"family":"Park","given":"C.H."},{"family":"Perez","given":"R.A."},{"family":"Lee","given":"H.Y."},{"family":"Jang","given":"J.H."},{"family":"Lee","given":"H.H."},{"family":"Wall","given":"I.B."},{"family":"Shi","given":"S."},{"family":"Kim","given":"H.W."}],"issued":{"date-parts":[["2014",12]]}}}],"schema":"https://github.com/citation-style-language/schema/raw/master/csl-citation.json"} </w:instrText>
      </w:r>
      <w:r>
        <w:fldChar w:fldCharType="separate"/>
      </w:r>
      <w:r>
        <w:rPr>
          <w:noProof/>
        </w:rPr>
        <w:t>(J. H. Kim et al. 2014)</w:t>
      </w:r>
      <w:r>
        <w:fldChar w:fldCharType="end"/>
      </w:r>
      <w:r>
        <w:t xml:space="preserve">. </w:t>
      </w:r>
    </w:p>
    <w:p w14:paraId="6B84E8DD" w14:textId="77777777" w:rsidR="003B099A" w:rsidRDefault="003B099A" w:rsidP="005B429A">
      <w:pPr>
        <w:pStyle w:val="Stytleparagraphe"/>
      </w:pPr>
    </w:p>
    <w:p w14:paraId="213416D7" w14:textId="77777777" w:rsidR="00DF7AF7" w:rsidRDefault="00DF7AF7" w:rsidP="005B429A">
      <w:pPr>
        <w:pStyle w:val="Stytleparagraphe"/>
      </w:pPr>
    </w:p>
    <w:p w14:paraId="11BB8C2B" w14:textId="77777777" w:rsidR="003B099A" w:rsidRDefault="003B099A" w:rsidP="005B429A">
      <w:pPr>
        <w:pStyle w:val="Stytleparagraphe"/>
      </w:pPr>
    </w:p>
    <w:p w14:paraId="62FCFBED" w14:textId="77777777" w:rsidR="003B099A" w:rsidRDefault="003B099A" w:rsidP="005B429A">
      <w:pPr>
        <w:pStyle w:val="Stytleparagraphe"/>
      </w:pPr>
    </w:p>
    <w:p w14:paraId="665D0574" w14:textId="392DBEF1" w:rsidR="00DF7AF7" w:rsidRDefault="00DF7AF7" w:rsidP="0018798A">
      <w:pPr>
        <w:pStyle w:val="Style3"/>
        <w:numPr>
          <w:ilvl w:val="0"/>
          <w:numId w:val="18"/>
        </w:numPr>
      </w:pPr>
      <w:bookmarkStart w:id="444" w:name="_Toc383883987"/>
      <w:bookmarkStart w:id="445" w:name="_Toc384754104"/>
      <w:bookmarkStart w:id="446" w:name="_Toc384756525"/>
      <w:bookmarkStart w:id="447" w:name="_Toc384816121"/>
      <w:bookmarkStart w:id="448" w:name="_Toc384826837"/>
      <w:r>
        <w:t>Délivrance de biofacteurs</w:t>
      </w:r>
      <w:bookmarkEnd w:id="444"/>
      <w:bookmarkEnd w:id="445"/>
      <w:bookmarkEnd w:id="446"/>
      <w:bookmarkEnd w:id="447"/>
      <w:bookmarkEnd w:id="448"/>
    </w:p>
    <w:p w14:paraId="1BAAFBDF" w14:textId="01395E64" w:rsidR="00A85A61" w:rsidRDefault="00266089" w:rsidP="00266089">
      <w:pPr>
        <w:pStyle w:val="Stytleparagraphe"/>
        <w:ind w:firstLine="360"/>
      </w:pPr>
      <w:r>
        <w:t xml:space="preserve">Parallèlement aux </w:t>
      </w:r>
      <w:r w:rsidR="00DF7AF7">
        <w:t xml:space="preserve">molécules </w:t>
      </w:r>
      <w:r>
        <w:t xml:space="preserve">inertes </w:t>
      </w:r>
      <w:r w:rsidR="00DF7AF7">
        <w:t>de la matrice extra-cellulaires</w:t>
      </w:r>
      <w:r>
        <w:t>, les molécules bioactives solubles telles que les facteurs de croissance et les cytokines doivent également être prises en compte dans la conception des membranes nanofibreuses, qui deviennent alors bioactives. Des systèmes de délivrance sont a</w:t>
      </w:r>
      <w:r w:rsidR="002B65DF">
        <w:t>insi</w:t>
      </w:r>
      <w:r>
        <w:t xml:space="preserve"> conçus afin de permettre la délivrance de molécules bioactives de manière contrôlée dans le temps et l’espace, tout en les protégeant de l’environnement in vivo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r>
        <w:t xml:space="preserve">.  </w:t>
      </w:r>
    </w:p>
    <w:p w14:paraId="10E6CE77" w14:textId="77777777" w:rsidR="002B65DF" w:rsidRDefault="002B65DF" w:rsidP="00266089">
      <w:pPr>
        <w:pStyle w:val="Stytleparagraphe"/>
        <w:ind w:firstLine="360"/>
      </w:pPr>
    </w:p>
    <w:p w14:paraId="018B5E30" w14:textId="3A73F1D3" w:rsidR="002B65DF" w:rsidRDefault="002B65DF" w:rsidP="00266089">
      <w:pPr>
        <w:pStyle w:val="Stytleparagraphe"/>
        <w:ind w:firstLine="360"/>
      </w:pPr>
      <w:r>
        <w:t>La première approche consiste à attacher les molécules à la surface matricielle pour permettre leur libération rapide</w:t>
      </w:r>
      <w:r w:rsidR="00120E94">
        <w:t xml:space="preserve"> en cas de nécessité</w:t>
      </w:r>
      <w:r>
        <w:t xml:space="preserve">. </w:t>
      </w:r>
    </w:p>
    <w:p w14:paraId="098D4D6B" w14:textId="77777777" w:rsidR="00A85A61" w:rsidRDefault="00A85A61" w:rsidP="005B429A">
      <w:pPr>
        <w:pStyle w:val="Stytleparagraphe"/>
      </w:pPr>
    </w:p>
    <w:p w14:paraId="75755EAA" w14:textId="1E5996AE" w:rsidR="00B44CBF" w:rsidRDefault="00B44CBF" w:rsidP="00B44CBF">
      <w:pPr>
        <w:pStyle w:val="Stytleparagraphe"/>
      </w:pPr>
      <w:r>
        <w:rPr>
          <w:noProof/>
          <w:lang w:val="en-US"/>
        </w:rPr>
        <mc:AlternateContent>
          <mc:Choice Requires="wps">
            <w:drawing>
              <wp:anchor distT="0" distB="0" distL="114300" distR="114300" simplePos="0" relativeHeight="251679744" behindDoc="0" locked="0" layoutInCell="1" allowOverlap="1" wp14:anchorId="3AB09B7C" wp14:editId="16BD7E0B">
                <wp:simplePos x="0" y="0"/>
                <wp:positionH relativeFrom="column">
                  <wp:posOffset>-228600</wp:posOffset>
                </wp:positionH>
                <wp:positionV relativeFrom="paragraph">
                  <wp:posOffset>5029200</wp:posOffset>
                </wp:positionV>
                <wp:extent cx="57150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59A" w14:textId="064F7F1F" w:rsidR="0094071B" w:rsidRPr="00E057E8" w:rsidRDefault="0094071B" w:rsidP="00B44CBF">
                            <w:pPr>
                              <w:pStyle w:val="Stytleparagraphe"/>
                              <w:rPr>
                                <w:i/>
                              </w:rPr>
                            </w:pPr>
                            <w:r>
                              <w:rPr>
                                <w:i/>
                              </w:rPr>
                              <w:t>Figure 7</w:t>
                            </w:r>
                            <w:r w:rsidRPr="00E057E8">
                              <w:rPr>
                                <w:i/>
                              </w:rPr>
                              <w:t xml:space="preserve"> : </w:t>
                            </w:r>
                            <w:r>
                              <w:rPr>
                                <w:i/>
                              </w:rPr>
                              <w:t xml:space="preserve">Délivrance des molécules bioactives par les biomatrices thérapeutiques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17.95pt;margin-top:396pt;width:45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us0CAAAX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" filled="f" stroked="f">
                <v:textbox>
                  <w:txbxContent>
                    <w:p w14:paraId="0FB5E59A" w14:textId="064F7F1F" w:rsidR="0094071B" w:rsidRPr="00E057E8" w:rsidRDefault="0094071B" w:rsidP="00B44CBF">
                      <w:pPr>
                        <w:pStyle w:val="Stytleparagraphe"/>
                        <w:rPr>
                          <w:i/>
                        </w:rPr>
                      </w:pPr>
                      <w:r>
                        <w:rPr>
                          <w:i/>
                        </w:rPr>
                        <w:t>Figure 7</w:t>
                      </w:r>
                      <w:r w:rsidRPr="00E057E8">
                        <w:rPr>
                          <w:i/>
                        </w:rPr>
                        <w:t xml:space="preserve"> : </w:t>
                      </w:r>
                      <w:r>
                        <w:rPr>
                          <w:i/>
                        </w:rPr>
                        <w:t xml:space="preserve">Délivrance des molécules bioactives par les biomatrices thérapeutiques </w:t>
                      </w:r>
                      <w:r>
                        <w:fldChar w:fldCharType="begin"/>
                      </w:r>
                      <w:r>
                        <w:instrText xml:space="preserve"> ADDIN ZOTERO_ITEM CSL_CITATION {"citationID":"QspTBtGS","properties":{"formattedCitation":"(J.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fldChar w:fldCharType="separate"/>
                      </w:r>
                      <w:r>
                        <w:rPr>
                          <w:noProof/>
                        </w:rPr>
                        <w:t>(J. H. Kim et al. 2014)</w:t>
                      </w:r>
                      <w:r>
                        <w:fldChar w:fldCharType="end"/>
                      </w:r>
                    </w:p>
                  </w:txbxContent>
                </v:textbox>
                <w10:wrap type="square"/>
              </v:shape>
            </w:pict>
          </mc:Fallback>
        </mc:AlternateContent>
      </w:r>
      <w:r>
        <w:rPr>
          <w:noProof/>
          <w:lang w:val="en-US"/>
        </w:rPr>
        <w:drawing>
          <wp:inline distT="0" distB="0" distL="0" distR="0" wp14:anchorId="78FDB81E" wp14:editId="718F83B8">
            <wp:extent cx="5270500" cy="491461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914617"/>
                    </a:xfrm>
                    <a:prstGeom prst="rect">
                      <a:avLst/>
                    </a:prstGeom>
                    <a:noFill/>
                    <a:ln>
                      <a:noFill/>
                    </a:ln>
                  </pic:spPr>
                </pic:pic>
              </a:graphicData>
            </a:graphic>
          </wp:inline>
        </w:drawing>
      </w:r>
    </w:p>
    <w:p w14:paraId="32BDA415" w14:textId="4022534F" w:rsidR="00B44CBF" w:rsidRDefault="00B44CBF" w:rsidP="00B44CBF">
      <w:pPr>
        <w:pStyle w:val="Stytleparagraphe"/>
      </w:pPr>
      <w:r>
        <w:t xml:space="preserve">Afin de ralentir la libération moléculaire, une </w:t>
      </w:r>
      <w:r w:rsidR="00287354">
        <w:t>méthode</w:t>
      </w:r>
      <w:r>
        <w:t xml:space="preserve"> consisterait à renf</w:t>
      </w:r>
      <w:r w:rsidR="00287354">
        <w:t>orcer leur</w:t>
      </w:r>
      <w:r>
        <w:t xml:space="preserve"> fixation avec la matrice. Une meilleure approche consisterait à insérer directement les molécules dans la biomatrice, méthode compliquée puisque cette incorporation est limitée dans de nombreux types de biomatrices</w:t>
      </w:r>
      <w:r w:rsidR="00ED3C26">
        <w:t xml:space="preserve"> qui </w:t>
      </w:r>
      <w:r w:rsidR="00120E94">
        <w:t>dégradent les molécules insérées</w:t>
      </w:r>
      <w:r>
        <w:t>.</w:t>
      </w:r>
    </w:p>
    <w:p w14:paraId="12E65518" w14:textId="7BACD8C8" w:rsidR="00E61677" w:rsidRDefault="00ED3C26" w:rsidP="00E61677">
      <w:pPr>
        <w:pStyle w:val="Stytleparagraphe"/>
      </w:pPr>
      <w:r>
        <w:t>Une meilleure méthode consiste à encapsuler les molécules dans des micro et nanoparticules insérées au sein des biomatrices</w:t>
      </w:r>
      <w:r w:rsidR="00120E94">
        <w:t>.</w:t>
      </w:r>
    </w:p>
    <w:p w14:paraId="03B26108" w14:textId="77777777" w:rsidR="006F6F80" w:rsidRDefault="006F6F80" w:rsidP="00E61677">
      <w:pPr>
        <w:pStyle w:val="Stytleparagraphe"/>
      </w:pPr>
    </w:p>
    <w:p w14:paraId="62D6258C" w14:textId="77777777" w:rsidR="00F677C7" w:rsidRDefault="000E51BA" w:rsidP="00E61677">
      <w:pPr>
        <w:pStyle w:val="Stytleparagraphe"/>
      </w:pPr>
      <w:r>
        <w:t xml:space="preserve">La régénération tissulaire implique divers facteurs de croissance et cytokines qui ont des activités dépendantes du temps et des doses, la délivrance contrôlée de plusieurs facteurs est une approche rationnelle. </w:t>
      </w:r>
    </w:p>
    <w:p w14:paraId="347F62B5" w14:textId="4C6B4E64" w:rsidR="00120E94" w:rsidRDefault="00120E94" w:rsidP="00E61677">
      <w:pPr>
        <w:pStyle w:val="Stytleparagraphe"/>
      </w:pPr>
      <w:r>
        <w:t>Deux approches sont possibles (fig 7) :</w:t>
      </w:r>
    </w:p>
    <w:p w14:paraId="7CA6DD87" w14:textId="04053D08" w:rsidR="000E3713" w:rsidRDefault="00120E94" w:rsidP="00E61677">
      <w:pPr>
        <w:pStyle w:val="Stytleparagraphe"/>
        <w:numPr>
          <w:ilvl w:val="0"/>
          <w:numId w:val="3"/>
        </w:numPr>
      </w:pPr>
      <w:r>
        <w:t>les</w:t>
      </w:r>
      <w:r w:rsidR="000E51BA">
        <w:t xml:space="preserve"> nanoréservoirs encapsulant les différents facteurs ont une cinétique de libération différente, basée sur </w:t>
      </w:r>
      <w:r>
        <w:t xml:space="preserve">leurs propriétés intrinsèques telles que leur perméabilité, leur taille, leur dégradation permettant la libération séquentielle et indépendante de chaque molécule, de manière contrôlée. </w:t>
      </w:r>
    </w:p>
    <w:p w14:paraId="58031CB8" w14:textId="48E09DDC" w:rsidR="00120E94" w:rsidRDefault="00120E94" w:rsidP="00E61677">
      <w:pPr>
        <w:pStyle w:val="Stytleparagraphe"/>
        <w:numPr>
          <w:ilvl w:val="0"/>
          <w:numId w:val="3"/>
        </w:numPr>
      </w:pPr>
      <w:r>
        <w:t xml:space="preserve">les nanoréservoirs encapsulent des facteurs et les biomatrices sont chargées avec un autre facteur afin de permettre une libération séquentielle. Ainsi, un facteur est libéré rapidement, tandis que l’autre est libéré plus tardivement. </w:t>
      </w:r>
    </w:p>
    <w:p w14:paraId="4A24E001" w14:textId="53028C63" w:rsidR="006F6F80" w:rsidRDefault="00120E94" w:rsidP="00120E94">
      <w:pPr>
        <w:pStyle w:val="Stytleparagraphe"/>
      </w:pPr>
      <w:r>
        <w:t xml:space="preserve">Ce concept de libération séquentielle permet alors la libération de médiateurs anti-inflammatoires dans les phases initiales, puis la libération de molécules régénératrices, pro-angiogéniques et enfin de facteurs ostéogéniques ultérieurement, afin de reproduire au mieux la cinétique de la cicatrisation parodontale. Ce système permet également le recrutement chimiotactique </w:t>
      </w:r>
      <w:r w:rsidR="0081061D">
        <w:t>initial</w:t>
      </w:r>
      <w:r>
        <w:t xml:space="preserve"> des cellules souches, suivi de leur différenciation et maturation</w:t>
      </w:r>
      <w:r w:rsidR="006F6F80">
        <w:t xml:space="preserve"> </w:t>
      </w:r>
      <w:r w:rsidR="006F6F80">
        <w:fldChar w:fldCharType="begin"/>
      </w:r>
      <w:r w:rsidR="006F6F80">
        <w:instrText xml:space="preserve"> ADDIN ZOTERO_ITEM CSL_CITATION {"citationID":"blIxw0NO","properties":{"formattedCitation":"(J. H. Kim et al. 2014a)","plainCitation":"(J. H. Kim et al. 2014a)","noteIndex":0},"citationItems":[{"id":378,"uris":["http://zotero.org/users/local/Y4Qp1Cr8/items/NJXNXMQU"],"uri":["http://zotero.org/users/local/Y4Qp1Cr8/items/NJXNXMQU"],"itemData":{"id":378,"type":"article-journal","title":"Advanced biomatrix designs for regenerative therapy of periodontal tissues","container-title":"Journal of Dental Research","page":"1203-1211","volume":"93","issue":"12","source":"PubMed","abstract":"Periodontitis is an inflammatory disease that causes loss of the tooth-supporting apparatus, including periodontal ligament, cementum, and alveolar bone. A broad range of treatment options is currently available to restore the structure and function of the periodontal tissues. A regenerative approach, among others, is now considered the most promising paradigm for this purpose, harnessing the unique properties of stem cells. How to make full use of the body's innate regenerative capacity is thus a key issue. While stem cells and bioactive factors are essential components in the regenerative processes, matrices play pivotal roles in recapitulating stem cell functions and potentiating therapeutic actions of bioactive molecules. Moreover, the positions of appropriate bioactive matrices relative to the injury site may stimulate the innate regenerative stem cell populations, removing the need to deliver cells that have been manipulated outside of the body. In this topical review, we update views on advanced designs of biomatrices-including mimicking of the native extracellular matrix, providing mechanical stimulation, activating cell-driven matrices, and delivering bioactive factors in a controllable manner-which are ultimately useful for the regenerative therapy of periodontal tissues.","DOI":"10.1177/0022034514540682","ISSN":"1544-0591","note":"PMID: 25139364\nPMCID: PMC4462799","journalAbbreviation":"J. Dent. Res.","language":"eng","author":[{"family":"Kim","given":"J. H."},{"family":"Park","given":"C. H."},{"family":"Perez","given":"R. A."},{"family":"Lee","given":"H. Y."},{"family":"Jang","given":"J. H."},{"family":"Lee","given":"H. H."},{"family":"Wall","given":"I. B."},{"family":"Shi","given":"S."},{"family":"Kim","given":"H. W."}],"issued":{"date-parts":[["2014",12]]}}}],"schema":"https://github.com/citation-style-language/schema/raw/master/csl-citation.json"} </w:instrText>
      </w:r>
      <w:r w:rsidR="006F6F80">
        <w:fldChar w:fldCharType="separate"/>
      </w:r>
      <w:r w:rsidR="006F6F80">
        <w:rPr>
          <w:noProof/>
        </w:rPr>
        <w:t>(J. H. Kim et al. 2014)</w:t>
      </w:r>
      <w:r w:rsidR="006F6F80">
        <w:fldChar w:fldCharType="end"/>
      </w:r>
      <w:r>
        <w:t xml:space="preserve">. </w:t>
      </w:r>
    </w:p>
    <w:p w14:paraId="33130649" w14:textId="77777777" w:rsidR="006F6F80" w:rsidRDefault="006F6F80" w:rsidP="00120E94">
      <w:pPr>
        <w:pStyle w:val="Stytleparagraphe"/>
      </w:pPr>
    </w:p>
    <w:p w14:paraId="6445EAE4" w14:textId="4FBDD61D" w:rsidR="00E61677" w:rsidRDefault="006F6F80" w:rsidP="007C5DFE">
      <w:pPr>
        <w:pStyle w:val="Stytleparagraphe"/>
      </w:pPr>
      <w:r>
        <w:tab/>
        <w:t xml:space="preserve">Bien que ces stratégies de libération multiples et séquentielles n’aient pas encore été pleinement établies en parodontologie, ce concept représente une perspective thérapeutique potentielle dans la régénération des </w:t>
      </w:r>
      <w:r w:rsidR="00F677C7">
        <w:t xml:space="preserve">différents </w:t>
      </w:r>
      <w:r>
        <w:t xml:space="preserve">tissus </w:t>
      </w:r>
      <w:r w:rsidR="00F677C7">
        <w:t xml:space="preserve">parodontaux </w:t>
      </w:r>
      <w:r>
        <w:t xml:space="preserve">lésés, d’où l’intérêt de leur </w:t>
      </w:r>
      <w:r w:rsidR="00F677C7">
        <w:t>l’</w:t>
      </w:r>
      <w:r>
        <w:t xml:space="preserve">exploration plus </w:t>
      </w:r>
      <w:r w:rsidR="00AF2A61">
        <w:t xml:space="preserve">approfondie </w:t>
      </w:r>
      <w:r w:rsidR="00F677C7">
        <w:t>de ces mécanismes.</w:t>
      </w:r>
    </w:p>
    <w:p w14:paraId="2A2CE787" w14:textId="79AC791D" w:rsidR="00E50712" w:rsidRDefault="00E50712" w:rsidP="00E50712">
      <w:pPr>
        <w:pStyle w:val="Style2"/>
        <w:numPr>
          <w:ilvl w:val="0"/>
          <w:numId w:val="17"/>
        </w:numPr>
      </w:pPr>
      <w:bookmarkStart w:id="449" w:name="_Toc383883988"/>
      <w:bookmarkStart w:id="450" w:name="_Toc384754105"/>
      <w:bookmarkStart w:id="451" w:name="_Toc384756526"/>
      <w:bookmarkStart w:id="452" w:name="_Toc384816122"/>
      <w:bookmarkStart w:id="453" w:name="_Toc384826838"/>
      <w:r>
        <w:t>Membranes électrofilées biphasiques et régénération parodontale</w:t>
      </w:r>
      <w:bookmarkEnd w:id="449"/>
      <w:bookmarkEnd w:id="450"/>
      <w:bookmarkEnd w:id="451"/>
      <w:bookmarkEnd w:id="452"/>
      <w:bookmarkEnd w:id="453"/>
    </w:p>
    <w:p w14:paraId="1848B8B0" w14:textId="166E25EA" w:rsidR="007A31F1" w:rsidRDefault="007A31F1" w:rsidP="007A31F1">
      <w:pPr>
        <w:pStyle w:val="Style3"/>
        <w:numPr>
          <w:ilvl w:val="0"/>
          <w:numId w:val="23"/>
        </w:numPr>
      </w:pPr>
      <w:bookmarkStart w:id="454" w:name="_Toc383883989"/>
      <w:bookmarkStart w:id="455" w:name="_Toc384754106"/>
      <w:bookmarkStart w:id="456" w:name="_Toc384756527"/>
      <w:bookmarkStart w:id="457" w:name="_Toc384816123"/>
      <w:bookmarkStart w:id="458" w:name="_Toc384826839"/>
      <w:r>
        <w:t>L’electrospinning</w:t>
      </w:r>
      <w:bookmarkEnd w:id="454"/>
      <w:bookmarkEnd w:id="455"/>
      <w:bookmarkEnd w:id="456"/>
      <w:bookmarkEnd w:id="457"/>
      <w:bookmarkEnd w:id="458"/>
    </w:p>
    <w:p w14:paraId="72893357" w14:textId="3FD5F692" w:rsidR="007A31F1" w:rsidRDefault="007A31F1" w:rsidP="007A31F1">
      <w:pPr>
        <w:pStyle w:val="Stytleparagraphe"/>
        <w:ind w:firstLine="360"/>
      </w:pPr>
      <w:r>
        <w:t xml:space="preserve">L’électrospinning permet de générer des nanofibres via un jet de solution de polymères chargé électriquement. Ainsi, les forces électrostatiques permettent un filage organisé, d’où le terme de membranes électrofilées. </w:t>
      </w:r>
    </w:p>
    <w:p w14:paraId="2E976F62" w14:textId="5A97D227" w:rsidR="00A06C22" w:rsidRDefault="007A31F1" w:rsidP="00A06C22">
      <w:pPr>
        <w:pStyle w:val="Stytleparagraphe"/>
        <w:ind w:firstLine="360"/>
      </w:pPr>
      <w:r>
        <w:t xml:space="preserve">En 2018, </w:t>
      </w:r>
      <w:r w:rsidR="00705A92">
        <w:t>Qasim</w:t>
      </w:r>
      <w:r>
        <w:t xml:space="preserve"> et al. comparent les propriétés des différents biopolymères électrofilés en régénération tissulaire et montrent les propriétés favorables et la biocompatibilité des biomatériaux électrofilés de chitosane dans le domaine. </w:t>
      </w:r>
    </w:p>
    <w:p w14:paraId="0298C990" w14:textId="3A794D50" w:rsidR="00A06C22" w:rsidRDefault="00E83747" w:rsidP="00E83747">
      <w:pPr>
        <w:pStyle w:val="Stytleparagraphe"/>
      </w:pPr>
      <w:r>
        <w:t xml:space="preserve">Le chitosane électrofilé combiné à d’autres polymères permet d’augmenter les possibilités d’application cliniques, bien que davantage de recherches in vivo devront être conduites avant d’appliquer ces membranes combinées en médecine régénérative avec plus de prédictibilité. </w:t>
      </w:r>
    </w:p>
    <w:p w14:paraId="02EB7BB5" w14:textId="5DDC40EE" w:rsidR="00E83747" w:rsidRDefault="00705A92" w:rsidP="00E83747">
      <w:pPr>
        <w:pStyle w:val="Stytleparagraphe"/>
      </w:pPr>
      <w:r>
        <w:t xml:space="preserve">Une perspective en ingénierie tissulaire serait d’imiter au mieux les aspects structurels et fonctionnels des tissus naturels en adaptant la taille, la forme et l’orientation des fibres éléctrofilées </w:t>
      </w:r>
      <w:r>
        <w:fldChar w:fldCharType="begin"/>
      </w:r>
      <w:r>
        <w:instrText xml:space="preserve"> ADDIN ZOTERO_ITEM CSL_CITATION {"citationID":"bRj5T4OW","properties":{"formattedCitation":"(Qasim et al. 2018)","plainCitation":"(Qasim et al. 2018)","noteIndex":0},"citationItems":[{"id":401,"uris":["http://zotero.org/users/local/Y4Qp1Cr8/items/WSHFGFM6"],"uri":["http://zotero.org/users/local/Y4Qp1Cr8/items/WSHFGFM6"],"itemData":{"id":401,"type":"article-journal","title":"Electrospinning of Chitosan-Based Solutions for Tissue Engineering and Regenerative Medicine","container-title":"International Journal of Molecular Sciences","volume":"19","issue":"2","source":"PubMed","abstract":"Electrospinning has been used for decades to generate nano-fibres via an electrically charged jet of polymer solution. This process is established on a spinning technique, using electrostatic forces to produce fine fibres from polymer solutions. Amongst, the electrospinning of available biopolymers (silk, cellulose, collagen, gelatine and hyaluronic acid), chitosan (CH) has shown a favourable outcome for tissue regeneration applications. The aim of the current review is to assess the current literature about electrospinning chitosan and its composite formulations for creating fibres in combination with other natural polymers to be employed in tissue engineering. In addition, various polymers blended with chitosan for electrospinning have been discussed in terms of their potential biomedical applications. The review shows that evidence exists in support of the favourable properties and biocompatibility of chitosan electrospun composite biomaterials for a range of applications. However, further research and in vivo studies are required to translate these materials from the laboratory to clinical applications.","DOI":"10.3390/ijms19020407","ISSN":"1422-0067","note":"PMID: 29385727\nPMCID: PMC5855629","journalAbbreviation":"Int J Mol Sci","language":"eng","author":[{"family":"Qasim","given":"Saad B."},{"family":"Zafar","given":"Muhammad S."},{"family":"Najeeb","given":"Shariq"},{"family":"Khurshid","given":"Zohaib"},{"family":"Shah","given":"Altaf H."},{"family":"Husain","given":"Shehriar"},{"family":"Rehman","given":"Ihtesham Ur"}],"issued":{"date-parts":[["2018",1,30]]}}}],"schema":"https://github.com/citation-style-language/schema/raw/master/csl-citation.json"} </w:instrText>
      </w:r>
      <w:r>
        <w:fldChar w:fldCharType="separate"/>
      </w:r>
      <w:r>
        <w:rPr>
          <w:noProof/>
        </w:rPr>
        <w:t>(Qasim et al. 2018)</w:t>
      </w:r>
      <w:r>
        <w:fldChar w:fldCharType="end"/>
      </w:r>
      <w:r>
        <w:t>.</w:t>
      </w:r>
    </w:p>
    <w:p w14:paraId="6DE36607" w14:textId="77777777" w:rsidR="007A31F1" w:rsidRDefault="007A31F1" w:rsidP="007A31F1">
      <w:pPr>
        <w:pStyle w:val="Stytleparagraphe"/>
      </w:pPr>
    </w:p>
    <w:p w14:paraId="296ACA03" w14:textId="21E63B38" w:rsidR="00E50712" w:rsidRDefault="00AF2A61" w:rsidP="00AF2A61">
      <w:pPr>
        <w:pStyle w:val="Style3"/>
        <w:numPr>
          <w:ilvl w:val="0"/>
          <w:numId w:val="23"/>
        </w:numPr>
      </w:pPr>
      <w:bookmarkStart w:id="459" w:name="_Toc383883990"/>
      <w:bookmarkStart w:id="460" w:name="_Toc384754107"/>
      <w:bookmarkStart w:id="461" w:name="_Toc384756528"/>
      <w:bookmarkStart w:id="462" w:name="_Toc384816124"/>
      <w:bookmarkStart w:id="463" w:name="_Toc384826840"/>
      <w:r>
        <w:t>Compartimentation cellulaire et régénération simultanée</w:t>
      </w:r>
      <w:r w:rsidR="00786060">
        <w:t xml:space="preserve"> des tissus parodontaux</w:t>
      </w:r>
      <w:bookmarkEnd w:id="459"/>
      <w:bookmarkEnd w:id="460"/>
      <w:bookmarkEnd w:id="461"/>
      <w:bookmarkEnd w:id="462"/>
      <w:bookmarkEnd w:id="463"/>
    </w:p>
    <w:p w14:paraId="681A7B86" w14:textId="16C25C23" w:rsidR="00AF2A61" w:rsidRDefault="00AF2A61" w:rsidP="00AF2A61">
      <w:pPr>
        <w:pStyle w:val="Stytleparagraphe"/>
        <w:ind w:firstLine="360"/>
      </w:pPr>
      <w:r>
        <w:t>Vaquette et al. ont développé un modèle de membrane biphasique composée</w:t>
      </w:r>
      <w:r w:rsidR="00481AFF">
        <w:t xml:space="preserve"> de deux compartiments :</w:t>
      </w:r>
    </w:p>
    <w:p w14:paraId="39555593" w14:textId="1575BBF3" w:rsidR="00481AFF" w:rsidRDefault="00481AFF" w:rsidP="00481AFF">
      <w:pPr>
        <w:pStyle w:val="Stytleparagraphe"/>
        <w:numPr>
          <w:ilvl w:val="0"/>
          <w:numId w:val="3"/>
        </w:numPr>
      </w:pPr>
      <w:r>
        <w:t>Un compartiment osseux pour la culture des ostéoblastes,</w:t>
      </w:r>
    </w:p>
    <w:p w14:paraId="12531CEC" w14:textId="60B81BD0" w:rsidR="00481AFF" w:rsidRDefault="00481AFF" w:rsidP="00481AFF">
      <w:pPr>
        <w:pStyle w:val="Stytleparagraphe"/>
        <w:numPr>
          <w:ilvl w:val="0"/>
          <w:numId w:val="3"/>
        </w:numPr>
      </w:pPr>
      <w:r>
        <w:t>Un compartiment parodontal avec mise en place de multiples feuillets de ligaments parodontaux sur la membrane électrofilée.</w:t>
      </w:r>
    </w:p>
    <w:p w14:paraId="5AD88FEE" w14:textId="3C617C87" w:rsidR="00481AFF" w:rsidRDefault="00481AFF" w:rsidP="00481AFF">
      <w:pPr>
        <w:pStyle w:val="Stytleparagraphe"/>
      </w:pPr>
      <w:r>
        <w:t xml:space="preserve">Les études in vitro montrent la formation d’une matrice minéralisée dans le compartiment osseux à 21 jours et que la récolte de cellules ligamentaires n’induit pas de mort cellulaire significative.  </w:t>
      </w:r>
    </w:p>
    <w:p w14:paraId="6A5030FF" w14:textId="77777777" w:rsidR="00132226" w:rsidRDefault="00132226" w:rsidP="00481AFF">
      <w:pPr>
        <w:pStyle w:val="Stytleparagraphe"/>
      </w:pPr>
    </w:p>
    <w:p w14:paraId="6E292AF2" w14:textId="44976575" w:rsidR="00481AFF" w:rsidRDefault="00481AFF" w:rsidP="00481AFF">
      <w:pPr>
        <w:pStyle w:val="Stytleparagraphe"/>
      </w:pPr>
      <w:r>
        <w:t xml:space="preserve">Une étude in vivo réalisée chez le rat par implantation de membrane biphasique </w:t>
      </w:r>
      <w:r w:rsidR="00786060">
        <w:t xml:space="preserve">sur un bloc dentinaire </w:t>
      </w:r>
      <w:r>
        <w:t xml:space="preserve">pendant 8 semaines confirment ces résultats </w:t>
      </w:r>
      <w:r w:rsidR="00786060">
        <w:t xml:space="preserve">en démontrant une minéralisation plus prononcée chez les modèles traités par ces membranes biphasiques. Pour les membranes incorporant de multiples feuillets de type cellules ligamentaires, un mince tissu de type cément a été déposé sur la surface dentinaire et leur fixation à la surface dentinaire est meilleure. </w:t>
      </w:r>
    </w:p>
    <w:p w14:paraId="7F1C1F54" w14:textId="60E73B99" w:rsidR="00786060" w:rsidRDefault="00786060" w:rsidP="00481AFF">
      <w:pPr>
        <w:pStyle w:val="Stytleparagraphe"/>
      </w:pPr>
      <w:r>
        <w:t xml:space="preserve">Ainsi, la combinaison de plusieurs feuilles de cellules ligamentaires parodontales et d’un échafaudage biphasique permet la délivrance simultanée de cellules nécessaires à la régénération de l’os alvéolaire, du cément et du ligament parodontal </w:t>
      </w:r>
      <w:r>
        <w:fldChar w:fldCharType="begin"/>
      </w:r>
      <w:r>
        <w:instrText xml:space="preserve"> ADDIN ZOTERO_ITEM CSL_CITATION {"citationID":"LkLquPYi","properties":{"formattedCitation":"(Vaquette et al. 2012)","plainCitation":"(Vaquette et al. 2012)","noteIndex":0},"citationItems":[{"id":395,"uris":["http://zotero.org/users/local/Y4Qp1Cr8/items/7C77YU2V"],"uri":["http://zotero.org/users/local/Y4Qp1Cr8/items/7C77YU2V"],"itemData":{"id":395,"type":"article-journal","title":"A biphasic scaffold design combined with cell sheet technology for simultaneous regeneration of alveolar bone/periodontal ligament complex","container-title":"Biomaterials","page":"5560-5573","volume":"33","issue":"22","source":"PubMed","abstract":"This study describes the design of a biphasic scaffold composed of a Fused Deposition Modeling scaffold (bone compartment) and an electrospun membrane (periodontal compartment) for periodontal regeneration. In order to achieve simultaneous alveolar bone and periodontal ligament regeneration a cell-based strategy was carried out by combining osteoblast culture in the bone compartment and placement of multiple periodontal ligament (PDL) cell sheets on the electrospun membrane. In vitro data showed that the osteoblasts formed mineralized matrix in the bone compartment after 21 days in culture and that the PDL cell sheet harvesting did not induce significant cell death. The cell-seeded biphasic scaffolds were placed onto a dentin block and implanted for 8 weeks in an athymic rat subcutaneous model. The scaffolds were analyzed by μCT, immunohistochemistry and histology. In the bone compartment, a more intense ALP staining was obtained following seeding with osteoblasts, confirming the μCT results which showed higher mineralization density for these scaffolds. A thin mineralized cementum-like tissue was deposited on the dentin surface for the scaffolds incorporating the multiple PDL cell sheets, as observed by H&amp;E and Azan staining. These scaffolds also demonstrated better attachment onto the dentin surface compared to no attachment when no cell sheets were used. In addition, immunohistochemistry revealed the presence of CEMP1 protein at the interface with the dentine. These results demonstrated that the combination of multiple PDL cell sheets and a biphasic scaffold allows the simultaneous delivery of the cells necessary for in vivo regeneration of alveolar bone, periodontal ligament and cementum.","DOI":"10.1016/j.biomaterials.2012.04.038","ISSN":"1878-5905","note":"PMID: 22575832","journalAbbreviation":"Biomaterials","language":"eng","author":[{"family":"Vaquette","given":"Cédryck"},{"family":"Fan","given":"Wei"},{"family":"Xiao","given":"Yin"},{"family":"Hamlet","given":"Stephen"},{"family":"Hutmacher","given":"Dietmar W."},{"family":"Ivanovski","given":"Saso"}],"issued":{"date-parts":[["2012",8]]}}}],"schema":"https://github.com/citation-style-language/schema/raw/master/csl-citation.json"} </w:instrText>
      </w:r>
      <w:r>
        <w:fldChar w:fldCharType="separate"/>
      </w:r>
      <w:r>
        <w:rPr>
          <w:noProof/>
        </w:rPr>
        <w:t>(Vaquette et al. 2012)</w:t>
      </w:r>
      <w:r>
        <w:fldChar w:fldCharType="end"/>
      </w:r>
      <w:r>
        <w:t>.</w:t>
      </w:r>
    </w:p>
    <w:p w14:paraId="17BAEAFB" w14:textId="77777777" w:rsidR="00E50712" w:rsidRDefault="00E50712" w:rsidP="007C5DFE">
      <w:pPr>
        <w:pStyle w:val="Stytleparagraphe"/>
      </w:pPr>
    </w:p>
    <w:p w14:paraId="09A9D07E" w14:textId="4BD2231F" w:rsidR="00D96CEA" w:rsidRDefault="007A0307" w:rsidP="00D96CEA">
      <w:pPr>
        <w:pStyle w:val="Style3"/>
        <w:numPr>
          <w:ilvl w:val="0"/>
          <w:numId w:val="23"/>
        </w:numPr>
      </w:pPr>
      <w:bookmarkStart w:id="464" w:name="_Toc383883991"/>
      <w:bookmarkStart w:id="465" w:name="_Toc384754108"/>
      <w:bookmarkStart w:id="466" w:name="_Toc384756529"/>
      <w:bookmarkStart w:id="467" w:name="_Toc384816125"/>
      <w:bookmarkStart w:id="468" w:name="_Toc384826841"/>
      <w:r>
        <w:t xml:space="preserve">Intérêt des membranes PCL avec </w:t>
      </w:r>
      <w:r w:rsidR="00D96CEA">
        <w:t>nanoréservoirs</w:t>
      </w:r>
      <w:bookmarkEnd w:id="464"/>
      <w:bookmarkEnd w:id="465"/>
      <w:bookmarkEnd w:id="466"/>
      <w:bookmarkEnd w:id="467"/>
      <w:bookmarkEnd w:id="468"/>
      <w:r>
        <w:t xml:space="preserve"> </w:t>
      </w:r>
    </w:p>
    <w:p w14:paraId="2B71E7D3" w14:textId="3ACA12B4" w:rsidR="00E50712" w:rsidRDefault="007A0307" w:rsidP="007A0307">
      <w:pPr>
        <w:pStyle w:val="Stytleparagraphe"/>
        <w:ind w:firstLine="360"/>
        <w:rPr>
          <w:rFonts w:cs="Arial"/>
        </w:rPr>
      </w:pPr>
      <w:r>
        <w:t xml:space="preserve">Les membranes </w:t>
      </w:r>
      <w:r>
        <w:rPr>
          <w:rFonts w:cs="Arial"/>
        </w:rPr>
        <w:t xml:space="preserve">poly-ε-caprolactone (PCL) nanofibreuses électrofilées biorésorbables permettent d’imiter l’architecture fibrillaire de la matrice osseuse. L’immobilisation couche par couche du facteur de croissance BMP-2 au sein de nanoréservoirs de chitosane démontre des propriétés ostéogéniques considérables et donc une perspective en thérapeutique tissulaire régénérative via une réparation efficace des défauts osseux et un coût et risque réduits </w:t>
      </w:r>
      <w:r>
        <w:rPr>
          <w:rFonts w:cs="Arial"/>
        </w:rPr>
        <w:fldChar w:fldCharType="begin"/>
      </w:r>
      <w:r>
        <w:rPr>
          <w:rFonts w:cs="Arial"/>
        </w:rPr>
        <w:instrText xml:space="preserve"> ADDIN ZOTERO_ITEM CSL_CITATION {"citationID":"NZ6LAt4D","properties":{"formattedCitation":"(Ferrand et al. 2014)","plainCitation":"(Ferrand et al. 2014)","noteIndex":0},"citationItems":[{"id":393,"uris":["http://zotero.org/users/local/Y4Qp1Cr8/items/ICZ3W7T5"],"uri":["http://zotero.org/users/local/Y4Qp1Cr8/items/ICZ3W7T5"],"itemData":{"id":393,"type":"article-journal","title":"Osteogenetic properties of electrospun nanofibrous PCL scaffolds equipped with chitosan-based nanoreservoirs of growth factors","container-title":"Macromolecular Bioscience","page":"45-55","volume":"14","issue":"1","source":"PubMed","abstract":"Bioactive implants intended for rapid, robust, and durable bone tissue regeneration are presented. The implants are based on nanofibrous 3D-scaffolds of bioresorbable poly-ϵ-caprolactone mimicking the fibrillar architecture of bone matrix. Layer-by-layer nanoimmobilization of the growth factor BMP-2 in association with chitosan (CHI) or poly-L-lysine over the nanofibers is described. The osteogenetic potential of the scaffolds coated with layers of CHI and BMP-2 is demonstrated in vitro, and in vivo in mouse calvaria, through enhanced osteopontin gene expression and calcium phosphate biomineralization. The therapeutic strategy described here contributes to the field of regenerative medicine, as it proposes a route toward efficient repair of bone defects at reduced risk and cost level.","DOI":"10.1002/mabi.201300283","ISSN":"1616-5195","note":"PMID: 23956214","journalAbbreviation":"Macromol Biosci","language":"eng","author":[{"family":"Ferrand","given":"Alice"},{"family":"Eap","given":"Sandy"},{"family":"Richert","given":"Ludovic"},{"family":"Lemoine","given":"Stéphanie"},{"family":"Kalaskar","given":"Deepak"},{"family":"Demoustier-Champagne","given":"Sophie"},{"family":"Atmani","given":"Hassan"},{"family":"Mély","given":"Yves"},{"family":"Fioretti","given":"Florence"},{"family":"Schlatter","given":"Guy"},{"family":"Kuhn","given":"Liisa"},{"family":"Ladam","given":"Guy"},{"family":"Benkirane-Jessel","given":"Nadia"}],"issued":{"date-parts":[["2014",1]]}}}],"schema":"https://github.com/citation-style-language/schema/raw/master/csl-citation.json"} </w:instrText>
      </w:r>
      <w:r>
        <w:rPr>
          <w:rFonts w:cs="Arial"/>
        </w:rPr>
        <w:fldChar w:fldCharType="separate"/>
      </w:r>
      <w:r>
        <w:rPr>
          <w:rFonts w:cs="Arial"/>
          <w:noProof/>
        </w:rPr>
        <w:t>(Ferrand et al. 2014)</w:t>
      </w:r>
      <w:r>
        <w:rPr>
          <w:rFonts w:cs="Arial"/>
        </w:rPr>
        <w:fldChar w:fldCharType="end"/>
      </w:r>
      <w:r>
        <w:rPr>
          <w:rFonts w:cs="Arial"/>
        </w:rPr>
        <w:t>.</w:t>
      </w:r>
    </w:p>
    <w:p w14:paraId="5C40A604" w14:textId="77777777" w:rsidR="002C3C96" w:rsidRDefault="002C3C96" w:rsidP="007A0307">
      <w:pPr>
        <w:pStyle w:val="Stytleparagraphe"/>
        <w:ind w:firstLine="360"/>
        <w:rPr>
          <w:rFonts w:cs="Arial"/>
        </w:rPr>
      </w:pPr>
    </w:p>
    <w:p w14:paraId="2041BDB7" w14:textId="56CC4E6C" w:rsidR="00B83BAF" w:rsidRDefault="00B83BAF" w:rsidP="007A0307">
      <w:pPr>
        <w:pStyle w:val="Stytleparagraphe"/>
        <w:ind w:firstLine="360"/>
        <w:rPr>
          <w:rFonts w:cs="Arial"/>
        </w:rPr>
      </w:pPr>
      <w:r>
        <w:rPr>
          <w:rFonts w:cs="Arial"/>
        </w:rPr>
        <w:t xml:space="preserve">La libération intracellulaire ciblée permet de majorer l’impact clinique via une efficacité maximale et une toxicité minimale. Les nanobiotechnologies permettent </w:t>
      </w:r>
      <w:r w:rsidR="00F201D0">
        <w:rPr>
          <w:rFonts w:cs="Arial"/>
        </w:rPr>
        <w:t>de piéger et protéger les agents thérapeutiques au sein de nanoréservoirs enchâssés dans les membranes implantables bio-érodables. Lors de leur contact avec les cellules cibles, ces réservoirs polymériques subissent une dégradation enzymatique rendant les agents thérapeutiques disponibles. La division et l’infiltration cellulaire dans la profondeur de la matrice permet alors une libération lente et progressive de médicaments, gènes ou facteurs de croissance, qui stimulent à leur tour la prolifération cellulaire et in fine la régénération tissulaire</w:t>
      </w:r>
      <w:r w:rsidR="00132226">
        <w:rPr>
          <w:rFonts w:cs="Arial"/>
        </w:rPr>
        <w:t>, représentant une respective thérapeutique considérable</w:t>
      </w:r>
      <w:r w:rsidR="00F201D0">
        <w:rPr>
          <w:rFonts w:cs="Arial"/>
        </w:rPr>
        <w:t xml:space="preserve"> </w:t>
      </w:r>
      <w:r w:rsidR="00F201D0">
        <w:rPr>
          <w:rFonts w:cs="Arial"/>
        </w:rPr>
        <w:fldChar w:fldCharType="begin"/>
      </w:r>
      <w:r w:rsidR="00F201D0">
        <w:rPr>
          <w:rFonts w:cs="Arial"/>
        </w:rPr>
        <w:instrText xml:space="preserve"> ADDIN ZOTERO_ITEM CSL_CITATION {"citationID":"sqMJbXz1","properties":{"formattedCitation":"(Mendoza-Palomares et al. 2012)","plainCitation":"(Mendoza-Palomares et al. 2012)","noteIndex":0},"citationItems":[{"id":403,"uris":["http://zotero.org/users/local/Y4Qp1Cr8/items/PPQZDEB6"],"uri":["http://zotero.org/users/local/Y4Qp1Cr8/items/PPQZDEB6"],"itemData":{"id":403,"type":"article-journal","title":"Smart hybrid materials equipped by nanoreservoirs of therapeutics","container-title":"ACS nano","page":"483-490","volume":"6","issue":"1","source":"PubMed","abstract":"Nanobiotechnology enables the emergence of entirely new classes of bioactive devices intended for targeted intracellular delivery for more efficacies and less toxicities. Among organic and inorganic approaches currently developed, controlled release from polymer matrices promises utmost clinical impact. Here, a unique nanotechnology strategy is used to entrap, protect, and stabilize therapeutic agents into polymer coatings acting as nanoreservoirs enrobing nanofibers of implantable membranes. Upon contact with cells, therapeutic agents become available through enzymatic degradation of the nanoreservoirs. As cells grow, divide, and infiltrate deeper into the porous membrane, they trigger slow and progressive release of therapeutic agents that, in turn, stimulate further cell proliferation. This constitutes the first instance of a smart living nanostructured hybrid membrane for regenerative medicine. The cell contact-dependent bioerodable nanoreservoirs described here will permit sustained release of drugs, genes, growth factors, etc., opening a general route to the design of sophisticated cell-therapy implants capable of robust and durable regeneration of a broad variety of tissues.","DOI":"10.1021/nn203817t","ISSN":"1936-086X","note":"PMID: 22176534","journalAbbreviation":"ACS Nano","language":"eng","author":[{"family":"Mendoza-Palomares","given":"Carlos"},{"family":"Ferrand","given":"Alice"},{"family":"Facca","given":"Sybille"},{"family":"Fioretti","given":"Florence"},{"family":"Ladam","given":"Guy"},{"family":"Kuchler-Bopp","given":"Sabine"},{"family":"Regnier","given":"Thomas"},{"family":"Mainard","given":"Didier"},{"family":"Benkirane-Jessel","given":"Nadia"}],"issued":{"date-parts":[["2012",1,24]]}}}],"schema":"https://github.com/citation-style-language/schema/raw/master/csl-citation.json"} </w:instrText>
      </w:r>
      <w:r w:rsidR="00F201D0">
        <w:rPr>
          <w:rFonts w:cs="Arial"/>
        </w:rPr>
        <w:fldChar w:fldCharType="separate"/>
      </w:r>
      <w:r w:rsidR="00F201D0">
        <w:rPr>
          <w:rFonts w:cs="Arial"/>
          <w:noProof/>
        </w:rPr>
        <w:t>(Mendoza-Palomares et al. 2012)</w:t>
      </w:r>
      <w:r w:rsidR="00F201D0">
        <w:rPr>
          <w:rFonts w:cs="Arial"/>
        </w:rPr>
        <w:fldChar w:fldCharType="end"/>
      </w:r>
      <w:r w:rsidR="00F201D0">
        <w:rPr>
          <w:rFonts w:cs="Arial"/>
        </w:rPr>
        <w:t xml:space="preserve">. </w:t>
      </w:r>
    </w:p>
    <w:p w14:paraId="4BD76298" w14:textId="77777777" w:rsidR="00E50712" w:rsidRDefault="00E50712" w:rsidP="007C5DFE">
      <w:pPr>
        <w:pStyle w:val="Stytleparagraphe"/>
      </w:pPr>
    </w:p>
    <w:p w14:paraId="76E97194" w14:textId="77777777" w:rsidR="00132226" w:rsidRDefault="00132226" w:rsidP="007C5DFE">
      <w:pPr>
        <w:pStyle w:val="Stytleparagraphe"/>
      </w:pPr>
    </w:p>
    <w:p w14:paraId="74B72DA1" w14:textId="77777777" w:rsidR="00132226" w:rsidRDefault="00132226" w:rsidP="007C5DFE">
      <w:pPr>
        <w:pStyle w:val="Stytleparagraphe"/>
      </w:pPr>
    </w:p>
    <w:p w14:paraId="325E64DD" w14:textId="77777777" w:rsidR="00132226" w:rsidRDefault="00132226" w:rsidP="007C5DFE">
      <w:pPr>
        <w:pStyle w:val="Stytleparagraphe"/>
      </w:pPr>
    </w:p>
    <w:p w14:paraId="41CC5A79" w14:textId="5173EC57" w:rsidR="007C5DFE" w:rsidRDefault="0018798A" w:rsidP="0018798A">
      <w:pPr>
        <w:pStyle w:val="Style2"/>
        <w:numPr>
          <w:ilvl w:val="0"/>
          <w:numId w:val="17"/>
        </w:numPr>
      </w:pPr>
      <w:bookmarkStart w:id="469" w:name="_Toc383883992"/>
      <w:bookmarkStart w:id="470" w:name="_Toc384754109"/>
      <w:bookmarkStart w:id="471" w:name="_Toc384756530"/>
      <w:bookmarkStart w:id="472" w:name="_Toc384816126"/>
      <w:bookmarkStart w:id="473" w:name="_Toc384826842"/>
      <w:r>
        <w:t>Membranes</w:t>
      </w:r>
      <w:r w:rsidR="00066783">
        <w:t xml:space="preserve"> PCL</w:t>
      </w:r>
      <w:r>
        <w:t xml:space="preserve"> nanofi</w:t>
      </w:r>
      <w:r w:rsidR="00B23153">
        <w:t>breuses fonctionnalisées avec de</w:t>
      </w:r>
      <w:r>
        <w:t xml:space="preserve"> </w:t>
      </w:r>
      <w:r w:rsidR="00B23153">
        <w:t>l’</w:t>
      </w:r>
      <w:r w:rsidR="00FB3121">
        <w:t>α-MSH</w:t>
      </w:r>
      <w:bookmarkEnd w:id="469"/>
      <w:bookmarkEnd w:id="470"/>
      <w:bookmarkEnd w:id="471"/>
      <w:bookmarkEnd w:id="472"/>
      <w:bookmarkEnd w:id="473"/>
    </w:p>
    <w:p w14:paraId="1FBF3D3D" w14:textId="0A427FD7" w:rsidR="007C5DFE" w:rsidRDefault="00B23153" w:rsidP="0018798A">
      <w:pPr>
        <w:pStyle w:val="Style3"/>
        <w:numPr>
          <w:ilvl w:val="0"/>
          <w:numId w:val="21"/>
        </w:numPr>
      </w:pPr>
      <w:bookmarkStart w:id="474" w:name="_Toc384754110"/>
      <w:bookmarkStart w:id="475" w:name="_Toc384756531"/>
      <w:bookmarkStart w:id="476" w:name="_Toc384816127"/>
      <w:bookmarkStart w:id="477" w:name="_Toc384826843"/>
      <w:r>
        <w:t>Introduction</w:t>
      </w:r>
      <w:bookmarkEnd w:id="474"/>
      <w:bookmarkEnd w:id="475"/>
      <w:bookmarkEnd w:id="476"/>
      <w:bookmarkEnd w:id="477"/>
    </w:p>
    <w:p w14:paraId="1991F40F" w14:textId="46FCCFEB" w:rsidR="003B37E8" w:rsidRDefault="0018798A" w:rsidP="0037364B">
      <w:pPr>
        <w:pStyle w:val="Stytleparagraphe"/>
        <w:ind w:firstLine="360"/>
      </w:pPr>
      <w:r>
        <w:t>L’alpha-mélanocyte stimulating hormone (α-MSH) est synthétisée par les kératinocytes et mélanocytes humains</w:t>
      </w:r>
      <w:r w:rsidR="00DF29B5">
        <w:t xml:space="preserve"> et</w:t>
      </w:r>
      <w:r>
        <w:t xml:space="preserve"> </w:t>
      </w:r>
      <w:r w:rsidR="0037364B">
        <w:t xml:space="preserve">améliore la </w:t>
      </w:r>
      <w:r>
        <w:t>cicatrisation des plaies</w:t>
      </w:r>
      <w:r w:rsidR="0037364B">
        <w:t xml:space="preserve"> </w:t>
      </w:r>
      <w:r w:rsidR="0037364B">
        <w:fldChar w:fldCharType="begin"/>
      </w:r>
      <w:r w:rsidR="0037364B">
        <w:instrText xml:space="preserve"> ADDIN ZOTERO_ITEM CSL_CITATION {"citationID":"1JAiAVdX","properties":{"formattedCitation":"(de Souza et al. 2015)","plainCitation":"(de Souza et al. 2015)","noteIndex":0},"citationItems":[{"id":368,"uris":["http://zotero.org/users/local/Y4Qp1Cr8/items/V2XDDUJ5"],"uri":["http://zotero.org/users/local/Y4Qp1Cr8/items/V2XDDUJ5"],"itemData":{"id":368,"type":"article-journal","title":"Improved cutaneous wound healing after intraperitoneal injection of alpha-melanocyte-stimulating hormone","container-title":"Experimental Dermatology","page":"198-203","volume":"24","issue":"3","source":"PubMed","abstract":"Skin wound healing is a complex process involving many types of cells and molecules and often results in scar tissue formation in adult mammals. However, scarless healing occurs in foetal skin and minimal scars may occur after cutaneous healing in the adult with reduced inflammation. Alpha-melanocyte-stimulating hormone (α-MSH) is widely distributed within the central nervous system and in other body regions, such as the skin, and has strong anti-inflammatory activity. The aim in the present experiments was to learn whether intraperitoneal (i.p) injection of α-MSH just before skin wounds antagonize inflammation and improves skin wound healing in adult mice. C57BL/6 young adult mice received an i.p. injection of 1 mg/kg of α-MSH and, 30 min later, two circular through-and-through holes (6.5 mm diameter) were made in their dorsal skin under anaesthesia. Control mice were wounded after vehicle injection. The wound healing process was analysed macroscopically and microscopically at 3, 7, 40 and 60 days. Skin samples were fixed in formalin, embedded in paraffin, sectioned at 5 μm, stained with H&amp;E or toluidine blue for cell analysis or Gomori's trichrome for extracellular matrix (ECM) analysis. Other samples were fixed in DMSO+methanol, embedded in paraplast and incubated with anti-CD45, antismooth muscle actin, anticollagen-I and anticollagen-III for immunofluorescence analysis. Alpha-MSH significantly reduced the number of leucocytes, mast cells and fibroblasts at 3 and 7 days after injury. On days 40 and 60, α-MSH reduced scar area and improved the organization of the collagen fibres indicating that it may direct the healing into a more-regenerative/less-scarring pathway.","DOI":"10.1111/exd.12609","ISSN":"1600-0625","note":"PMID: 25431356","journalAbbreviation":"Exp. Dermatol.","language":"eng","author":[{"family":"Souza","given":"Kênia Soares","non-dropping-particle":"de"},{"family":"Cantaruti","given":"Thiago Anselmo"},{"family":"Azevedo","given":"Geraldo Magela"},{"family":"Galdino","given":"Daniel Antero de Almeida"},{"family":"Rodrigues","given":"Claudiney Melquíades"},{"family":"Costa","given":"Raquel Alves"},{"family":"Vaz","given":"Nelson Monteiro"},{"family":"Carvalho","given":"Cláudia Rocha"}],"issued":{"date-parts":[["2015",3]]}}}],"schema":"https://github.com/citation-style-language/schema/raw/master/csl-citation.json"} </w:instrText>
      </w:r>
      <w:r w:rsidR="0037364B">
        <w:fldChar w:fldCharType="separate"/>
      </w:r>
      <w:r w:rsidR="0037364B">
        <w:rPr>
          <w:noProof/>
        </w:rPr>
        <w:t>(de Souza et al. 2015)</w:t>
      </w:r>
      <w:r w:rsidR="0037364B">
        <w:fldChar w:fldCharType="end"/>
      </w:r>
      <w:r>
        <w:t xml:space="preserve">, en </w:t>
      </w:r>
      <w:r w:rsidR="00505DDD">
        <w:t xml:space="preserve">régulant des cytokines pro- et anti-inflammatoires telles que IL-6, TGF-β, TNF-α et </w:t>
      </w:r>
      <w:r w:rsidR="00DF29B5">
        <w:t>en inhibant</w:t>
      </w:r>
      <w:r w:rsidR="00505DDD">
        <w:t xml:space="preserve"> NF-κB au niveau des kératinocytes et des fibroblastes</w:t>
      </w:r>
      <w:r w:rsidR="0037364B">
        <w:t xml:space="preserve"> </w:t>
      </w:r>
      <w:r w:rsidR="0037364B">
        <w:fldChar w:fldCharType="begin"/>
      </w:r>
      <w:r w:rsidR="0037364B">
        <w:instrText xml:space="preserve"> ADDIN ZOTERO_ITEM CSL_CITATION {"citationID":"VFUGvnIw","properties":{"formattedCitation":"(Hill, MacNeil, et Haycock 2006)","plainCitation":"(Hill, MacNeil, et Haycock 2006)","noteIndex":0},"citationItems":[{"id":376,"uris":["http://zotero.org/users/local/Y4Qp1Cr8/items/SUUM3MYD"],"uri":["http://zotero.org/users/local/Y4Qp1Cr8/items/SUUM3MYD"],"itemData":{"id":376,"type":"article-journal","title":"Melanocyte stimulating hormone peptides inhibit TNF-alpha signaling in human dermal fibroblast cells","container-title":"Peptides","page":"421-430","volume":"27","issue":"2","source":"PubMed","abstract":"Alpha-melanocyte stimulating hormone (alpha-MSH) has been identified as a potent anti-inflammatory in various tissues including the skin. It has previously been shown in skin cell keratinocytes and melanocytes/melanoma cells that MSH peptides inhibit TNF-alpha stimulated NF-kappaB activity and intercellular adhesion molecule-1 (ICAM-1) upregulation. However, the precise anti-inflammatory role of MSH peptides in dermal fibroblasts is unclear. Some studies report on pro-inflammatory responses, while others on anti-inflammatory responses. The present study confirms MC1R expression in cultured human dermal fibroblasts and reports that the MSH peptides alpha-MSH and KP(-D-)V inhibit TNF-alpha stimulated NF-kappaB activity and ICAM-1 upregulation, consistent with an anti-inflammatory role. However, involvement of IkappaB-alpha regulation by either peptide was not confirmed, supporting a mechanism independent of the NF-kappaB inhibitor. In conclusion, alpha-MSH and KP(-D-)V peptides have an anti-inflammatory action on dermal fibroblast signaling by inhibiting the pro-inflammatory activity of TNF-alpha in vitro.","DOI":"10.1016/j.peptides.2005.03.061","ISSN":"0196-9781","note":"PMID: 16274855","journalAbbreviation":"Peptides","language":"eng","author":[{"family":"Hill","given":"R. P."},{"family":"MacNeil","given":"S."},{"family":"Haycock","given":"J. W."}],"issued":{"date-parts":[["2006",2]]}}}],"schema":"https://github.com/citation-style-language/schema/raw/master/csl-citation.json"} </w:instrText>
      </w:r>
      <w:r w:rsidR="0037364B">
        <w:fldChar w:fldCharType="separate"/>
      </w:r>
      <w:r w:rsidR="0037364B">
        <w:rPr>
          <w:noProof/>
        </w:rPr>
        <w:t>(Hill, MacNeil, et Haycock 2006)</w:t>
      </w:r>
      <w:r w:rsidR="0037364B">
        <w:fldChar w:fldCharType="end"/>
      </w:r>
      <w:r w:rsidR="00505DDD">
        <w:t>.</w:t>
      </w:r>
    </w:p>
    <w:p w14:paraId="6BC1361F" w14:textId="77777777" w:rsidR="0037364B" w:rsidRDefault="0037364B" w:rsidP="0037364B">
      <w:pPr>
        <w:pStyle w:val="Stytleparagraphe"/>
        <w:ind w:firstLine="360"/>
      </w:pPr>
    </w:p>
    <w:p w14:paraId="428376A2" w14:textId="498BF710" w:rsidR="003B37E8" w:rsidRDefault="00CB5064" w:rsidP="003B37E8">
      <w:pPr>
        <w:pStyle w:val="Stytleparagraphe"/>
        <w:ind w:firstLine="360"/>
      </w:pPr>
      <w:r>
        <w:t>Une étude s’intéresse au rôle de l’α-MSH lié de mani</w:t>
      </w:r>
      <w:r w:rsidR="003B37E8">
        <w:t xml:space="preserve">ère covalente à l’acide poly-L-glutamique </w:t>
      </w:r>
      <w:r>
        <w:t>(PGA) sur les fibroblastes pulpaires. Les fibroblastes stimulés par le LPS incubé avec du PGA-α-MSH montrent une inhibition précoce du TNF-α, une induction tardive de l’IL-10 et aucun effet sur l’IL-8</w:t>
      </w:r>
      <w:r w:rsidR="003B37E8">
        <w:t xml:space="preserve"> alors que l’absence de LPS induit cette la sécrétion d’IL-8 et la prolifération des fibroblastes pulpaires. Ces résultats suggèrent le rôle anti-inflammatoire du PGA-α-MSH dans le traitement des lésions endodontiques. </w:t>
      </w:r>
    </w:p>
    <w:p w14:paraId="11D697E0" w14:textId="3251B93E" w:rsidR="003B37E8" w:rsidRDefault="003B37E8" w:rsidP="003B37E8">
      <w:pPr>
        <w:pStyle w:val="Stytleparagraphe"/>
        <w:ind w:firstLine="360"/>
      </w:pPr>
      <w:r>
        <w:t xml:space="preserve">La même étude montre le rôle bioactif des films polyélectrolytiques multicouches avec réservoirs de PGA-α-MSH en régénération endodontique </w:t>
      </w:r>
      <w:r>
        <w:fldChar w:fldCharType="begin"/>
      </w:r>
      <w:r>
        <w:instrText xml:space="preserve"> ADDIN ZOTERO_ITEM CSL_CITATION {"citationID":"4aSNvrLz","properties":{"formattedCitation":"(Fioretti et al. 2010)","plainCitation":"(Fioretti et al. 2010)","noteIndex":0},"citationItems":[{"id":405,"uris":["http://zotero.org/users/local/Y4Qp1Cr8/items/2Q5ALI6V"],"uri":["http://zotero.org/users/local/Y4Qp1Cr8/items/2Q5ALI6V"],"itemData":{"id":405,"type":"article-journal","title":"Nanostructured assemblies for dental application","container-title":"ACS nano","page":"3277-3287","volume":"4","issue":"6","source":"PubMed","abstract":"Millions of teeth are saved each year by root canal therapy. Although current treatment modalities offer high levels of success for many conditions, an ideal form of therapy might consist of regenerative approaches in which diseased or necrotic pulp tissues are removed and replaced with healthy pulp tissue to revitalize teeth. Melanocortin peptides (alpha-MSH) possess anti-inflammatory properties in many acute and chronic inflammatory models. Our recent studies have shown that alpha-MSH covalently coupled to poly-l-glutamic acid (PGA-alpha-MSH) retains anti-inflammatory properties on rat monocytes. This study aimed to define the effects of PGA-alpha-MSH on dental pulp fibroblasts. Lipopolysaccharide (LPS)-stimulated fibroblasts incubated with PGA-alpha-MSH showed an early time-dependent inhibition of TNF-alpha, a late induction of IL-10, and no effect on IL-8 secretion. However, in the absence of LPS, PGA-alpha-MSH induced IL-8 secretion and proliferation of pulp fibroblasts, whereas free alpha-MSH inhibited this proliferation. Thus, PGA-alpha-MSH has potential effects in promoting human pulp fibroblast adhesion and cell proliferation. It can also reduce the inflammatory state of LPS-stimulated pulp fibroblasts observed in gram-negative bacterial infections. These effects suggest a novel use of PGA-alpha-MSH as an anti-inflammatory agent in the treatment of endodontic lesions. To better understand these results, we have also used the multilayered polyelectrolyte films as a reservoir for PGA-alpha-MSH by using not only PLL (poly-l-lysine) but also the Dendri Graft poly-l-lysines (DGL(G4)) to be able to adsorb more PGA-alpha-MSH. Our results indicated clearly that, by using PGA-alpha-MSH, we increase not only the viability of cells but also the proliferation. We have also analyzed at the nanoscale by atomic force microscopy these nanostructured architectures and shown an increase of thickness and roughness in the presence of PGA-alpha-MSH incorporated into the multilayered film (PLL-PGA-alpha-MSH)(10) or (DGL(G4)-PGA-alpha-MSH)(10) in accordance with the increase of the proliferation of the cells growing on the surface of these architectures. We report here the first use of nanostructured and functionalized multilayered films containing alpha-MSH as a new active biomaterial for endodontic regeneration.","DOI":"10.1021/nn100713m","ISSN":"1936-086X","note":"PMID: 20507154","journalAbbreviation":"ACS Nano","language":"eng","author":[{"family":"Fioretti","given":"Florence"},{"family":"Mendoza-Palomares","given":"Carlos"},{"family":"Helms","given":"Marie"},{"family":"Al Alam","given":"Denise"},{"family":"Richert","given":"Ludovic"},{"family":"Arntz","given":"Youri"},{"family":"Rinckenbach","given":"Simon"},{"family":"Garnier","given":"Fabien"},{"family":"Haïkel","given":"Youssef"},{"family":"Gangloff","given":"Sophie C."},{"family":"Benkirane-Jessel","given":"Nadia"}],"issued":{"date-parts":[["2010",6,22]]}}}],"schema":"https://github.com/citation-style-language/schema/raw/master/csl-citation.json"} </w:instrText>
      </w:r>
      <w:r>
        <w:fldChar w:fldCharType="separate"/>
      </w:r>
      <w:r>
        <w:rPr>
          <w:noProof/>
        </w:rPr>
        <w:t>(Fioretti et al. 2010)</w:t>
      </w:r>
      <w:r>
        <w:fldChar w:fldCharType="end"/>
      </w:r>
      <w:r>
        <w:t>. Nous nous demandons donc si cette application clinique est transposable en régénération parodontale.</w:t>
      </w:r>
    </w:p>
    <w:p w14:paraId="0C78178A" w14:textId="77777777" w:rsidR="00B23153" w:rsidRDefault="00B23153" w:rsidP="00B23153">
      <w:pPr>
        <w:pStyle w:val="Stytleparagraphe"/>
      </w:pPr>
    </w:p>
    <w:p w14:paraId="6D84D3E2" w14:textId="18E719E3" w:rsidR="00B23153" w:rsidRDefault="00B23153" w:rsidP="00B23153">
      <w:pPr>
        <w:pStyle w:val="Style3"/>
        <w:numPr>
          <w:ilvl w:val="0"/>
          <w:numId w:val="21"/>
        </w:numPr>
      </w:pPr>
      <w:bookmarkStart w:id="478" w:name="_Toc384754111"/>
      <w:bookmarkStart w:id="479" w:name="_Toc384756532"/>
      <w:bookmarkStart w:id="480" w:name="_Toc384816128"/>
      <w:bookmarkStart w:id="481" w:name="_Toc384826844"/>
      <w:r>
        <w:t>Effets</w:t>
      </w:r>
      <w:r w:rsidR="00BC689F">
        <w:t xml:space="preserve"> </w:t>
      </w:r>
      <w:r w:rsidR="00876C9C">
        <w:t>sur les cellules gingivales</w:t>
      </w:r>
      <w:bookmarkEnd w:id="478"/>
      <w:bookmarkEnd w:id="479"/>
      <w:bookmarkEnd w:id="480"/>
      <w:bookmarkEnd w:id="481"/>
    </w:p>
    <w:p w14:paraId="0DC1CF7A" w14:textId="004BE2AC" w:rsidR="00D85E7C" w:rsidRDefault="00BC689F" w:rsidP="00BC689F">
      <w:pPr>
        <w:pStyle w:val="Stytleparagraphe"/>
        <w:ind w:firstLine="360"/>
      </w:pPr>
      <w:r>
        <w:t xml:space="preserve">En 2015, une étude s’intéresse pour la première fois aux effets de l’α-MSH sur la réponse inflammatoire gingivale et montre que le PGA-α-MSH diminue </w:t>
      </w:r>
      <w:r w:rsidR="00BF19FE">
        <w:t xml:space="preserve">la migration des cellules épithéliales humaines et des fibroblastes pré-stimulés avec du LPS, stimulus pro-inflammatoire. </w:t>
      </w:r>
      <w:r w:rsidR="00D85E7C">
        <w:t>Le PGA-α-MSH régule négativement</w:t>
      </w:r>
      <w:r w:rsidR="00324C25">
        <w:t xml:space="preserve"> l’expression de</w:t>
      </w:r>
      <w:r w:rsidR="00D85E7C">
        <w:t xml:space="preserve"> IL-6, TNF-α et </w:t>
      </w:r>
      <w:r w:rsidR="00324C25">
        <w:t xml:space="preserve">TGF-β induite par Pg-LPS dans les cultures de fibroblastes et cellules épithéliales gingivales. Cet effet anti-inflammatoire sur les cellules gingivales humaines apparaît plus efficace sur les fibroblastes que les cellules épithéliales </w:t>
      </w:r>
      <w:r w:rsidR="00324C25">
        <w:fldChar w:fldCharType="begin"/>
      </w:r>
      <w:r w:rsidR="00324C25">
        <w:instrText xml:space="preserve"> ADDIN ZOTERO_ITEM CSL_CITATION {"citationID":"unvO3jcA","properties":{"formattedCitation":"(D.-N.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324C25">
        <w:fldChar w:fldCharType="separate"/>
      </w:r>
      <w:r w:rsidR="00324C25">
        <w:rPr>
          <w:noProof/>
        </w:rPr>
        <w:t>(Morand et al. 2015)</w:t>
      </w:r>
      <w:r w:rsidR="00324C25">
        <w:fldChar w:fldCharType="end"/>
      </w:r>
      <w:r w:rsidR="00324C25">
        <w:t>.</w:t>
      </w:r>
    </w:p>
    <w:p w14:paraId="4C2740A0" w14:textId="77777777" w:rsidR="00F200ED" w:rsidRDefault="00F200ED" w:rsidP="00BC689F">
      <w:pPr>
        <w:pStyle w:val="Stytleparagraphe"/>
        <w:ind w:firstLine="360"/>
      </w:pPr>
    </w:p>
    <w:p w14:paraId="32843826" w14:textId="6049A857" w:rsidR="00F200ED" w:rsidRDefault="00F200ED" w:rsidP="00BC689F">
      <w:pPr>
        <w:pStyle w:val="Stytleparagraphe"/>
        <w:ind w:firstLine="360"/>
      </w:pPr>
      <w:r>
        <w:t>La même ét</w:t>
      </w:r>
      <w:r w:rsidR="00F27947">
        <w:t>ude montre la biocompatibilité d</w:t>
      </w:r>
      <w:r>
        <w:t>es membranes  nanofibreuses PCL avec les cellules gingivales. Ces membranes retardent la prolifération cellulaire, de manière plus prononcée au sein des cellules épithéliales que fibroblastiques. Cette différence pourrait s’expliquer par leur état de surface et leurs propriétés chimiques. Le retard de prolifération des fibroblastes stimulés par Pg-LPS sur ces membranes fonctionnalisées au PGA-α-MSH montre que ces membranes préviennent la migration des cellules gingivales dans un contexte inflammatoire.</w:t>
      </w:r>
    </w:p>
    <w:p w14:paraId="2A3B3888" w14:textId="22888DB6" w:rsidR="000F12BE" w:rsidRDefault="00722F33" w:rsidP="00722F33">
      <w:pPr>
        <w:pStyle w:val="Stytleparagraphe"/>
      </w:pPr>
      <w:r>
        <w:t xml:space="preserve">Bien que l’association </w:t>
      </w:r>
      <w:r w:rsidR="00733055">
        <w:t xml:space="preserve">de </w:t>
      </w:r>
      <w:r>
        <w:t>molécules et d’agents thérapeutiques sur différents supports n’améliorent pas systématiquement leurs biologiques, l’étude démontre que l’utilisation de membranes PCL fonctionnalisées au PGA-α-MSH permet généralement de prolonger et d’amplifier l’effet anti-inflammatoire du PGA-α-MSH.</w:t>
      </w:r>
    </w:p>
    <w:p w14:paraId="657007F1" w14:textId="4FA6E361" w:rsidR="00733055" w:rsidRDefault="00733055" w:rsidP="00722F33">
      <w:pPr>
        <w:pStyle w:val="Stytleparagraphe"/>
      </w:pPr>
      <w:r>
        <w:t>Cependant, l’intensité de la régulation négative induite par PGA-α-MSH dépend du type cellulaire :</w:t>
      </w:r>
    </w:p>
    <w:p w14:paraId="506DE16B" w14:textId="6B0ED2F7" w:rsidR="00733055" w:rsidRDefault="00733055" w:rsidP="00733055">
      <w:pPr>
        <w:pStyle w:val="Stytleparagraphe"/>
        <w:numPr>
          <w:ilvl w:val="0"/>
          <w:numId w:val="3"/>
        </w:numPr>
      </w:pPr>
      <w:r>
        <w:t>Dans les cellules épithéliales, le PGA-α-MSH contrebalance partiellement l’augmentation de TNF-α et TGF-β induite par Pg-LPS,</w:t>
      </w:r>
    </w:p>
    <w:p w14:paraId="124DA4E1" w14:textId="082D6F25" w:rsidR="00733055" w:rsidRDefault="00733055" w:rsidP="00733055">
      <w:pPr>
        <w:pStyle w:val="Stytleparagraphe"/>
        <w:numPr>
          <w:ilvl w:val="0"/>
          <w:numId w:val="3"/>
        </w:numPr>
      </w:pPr>
      <w:r>
        <w:t>Dans les fibroblastes, PGA-α-MSH diminue l’expression de TGF-β</w:t>
      </w:r>
      <w:r w:rsidR="00B01FB1">
        <w:t xml:space="preserve"> sous les niveaux initiaux</w:t>
      </w:r>
      <w:r>
        <w:t>.</w:t>
      </w:r>
    </w:p>
    <w:p w14:paraId="50D8D206" w14:textId="58804E3A" w:rsidR="00AD59DB" w:rsidRDefault="00733055" w:rsidP="00733055">
      <w:pPr>
        <w:pStyle w:val="Stytleparagraphe"/>
      </w:pPr>
      <w:r>
        <w:t>Cet effet pourrait s’expliquer par une stimulation excessive de TNF-α et TGF-β par le Pg-LPS au sein des cellules épithéliales</w:t>
      </w:r>
      <w:r w:rsidR="00B01FB1">
        <w:t xml:space="preserve"> </w:t>
      </w:r>
      <w:r w:rsidR="00B01FB1">
        <w:fldChar w:fldCharType="begin"/>
      </w:r>
      <w:r w:rsidR="00B01FB1">
        <w:instrText xml:space="preserve"> ADDIN ZOTERO_ITEM CSL_CITATION {"citationID":"OYpjcFtl","properties":{"formattedCitation":"(D.-N.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B01FB1">
        <w:fldChar w:fldCharType="separate"/>
      </w:r>
      <w:r w:rsidR="00B01FB1">
        <w:rPr>
          <w:noProof/>
        </w:rPr>
        <w:t>(Morand et al. 2015)</w:t>
      </w:r>
      <w:r w:rsidR="00B01FB1">
        <w:fldChar w:fldCharType="end"/>
      </w:r>
      <w:r>
        <w:t>.</w:t>
      </w:r>
      <w:r w:rsidR="00B01FB1">
        <w:t xml:space="preserve"> </w:t>
      </w:r>
    </w:p>
    <w:p w14:paraId="31D5113E" w14:textId="77777777" w:rsidR="00733055" w:rsidRDefault="00733055" w:rsidP="00733055">
      <w:pPr>
        <w:pStyle w:val="Stytleparagraphe"/>
      </w:pPr>
    </w:p>
    <w:p w14:paraId="09BA71F1" w14:textId="5EC8A2AE" w:rsidR="008C58B1" w:rsidRDefault="00B01FB1" w:rsidP="00B01FB1">
      <w:pPr>
        <w:pStyle w:val="Style3"/>
        <w:numPr>
          <w:ilvl w:val="0"/>
          <w:numId w:val="21"/>
        </w:numPr>
      </w:pPr>
      <w:bookmarkStart w:id="482" w:name="_Toc384754112"/>
      <w:bookmarkStart w:id="483" w:name="_Toc384756533"/>
      <w:bookmarkStart w:id="484" w:name="_Toc384816129"/>
      <w:bookmarkStart w:id="485" w:name="_Toc384826845"/>
      <w:r>
        <w:t>Conclusion</w:t>
      </w:r>
      <w:bookmarkEnd w:id="482"/>
      <w:bookmarkEnd w:id="483"/>
      <w:bookmarkEnd w:id="484"/>
      <w:bookmarkEnd w:id="485"/>
    </w:p>
    <w:p w14:paraId="043C546C" w14:textId="49F060DD" w:rsidR="003B37E8" w:rsidRDefault="00F27947" w:rsidP="00CB201C">
      <w:pPr>
        <w:pStyle w:val="Stytleparagraphe"/>
        <w:ind w:firstLine="360"/>
      </w:pPr>
      <w:r>
        <w:t>Les membranes PCL fonctionnalisées au PGA-</w:t>
      </w:r>
      <w:r w:rsidR="00BF19FE">
        <w:t>α-MSH ont des effets anti-inflam</w:t>
      </w:r>
      <w:r w:rsidR="00087A39">
        <w:t>m</w:t>
      </w:r>
      <w:r w:rsidR="00BF19FE">
        <w:t xml:space="preserve">atoires </w:t>
      </w:r>
      <w:r>
        <w:t xml:space="preserve">sur les fibroblastes et les cellules épithéliales gingivales humaines </w:t>
      </w:r>
      <w:r w:rsidR="00BF19FE">
        <w:t xml:space="preserve">et une biocompatibilité </w:t>
      </w:r>
      <w:r>
        <w:t>remarquables</w:t>
      </w:r>
      <w:r w:rsidR="00483FF1">
        <w:t xml:space="preserve">, </w:t>
      </w:r>
      <w:r>
        <w:t>elles représentent donc</w:t>
      </w:r>
      <w:r w:rsidR="00483FF1">
        <w:t xml:space="preserve"> une potentielle perspective thérapeutique en régénération parodontale</w:t>
      </w:r>
      <w:r>
        <w:t>. En effet, l’association d’α-MSH aux membranes PCL module plus efficacement la prolifération cellulaire et la réponse inflammatoire des cellu</w:t>
      </w:r>
      <w:r w:rsidR="00CB201C">
        <w:t>les gingivales que l’α-MSH seul</w:t>
      </w:r>
      <w:r>
        <w:t xml:space="preserve"> </w:t>
      </w:r>
      <w:r w:rsidR="00BF19FE">
        <w:fldChar w:fldCharType="begin"/>
      </w:r>
      <w:r w:rsidR="00BF19FE">
        <w:instrText xml:space="preserve"> ADDIN ZOTERO_ITEM CSL_CITATION {"citationID":"lynsnyj2","properties":{"formattedCitation":"(D.-N. Morand et al. 2015)","plainCitation":"(D.-N. Morand et al. 2015)","noteIndex":0},"citationItems":[{"id":6,"uris":["http://zotero.org/users/local/Y4Qp1Cr8/items/XARQWCSN"],"uri":["http://zotero.org/users/local/Y4Qp1Cr8/items/XARQWCSN"],"itemData":{"id":6,"type":"article-journal","title":"Active Nanofibrous Membrane Effects on Gingival Cell Inflammatory Response","container-title":"Materials","page":"7217-7229","volume":"8","issue":"10","source":"www.mdpi.com","abstract":"Alpha-melanocyte stimulating hormone (α-MSH) is involved in normal skin wound healing and also has anti-inflammatory properties. The association of α-MSH to polyelectrolyte layers with various supports has been shown to improve these anti-inflammatory properties. This study aimed to evaluate the effects of nanofibrous membrane functionalized with α-MSH linked to polyelectrolyte layers on gingival cell inflammatory response. Human oral epithelial cells (EC) and fibroblasts (FB) were cultured on plastic or electrospun Poly-#-caprolactone (PCL) membranes with α-MSH covalently coupled to Poly-L-glutamic acid (PGA-α-MSH), for 6 to 24 h. Cells were incubated with or without Porphyromonas gingivalis lipopolysaccharide (Pg-LPS). Cell proliferation and migration were determined using AlamarBlue test and scratch assay. Expression of interleukin-6 (IL-6), tumor necrosis factor (TNF-α), and transforming growth factor-beta (TGF-β) was evaluated using RT-qPCR method. Cell cultures on plastic showed that PGA-α-MSH reduced EC and FB migration and decreased IL-6 and TGF-β expression in Pg-LPS stimulated EC. PGA-α-MSH functionalized PCL membranes reduced proliferation of Pg-LPS stimulated EC and FB. A significant decrease of IL-6, TNF-α, and TGF-β expression was also observed in Pg-LPS stimulated EC and FB. This study showed that the functionalization of nanofibrous PCL membranes efficiently amplified the anti-inflammatory effect of PGA-α-MSH on gingival cells.","DOI":"10.3390/ma8105376","language":"en","author":[{"family":"Morand","given":"David-Nicolas"},{"family":"Huck","given":"Olivier"},{"family":"Keller","given":"Laetitia"},{"family":"Jessel","given":"Nadia"},{"family":"Tenenbaum","given":"Henri"},{"family":"Davideau","given":"Jean-Luc"}],"issued":{"date-parts":[["2015",10,27]]}}}],"schema":"https://github.com/citation-style-language/schema/raw/master/csl-citation.json"} </w:instrText>
      </w:r>
      <w:r w:rsidR="00BF19FE">
        <w:fldChar w:fldCharType="separate"/>
      </w:r>
      <w:r w:rsidR="00BF19FE">
        <w:rPr>
          <w:noProof/>
        </w:rPr>
        <w:t>(Morand et al. 2015)</w:t>
      </w:r>
      <w:r w:rsidR="00BF19FE">
        <w:fldChar w:fldCharType="end"/>
      </w:r>
      <w:r w:rsidR="00BF19FE">
        <w:t xml:space="preserve">. </w:t>
      </w:r>
    </w:p>
    <w:p w14:paraId="13FF5573" w14:textId="77777777" w:rsidR="00837155" w:rsidRDefault="00837155" w:rsidP="00D447E5">
      <w:pPr>
        <w:pStyle w:val="Stytleparagraphe"/>
      </w:pPr>
    </w:p>
    <w:p w14:paraId="5FAF8DE1" w14:textId="77777777" w:rsidR="00F27947" w:rsidRDefault="00F27947" w:rsidP="00D447E5">
      <w:pPr>
        <w:pStyle w:val="Stytleparagraphe"/>
      </w:pPr>
    </w:p>
    <w:p w14:paraId="73B9D7E4" w14:textId="5887B7CE" w:rsidR="00AD59DB" w:rsidRDefault="00AD59DB" w:rsidP="00D124AD">
      <w:pPr>
        <w:pStyle w:val="Stytleparagraphe"/>
      </w:pPr>
    </w:p>
    <w:p w14:paraId="098D8BDF" w14:textId="77777777" w:rsidR="00AD59DB" w:rsidRPr="00AD59DB" w:rsidRDefault="00AD59DB" w:rsidP="00AD59DB"/>
    <w:p w14:paraId="093DA8C4" w14:textId="77777777" w:rsidR="00AD59DB" w:rsidRPr="00AD59DB" w:rsidRDefault="00AD59DB" w:rsidP="00AD59DB"/>
    <w:p w14:paraId="561C3BED" w14:textId="77777777" w:rsidR="00AD59DB" w:rsidRPr="00AD59DB" w:rsidRDefault="00AD59DB" w:rsidP="00AD59DB"/>
    <w:p w14:paraId="234F7918" w14:textId="77777777" w:rsidR="00AD59DB" w:rsidRPr="00AD59DB" w:rsidRDefault="00AD59DB" w:rsidP="00AD59DB"/>
    <w:p w14:paraId="6915254C" w14:textId="77777777" w:rsidR="00AD59DB" w:rsidRPr="00AD59DB" w:rsidRDefault="00AD59DB" w:rsidP="00AD59DB"/>
    <w:p w14:paraId="482C9DB0" w14:textId="77777777" w:rsidR="00AD59DB" w:rsidRPr="00AD59DB" w:rsidRDefault="00AD59DB" w:rsidP="00AD59DB"/>
    <w:p w14:paraId="44FBD886" w14:textId="77777777" w:rsidR="00AD59DB" w:rsidRDefault="00AD59DB" w:rsidP="00AD59DB">
      <w:pPr>
        <w:tabs>
          <w:tab w:val="left" w:pos="2983"/>
        </w:tabs>
      </w:pPr>
    </w:p>
    <w:p w14:paraId="29B6C99F" w14:textId="77777777" w:rsidR="00AD59DB" w:rsidRDefault="00AD59DB" w:rsidP="00AD59DB">
      <w:pPr>
        <w:tabs>
          <w:tab w:val="left" w:pos="2983"/>
        </w:tabs>
      </w:pPr>
    </w:p>
    <w:p w14:paraId="3525592E" w14:textId="77777777" w:rsidR="00653C6B" w:rsidRDefault="00653C6B" w:rsidP="00AD59DB">
      <w:pPr>
        <w:tabs>
          <w:tab w:val="left" w:pos="2983"/>
        </w:tabs>
      </w:pPr>
    </w:p>
    <w:p w14:paraId="646199A6" w14:textId="77777777" w:rsidR="00AD59DB" w:rsidRDefault="00AD59DB" w:rsidP="00AD59DB">
      <w:pPr>
        <w:tabs>
          <w:tab w:val="left" w:pos="2983"/>
        </w:tabs>
      </w:pPr>
    </w:p>
    <w:p w14:paraId="0F505AB0" w14:textId="77777777" w:rsidR="00AD59DB" w:rsidRDefault="00AD59DB" w:rsidP="00AD59DB">
      <w:pPr>
        <w:tabs>
          <w:tab w:val="left" w:pos="2983"/>
        </w:tabs>
      </w:pPr>
    </w:p>
    <w:p w14:paraId="18B3BC33" w14:textId="77777777" w:rsidR="00AD59DB" w:rsidRDefault="00AD59DB" w:rsidP="00AD59DB">
      <w:pPr>
        <w:tabs>
          <w:tab w:val="left" w:pos="2983"/>
        </w:tabs>
      </w:pPr>
    </w:p>
    <w:p w14:paraId="4247B516" w14:textId="77777777" w:rsidR="00AD59DB" w:rsidRDefault="00AD59DB" w:rsidP="00AD59DB">
      <w:pPr>
        <w:tabs>
          <w:tab w:val="left" w:pos="2983"/>
        </w:tabs>
      </w:pPr>
    </w:p>
    <w:p w14:paraId="53FAEE8C" w14:textId="77777777" w:rsidR="00AD59DB" w:rsidRDefault="00AD59DB" w:rsidP="00AD59DB">
      <w:pPr>
        <w:tabs>
          <w:tab w:val="left" w:pos="2983"/>
        </w:tabs>
      </w:pPr>
    </w:p>
    <w:p w14:paraId="5C9E5DBB" w14:textId="77777777" w:rsidR="00AD59DB" w:rsidRDefault="00AD59DB" w:rsidP="00AD59DB">
      <w:pPr>
        <w:tabs>
          <w:tab w:val="left" w:pos="2983"/>
        </w:tabs>
      </w:pPr>
    </w:p>
    <w:p w14:paraId="427EA5DA" w14:textId="77777777" w:rsidR="00AD59DB" w:rsidRDefault="00AD59DB" w:rsidP="00AD59DB">
      <w:pPr>
        <w:tabs>
          <w:tab w:val="left" w:pos="2983"/>
        </w:tabs>
      </w:pPr>
    </w:p>
    <w:p w14:paraId="0FAD6AA6" w14:textId="77777777" w:rsidR="00AD59DB" w:rsidRDefault="00AD59DB" w:rsidP="00AD59DB">
      <w:pPr>
        <w:tabs>
          <w:tab w:val="left" w:pos="2983"/>
        </w:tabs>
      </w:pPr>
    </w:p>
    <w:p w14:paraId="0CAE5357" w14:textId="77777777" w:rsidR="00AD59DB" w:rsidRDefault="00AD59DB" w:rsidP="00AD59DB">
      <w:pPr>
        <w:tabs>
          <w:tab w:val="left" w:pos="2983"/>
        </w:tabs>
      </w:pPr>
    </w:p>
    <w:p w14:paraId="16BFEF19" w14:textId="77777777" w:rsidR="00AD59DB" w:rsidRDefault="00AD59DB" w:rsidP="00AD59DB">
      <w:pPr>
        <w:tabs>
          <w:tab w:val="left" w:pos="2983"/>
        </w:tabs>
      </w:pPr>
    </w:p>
    <w:p w14:paraId="5C44584A" w14:textId="77777777" w:rsidR="00AD59DB" w:rsidRDefault="00AD59DB" w:rsidP="00AD59DB">
      <w:pPr>
        <w:tabs>
          <w:tab w:val="left" w:pos="2983"/>
        </w:tabs>
      </w:pPr>
    </w:p>
    <w:p w14:paraId="44FBF04A" w14:textId="77777777" w:rsidR="00AD59DB" w:rsidRDefault="00AD59DB" w:rsidP="00AD59DB">
      <w:pPr>
        <w:tabs>
          <w:tab w:val="left" w:pos="2983"/>
        </w:tabs>
      </w:pPr>
    </w:p>
    <w:p w14:paraId="103E25D2" w14:textId="77777777" w:rsidR="00AD59DB" w:rsidRDefault="00AD59DB" w:rsidP="00AD59DB">
      <w:pPr>
        <w:tabs>
          <w:tab w:val="left" w:pos="2983"/>
        </w:tabs>
      </w:pPr>
    </w:p>
    <w:p w14:paraId="3B3DA216" w14:textId="7090A9D2" w:rsidR="00AD59DB" w:rsidRDefault="00AD59DB" w:rsidP="00AD59DB">
      <w:pPr>
        <w:pStyle w:val="Style1"/>
        <w:pBdr>
          <w:bottom w:val="single" w:sz="6" w:space="1" w:color="auto"/>
        </w:pBdr>
      </w:pPr>
      <w:bookmarkStart w:id="486" w:name="_Toc384754114"/>
      <w:bookmarkStart w:id="487" w:name="_Toc384756534"/>
      <w:bookmarkStart w:id="488" w:name="_Toc384816130"/>
      <w:bookmarkStart w:id="489" w:name="_Toc384826846"/>
      <w:r>
        <w:t>CONCLUSION</w:t>
      </w:r>
      <w:bookmarkEnd w:id="486"/>
      <w:bookmarkEnd w:id="487"/>
      <w:bookmarkEnd w:id="488"/>
      <w:bookmarkEnd w:id="489"/>
    </w:p>
    <w:p w14:paraId="651C6E10" w14:textId="1BA20DD3" w:rsidR="00AD59DB" w:rsidRDefault="00AD59DB" w:rsidP="00AD59DB">
      <w:pPr>
        <w:pStyle w:val="Style1"/>
        <w:numPr>
          <w:ilvl w:val="0"/>
          <w:numId w:val="0"/>
        </w:numPr>
        <w:ind w:left="1080"/>
      </w:pPr>
    </w:p>
    <w:p w14:paraId="69E3DD6E" w14:textId="77777777" w:rsidR="00AD59DB" w:rsidRPr="00AD59DB" w:rsidRDefault="00AD59DB" w:rsidP="00AD59DB"/>
    <w:p w14:paraId="12F593F4" w14:textId="77777777" w:rsidR="00AD59DB" w:rsidRPr="00AD59DB" w:rsidRDefault="00AD59DB" w:rsidP="00AD59DB"/>
    <w:p w14:paraId="2CADC9CF" w14:textId="77777777" w:rsidR="00AD59DB" w:rsidRPr="00AD59DB" w:rsidRDefault="00AD59DB" w:rsidP="00AD59DB"/>
    <w:p w14:paraId="53C83E22" w14:textId="77777777" w:rsidR="00AD59DB" w:rsidRPr="00AD59DB" w:rsidRDefault="00AD59DB" w:rsidP="00AD59DB"/>
    <w:p w14:paraId="7E0A58DC" w14:textId="77777777" w:rsidR="00AD59DB" w:rsidRPr="00AD59DB" w:rsidRDefault="00AD59DB" w:rsidP="00AD59DB"/>
    <w:p w14:paraId="10273C4E" w14:textId="77777777" w:rsidR="00AD59DB" w:rsidRPr="00AD59DB" w:rsidRDefault="00AD59DB" w:rsidP="00AD59DB"/>
    <w:p w14:paraId="7BC890C0" w14:textId="77777777" w:rsidR="00AD59DB" w:rsidRPr="00AD59DB" w:rsidRDefault="00AD59DB" w:rsidP="00AD59DB"/>
    <w:p w14:paraId="5C0C69ED" w14:textId="77777777" w:rsidR="00AD59DB" w:rsidRPr="00AD59DB" w:rsidRDefault="00AD59DB" w:rsidP="00AD59DB"/>
    <w:p w14:paraId="70DF56D4" w14:textId="77777777" w:rsidR="00AD59DB" w:rsidRPr="00AD59DB" w:rsidRDefault="00AD59DB" w:rsidP="00AD59DB"/>
    <w:p w14:paraId="4B6C6D4B" w14:textId="77777777" w:rsidR="00AD59DB" w:rsidRPr="00AD59DB" w:rsidRDefault="00AD59DB" w:rsidP="00AD59DB"/>
    <w:p w14:paraId="20788F46" w14:textId="77777777" w:rsidR="00AD59DB" w:rsidRPr="00AD59DB" w:rsidRDefault="00AD59DB" w:rsidP="00AD59DB"/>
    <w:p w14:paraId="193E7BAF" w14:textId="77777777" w:rsidR="00AD59DB" w:rsidRPr="00AD59DB" w:rsidRDefault="00AD59DB" w:rsidP="00AD59DB"/>
    <w:p w14:paraId="77978C62" w14:textId="77777777" w:rsidR="00AD59DB" w:rsidRPr="00AD59DB" w:rsidRDefault="00AD59DB" w:rsidP="00AD59DB"/>
    <w:p w14:paraId="4A962624" w14:textId="77777777" w:rsidR="00AD59DB" w:rsidRPr="00AD59DB" w:rsidRDefault="00AD59DB" w:rsidP="00AD59DB"/>
    <w:p w14:paraId="68BD1323" w14:textId="77777777" w:rsidR="00AD59DB" w:rsidRPr="00AD59DB" w:rsidRDefault="00AD59DB" w:rsidP="00AD59DB"/>
    <w:p w14:paraId="24C4CDF6" w14:textId="77777777" w:rsidR="00AD59DB" w:rsidRPr="00AD59DB" w:rsidRDefault="00AD59DB" w:rsidP="00AD59DB"/>
    <w:p w14:paraId="32F91864" w14:textId="2D1E1E3A" w:rsidR="00AD59DB" w:rsidRDefault="00AD59DB" w:rsidP="00AD59DB"/>
    <w:p w14:paraId="777A51F6" w14:textId="6D91640B" w:rsidR="00AD59DB" w:rsidRDefault="00AD59DB" w:rsidP="00AD59DB">
      <w:pPr>
        <w:tabs>
          <w:tab w:val="left" w:pos="2186"/>
        </w:tabs>
      </w:pPr>
    </w:p>
    <w:p w14:paraId="7DB7F447" w14:textId="77777777" w:rsidR="00AD59DB" w:rsidRDefault="00AD59DB" w:rsidP="00AD59DB">
      <w:pPr>
        <w:tabs>
          <w:tab w:val="left" w:pos="2186"/>
        </w:tabs>
      </w:pPr>
    </w:p>
    <w:p w14:paraId="1523326B" w14:textId="77777777" w:rsidR="00AD59DB" w:rsidRDefault="00AD59DB" w:rsidP="00AD59DB">
      <w:pPr>
        <w:tabs>
          <w:tab w:val="left" w:pos="2186"/>
        </w:tabs>
      </w:pPr>
    </w:p>
    <w:p w14:paraId="0251F8A2" w14:textId="77777777" w:rsidR="00AD59DB" w:rsidRDefault="00AD59DB" w:rsidP="00AD59DB">
      <w:pPr>
        <w:tabs>
          <w:tab w:val="left" w:pos="2186"/>
        </w:tabs>
      </w:pPr>
    </w:p>
    <w:p w14:paraId="1DBC1673" w14:textId="77777777" w:rsidR="00AD59DB" w:rsidRDefault="00AD59DB" w:rsidP="00AD59DB">
      <w:pPr>
        <w:tabs>
          <w:tab w:val="left" w:pos="2186"/>
        </w:tabs>
      </w:pPr>
    </w:p>
    <w:p w14:paraId="4D832AE0" w14:textId="77777777" w:rsidR="00AD59DB" w:rsidRDefault="00AD59DB" w:rsidP="00AD59DB">
      <w:pPr>
        <w:tabs>
          <w:tab w:val="left" w:pos="2186"/>
        </w:tabs>
      </w:pPr>
    </w:p>
    <w:p w14:paraId="789C6331" w14:textId="1153FA7B" w:rsidR="00836B40" w:rsidRDefault="00836B40" w:rsidP="00836B40">
      <w:pPr>
        <w:pStyle w:val="Style2"/>
        <w:numPr>
          <w:ilvl w:val="0"/>
          <w:numId w:val="25"/>
        </w:numPr>
      </w:pPr>
      <w:bookmarkStart w:id="490" w:name="_Toc384816131"/>
      <w:bookmarkStart w:id="491" w:name="_Toc384826847"/>
      <w:r>
        <w:t>Résumé</w:t>
      </w:r>
      <w:bookmarkEnd w:id="490"/>
      <w:bookmarkEnd w:id="491"/>
    </w:p>
    <w:p w14:paraId="3E302B5D" w14:textId="77777777" w:rsidR="00836B40" w:rsidRDefault="00771501" w:rsidP="00771501">
      <w:pPr>
        <w:pStyle w:val="Stytleparagraphe"/>
        <w:ind w:firstLine="720"/>
      </w:pPr>
      <w:r>
        <w:t xml:space="preserve">Les maladies parodontales sont des maladies inflammatoires à étiologie infectieuse, dont la thérapeutique initiale non chirurgicale consiste à supprimer mécaniquement les pathogènes par détartrage et curetage radiculaire. En fonction des caractéristiques de la lésion, l’approche chirurgicale trouve également ses indications, afin de réduire la charge bactérienne et l’inflammation. Ces procédures conduisent à la réduction de profondeur de poche et un gain d’attache clinique, mais ne conduisent pas à la régénération des tissus parodontaux en soi car elles ne restituent ni la forme, ni la fonction des tissus détruits. Nous nous intéressons de plus près à la modulation de la réponse infectieuse en tant que thérapie adjuvante, en parodontologie. L’utilisation de médicaments anti-inflammatoires non-stéroïdiens, notamment les inhibiteurs sélectifs de COX-2, ont montré une amélioration des résultats sur les tissus parodontaux après débridement mécanique. Cependant, l’intérêt de l’usage systémique de médicaments anti-inflammatoires en parodontologie reste limité et discutable, en raison des nombreux effets indésirables liés à l’administration de ces molécules. </w:t>
      </w:r>
    </w:p>
    <w:p w14:paraId="2A000F8C" w14:textId="77777777" w:rsidR="003752DD" w:rsidRDefault="003752DD" w:rsidP="00771501">
      <w:pPr>
        <w:pStyle w:val="Stytleparagraphe"/>
        <w:ind w:firstLine="720"/>
      </w:pPr>
    </w:p>
    <w:p w14:paraId="226FCC29" w14:textId="58FC72AA" w:rsidR="00771501" w:rsidRDefault="00771501" w:rsidP="00836B40">
      <w:pPr>
        <w:pStyle w:val="Stytleparagraphe"/>
      </w:pPr>
      <w:r>
        <w:t>Afin de palier à ces risques, une nouvelle approche thérapeutique consiste à cibler de plus près les acteurs de la réponse inflammatoire dans la cicatrisation parodontale. Différentes stratégies ont été proposées afin de promouvoir la régénération parodontale via la modulation de cytokines, chimiokines et enzymes dérivées de l’hôte, dans le but d’inhiber les voies responsables de la destruction tissulaire  et d’activer la prolifération et différenciation tissulaire. L’absence de régénération tissulaire est également due à la compétition tissulaire entre les différents tissus parodontaux et les taux variables de prolifération, maturation et différentiation des cellules parodontales lors de la cicatrisation, d’où l’usage des membranes en tant que barrière physique. Ces dernières années, ces membranes ont évolué jusqu’à devenir de véritables systèmes de délivrance de facteurs de croissance et différenciation et d’efficaces régulateurs de la réponse inflammatoire, rendant la perspective de régénération parodontale vraie envisageable.</w:t>
      </w:r>
    </w:p>
    <w:p w14:paraId="37767479" w14:textId="4C5D12CC" w:rsidR="00836B40" w:rsidRDefault="003752DD" w:rsidP="00771501">
      <w:pPr>
        <w:pStyle w:val="Stytleparagraphe"/>
        <w:ind w:firstLine="720"/>
      </w:pPr>
      <w:r>
        <w:t xml:space="preserve"> </w:t>
      </w:r>
    </w:p>
    <w:p w14:paraId="565F0FC3" w14:textId="5EA32273" w:rsidR="00836B40" w:rsidRDefault="00836B40" w:rsidP="00836B40">
      <w:pPr>
        <w:pStyle w:val="Style2"/>
        <w:numPr>
          <w:ilvl w:val="0"/>
          <w:numId w:val="25"/>
        </w:numPr>
      </w:pPr>
      <w:bookmarkStart w:id="492" w:name="_Toc384816132"/>
      <w:bookmarkStart w:id="493" w:name="_Toc384826848"/>
      <w:r>
        <w:t>Perspectives thérapeutiques</w:t>
      </w:r>
      <w:bookmarkEnd w:id="492"/>
      <w:r w:rsidR="00596FD2">
        <w:t xml:space="preserve"> diverses en parodontologie</w:t>
      </w:r>
      <w:bookmarkEnd w:id="493"/>
    </w:p>
    <w:p w14:paraId="188CA316" w14:textId="54095EDB" w:rsidR="00E902D3" w:rsidRDefault="00E902D3" w:rsidP="00E902D3">
      <w:pPr>
        <w:pStyle w:val="Style3"/>
        <w:numPr>
          <w:ilvl w:val="0"/>
          <w:numId w:val="28"/>
        </w:numPr>
      </w:pPr>
      <w:bookmarkStart w:id="494" w:name="_Toc384826849"/>
      <w:r>
        <w:t>Les anti-cytokines</w:t>
      </w:r>
      <w:bookmarkEnd w:id="494"/>
    </w:p>
    <w:p w14:paraId="78E1727D" w14:textId="1B10D6CB" w:rsidR="00E902D3" w:rsidRDefault="00E902D3" w:rsidP="00E902D3">
      <w:pPr>
        <w:pStyle w:val="Stytleparagraphe"/>
        <w:ind w:firstLine="360"/>
      </w:pPr>
      <w:r>
        <w:t xml:space="preserve">Les anti-cytokines représentent une perspective </w:t>
      </w:r>
      <w:r w:rsidR="00D72D28">
        <w:t xml:space="preserve">crédible </w:t>
      </w:r>
      <w:r>
        <w:t>de thérapie</w:t>
      </w:r>
      <w:r w:rsidR="00D72D28">
        <w:t xml:space="preserve"> parodontale ciblée</w:t>
      </w:r>
      <w:r>
        <w:t xml:space="preserve">. L’inhibition des cytokines </w:t>
      </w:r>
      <w:r w:rsidR="003752DD">
        <w:t>pro-</w:t>
      </w:r>
      <w:r>
        <w:t xml:space="preserve">inflammatoires telles que TNF-α, IL-1 et IL-6 permet de réguler la réponse inflammatoire et de favoriser la formation osseuse chez les malades atteints de déséquilibres </w:t>
      </w:r>
      <w:r w:rsidR="00D72D28">
        <w:t>immu</w:t>
      </w:r>
      <w:r>
        <w:t>nitaires. Cependant, l’utilisation des anti-cytokines dans un contexte de parodontite chez le patient sans autre maladie associée n’a encore jamais été étudiée. Davantage d’études devront être conduites afin d’affirmer l’intérêt thérapeutique des anti-cytokines en parodontologie, ainsi que leur innocuité, dans le respect d’une balance bénéfice-risque favorable, des précautions d’usage et d’une sélection stricte des patients. Ces molécules présentent des limites considérables :</w:t>
      </w:r>
    </w:p>
    <w:p w14:paraId="4FDC9F17" w14:textId="07C8B9F5" w:rsidR="00E902D3" w:rsidRDefault="00E902D3" w:rsidP="00E902D3">
      <w:pPr>
        <w:pStyle w:val="Stytleparagraphe"/>
        <w:numPr>
          <w:ilvl w:val="0"/>
          <w:numId w:val="3"/>
        </w:numPr>
      </w:pPr>
      <w:r>
        <w:t>réponse au traitement patient-dépendante,</w:t>
      </w:r>
    </w:p>
    <w:p w14:paraId="7F5DD0F4" w14:textId="2467B598" w:rsidR="00E902D3" w:rsidRDefault="00E902D3" w:rsidP="00E902D3">
      <w:pPr>
        <w:pStyle w:val="Stytleparagraphe"/>
        <w:numPr>
          <w:ilvl w:val="0"/>
          <w:numId w:val="3"/>
        </w:numPr>
      </w:pPr>
      <w:r>
        <w:t>risque infectieux et immunosuppression relative,</w:t>
      </w:r>
    </w:p>
    <w:p w14:paraId="72C1F0C4" w14:textId="6CFB4469" w:rsidR="00E902D3" w:rsidRDefault="00E902D3" w:rsidP="00E902D3">
      <w:pPr>
        <w:pStyle w:val="Stytleparagraphe"/>
        <w:numPr>
          <w:ilvl w:val="0"/>
          <w:numId w:val="3"/>
        </w:numPr>
      </w:pPr>
      <w:r>
        <w:t>comorbidités associées chez les patients traités.</w:t>
      </w:r>
    </w:p>
    <w:p w14:paraId="5B388E1B" w14:textId="77777777" w:rsidR="004F43DC" w:rsidRDefault="004F43DC" w:rsidP="004F43DC">
      <w:pPr>
        <w:pStyle w:val="Stytleparagraphe"/>
        <w:ind w:left="720"/>
      </w:pPr>
    </w:p>
    <w:p w14:paraId="09692BDB" w14:textId="4907ECFD" w:rsidR="00653C6B" w:rsidRPr="004F43DC" w:rsidRDefault="004F43DC" w:rsidP="004F43DC">
      <w:pPr>
        <w:pStyle w:val="Style3"/>
        <w:numPr>
          <w:ilvl w:val="0"/>
          <w:numId w:val="28"/>
        </w:numPr>
        <w:tabs>
          <w:tab w:val="left" w:pos="2186"/>
        </w:tabs>
      </w:pPr>
      <w:bookmarkStart w:id="495" w:name="_Toc384826850"/>
      <w:r>
        <w:t>Les a</w:t>
      </w:r>
      <w:r w:rsidRPr="004F43DC">
        <w:t>gents anti-inflammatoires non stéroïdiens</w:t>
      </w:r>
      <w:bookmarkEnd w:id="495"/>
    </w:p>
    <w:p w14:paraId="0A284DD4" w14:textId="77777777" w:rsidR="00472273" w:rsidRDefault="00472273" w:rsidP="00472273">
      <w:pPr>
        <w:pStyle w:val="Stytleparagraphe"/>
        <w:ind w:firstLine="360"/>
      </w:pPr>
      <w:r>
        <w:t>L’administration systémique d’inhibiteurs sélectifs de COX-2, en particulier les dérivés coxib, combinée au traitement parodontal non-chirurgical initial permet de potentialiser la réponse thérapeutique chez les patients atteints de parodontite chronique. Cependant, les limites des AINS doivent être prises en compte dans l’évaluation de la balance bénéfique-risque :</w:t>
      </w:r>
    </w:p>
    <w:p w14:paraId="4A175189" w14:textId="77777777" w:rsidR="00472273" w:rsidRDefault="00472273" w:rsidP="00472273">
      <w:pPr>
        <w:pStyle w:val="Stytleparagraphe"/>
        <w:numPr>
          <w:ilvl w:val="0"/>
          <w:numId w:val="3"/>
        </w:numPr>
      </w:pPr>
      <w:r>
        <w:t>propriétés ulcérogènes des inhibiteurs non sélectifs des cyclo-oxygénases,</w:t>
      </w:r>
    </w:p>
    <w:p w14:paraId="37FE5AB6" w14:textId="77777777" w:rsidR="00472273" w:rsidRDefault="00472273" w:rsidP="00472273">
      <w:pPr>
        <w:pStyle w:val="Stytleparagraphe"/>
        <w:numPr>
          <w:ilvl w:val="0"/>
          <w:numId w:val="3"/>
        </w:numPr>
      </w:pPr>
      <w:r>
        <w:t>exacerbation et extension des foyers infectieux dentaires chroniques,</w:t>
      </w:r>
    </w:p>
    <w:p w14:paraId="30BF8BAA" w14:textId="77777777" w:rsidR="00472273" w:rsidRDefault="00472273" w:rsidP="00472273">
      <w:pPr>
        <w:pStyle w:val="Stytleparagraphe"/>
        <w:numPr>
          <w:ilvl w:val="0"/>
          <w:numId w:val="3"/>
        </w:numPr>
      </w:pPr>
      <w:r>
        <w:t>rôle antiagrégant plaquettaire de l’aspirine,</w:t>
      </w:r>
    </w:p>
    <w:p w14:paraId="5F48B0E2" w14:textId="3CE5911A" w:rsidR="00472273" w:rsidRDefault="000A71FF" w:rsidP="00472273">
      <w:pPr>
        <w:pStyle w:val="Stytleparagraphe"/>
        <w:numPr>
          <w:ilvl w:val="0"/>
          <w:numId w:val="3"/>
        </w:numPr>
      </w:pPr>
      <w:r>
        <w:t>risque d’</w:t>
      </w:r>
      <w:r w:rsidR="00472273">
        <w:t>effets indésirables cardiovasculaires des inhibiteurs sélectifs de COX-2.</w:t>
      </w:r>
    </w:p>
    <w:p w14:paraId="0055AA78" w14:textId="30C4D4E6" w:rsidR="004F43DC" w:rsidRDefault="004F43DC" w:rsidP="004F43DC">
      <w:pPr>
        <w:pStyle w:val="Stytleparagraphe"/>
      </w:pPr>
    </w:p>
    <w:p w14:paraId="336D90F6" w14:textId="77777777" w:rsidR="00596FD2" w:rsidRDefault="00596FD2" w:rsidP="004F43DC">
      <w:pPr>
        <w:pStyle w:val="Stytleparagraphe"/>
      </w:pPr>
    </w:p>
    <w:p w14:paraId="3EA21CBE" w14:textId="6631D501" w:rsidR="00595CCC" w:rsidRDefault="00595CCC" w:rsidP="00595CCC">
      <w:pPr>
        <w:pStyle w:val="Style3"/>
        <w:numPr>
          <w:ilvl w:val="0"/>
          <w:numId w:val="28"/>
        </w:numPr>
      </w:pPr>
      <w:bookmarkStart w:id="496" w:name="_Toc384826851"/>
      <w:r>
        <w:t>Les médiateurs lipidiques endogènes</w:t>
      </w:r>
      <w:bookmarkEnd w:id="496"/>
    </w:p>
    <w:p w14:paraId="6C357019" w14:textId="700CE6CF" w:rsidR="00595CCC" w:rsidRDefault="00595CCC" w:rsidP="00595CCC">
      <w:pPr>
        <w:pStyle w:val="Stytleparagraphe"/>
        <w:ind w:firstLine="360"/>
      </w:pPr>
      <w:r>
        <w:t>Les médiateurs lipidiques endogènes jouent un rôle dans la cicatrisation parodontale, dans la prévention de l’inflammation chronique, dans le maintien des tissus mous et osseux et dans l’amélioration des paramètres cliniques chez les patients atteints de parodontite. Ces médiateurs sont essentiels à la régénération des tissus parodontaux et présentent donc une bonne perspective thérapeutique, bien que leur application concrète en thérapie parodontale reste un objectif à atteindre. Davantage d’études conduites sur l’Homme seront nécessaires afin d’évaluer leur intérêt et leur sûreté en parodontologie.</w:t>
      </w:r>
    </w:p>
    <w:p w14:paraId="22C43858" w14:textId="77777777" w:rsidR="00653C6B" w:rsidRDefault="00653C6B" w:rsidP="00AD59DB">
      <w:pPr>
        <w:tabs>
          <w:tab w:val="left" w:pos="2186"/>
        </w:tabs>
      </w:pPr>
    </w:p>
    <w:p w14:paraId="4C861D79" w14:textId="7C21EA6C" w:rsidR="00836B40" w:rsidRDefault="00595CCC" w:rsidP="00595CCC">
      <w:pPr>
        <w:pStyle w:val="Style3"/>
        <w:numPr>
          <w:ilvl w:val="0"/>
          <w:numId w:val="28"/>
        </w:numPr>
        <w:tabs>
          <w:tab w:val="left" w:pos="2186"/>
        </w:tabs>
      </w:pPr>
      <w:bookmarkStart w:id="497" w:name="_Toc384826852"/>
      <w:r>
        <w:t>Les statines</w:t>
      </w:r>
      <w:bookmarkEnd w:id="497"/>
    </w:p>
    <w:p w14:paraId="3503ECF7" w14:textId="62E2DF61" w:rsidR="00595CCC" w:rsidRDefault="005E0F70" w:rsidP="005E0F70">
      <w:pPr>
        <w:pStyle w:val="Stytleparagraphe"/>
        <w:ind w:firstLine="360"/>
      </w:pPr>
      <w:r>
        <w:t>Les statines administrées sous forme de gel en application topique, utilisées en complément de la thérapeutique parodontale non chirurgicale initiale, permettent d’améliorer les résultats cliniques et la régénération des tissus parodontaux. Davantage d’études sont nécessaires afin d’évaluer leur sûreté d’emploi et l’établissement d’un protocole d’utilisation strict, dans le traitement de la parodontite chronique.</w:t>
      </w:r>
    </w:p>
    <w:p w14:paraId="77B23EE9" w14:textId="77777777" w:rsidR="00171F6E" w:rsidRDefault="00171F6E" w:rsidP="005E0F70">
      <w:pPr>
        <w:pStyle w:val="Stytleparagraphe"/>
        <w:ind w:firstLine="360"/>
      </w:pPr>
    </w:p>
    <w:p w14:paraId="0C2479B1" w14:textId="3CF3ECB5" w:rsidR="00171F6E" w:rsidRDefault="00171F6E" w:rsidP="00171F6E">
      <w:pPr>
        <w:pStyle w:val="Style3"/>
        <w:numPr>
          <w:ilvl w:val="0"/>
          <w:numId w:val="28"/>
        </w:numPr>
      </w:pPr>
      <w:bookmarkStart w:id="498" w:name="_Toc384826853"/>
      <w:r>
        <w:t>Les membranes nanofibreuses bioactives</w:t>
      </w:r>
      <w:bookmarkEnd w:id="498"/>
    </w:p>
    <w:p w14:paraId="0F69C290" w14:textId="77777777" w:rsidR="00A13834" w:rsidRDefault="00A13834" w:rsidP="00A13834">
      <w:pPr>
        <w:pStyle w:val="Stytleparagraphe"/>
        <w:ind w:firstLine="360"/>
      </w:pPr>
      <w:r>
        <w:t xml:space="preserve">Parmi les nouvelles approches thérapeutiques en parodontologie que nous avons décrites, la plus prometteuse est celle des membranes biphasiques bioactives. </w:t>
      </w:r>
      <w:bookmarkStart w:id="499" w:name="_GoBack"/>
      <w:bookmarkEnd w:id="499"/>
    </w:p>
    <w:p w14:paraId="15D22EFC" w14:textId="77777777" w:rsidR="0094071B" w:rsidRDefault="0094071B" w:rsidP="00A13834">
      <w:pPr>
        <w:pStyle w:val="Stytleparagraphe"/>
      </w:pPr>
    </w:p>
    <w:p w14:paraId="74CCA7CE" w14:textId="1F6C1D31" w:rsidR="00171F6E" w:rsidRDefault="00A13834" w:rsidP="00A13834">
      <w:pPr>
        <w:pStyle w:val="Stytleparagraphe"/>
      </w:pPr>
      <w:r>
        <w:t>L’intérêt des membranes en chirurgie parodontale est aujourd’hui admis et démontré, puisqu’elles permettent la cicatrisation autonome des cellules du parodonte superficiel et profond. La dichotomie de fonctionnement et de différenciation des cellules osseuses et gingivales suggère une compartimentation, par l’usage des membranes résorbables ou non.</w:t>
      </w:r>
    </w:p>
    <w:p w14:paraId="189ECEB1" w14:textId="48387D9C" w:rsidR="00A13834" w:rsidRDefault="00A13834" w:rsidP="00A13834">
      <w:pPr>
        <w:pStyle w:val="Stytleparagraphe"/>
      </w:pPr>
      <w:r>
        <w:t xml:space="preserve">L’ingénierie tissulaire a permis l’élaboration de membranes biphasiques par électrospinning, qui favorisent la </w:t>
      </w:r>
      <w:r w:rsidR="0094071B">
        <w:t xml:space="preserve">régénération parodontale au sein des compartiments parodontaux et osseux, notamment grâce aux membranes </w:t>
      </w:r>
      <w:r w:rsidR="0094071B">
        <w:rPr>
          <w:rFonts w:cs="Arial"/>
        </w:rPr>
        <w:t>poly-ε-caprolactone  (</w:t>
      </w:r>
      <w:r w:rsidR="0094071B">
        <w:t>PCL) qui montrent une biocompatibilité remarquable avec les tissus parodontaux.</w:t>
      </w:r>
    </w:p>
    <w:p w14:paraId="3A37B6D8" w14:textId="77777777" w:rsidR="0094071B" w:rsidRDefault="0094071B" w:rsidP="00A13834">
      <w:pPr>
        <w:pStyle w:val="Stytleparagraphe"/>
      </w:pPr>
    </w:p>
    <w:p w14:paraId="1856866E" w14:textId="77777777" w:rsidR="006172C0" w:rsidRDefault="0094071B" w:rsidP="00A13834">
      <w:pPr>
        <w:pStyle w:val="Stytleparagraphe"/>
      </w:pPr>
      <w:r>
        <w:t xml:space="preserve">Les avancées contemporaines en nanobiotechnologies ont permis l’adjonction de nanoréservoirs à ces membranes électrofilées, afin de permettre la délivrance locale de facteurs de croissance, cytokines ou autres agents thérapeutiques afin de potentialiser la réponse inflammatoire parodontale et in fine la régénération tissulaire. Cette libération moléculaire est régulée dans le temps et dans l’espace grâce à des systèmes hautement contrôlés de </w:t>
      </w:r>
      <w:r w:rsidR="006172C0">
        <w:t xml:space="preserve">biodégradation des nanoréservoirs. </w:t>
      </w:r>
    </w:p>
    <w:p w14:paraId="3B61466D" w14:textId="1E61DAD1" w:rsidR="0094071B" w:rsidRDefault="006172C0" w:rsidP="00A13834">
      <w:pPr>
        <w:pStyle w:val="Stytleparagraphe"/>
      </w:pPr>
      <w:r>
        <w:t xml:space="preserve">Nous avons notamment démontré l’intérêt des membranes PCL fonctionnalisées au PGA-α-MSH qui permettent de moduler la réponse inflammatoire parodontale et représentent ainsi une perspective future en thérapeutique parodontale. </w:t>
      </w:r>
    </w:p>
    <w:p w14:paraId="4CE9E6F2" w14:textId="77777777" w:rsidR="006172C0" w:rsidRDefault="006172C0" w:rsidP="00A13834">
      <w:pPr>
        <w:pStyle w:val="Stytleparagraphe"/>
      </w:pPr>
    </w:p>
    <w:p w14:paraId="636431AA" w14:textId="784A13E3" w:rsidR="0094071B" w:rsidRDefault="006172C0" w:rsidP="00A13834">
      <w:pPr>
        <w:pStyle w:val="Stytleparagraphe"/>
      </w:pPr>
      <w:r>
        <w:t xml:space="preserve">Davantage d’études scientifiques devront être conduites afin d’étudier les possibilités de délivrance locale contrôlée de biofacteurs grâce aux membranes nanofibreuses implantées au sein du parodonte humain.  </w:t>
      </w:r>
    </w:p>
    <w:p w14:paraId="6E5D3751" w14:textId="77777777" w:rsidR="00171F6E" w:rsidRDefault="00171F6E" w:rsidP="00171F6E">
      <w:pPr>
        <w:pStyle w:val="Style3"/>
        <w:numPr>
          <w:ilvl w:val="0"/>
          <w:numId w:val="0"/>
        </w:numPr>
        <w:ind w:left="1080" w:hanging="720"/>
      </w:pPr>
    </w:p>
    <w:p w14:paraId="50259AF9" w14:textId="77777777" w:rsidR="00836B40" w:rsidRDefault="00836B40" w:rsidP="00AD59DB">
      <w:pPr>
        <w:tabs>
          <w:tab w:val="left" w:pos="2186"/>
        </w:tabs>
      </w:pPr>
    </w:p>
    <w:p w14:paraId="4DB73180" w14:textId="77777777" w:rsidR="00836B40" w:rsidRDefault="00836B40" w:rsidP="00AD59DB">
      <w:pPr>
        <w:tabs>
          <w:tab w:val="left" w:pos="2186"/>
        </w:tabs>
      </w:pPr>
    </w:p>
    <w:p w14:paraId="07F2DCB0" w14:textId="77777777" w:rsidR="00836B40" w:rsidRDefault="00836B40" w:rsidP="00AD59DB">
      <w:pPr>
        <w:tabs>
          <w:tab w:val="left" w:pos="2186"/>
        </w:tabs>
      </w:pPr>
    </w:p>
    <w:p w14:paraId="0B08EF9B" w14:textId="77777777" w:rsidR="00836B40" w:rsidRDefault="00836B40" w:rsidP="00AD59DB">
      <w:pPr>
        <w:tabs>
          <w:tab w:val="left" w:pos="2186"/>
        </w:tabs>
      </w:pPr>
    </w:p>
    <w:p w14:paraId="70DCD277" w14:textId="77777777" w:rsidR="00836B40" w:rsidRDefault="00836B40" w:rsidP="00AD59DB">
      <w:pPr>
        <w:tabs>
          <w:tab w:val="left" w:pos="2186"/>
        </w:tabs>
      </w:pPr>
    </w:p>
    <w:p w14:paraId="6283122B" w14:textId="77777777" w:rsidR="00836B40" w:rsidRDefault="00836B40" w:rsidP="00AD59DB">
      <w:pPr>
        <w:tabs>
          <w:tab w:val="left" w:pos="2186"/>
        </w:tabs>
      </w:pPr>
    </w:p>
    <w:p w14:paraId="595CEE09" w14:textId="77777777" w:rsidR="00836B40" w:rsidRDefault="00836B40" w:rsidP="00AD59DB">
      <w:pPr>
        <w:tabs>
          <w:tab w:val="left" w:pos="2186"/>
        </w:tabs>
      </w:pPr>
    </w:p>
    <w:p w14:paraId="5D24B71E" w14:textId="77777777" w:rsidR="00836B40" w:rsidRDefault="00836B40" w:rsidP="00AD59DB">
      <w:pPr>
        <w:tabs>
          <w:tab w:val="left" w:pos="2186"/>
        </w:tabs>
      </w:pPr>
    </w:p>
    <w:p w14:paraId="6491F0A8" w14:textId="77777777" w:rsidR="00836B40" w:rsidRDefault="00836B40" w:rsidP="00AD59DB">
      <w:pPr>
        <w:tabs>
          <w:tab w:val="left" w:pos="2186"/>
        </w:tabs>
      </w:pPr>
    </w:p>
    <w:p w14:paraId="4DCA5969" w14:textId="77777777" w:rsidR="00836B40" w:rsidRDefault="00836B40" w:rsidP="00AD59DB">
      <w:pPr>
        <w:tabs>
          <w:tab w:val="left" w:pos="2186"/>
        </w:tabs>
      </w:pPr>
    </w:p>
    <w:p w14:paraId="66D4FF10" w14:textId="77777777" w:rsidR="00836B40" w:rsidRDefault="00836B40" w:rsidP="00AD59DB">
      <w:pPr>
        <w:tabs>
          <w:tab w:val="left" w:pos="2186"/>
        </w:tabs>
      </w:pPr>
    </w:p>
    <w:p w14:paraId="1449F490" w14:textId="77777777" w:rsidR="00836B40" w:rsidRDefault="00836B40" w:rsidP="00AD59DB">
      <w:pPr>
        <w:tabs>
          <w:tab w:val="left" w:pos="2186"/>
        </w:tabs>
      </w:pPr>
    </w:p>
    <w:p w14:paraId="7437F36E" w14:textId="77777777" w:rsidR="00836B40" w:rsidRDefault="00836B40" w:rsidP="00AD59DB">
      <w:pPr>
        <w:tabs>
          <w:tab w:val="left" w:pos="2186"/>
        </w:tabs>
      </w:pPr>
    </w:p>
    <w:p w14:paraId="2182A8DE" w14:textId="77777777" w:rsidR="00836B40" w:rsidRDefault="00836B40" w:rsidP="00AD59DB">
      <w:pPr>
        <w:tabs>
          <w:tab w:val="left" w:pos="2186"/>
        </w:tabs>
      </w:pPr>
    </w:p>
    <w:p w14:paraId="32838ED9" w14:textId="77777777" w:rsidR="0094071B" w:rsidRDefault="0094071B" w:rsidP="00AD59DB">
      <w:pPr>
        <w:tabs>
          <w:tab w:val="left" w:pos="2186"/>
        </w:tabs>
      </w:pPr>
    </w:p>
    <w:p w14:paraId="7C0BF724" w14:textId="77777777" w:rsidR="0094071B" w:rsidRDefault="0094071B" w:rsidP="00AD59DB">
      <w:pPr>
        <w:tabs>
          <w:tab w:val="left" w:pos="2186"/>
        </w:tabs>
      </w:pPr>
    </w:p>
    <w:p w14:paraId="721517E3" w14:textId="77777777" w:rsidR="0094071B" w:rsidRDefault="0094071B" w:rsidP="00AD59DB">
      <w:pPr>
        <w:tabs>
          <w:tab w:val="left" w:pos="2186"/>
        </w:tabs>
      </w:pPr>
    </w:p>
    <w:p w14:paraId="2E424A64" w14:textId="77777777" w:rsidR="0094071B" w:rsidRDefault="0094071B" w:rsidP="00AD59DB">
      <w:pPr>
        <w:tabs>
          <w:tab w:val="left" w:pos="2186"/>
        </w:tabs>
      </w:pPr>
    </w:p>
    <w:p w14:paraId="402C9999" w14:textId="77777777" w:rsidR="0094071B" w:rsidRDefault="0094071B" w:rsidP="00AD59DB">
      <w:pPr>
        <w:tabs>
          <w:tab w:val="left" w:pos="2186"/>
        </w:tabs>
      </w:pPr>
    </w:p>
    <w:p w14:paraId="0A0D5010" w14:textId="77777777" w:rsidR="0094071B" w:rsidRDefault="0094071B" w:rsidP="00AD59DB">
      <w:pPr>
        <w:tabs>
          <w:tab w:val="left" w:pos="2186"/>
        </w:tabs>
      </w:pPr>
    </w:p>
    <w:p w14:paraId="1804C562" w14:textId="77777777" w:rsidR="00653C6B" w:rsidRDefault="00653C6B" w:rsidP="00AD59DB">
      <w:pPr>
        <w:tabs>
          <w:tab w:val="left" w:pos="2186"/>
        </w:tabs>
      </w:pPr>
    </w:p>
    <w:p w14:paraId="31D4F98D" w14:textId="0F00AEA3" w:rsidR="00AD59DB" w:rsidRPr="0087715B" w:rsidRDefault="00AD59DB" w:rsidP="0087715B">
      <w:pPr>
        <w:pBdr>
          <w:bottom w:val="single" w:sz="6" w:space="1" w:color="auto"/>
        </w:pBdr>
        <w:spacing w:line="360" w:lineRule="auto"/>
        <w:jc w:val="center"/>
        <w:rPr>
          <w:rFonts w:ascii="Arial" w:hAnsi="Arial"/>
          <w:b/>
          <w:sz w:val="28"/>
        </w:rPr>
      </w:pPr>
      <w:r>
        <w:rPr>
          <w:rFonts w:ascii="Arial" w:hAnsi="Arial"/>
          <w:b/>
          <w:sz w:val="28"/>
        </w:rPr>
        <w:t>BIBLIOGRAPHIE</w:t>
      </w:r>
    </w:p>
    <w:p w14:paraId="28385079" w14:textId="77777777" w:rsidR="0087715B" w:rsidRDefault="0087715B" w:rsidP="0087715B">
      <w:pPr>
        <w:pStyle w:val="Bibliography"/>
        <w:rPr>
          <w:rFonts w:ascii="Arial" w:hAnsi="Arial"/>
        </w:rPr>
      </w:pPr>
    </w:p>
    <w:p w14:paraId="7559CFB2" w14:textId="77777777" w:rsidR="0087715B" w:rsidRDefault="0087715B" w:rsidP="00202EAD">
      <w:pPr>
        <w:pStyle w:val="Bibliography"/>
        <w:jc w:val="both"/>
        <w:rPr>
          <w:rFonts w:ascii="Arial" w:hAnsi="Arial" w:cs="Arial"/>
          <w:lang w:val="en-US"/>
        </w:rPr>
      </w:pPr>
      <w:r w:rsidRPr="0087715B">
        <w:rPr>
          <w:rFonts w:ascii="Arial" w:hAnsi="Arial"/>
        </w:rPr>
        <w:fldChar w:fldCharType="begin"/>
      </w:r>
      <w:r w:rsidRPr="0087715B">
        <w:rPr>
          <w:rFonts w:ascii="Arial" w:hAnsi="Arial"/>
        </w:rPr>
        <w:instrText xml:space="preserve"> ADDIN ZOTERO_BIBL {"uncited":[],"omitted":[],"custom":[]} CSL_BIBLIOGRAPHY </w:instrText>
      </w:r>
      <w:r w:rsidRPr="0087715B">
        <w:rPr>
          <w:rFonts w:ascii="Arial" w:hAnsi="Arial"/>
        </w:rPr>
        <w:fldChar w:fldCharType="separate"/>
      </w:r>
      <w:r w:rsidRPr="0087715B">
        <w:rPr>
          <w:rFonts w:ascii="Arial" w:hAnsi="Arial" w:cs="Arial"/>
          <w:lang w:val="en-US"/>
        </w:rPr>
        <w:t xml:space="preserve">Agossa, Kevimy, David-Nicolas Morand, Henri Tenenbaum, Jean-Luc Davideau, et Olivier Huck. 2016. « Systemic Application of Anti-inflammatory Agents in Periodontal Treatment ». </w:t>
      </w:r>
      <w:r w:rsidRPr="0087715B">
        <w:rPr>
          <w:rFonts w:ascii="Arial" w:hAnsi="Arial" w:cs="Arial"/>
          <w:i/>
          <w:iCs/>
          <w:lang w:val="en-US"/>
        </w:rPr>
        <w:t>Clinical Anti-Inflammatory &amp; Anti-Allergy Drugs</w:t>
      </w:r>
      <w:r w:rsidRPr="0087715B">
        <w:rPr>
          <w:rFonts w:ascii="Arial" w:hAnsi="Arial" w:cs="Arial"/>
          <w:lang w:val="en-US"/>
        </w:rPr>
        <w:t xml:space="preserve"> 2 (mai): 3</w:t>
      </w:r>
      <w:r w:rsidRPr="0087715B">
        <w:rPr>
          <w:rFonts w:ascii="American Typewriter" w:hAnsi="American Typewriter" w:cs="American Typewriter"/>
          <w:lang w:val="en-US"/>
        </w:rPr>
        <w:t>‑</w:t>
      </w:r>
      <w:r w:rsidRPr="0087715B">
        <w:rPr>
          <w:rFonts w:ascii="Arial" w:hAnsi="Arial" w:cs="Arial"/>
          <w:lang w:val="en-US"/>
        </w:rPr>
        <w:t>13. https://doi.org/10.2174/221270380201160517185229.</w:t>
      </w:r>
    </w:p>
    <w:p w14:paraId="137400B6" w14:textId="77777777" w:rsidR="0087715B" w:rsidRPr="0087715B" w:rsidRDefault="0087715B" w:rsidP="00202EAD">
      <w:pPr>
        <w:jc w:val="both"/>
      </w:pPr>
    </w:p>
    <w:p w14:paraId="1181D76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Aras, Hamit, Feriha Cağlayan, Güliz N. Güncü, Atilla Berberoğlu, et Kamer Kilinç. 2007. « Effect of Systemically Administered Naproxen Sodium on Clinical Parameters and Myeloperoxidase and Elastase-like Activity Levels in Gingival Crevicular Fluid ». </w:t>
      </w:r>
      <w:r w:rsidRPr="0087715B">
        <w:rPr>
          <w:rFonts w:ascii="Arial" w:hAnsi="Arial" w:cs="Arial"/>
          <w:i/>
          <w:iCs/>
          <w:lang w:val="en-US"/>
        </w:rPr>
        <w:t>Journal of Periodontology</w:t>
      </w:r>
      <w:r w:rsidRPr="0087715B">
        <w:rPr>
          <w:rFonts w:ascii="Arial" w:hAnsi="Arial" w:cs="Arial"/>
          <w:lang w:val="en-US"/>
        </w:rPr>
        <w:t xml:space="preserve"> 78 (5): 868</w:t>
      </w:r>
      <w:r w:rsidRPr="0087715B">
        <w:rPr>
          <w:rFonts w:ascii="American Typewriter" w:hAnsi="American Typewriter" w:cs="American Typewriter"/>
          <w:lang w:val="en-US"/>
        </w:rPr>
        <w:t>‑</w:t>
      </w:r>
      <w:r w:rsidRPr="0087715B">
        <w:rPr>
          <w:rFonts w:ascii="Arial" w:hAnsi="Arial" w:cs="Arial"/>
          <w:lang w:val="en-US"/>
        </w:rPr>
        <w:t>73. https://doi.org/10.1902/jop.2007.060412.</w:t>
      </w:r>
    </w:p>
    <w:p w14:paraId="5D5481A2" w14:textId="77777777" w:rsidR="0087715B" w:rsidRPr="0087715B" w:rsidRDefault="0087715B" w:rsidP="00202EAD">
      <w:pPr>
        <w:jc w:val="both"/>
      </w:pPr>
    </w:p>
    <w:p w14:paraId="3D31481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Assuma, R., T. Oates, D. Cochran, S. Amar, et D. T. Graves. 1998. « IL-1 and TNF Antagonists Inhibit the Inflammatory Response and Bone Loss in Experimental Periodontitis ». </w:t>
      </w:r>
      <w:r w:rsidRPr="0087715B">
        <w:rPr>
          <w:rFonts w:ascii="Arial" w:hAnsi="Arial" w:cs="Arial"/>
          <w:i/>
          <w:iCs/>
          <w:lang w:val="en-US"/>
        </w:rPr>
        <w:t>The Journal of Immunology</w:t>
      </w:r>
      <w:r w:rsidRPr="0087715B">
        <w:rPr>
          <w:rFonts w:ascii="Arial" w:hAnsi="Arial" w:cs="Arial"/>
          <w:lang w:val="en-US"/>
        </w:rPr>
        <w:t xml:space="preserve"> 160 (1): 403</w:t>
      </w:r>
      <w:r w:rsidRPr="0087715B">
        <w:rPr>
          <w:rFonts w:ascii="American Typewriter" w:hAnsi="American Typewriter" w:cs="American Typewriter"/>
          <w:lang w:val="en-US"/>
        </w:rPr>
        <w:t>‑</w:t>
      </w:r>
      <w:r w:rsidRPr="0087715B">
        <w:rPr>
          <w:rFonts w:ascii="Arial" w:hAnsi="Arial" w:cs="Arial"/>
          <w:lang w:val="en-US"/>
        </w:rPr>
        <w:t>9.</w:t>
      </w:r>
    </w:p>
    <w:p w14:paraId="0DFE02B7" w14:textId="77777777" w:rsidR="0087715B" w:rsidRPr="0087715B" w:rsidRDefault="0087715B" w:rsidP="00202EAD">
      <w:pPr>
        <w:jc w:val="both"/>
      </w:pPr>
    </w:p>
    <w:p w14:paraId="26A73A4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Azoubel, Maria Cecília F., Viviane A. Sarmento, Virna Cangussú, Eduardo Azoubel, Sandro Bittencourt, Fernando Q. Cunha, Ronaldo A. Ribeiro, et Gerly Anne C. Brito. 2008. « Adjunctive Benefits of Systemic Etoricoxib in Non-Surgical Treatment of Aggressive Periodontitis: Short-Term Evaluation ». </w:t>
      </w:r>
      <w:r w:rsidRPr="0087715B">
        <w:rPr>
          <w:rFonts w:ascii="Arial" w:hAnsi="Arial" w:cs="Arial"/>
          <w:i/>
          <w:iCs/>
          <w:lang w:val="en-US"/>
        </w:rPr>
        <w:t>Journal of Periodontology</w:t>
      </w:r>
      <w:r w:rsidRPr="0087715B">
        <w:rPr>
          <w:rFonts w:ascii="Arial" w:hAnsi="Arial" w:cs="Arial"/>
          <w:lang w:val="en-US"/>
        </w:rPr>
        <w:t xml:space="preserve"> 79 (9): 1719</w:t>
      </w:r>
      <w:r w:rsidRPr="0087715B">
        <w:rPr>
          <w:rFonts w:ascii="American Typewriter" w:hAnsi="American Typewriter" w:cs="American Typewriter"/>
          <w:lang w:val="en-US"/>
        </w:rPr>
        <w:t>‑</w:t>
      </w:r>
      <w:r w:rsidRPr="0087715B">
        <w:rPr>
          <w:rFonts w:ascii="Arial" w:hAnsi="Arial" w:cs="Arial"/>
          <w:lang w:val="en-US"/>
        </w:rPr>
        <w:t>25. https://doi.org/10.1902/jop.2008.080019.</w:t>
      </w:r>
    </w:p>
    <w:p w14:paraId="64BAD84E" w14:textId="77777777" w:rsidR="0087715B" w:rsidRPr="0087715B" w:rsidRDefault="0087715B" w:rsidP="00202EAD">
      <w:pPr>
        <w:jc w:val="both"/>
      </w:pPr>
    </w:p>
    <w:p w14:paraId="787377C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Baiju, R. M., Elbe Peter, N. O. Varghese, et P. Anju. 2017. « Patient Reported Outcome Assessment of Periodontal Therapy: A Systematic Review ». </w:t>
      </w:r>
      <w:r w:rsidRPr="0087715B">
        <w:rPr>
          <w:rFonts w:ascii="Arial" w:hAnsi="Arial" w:cs="Arial"/>
          <w:i/>
          <w:iCs/>
          <w:lang w:val="en-US"/>
        </w:rPr>
        <w:t>Journal of Clinical and Diagnostic Research: JCDR</w:t>
      </w:r>
      <w:r w:rsidRPr="0087715B">
        <w:rPr>
          <w:rFonts w:ascii="Arial" w:hAnsi="Arial" w:cs="Arial"/>
          <w:lang w:val="en-US"/>
        </w:rPr>
        <w:t xml:space="preserve"> 11 (8): ZC14-ZC19. https://doi.org/10.7860/JCDR/2017/28505.10343.</w:t>
      </w:r>
    </w:p>
    <w:p w14:paraId="6F092085" w14:textId="77777777" w:rsidR="0087715B" w:rsidRPr="0087715B" w:rsidRDefault="0087715B" w:rsidP="00202EAD">
      <w:pPr>
        <w:jc w:val="both"/>
      </w:pPr>
    </w:p>
    <w:p w14:paraId="00C7F4A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Behle, Jan H., Michael H. Sedaghatfar, Ryan T. Demmer, Dana L. Wolf, Romanita Celenti, Moritz Kebschull, Paul B. Belusko, Miriam Herrera-Abreu, Evanthia Lalla, et Panos N. Papapanou. 2009. « Heterogeneity of Systemic Inflammatory Responses to Periodontal Therapy ». </w:t>
      </w:r>
      <w:r w:rsidRPr="0087715B">
        <w:rPr>
          <w:rFonts w:ascii="Arial" w:hAnsi="Arial" w:cs="Arial"/>
          <w:i/>
          <w:iCs/>
          <w:lang w:val="en-US"/>
        </w:rPr>
        <w:t>Journal of Clinical Periodontology</w:t>
      </w:r>
      <w:r w:rsidRPr="0087715B">
        <w:rPr>
          <w:rFonts w:ascii="Arial" w:hAnsi="Arial" w:cs="Arial"/>
          <w:lang w:val="en-US"/>
        </w:rPr>
        <w:t xml:space="preserve"> 36 (4): 287</w:t>
      </w:r>
      <w:r w:rsidRPr="0087715B">
        <w:rPr>
          <w:rFonts w:ascii="American Typewriter" w:hAnsi="American Typewriter" w:cs="American Typewriter"/>
          <w:lang w:val="en-US"/>
        </w:rPr>
        <w:t>‑</w:t>
      </w:r>
      <w:r w:rsidRPr="0087715B">
        <w:rPr>
          <w:rFonts w:ascii="Arial" w:hAnsi="Arial" w:cs="Arial"/>
          <w:lang w:val="en-US"/>
        </w:rPr>
        <w:t>94. https://doi.org/10.1111/j.1600-051X.2009.01382.x.</w:t>
      </w:r>
    </w:p>
    <w:p w14:paraId="4C3175A4" w14:textId="77777777" w:rsidR="0087715B" w:rsidRPr="0087715B" w:rsidRDefault="0087715B" w:rsidP="00202EAD">
      <w:pPr>
        <w:jc w:val="both"/>
      </w:pPr>
    </w:p>
    <w:p w14:paraId="120163D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Blanchard, Frédéric, Laurence Duplomb, Marc Baud’huin, et Bénédicte Brounais. 2009. « The Dual Role of IL-6-Type Cytokines on Bone Remodeling and Bone Tumors ». </w:t>
      </w:r>
      <w:r w:rsidRPr="0087715B">
        <w:rPr>
          <w:rFonts w:ascii="Arial" w:hAnsi="Arial" w:cs="Arial"/>
          <w:i/>
          <w:iCs/>
          <w:lang w:val="en-US"/>
        </w:rPr>
        <w:t>Cytokine &amp; Growth Factor Reviews</w:t>
      </w:r>
      <w:r w:rsidRPr="0087715B">
        <w:rPr>
          <w:rFonts w:ascii="Arial" w:hAnsi="Arial" w:cs="Arial"/>
          <w:lang w:val="en-US"/>
        </w:rPr>
        <w:t xml:space="preserve"> 20 (1): 19</w:t>
      </w:r>
      <w:r w:rsidRPr="0087715B">
        <w:rPr>
          <w:rFonts w:ascii="American Typewriter" w:hAnsi="American Typewriter" w:cs="American Typewriter"/>
          <w:lang w:val="en-US"/>
        </w:rPr>
        <w:t>‑</w:t>
      </w:r>
      <w:r w:rsidRPr="0087715B">
        <w:rPr>
          <w:rFonts w:ascii="Arial" w:hAnsi="Arial" w:cs="Arial"/>
          <w:lang w:val="en-US"/>
        </w:rPr>
        <w:t>28. https://doi.org/10.1016/j.cytogfr.2008.11.004.</w:t>
      </w:r>
    </w:p>
    <w:p w14:paraId="207B0100" w14:textId="77777777" w:rsidR="0087715B" w:rsidRPr="0087715B" w:rsidRDefault="0087715B" w:rsidP="00202EAD">
      <w:pPr>
        <w:jc w:val="both"/>
      </w:pPr>
    </w:p>
    <w:p w14:paraId="5A5FF94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Bourgeois, D., P. Bouchard, et C. Mattout. 2007. « Epidemiology of Periodontal Status in Dentate Adults in France, 2002-2003 ». </w:t>
      </w:r>
      <w:r w:rsidRPr="0087715B">
        <w:rPr>
          <w:rFonts w:ascii="Arial" w:hAnsi="Arial" w:cs="Arial"/>
          <w:i/>
          <w:iCs/>
          <w:lang w:val="en-US"/>
        </w:rPr>
        <w:t>Journal of Periodontal Research</w:t>
      </w:r>
      <w:r w:rsidRPr="0087715B">
        <w:rPr>
          <w:rFonts w:ascii="Arial" w:hAnsi="Arial" w:cs="Arial"/>
          <w:lang w:val="en-US"/>
        </w:rPr>
        <w:t xml:space="preserve"> 42 (3): 219</w:t>
      </w:r>
      <w:r w:rsidRPr="0087715B">
        <w:rPr>
          <w:rFonts w:ascii="American Typewriter" w:hAnsi="American Typewriter" w:cs="American Typewriter"/>
          <w:lang w:val="en-US"/>
        </w:rPr>
        <w:t>‑</w:t>
      </w:r>
      <w:r w:rsidRPr="0087715B">
        <w:rPr>
          <w:rFonts w:ascii="Arial" w:hAnsi="Arial" w:cs="Arial"/>
          <w:lang w:val="en-US"/>
        </w:rPr>
        <w:t>27. https://doi.org/10.1111/j.1600-0765.2006.00936.x.</w:t>
      </w:r>
    </w:p>
    <w:p w14:paraId="29E23079" w14:textId="77777777" w:rsidR="0087715B" w:rsidRPr="0087715B" w:rsidRDefault="0087715B" w:rsidP="00202EAD">
      <w:pPr>
        <w:jc w:val="both"/>
      </w:pPr>
    </w:p>
    <w:p w14:paraId="2EEB441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Buduneli, Nurcan, Saynur Vardar, Gül Atilla, Timo Sorsa, Hanne Luoto, et Haluk Baylas. 2002. « Gingival Crevicular Fluid Matrix Metalloproteinase-8 Levels Following Adjunctive Use of Meloxicam and Initial Phase of Periodontal Therapy ». </w:t>
      </w:r>
      <w:r w:rsidRPr="0087715B">
        <w:rPr>
          <w:rFonts w:ascii="Arial" w:hAnsi="Arial" w:cs="Arial"/>
          <w:i/>
          <w:iCs/>
          <w:lang w:val="en-US"/>
        </w:rPr>
        <w:t>Journal of Periodontology</w:t>
      </w:r>
      <w:r w:rsidRPr="0087715B">
        <w:rPr>
          <w:rFonts w:ascii="Arial" w:hAnsi="Arial" w:cs="Arial"/>
          <w:lang w:val="en-US"/>
        </w:rPr>
        <w:t xml:space="preserve"> 73 (1): 103</w:t>
      </w:r>
      <w:r w:rsidRPr="0087715B">
        <w:rPr>
          <w:rFonts w:ascii="American Typewriter" w:hAnsi="American Typewriter" w:cs="American Typewriter"/>
          <w:lang w:val="en-US"/>
        </w:rPr>
        <w:t>‑</w:t>
      </w:r>
      <w:r w:rsidRPr="0087715B">
        <w:rPr>
          <w:rFonts w:ascii="Arial" w:hAnsi="Arial" w:cs="Arial"/>
          <w:lang w:val="en-US"/>
        </w:rPr>
        <w:t>9. https://doi.org/10.1902/jop.2002.73.1.103.</w:t>
      </w:r>
    </w:p>
    <w:p w14:paraId="656A52C5" w14:textId="77777777" w:rsidR="0087715B" w:rsidRPr="0087715B" w:rsidRDefault="0087715B" w:rsidP="00202EAD">
      <w:pPr>
        <w:jc w:val="both"/>
      </w:pPr>
    </w:p>
    <w:p w14:paraId="12A105E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Cardoso, Elsa Maria, Cátia Reis, et Maria Cristina Manzanares-Céspedes. 2018. « Chronic Periodontitis, Inflammatory Cytokines, and Interrelationship with Other Chronic Diseases ». </w:t>
      </w:r>
      <w:r w:rsidRPr="0087715B">
        <w:rPr>
          <w:rFonts w:ascii="Arial" w:hAnsi="Arial" w:cs="Arial"/>
          <w:i/>
          <w:iCs/>
          <w:lang w:val="en-US"/>
        </w:rPr>
        <w:t>Postgraduate Medicine</w:t>
      </w:r>
      <w:r w:rsidRPr="0087715B">
        <w:rPr>
          <w:rFonts w:ascii="Arial" w:hAnsi="Arial" w:cs="Arial"/>
          <w:lang w:val="en-US"/>
        </w:rPr>
        <w:t xml:space="preserve"> 130 (1): 98</w:t>
      </w:r>
      <w:r w:rsidRPr="0087715B">
        <w:rPr>
          <w:rFonts w:ascii="American Typewriter" w:hAnsi="American Typewriter" w:cs="American Typewriter"/>
          <w:lang w:val="en-US"/>
        </w:rPr>
        <w:t>‑</w:t>
      </w:r>
      <w:r w:rsidRPr="0087715B">
        <w:rPr>
          <w:rFonts w:ascii="Arial" w:hAnsi="Arial" w:cs="Arial"/>
          <w:lang w:val="en-US"/>
        </w:rPr>
        <w:t>104. https://doi.org/10.1080/00325481.2018.1396876.</w:t>
      </w:r>
    </w:p>
    <w:p w14:paraId="3AF62DFA" w14:textId="77777777" w:rsidR="0087715B" w:rsidRPr="0087715B" w:rsidRDefault="0087715B" w:rsidP="00202EAD">
      <w:pPr>
        <w:jc w:val="both"/>
      </w:pPr>
    </w:p>
    <w:p w14:paraId="466CEC1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Caton, J., S. Nyman, et H. Zander. 1980. « Histometric Evaluation of Periodontal Surgery. II. Connective Tissue Attachment Levels after Four Regenerative Procedures ». </w:t>
      </w:r>
      <w:r w:rsidRPr="0087715B">
        <w:rPr>
          <w:rFonts w:ascii="Arial" w:hAnsi="Arial" w:cs="Arial"/>
          <w:i/>
          <w:iCs/>
          <w:lang w:val="en-US"/>
        </w:rPr>
        <w:t>Journal of Clinical Periodontology</w:t>
      </w:r>
      <w:r w:rsidRPr="0087715B">
        <w:rPr>
          <w:rFonts w:ascii="Arial" w:hAnsi="Arial" w:cs="Arial"/>
          <w:lang w:val="en-US"/>
        </w:rPr>
        <w:t xml:space="preserve"> 7 (3): 224</w:t>
      </w:r>
      <w:r w:rsidRPr="0087715B">
        <w:rPr>
          <w:rFonts w:ascii="American Typewriter" w:hAnsi="American Typewriter" w:cs="American Typewriter"/>
          <w:lang w:val="en-US"/>
        </w:rPr>
        <w:t>‑</w:t>
      </w:r>
      <w:r w:rsidRPr="0087715B">
        <w:rPr>
          <w:rFonts w:ascii="Arial" w:hAnsi="Arial" w:cs="Arial"/>
          <w:lang w:val="en-US"/>
        </w:rPr>
        <w:t>31.</w:t>
      </w:r>
    </w:p>
    <w:p w14:paraId="114EA491" w14:textId="77777777" w:rsidR="0087715B" w:rsidRPr="0087715B" w:rsidRDefault="0087715B" w:rsidP="00202EAD">
      <w:pPr>
        <w:jc w:val="both"/>
      </w:pPr>
    </w:p>
    <w:p w14:paraId="5BAA723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Chambrone, Leandro, Daniela Chambrone, Luiz A. Lima, et Luiz A. Chambrone. 2010. « Predictors of Tooth Loss during Long-Term Periodontal Maintenance: A Systematic Review of Observational Studies ». </w:t>
      </w:r>
      <w:r w:rsidRPr="0087715B">
        <w:rPr>
          <w:rFonts w:ascii="Arial" w:hAnsi="Arial" w:cs="Arial"/>
          <w:i/>
          <w:iCs/>
          <w:lang w:val="en-US"/>
        </w:rPr>
        <w:t>Journal of Clinical Periodontology</w:t>
      </w:r>
      <w:r w:rsidRPr="0087715B">
        <w:rPr>
          <w:rFonts w:ascii="Arial" w:hAnsi="Arial" w:cs="Arial"/>
          <w:lang w:val="en-US"/>
        </w:rPr>
        <w:t xml:space="preserve"> 37 (7): 675</w:t>
      </w:r>
      <w:r w:rsidRPr="0087715B">
        <w:rPr>
          <w:rFonts w:ascii="American Typewriter" w:hAnsi="American Typewriter" w:cs="American Typewriter"/>
          <w:lang w:val="en-US"/>
        </w:rPr>
        <w:t>‑</w:t>
      </w:r>
      <w:r w:rsidRPr="0087715B">
        <w:rPr>
          <w:rFonts w:ascii="Arial" w:hAnsi="Arial" w:cs="Arial"/>
          <w:lang w:val="en-US"/>
        </w:rPr>
        <w:t>84. https://doi.org/10.1111/j.1600-051X.2010.01587.x.</w:t>
      </w:r>
    </w:p>
    <w:p w14:paraId="110C12DD" w14:textId="77777777" w:rsidR="0087715B" w:rsidRPr="0087715B" w:rsidRDefault="0087715B" w:rsidP="00202EAD">
      <w:pPr>
        <w:jc w:val="both"/>
      </w:pPr>
    </w:p>
    <w:p w14:paraId="34ECA0D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Cianci, Eleonora, Antonio Recchiuti, Oriana Trubiani, Francesca Diomede, Marco Marchisio, Sebastiano Miscia, Romain A. Colas, Jesmond Dalli, Charles N. Serhan, et Mario Romano. 2016. « Human Periodontal Stem Cells Release Specialized Proresolving Mediators and Carry Immunomodulatory and Prohealing Properties Regulated by Lipoxins ». </w:t>
      </w:r>
      <w:r w:rsidRPr="0087715B">
        <w:rPr>
          <w:rFonts w:ascii="Arial" w:hAnsi="Arial" w:cs="Arial"/>
          <w:i/>
          <w:iCs/>
          <w:lang w:val="en-US"/>
        </w:rPr>
        <w:t>Stem Cells Translational Medicine</w:t>
      </w:r>
      <w:r w:rsidRPr="0087715B">
        <w:rPr>
          <w:rFonts w:ascii="Arial" w:hAnsi="Arial" w:cs="Arial"/>
          <w:lang w:val="en-US"/>
        </w:rPr>
        <w:t xml:space="preserve"> 5 (1): 20</w:t>
      </w:r>
      <w:r w:rsidRPr="0087715B">
        <w:rPr>
          <w:rFonts w:ascii="American Typewriter" w:hAnsi="American Typewriter" w:cs="American Typewriter"/>
          <w:lang w:val="en-US"/>
        </w:rPr>
        <w:t>‑</w:t>
      </w:r>
      <w:r w:rsidRPr="0087715B">
        <w:rPr>
          <w:rFonts w:ascii="Arial" w:hAnsi="Arial" w:cs="Arial"/>
          <w:lang w:val="en-US"/>
        </w:rPr>
        <w:t>32. https://doi.org/10.5966/sctm.2015-0163.</w:t>
      </w:r>
    </w:p>
    <w:p w14:paraId="173C6701" w14:textId="77777777" w:rsidR="0087715B" w:rsidRPr="0087715B" w:rsidRDefault="0087715B" w:rsidP="00202EAD">
      <w:pPr>
        <w:jc w:val="both"/>
      </w:pPr>
    </w:p>
    <w:p w14:paraId="74E3316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Dalcico, Roberta, Adriana M. A. de Menezes, Otacilio B. Deocleciano, Reinaldo B. Oriá, Mariana L. Vale, Ronaldo A. Ribeiro, et Gerly A. de C. Brito. 2013. « Protective Mechanisms of Simvastatin in Experimental Periodontal Disease ». </w:t>
      </w:r>
      <w:r w:rsidRPr="0087715B">
        <w:rPr>
          <w:rFonts w:ascii="Arial" w:hAnsi="Arial" w:cs="Arial"/>
          <w:i/>
          <w:iCs/>
          <w:lang w:val="en-US"/>
        </w:rPr>
        <w:t>Journal of Periodontology</w:t>
      </w:r>
      <w:r w:rsidRPr="0087715B">
        <w:rPr>
          <w:rFonts w:ascii="Arial" w:hAnsi="Arial" w:cs="Arial"/>
          <w:lang w:val="en-US"/>
        </w:rPr>
        <w:t xml:space="preserve"> 84 (8): 1145</w:t>
      </w:r>
      <w:r w:rsidRPr="0087715B">
        <w:rPr>
          <w:rFonts w:ascii="American Typewriter" w:hAnsi="American Typewriter" w:cs="American Typewriter"/>
          <w:lang w:val="en-US"/>
        </w:rPr>
        <w:t>‑</w:t>
      </w:r>
      <w:r w:rsidRPr="0087715B">
        <w:rPr>
          <w:rFonts w:ascii="Arial" w:hAnsi="Arial" w:cs="Arial"/>
          <w:lang w:val="en-US"/>
        </w:rPr>
        <w:t>57. https://doi.org/10.1902/jop.2012.120114.</w:t>
      </w:r>
    </w:p>
    <w:p w14:paraId="0348461E" w14:textId="77777777" w:rsidR="0087715B" w:rsidRPr="0087715B" w:rsidRDefault="0087715B" w:rsidP="00202EAD">
      <w:pPr>
        <w:jc w:val="both"/>
      </w:pPr>
    </w:p>
    <w:p w14:paraId="4AEBC37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Delima, A. J., T. Oates, R. Assuma, Z. Schwartz, D. Cochran, S. Amar, et D. T. Graves. 2001. « Soluble Antagonists to Interleukin-1 (IL-1) and Tumor Necrosis Factor (TNF) Inhibits Loss of Tissue Attachment in Experimental Periodontitis ». </w:t>
      </w:r>
      <w:r w:rsidRPr="0087715B">
        <w:rPr>
          <w:rFonts w:ascii="Arial" w:hAnsi="Arial" w:cs="Arial"/>
          <w:i/>
          <w:iCs/>
          <w:lang w:val="en-US"/>
        </w:rPr>
        <w:t>Journal of Clinical Periodontology</w:t>
      </w:r>
      <w:r w:rsidRPr="0087715B">
        <w:rPr>
          <w:rFonts w:ascii="Arial" w:hAnsi="Arial" w:cs="Arial"/>
          <w:lang w:val="en-US"/>
        </w:rPr>
        <w:t xml:space="preserve"> 28 (3): 233</w:t>
      </w:r>
      <w:r w:rsidRPr="0087715B">
        <w:rPr>
          <w:rFonts w:ascii="American Typewriter" w:hAnsi="American Typewriter" w:cs="American Typewriter"/>
          <w:lang w:val="en-US"/>
        </w:rPr>
        <w:t>‑</w:t>
      </w:r>
      <w:r w:rsidRPr="0087715B">
        <w:rPr>
          <w:rFonts w:ascii="Arial" w:hAnsi="Arial" w:cs="Arial"/>
          <w:lang w:val="en-US"/>
        </w:rPr>
        <w:t>40.</w:t>
      </w:r>
    </w:p>
    <w:p w14:paraId="06B69B95" w14:textId="77777777" w:rsidR="0087715B" w:rsidRPr="0087715B" w:rsidRDefault="0087715B" w:rsidP="00202EAD">
      <w:pPr>
        <w:jc w:val="both"/>
      </w:pPr>
    </w:p>
    <w:p w14:paraId="51B788B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Ding, F., Y. L. Lyu, W. Xuan, D. Y. Liu, X. Q. Duan, et X. Han. 2017. « [Bleeding control of periodontal mechanical therapy for patients taking aspirin] ». </w:t>
      </w:r>
      <w:r w:rsidRPr="0087715B">
        <w:rPr>
          <w:rFonts w:ascii="Arial" w:hAnsi="Arial" w:cs="Arial"/>
          <w:i/>
          <w:iCs/>
          <w:lang w:val="en-US"/>
        </w:rPr>
        <w:t>Beijing Da Xue Xue Bao. Yi Xue Ban = Journal of Peking University. Health Sciences</w:t>
      </w:r>
      <w:r w:rsidRPr="0087715B">
        <w:rPr>
          <w:rFonts w:ascii="Arial" w:hAnsi="Arial" w:cs="Arial"/>
          <w:lang w:val="en-US"/>
        </w:rPr>
        <w:t xml:space="preserve"> 49 (1): 49</w:t>
      </w:r>
      <w:r w:rsidRPr="0087715B">
        <w:rPr>
          <w:rFonts w:ascii="American Typewriter" w:hAnsi="American Typewriter" w:cs="American Typewriter"/>
          <w:lang w:val="en-US"/>
        </w:rPr>
        <w:t>‑</w:t>
      </w:r>
      <w:r w:rsidRPr="0087715B">
        <w:rPr>
          <w:rFonts w:ascii="Arial" w:hAnsi="Arial" w:cs="Arial"/>
          <w:lang w:val="en-US"/>
        </w:rPr>
        <w:t>53.</w:t>
      </w:r>
    </w:p>
    <w:p w14:paraId="267B5CD4" w14:textId="77777777" w:rsidR="0087715B" w:rsidRPr="0087715B" w:rsidRDefault="0087715B" w:rsidP="00202EAD">
      <w:pPr>
        <w:jc w:val="both"/>
      </w:pPr>
    </w:p>
    <w:p w14:paraId="0904F3C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Drouganis, A., et R. Hirsch. 2001. « Low-Dose Aspirin Therapy and Periodontal Attachment Loss in Ex- and Non-Smokers ». </w:t>
      </w:r>
      <w:r w:rsidRPr="0087715B">
        <w:rPr>
          <w:rFonts w:ascii="Arial" w:hAnsi="Arial" w:cs="Arial"/>
          <w:i/>
          <w:iCs/>
          <w:lang w:val="en-US"/>
        </w:rPr>
        <w:t>Journal of Clinical Periodontology</w:t>
      </w:r>
      <w:r w:rsidRPr="0087715B">
        <w:rPr>
          <w:rFonts w:ascii="Arial" w:hAnsi="Arial" w:cs="Arial"/>
          <w:lang w:val="en-US"/>
        </w:rPr>
        <w:t xml:space="preserve"> 28 (1): 38</w:t>
      </w:r>
      <w:r w:rsidRPr="0087715B">
        <w:rPr>
          <w:rFonts w:ascii="American Typewriter" w:hAnsi="American Typewriter" w:cs="American Typewriter"/>
          <w:lang w:val="en-US"/>
        </w:rPr>
        <w:t>‑</w:t>
      </w:r>
      <w:r w:rsidRPr="0087715B">
        <w:rPr>
          <w:rFonts w:ascii="Arial" w:hAnsi="Arial" w:cs="Arial"/>
          <w:lang w:val="en-US"/>
        </w:rPr>
        <w:t>45.</w:t>
      </w:r>
    </w:p>
    <w:p w14:paraId="65A4F63D" w14:textId="77777777" w:rsidR="0087715B" w:rsidRPr="0087715B" w:rsidRDefault="0087715B" w:rsidP="00202EAD">
      <w:pPr>
        <w:jc w:val="both"/>
      </w:pPr>
    </w:p>
    <w:p w14:paraId="1E08F994"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Estanislau, Ilanna Mara Gomes, Icrólio Ribeiro Colares Terceiro, Mario Roberto Pontes Lisboa, Patrícia de Barros Teles, Rosimary de Sousa Carvalho, Ricardo Souza Martins, et Maria Mônica Studart Mendes Moreira. 2015. « Pleiotropic Effects of Statins on the Treatment of Chronic Periodontitis--a Systematic Review ». </w:t>
      </w:r>
      <w:r w:rsidRPr="0087715B">
        <w:rPr>
          <w:rFonts w:ascii="Arial" w:hAnsi="Arial" w:cs="Arial"/>
          <w:i/>
          <w:iCs/>
          <w:lang w:val="en-US"/>
        </w:rPr>
        <w:t>British Journal of Clinical Pharmacology</w:t>
      </w:r>
      <w:r w:rsidRPr="0087715B">
        <w:rPr>
          <w:rFonts w:ascii="Arial" w:hAnsi="Arial" w:cs="Arial"/>
          <w:lang w:val="en-US"/>
        </w:rPr>
        <w:t xml:space="preserve"> 79 (6): 877</w:t>
      </w:r>
      <w:r w:rsidRPr="0087715B">
        <w:rPr>
          <w:rFonts w:ascii="American Typewriter" w:hAnsi="American Typewriter" w:cs="American Typewriter"/>
          <w:lang w:val="en-US"/>
        </w:rPr>
        <w:t>‑</w:t>
      </w:r>
      <w:r w:rsidRPr="0087715B">
        <w:rPr>
          <w:rFonts w:ascii="Arial" w:hAnsi="Arial" w:cs="Arial"/>
          <w:lang w:val="en-US"/>
        </w:rPr>
        <w:t>85. https://doi.org/10.1111/bcp.12564.</w:t>
      </w:r>
    </w:p>
    <w:p w14:paraId="2BC63565" w14:textId="77777777" w:rsidR="00875A65" w:rsidRPr="00875A65" w:rsidRDefault="00875A65" w:rsidP="00202EAD">
      <w:pPr>
        <w:jc w:val="both"/>
      </w:pPr>
    </w:p>
    <w:p w14:paraId="22611F2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Faizuddin, M., F. Tarannum, N. Korla, et S. Swamy. 2012. « Association between Long-Term Aspirin Use and Periodontal Attachment Level in Humans: A Cross-Sectional Investigation ». </w:t>
      </w:r>
      <w:r w:rsidRPr="0087715B">
        <w:rPr>
          <w:rFonts w:ascii="Arial" w:hAnsi="Arial" w:cs="Arial"/>
          <w:i/>
          <w:iCs/>
          <w:lang w:val="en-US"/>
        </w:rPr>
        <w:t>Australian Dental Journal</w:t>
      </w:r>
      <w:r w:rsidRPr="0087715B">
        <w:rPr>
          <w:rFonts w:ascii="Arial" w:hAnsi="Arial" w:cs="Arial"/>
          <w:lang w:val="en-US"/>
        </w:rPr>
        <w:t xml:space="preserve"> 57 (1): 45</w:t>
      </w:r>
      <w:r w:rsidRPr="0087715B">
        <w:rPr>
          <w:rFonts w:ascii="American Typewriter" w:hAnsi="American Typewriter" w:cs="American Typewriter"/>
          <w:lang w:val="en-US"/>
        </w:rPr>
        <w:t>‑</w:t>
      </w:r>
      <w:r w:rsidRPr="0087715B">
        <w:rPr>
          <w:rFonts w:ascii="Arial" w:hAnsi="Arial" w:cs="Arial"/>
          <w:lang w:val="en-US"/>
        </w:rPr>
        <w:t>50. https://doi.org/10.1111/j.1834-7819.2011.01650.x.</w:t>
      </w:r>
    </w:p>
    <w:p w14:paraId="6DFB282C" w14:textId="77777777" w:rsidR="00875A65" w:rsidRPr="00875A65" w:rsidRDefault="00875A65" w:rsidP="00202EAD">
      <w:pPr>
        <w:jc w:val="both"/>
      </w:pPr>
    </w:p>
    <w:p w14:paraId="02F57CB5"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Fardellone, Patrice, Alice Séjourné, Julien Paccou, et Vincent Goëb. 2014. « Bone Remodelling Markers in Rheumatoid Arthritis ». </w:t>
      </w:r>
      <w:r w:rsidRPr="0087715B">
        <w:rPr>
          <w:rFonts w:ascii="Arial" w:hAnsi="Arial" w:cs="Arial"/>
          <w:i/>
          <w:iCs/>
          <w:lang w:val="en-US"/>
        </w:rPr>
        <w:t>Mediators of Inflammation</w:t>
      </w:r>
      <w:r w:rsidRPr="0087715B">
        <w:rPr>
          <w:rFonts w:ascii="Arial" w:hAnsi="Arial" w:cs="Arial"/>
          <w:lang w:val="en-US"/>
        </w:rPr>
        <w:t xml:space="preserve"> 2014: 484280. https://doi.org/10.1155/2014/484280.</w:t>
      </w:r>
    </w:p>
    <w:p w14:paraId="574120EF" w14:textId="77777777" w:rsidR="00875A65" w:rsidRPr="00875A65" w:rsidRDefault="00875A65" w:rsidP="00202EAD">
      <w:pPr>
        <w:jc w:val="both"/>
      </w:pPr>
    </w:p>
    <w:p w14:paraId="1EBDD5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Farsaei, Shadi, Hossein Khalili, et Effat Sadat Farboud. 2012. « Potential Role of Statins on Wound Healing: Review of the Literature ». </w:t>
      </w:r>
      <w:r w:rsidRPr="0087715B">
        <w:rPr>
          <w:rFonts w:ascii="Arial" w:hAnsi="Arial" w:cs="Arial"/>
          <w:i/>
          <w:iCs/>
          <w:lang w:val="en-US"/>
        </w:rPr>
        <w:t>International Wound Journal</w:t>
      </w:r>
      <w:r w:rsidRPr="0087715B">
        <w:rPr>
          <w:rFonts w:ascii="Arial" w:hAnsi="Arial" w:cs="Arial"/>
          <w:lang w:val="en-US"/>
        </w:rPr>
        <w:t xml:space="preserve"> 9 (3): 238</w:t>
      </w:r>
      <w:r w:rsidRPr="0087715B">
        <w:rPr>
          <w:rFonts w:ascii="American Typewriter" w:hAnsi="American Typewriter" w:cs="American Typewriter"/>
          <w:lang w:val="en-US"/>
        </w:rPr>
        <w:t>‑</w:t>
      </w:r>
      <w:r w:rsidRPr="0087715B">
        <w:rPr>
          <w:rFonts w:ascii="Arial" w:hAnsi="Arial" w:cs="Arial"/>
          <w:lang w:val="en-US"/>
        </w:rPr>
        <w:t>47. https://doi.org/10.1111/j.1742-481X.2011.00888.x.</w:t>
      </w:r>
    </w:p>
    <w:p w14:paraId="789961E3" w14:textId="77777777" w:rsidR="00875A65" w:rsidRPr="00875A65" w:rsidRDefault="00875A65" w:rsidP="00202EAD">
      <w:pPr>
        <w:jc w:val="both"/>
      </w:pPr>
    </w:p>
    <w:p w14:paraId="73A87D6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Ferrand, Alice, Sandy Eap, Ludovic Richert, Stéphanie Lemoine, Deepak Kalaskar, Sophie Demoustier-Champagne, Hassan Atmani, et al. 2014. « Osteogenetic Properties of Electrospun Nanofibrous PCL Scaffolds Equipped with Chitosan-Based Nanoreservoirs of Growth Factors ». </w:t>
      </w:r>
      <w:r w:rsidRPr="0087715B">
        <w:rPr>
          <w:rFonts w:ascii="Arial" w:hAnsi="Arial" w:cs="Arial"/>
          <w:i/>
          <w:iCs/>
          <w:lang w:val="en-US"/>
        </w:rPr>
        <w:t>Macromolecular Bioscience</w:t>
      </w:r>
      <w:r w:rsidRPr="0087715B">
        <w:rPr>
          <w:rFonts w:ascii="Arial" w:hAnsi="Arial" w:cs="Arial"/>
          <w:lang w:val="en-US"/>
        </w:rPr>
        <w:t xml:space="preserve"> 14 (1): 45</w:t>
      </w:r>
      <w:r w:rsidRPr="0087715B">
        <w:rPr>
          <w:rFonts w:ascii="American Typewriter" w:hAnsi="American Typewriter" w:cs="American Typewriter"/>
          <w:lang w:val="en-US"/>
        </w:rPr>
        <w:t>‑</w:t>
      </w:r>
      <w:r w:rsidRPr="0087715B">
        <w:rPr>
          <w:rFonts w:ascii="Arial" w:hAnsi="Arial" w:cs="Arial"/>
          <w:lang w:val="en-US"/>
        </w:rPr>
        <w:t>55. https://doi.org/10.1002/mabi.201300283.</w:t>
      </w:r>
    </w:p>
    <w:p w14:paraId="2F4D4557" w14:textId="77777777" w:rsidR="00875A65" w:rsidRPr="00875A65" w:rsidRDefault="00875A65" w:rsidP="00202EAD">
      <w:pPr>
        <w:jc w:val="both"/>
      </w:pPr>
    </w:p>
    <w:p w14:paraId="21E10AD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Fioretti, Florence, Carlos Mendoza-Palomares, Marie Helms, Denise Al Alam, Ludovic Richert, Youri Arntz, Simon Rinckenbach, et al. 2010. « Nanostructured Assemblies for Dental Application ». </w:t>
      </w:r>
      <w:r w:rsidRPr="0087715B">
        <w:rPr>
          <w:rFonts w:ascii="Arial" w:hAnsi="Arial" w:cs="Arial"/>
          <w:i/>
          <w:iCs/>
          <w:lang w:val="en-US"/>
        </w:rPr>
        <w:t>ACS Nano</w:t>
      </w:r>
      <w:r w:rsidRPr="0087715B">
        <w:rPr>
          <w:rFonts w:ascii="Arial" w:hAnsi="Arial" w:cs="Arial"/>
          <w:lang w:val="en-US"/>
        </w:rPr>
        <w:t xml:space="preserve"> 4 (6): 3277</w:t>
      </w:r>
      <w:r w:rsidRPr="0087715B">
        <w:rPr>
          <w:rFonts w:ascii="American Typewriter" w:hAnsi="American Typewriter" w:cs="American Typewriter"/>
          <w:lang w:val="en-US"/>
        </w:rPr>
        <w:t>‑</w:t>
      </w:r>
      <w:r w:rsidRPr="0087715B">
        <w:rPr>
          <w:rFonts w:ascii="Arial" w:hAnsi="Arial" w:cs="Arial"/>
          <w:lang w:val="en-US"/>
        </w:rPr>
        <w:t>87. https://doi.org/10.1021/nn100713m.</w:t>
      </w:r>
    </w:p>
    <w:p w14:paraId="4269E875" w14:textId="77777777" w:rsidR="00875A65" w:rsidRPr="00875A65" w:rsidRDefault="00875A65" w:rsidP="00202EAD">
      <w:pPr>
        <w:jc w:val="both"/>
      </w:pPr>
    </w:p>
    <w:p w14:paraId="516A2D0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Freire, Marcelo O., et Thomas E. Van Dyke. 2013. « Natural resolution of inflammation ». </w:t>
      </w:r>
      <w:r w:rsidRPr="0087715B">
        <w:rPr>
          <w:rFonts w:ascii="Arial" w:hAnsi="Arial" w:cs="Arial"/>
          <w:i/>
          <w:iCs/>
          <w:lang w:val="en-US"/>
        </w:rPr>
        <w:t>Periodontology 2000</w:t>
      </w:r>
      <w:r w:rsidRPr="0087715B">
        <w:rPr>
          <w:rFonts w:ascii="Arial" w:hAnsi="Arial" w:cs="Arial"/>
          <w:lang w:val="en-US"/>
        </w:rPr>
        <w:t xml:space="preserve"> 63 (1): 149</w:t>
      </w:r>
      <w:r w:rsidRPr="0087715B">
        <w:rPr>
          <w:rFonts w:ascii="American Typewriter" w:hAnsi="American Typewriter" w:cs="American Typewriter"/>
          <w:lang w:val="en-US"/>
        </w:rPr>
        <w:t>‑</w:t>
      </w:r>
      <w:r w:rsidRPr="0087715B">
        <w:rPr>
          <w:rFonts w:ascii="Arial" w:hAnsi="Arial" w:cs="Arial"/>
          <w:lang w:val="en-US"/>
        </w:rPr>
        <w:t>64. https://doi.org/10.1111/prd.12034.</w:t>
      </w:r>
    </w:p>
    <w:p w14:paraId="74079FC6" w14:textId="77777777" w:rsidR="00875A65" w:rsidRPr="00875A65" w:rsidRDefault="00875A65" w:rsidP="00202EAD">
      <w:pPr>
        <w:jc w:val="both"/>
      </w:pPr>
    </w:p>
    <w:p w14:paraId="714E4B98"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Gallucci, R. M., P. P. Simeonova, J. M. Matheson, C. Kommineni, J. L. Guriel, T. Sugawara, et M. I. Luster. 2000. « Impaired Cutaneous Wound Healing in Interleukin-6-Deficient and Immunosuppressed Mice ». </w:t>
      </w:r>
      <w:r w:rsidRPr="0087715B">
        <w:rPr>
          <w:rFonts w:ascii="Arial" w:hAnsi="Arial" w:cs="Arial"/>
          <w:i/>
          <w:iCs/>
          <w:lang w:val="en-US"/>
        </w:rPr>
        <w:t>FASEB Journal: Official Publication of the Federation of American Societies for Experimental Biology</w:t>
      </w:r>
      <w:r w:rsidRPr="0087715B">
        <w:rPr>
          <w:rFonts w:ascii="Arial" w:hAnsi="Arial" w:cs="Arial"/>
          <w:lang w:val="en-US"/>
        </w:rPr>
        <w:t xml:space="preserve"> 14 (15): 2525</w:t>
      </w:r>
      <w:r w:rsidRPr="0087715B">
        <w:rPr>
          <w:rFonts w:ascii="American Typewriter" w:hAnsi="American Typewriter" w:cs="American Typewriter"/>
          <w:lang w:val="en-US"/>
        </w:rPr>
        <w:t>‑</w:t>
      </w:r>
      <w:r w:rsidRPr="0087715B">
        <w:rPr>
          <w:rFonts w:ascii="Arial" w:hAnsi="Arial" w:cs="Arial"/>
          <w:lang w:val="en-US"/>
        </w:rPr>
        <w:t>31. https://doi.org/10.1096/fj.00-0073com.</w:t>
      </w:r>
    </w:p>
    <w:p w14:paraId="63B6EF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Gomez, I., N. Foudi, D. Longrois, et X. Norel. 2013. « The Role of Prostaglandin E2 in Human Vascular Inflammation ». </w:t>
      </w:r>
      <w:r w:rsidRPr="0087715B">
        <w:rPr>
          <w:rFonts w:ascii="Arial" w:hAnsi="Arial" w:cs="Arial"/>
          <w:i/>
          <w:iCs/>
          <w:lang w:val="en-US"/>
        </w:rPr>
        <w:t>Prostaglandins, Leukotrienes, and Essential Fatty Acids</w:t>
      </w:r>
      <w:r w:rsidRPr="0087715B">
        <w:rPr>
          <w:rFonts w:ascii="Arial" w:hAnsi="Arial" w:cs="Arial"/>
          <w:lang w:val="en-US"/>
        </w:rPr>
        <w:t xml:space="preserve"> 89 (2</w:t>
      </w:r>
      <w:r w:rsidRPr="0087715B">
        <w:rPr>
          <w:rFonts w:ascii="American Typewriter" w:hAnsi="American Typewriter" w:cs="American Typewriter"/>
          <w:lang w:val="en-US"/>
        </w:rPr>
        <w:t>‑</w:t>
      </w:r>
      <w:r w:rsidRPr="0087715B">
        <w:rPr>
          <w:rFonts w:ascii="Arial" w:hAnsi="Arial" w:cs="Arial"/>
          <w:lang w:val="en-US"/>
        </w:rPr>
        <w:t>3): 55</w:t>
      </w:r>
      <w:r w:rsidRPr="0087715B">
        <w:rPr>
          <w:rFonts w:ascii="American Typewriter" w:hAnsi="American Typewriter" w:cs="American Typewriter"/>
          <w:lang w:val="en-US"/>
        </w:rPr>
        <w:t>‑</w:t>
      </w:r>
      <w:r w:rsidRPr="0087715B">
        <w:rPr>
          <w:rFonts w:ascii="Arial" w:hAnsi="Arial" w:cs="Arial"/>
          <w:lang w:val="en-US"/>
        </w:rPr>
        <w:t>63. https://doi.org/10.1016/j.plefa.2013.04.004.</w:t>
      </w:r>
    </w:p>
    <w:p w14:paraId="638975E0" w14:textId="77777777" w:rsidR="00875A65" w:rsidRPr="00875A65" w:rsidRDefault="00875A65" w:rsidP="00202EAD">
      <w:pPr>
        <w:jc w:val="both"/>
      </w:pPr>
    </w:p>
    <w:p w14:paraId="7C03171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Graves, D. T., et D. Cochran. 2003. « The Contribution of Interleukin-1 and Tumor Necrosis Factor to Periodontal Tissue Destruction ». </w:t>
      </w:r>
      <w:r w:rsidRPr="0087715B">
        <w:rPr>
          <w:rFonts w:ascii="Arial" w:hAnsi="Arial" w:cs="Arial"/>
          <w:i/>
          <w:iCs/>
          <w:lang w:val="en-US"/>
        </w:rPr>
        <w:t>Journal of Periodontology</w:t>
      </w:r>
      <w:r w:rsidRPr="0087715B">
        <w:rPr>
          <w:rFonts w:ascii="Arial" w:hAnsi="Arial" w:cs="Arial"/>
          <w:lang w:val="en-US"/>
        </w:rPr>
        <w:t xml:space="preserve"> 74 (3): 391</w:t>
      </w:r>
      <w:r w:rsidRPr="0087715B">
        <w:rPr>
          <w:rFonts w:ascii="American Typewriter" w:hAnsi="American Typewriter" w:cs="American Typewriter"/>
          <w:lang w:val="en-US"/>
        </w:rPr>
        <w:t>‑</w:t>
      </w:r>
      <w:r w:rsidRPr="0087715B">
        <w:rPr>
          <w:rFonts w:ascii="Arial" w:hAnsi="Arial" w:cs="Arial"/>
          <w:lang w:val="en-US"/>
        </w:rPr>
        <w:t>401. https://doi.org/10.1902/jop.2003.74.3.391.</w:t>
      </w:r>
    </w:p>
    <w:p w14:paraId="2B7BF176" w14:textId="77777777" w:rsidR="00875A65" w:rsidRPr="00875A65" w:rsidRDefault="00875A65" w:rsidP="00202EAD">
      <w:pPr>
        <w:jc w:val="both"/>
      </w:pPr>
    </w:p>
    <w:p w14:paraId="1D98F97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Gulati, Minkle, Vishal Anand, Vivek Govila, et Nikil Jain. 2014. « Host modulation therapy: An indispensable part of perioceutics ». </w:t>
      </w:r>
      <w:r w:rsidRPr="0087715B">
        <w:rPr>
          <w:rFonts w:ascii="Arial" w:hAnsi="Arial" w:cs="Arial"/>
          <w:i/>
          <w:iCs/>
          <w:lang w:val="en-US"/>
        </w:rPr>
        <w:t>Journal of Indian Society of Periodontology</w:t>
      </w:r>
      <w:r w:rsidRPr="0087715B">
        <w:rPr>
          <w:rFonts w:ascii="Arial" w:hAnsi="Arial" w:cs="Arial"/>
          <w:lang w:val="en-US"/>
        </w:rPr>
        <w:t xml:space="preserve"> 18 (3): 282</w:t>
      </w:r>
      <w:r w:rsidRPr="0087715B">
        <w:rPr>
          <w:rFonts w:ascii="American Typewriter" w:hAnsi="American Typewriter" w:cs="American Typewriter"/>
          <w:lang w:val="en-US"/>
        </w:rPr>
        <w:t>‑</w:t>
      </w:r>
      <w:r w:rsidRPr="0087715B">
        <w:rPr>
          <w:rFonts w:ascii="Arial" w:hAnsi="Arial" w:cs="Arial"/>
          <w:lang w:val="en-US"/>
        </w:rPr>
        <w:t>88. https://doi.org/10.4103/0972-124X.134559.</w:t>
      </w:r>
    </w:p>
    <w:p w14:paraId="4CEB0299" w14:textId="77777777" w:rsidR="00875A65" w:rsidRPr="00875A65" w:rsidRDefault="00875A65" w:rsidP="00202EAD">
      <w:pPr>
        <w:jc w:val="both"/>
      </w:pPr>
    </w:p>
    <w:p w14:paraId="10A606B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Hasturk, H., A. Kantarci, T. Ohira, M. Arita, N. Ebrahimi, N. Chiang, N. A. Petasis, B. D. Levy, C. N. Serhan, et T. E. Van Dyke. 2006. « RvE1 Protects from Local Inflammation and Osteoclast- Mediated Bone Destruction in Periodontitis ». </w:t>
      </w:r>
      <w:r w:rsidRPr="0087715B">
        <w:rPr>
          <w:rFonts w:ascii="Arial" w:hAnsi="Arial" w:cs="Arial"/>
          <w:i/>
          <w:iCs/>
          <w:lang w:val="en-US"/>
        </w:rPr>
        <w:t>FASEB Journal: Official Publication of the Federation of American Societies for Experimental Biology</w:t>
      </w:r>
      <w:r w:rsidRPr="0087715B">
        <w:rPr>
          <w:rFonts w:ascii="Arial" w:hAnsi="Arial" w:cs="Arial"/>
          <w:lang w:val="en-US"/>
        </w:rPr>
        <w:t xml:space="preserve"> 20 (2): 401</w:t>
      </w:r>
      <w:r w:rsidRPr="0087715B">
        <w:rPr>
          <w:rFonts w:ascii="American Typewriter" w:hAnsi="American Typewriter" w:cs="American Typewriter"/>
          <w:lang w:val="en-US"/>
        </w:rPr>
        <w:t>‑</w:t>
      </w:r>
      <w:r w:rsidRPr="0087715B">
        <w:rPr>
          <w:rFonts w:ascii="Arial" w:hAnsi="Arial" w:cs="Arial"/>
          <w:lang w:val="en-US"/>
        </w:rPr>
        <w:t>3. https://doi.org/10.1096/fj.05-4724fje.</w:t>
      </w:r>
    </w:p>
    <w:p w14:paraId="6ECF9367" w14:textId="77777777" w:rsidR="00875A65" w:rsidRPr="00875A65" w:rsidRDefault="00875A65" w:rsidP="00202EAD">
      <w:pPr>
        <w:jc w:val="both"/>
      </w:pPr>
    </w:p>
    <w:p w14:paraId="4C5D84AF"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Heitz-Mayfield, Lisa J. A., et Niklaus P. Lang. 2013. « Surgical and Nonsurgical Periodontal Therapy. Learned and Unlearned Concepts ». </w:t>
      </w:r>
      <w:r w:rsidRPr="0087715B">
        <w:rPr>
          <w:rFonts w:ascii="Arial" w:hAnsi="Arial" w:cs="Arial"/>
          <w:i/>
          <w:iCs/>
          <w:lang w:val="en-US"/>
        </w:rPr>
        <w:t>Periodontology 2000</w:t>
      </w:r>
      <w:r w:rsidRPr="0087715B">
        <w:rPr>
          <w:rFonts w:ascii="Arial" w:hAnsi="Arial" w:cs="Arial"/>
          <w:lang w:val="en-US"/>
        </w:rPr>
        <w:t xml:space="preserve"> 62 (1): 218</w:t>
      </w:r>
      <w:r w:rsidRPr="0087715B">
        <w:rPr>
          <w:rFonts w:ascii="American Typewriter" w:hAnsi="American Typewriter" w:cs="American Typewriter"/>
          <w:lang w:val="en-US"/>
        </w:rPr>
        <w:t>‑</w:t>
      </w:r>
      <w:r w:rsidRPr="0087715B">
        <w:rPr>
          <w:rFonts w:ascii="Arial" w:hAnsi="Arial" w:cs="Arial"/>
          <w:lang w:val="en-US"/>
        </w:rPr>
        <w:t>31. https://doi.org/10.1111/prd.12008.</w:t>
      </w:r>
    </w:p>
    <w:p w14:paraId="2C56BEDF" w14:textId="77777777" w:rsidR="00875A65" w:rsidRPr="00875A65" w:rsidRDefault="00875A65" w:rsidP="00202EAD">
      <w:pPr>
        <w:jc w:val="both"/>
      </w:pPr>
    </w:p>
    <w:p w14:paraId="3AB8095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Hill, R. P., S. MacNeil, et J. W. Haycock. 2006. « Melanocyte Stimulating Hormone Peptides Inhibit TNF-Alpha Signaling in Human Dermal Fibroblast Cells ». </w:t>
      </w:r>
      <w:r w:rsidRPr="0087715B">
        <w:rPr>
          <w:rFonts w:ascii="Arial" w:hAnsi="Arial" w:cs="Arial"/>
          <w:i/>
          <w:iCs/>
          <w:lang w:val="en-US"/>
        </w:rPr>
        <w:t>Peptides</w:t>
      </w:r>
      <w:r w:rsidRPr="0087715B">
        <w:rPr>
          <w:rFonts w:ascii="Arial" w:hAnsi="Arial" w:cs="Arial"/>
          <w:lang w:val="en-US"/>
        </w:rPr>
        <w:t xml:space="preserve"> 27 (2): 421</w:t>
      </w:r>
      <w:r w:rsidRPr="0087715B">
        <w:rPr>
          <w:rFonts w:ascii="American Typewriter" w:hAnsi="American Typewriter" w:cs="American Typewriter"/>
          <w:lang w:val="en-US"/>
        </w:rPr>
        <w:t>‑</w:t>
      </w:r>
      <w:r w:rsidRPr="0087715B">
        <w:rPr>
          <w:rFonts w:ascii="Arial" w:hAnsi="Arial" w:cs="Arial"/>
          <w:lang w:val="en-US"/>
        </w:rPr>
        <w:t>30. https://doi.org/10.1016/j.peptides.2005.03.061.</w:t>
      </w:r>
    </w:p>
    <w:p w14:paraId="16E52C95" w14:textId="77777777" w:rsidR="00875A65" w:rsidRPr="00875A65" w:rsidRDefault="00875A65" w:rsidP="00202EAD">
      <w:pPr>
        <w:jc w:val="both"/>
      </w:pPr>
    </w:p>
    <w:p w14:paraId="414BFBD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Horiuchi, N, et T Maeda. 2006. « Statins and Bone Metabolism ». </w:t>
      </w:r>
      <w:r w:rsidRPr="0087715B">
        <w:rPr>
          <w:rFonts w:ascii="Arial" w:hAnsi="Arial" w:cs="Arial"/>
          <w:i/>
          <w:iCs/>
          <w:lang w:val="en-US"/>
        </w:rPr>
        <w:t>Oral Diseases</w:t>
      </w:r>
      <w:r w:rsidRPr="0087715B">
        <w:rPr>
          <w:rFonts w:ascii="Arial" w:hAnsi="Arial" w:cs="Arial"/>
          <w:lang w:val="en-US"/>
        </w:rPr>
        <w:t xml:space="preserve"> 12 (2): 85</w:t>
      </w:r>
      <w:r w:rsidRPr="0087715B">
        <w:rPr>
          <w:rFonts w:ascii="American Typewriter" w:hAnsi="American Typewriter" w:cs="American Typewriter"/>
          <w:lang w:val="en-US"/>
        </w:rPr>
        <w:t>‑</w:t>
      </w:r>
      <w:r w:rsidRPr="0087715B">
        <w:rPr>
          <w:rFonts w:ascii="Arial" w:hAnsi="Arial" w:cs="Arial"/>
          <w:lang w:val="en-US"/>
        </w:rPr>
        <w:t>101. https://doi.org/10.1111/j.1601-0825.2005.01172.x.</w:t>
      </w:r>
    </w:p>
    <w:p w14:paraId="70EC131D" w14:textId="77777777" w:rsidR="00875A65" w:rsidRPr="00875A65" w:rsidRDefault="00875A65" w:rsidP="00202EAD">
      <w:pPr>
        <w:jc w:val="both"/>
      </w:pPr>
    </w:p>
    <w:p w14:paraId="1B08624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Hung, Hsin-Chia, et Chester W. Douglass. 2002. « Meta-Analysis of the Effect of Scaling and Root Planing, Surgical Treatment and Antibiotic Therapies on Periodontal Probing Depth and Attachment Loss ». </w:t>
      </w:r>
      <w:r w:rsidRPr="0087715B">
        <w:rPr>
          <w:rFonts w:ascii="Arial" w:hAnsi="Arial" w:cs="Arial"/>
          <w:i/>
          <w:iCs/>
          <w:lang w:val="en-US"/>
        </w:rPr>
        <w:t>Journal of Clinical Periodontology</w:t>
      </w:r>
      <w:r w:rsidRPr="0087715B">
        <w:rPr>
          <w:rFonts w:ascii="Arial" w:hAnsi="Arial" w:cs="Arial"/>
          <w:lang w:val="en-US"/>
        </w:rPr>
        <w:t xml:space="preserve"> 29 (11): 975</w:t>
      </w:r>
      <w:r w:rsidRPr="0087715B">
        <w:rPr>
          <w:rFonts w:ascii="American Typewriter" w:hAnsi="American Typewriter" w:cs="American Typewriter"/>
          <w:lang w:val="en-US"/>
        </w:rPr>
        <w:t>‑</w:t>
      </w:r>
      <w:r w:rsidRPr="0087715B">
        <w:rPr>
          <w:rFonts w:ascii="Arial" w:hAnsi="Arial" w:cs="Arial"/>
          <w:lang w:val="en-US"/>
        </w:rPr>
        <w:t>86.</w:t>
      </w:r>
    </w:p>
    <w:p w14:paraId="2BA62836" w14:textId="77777777" w:rsidR="00875A65" w:rsidRPr="00875A65" w:rsidRDefault="00875A65" w:rsidP="00202EAD">
      <w:pPr>
        <w:jc w:val="both"/>
      </w:pPr>
    </w:p>
    <w:p w14:paraId="2BAE55F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Iovannisci, David M., Edward J. Lammer, Lori Steiner, Suzanne Cheng, Larry T. Mahoney, Patricia H. Davis, Ronald M. Lauer, et Trudy L. Burns. 2007. « Association Between A Leukotriene C4 Synthase Gene Promoter Polymorphism and Coronary Artery Calcium in Young Women: The Muscatine Study ». </w:t>
      </w:r>
      <w:r w:rsidRPr="0087715B">
        <w:rPr>
          <w:rFonts w:ascii="Arial" w:hAnsi="Arial" w:cs="Arial"/>
          <w:i/>
          <w:iCs/>
          <w:lang w:val="en-US"/>
        </w:rPr>
        <w:t>Arteriosclerosis, Thrombosis, and Vascular Biology</w:t>
      </w:r>
      <w:r w:rsidRPr="0087715B">
        <w:rPr>
          <w:rFonts w:ascii="Arial" w:hAnsi="Arial" w:cs="Arial"/>
          <w:lang w:val="en-US"/>
        </w:rPr>
        <w:t xml:space="preserve"> 27 (2): 394</w:t>
      </w:r>
      <w:r w:rsidRPr="0087715B">
        <w:rPr>
          <w:rFonts w:ascii="American Typewriter" w:hAnsi="American Typewriter" w:cs="American Typewriter"/>
          <w:lang w:val="en-US"/>
        </w:rPr>
        <w:t>‑</w:t>
      </w:r>
      <w:r w:rsidRPr="0087715B">
        <w:rPr>
          <w:rFonts w:ascii="Arial" w:hAnsi="Arial" w:cs="Arial"/>
          <w:lang w:val="en-US"/>
        </w:rPr>
        <w:t>99. https://doi.org/10.1161/01.ATV.0000252680.72734.10.</w:t>
      </w:r>
    </w:p>
    <w:p w14:paraId="20617004" w14:textId="77777777" w:rsidR="00875A65" w:rsidRPr="00875A65" w:rsidRDefault="00875A65" w:rsidP="00202EAD">
      <w:pPr>
        <w:jc w:val="both"/>
      </w:pPr>
    </w:p>
    <w:p w14:paraId="5A23E1D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Irwin, C. R., et T. T. Myrillas. 1998. « The Role of IL-6 in the Pathogenesis of Periodontal Disease ». </w:t>
      </w:r>
      <w:r w:rsidRPr="0087715B">
        <w:rPr>
          <w:rFonts w:ascii="Arial" w:hAnsi="Arial" w:cs="Arial"/>
          <w:i/>
          <w:iCs/>
          <w:lang w:val="en-US"/>
        </w:rPr>
        <w:t>Oral Diseases</w:t>
      </w:r>
      <w:r w:rsidRPr="0087715B">
        <w:rPr>
          <w:rFonts w:ascii="Arial" w:hAnsi="Arial" w:cs="Arial"/>
          <w:lang w:val="en-US"/>
        </w:rPr>
        <w:t xml:space="preserve"> 4 (1): 43</w:t>
      </w:r>
      <w:r w:rsidRPr="0087715B">
        <w:rPr>
          <w:rFonts w:ascii="American Typewriter" w:hAnsi="American Typewriter" w:cs="American Typewriter"/>
          <w:lang w:val="en-US"/>
        </w:rPr>
        <w:t>‑</w:t>
      </w:r>
      <w:r w:rsidRPr="0087715B">
        <w:rPr>
          <w:rFonts w:ascii="Arial" w:hAnsi="Arial" w:cs="Arial"/>
          <w:lang w:val="en-US"/>
        </w:rPr>
        <w:t>47.</w:t>
      </w:r>
    </w:p>
    <w:p w14:paraId="755F51BA" w14:textId="77777777" w:rsidR="00202EAD" w:rsidRPr="00202EAD" w:rsidRDefault="00202EAD" w:rsidP="00202EAD"/>
    <w:p w14:paraId="2D9B75B5" w14:textId="16D78957" w:rsidR="0087715B" w:rsidRDefault="0087715B" w:rsidP="00202EAD">
      <w:pPr>
        <w:pStyle w:val="Bibliography"/>
        <w:jc w:val="both"/>
        <w:rPr>
          <w:rFonts w:ascii="Arial" w:hAnsi="Arial" w:cs="Arial"/>
          <w:lang w:val="en-US"/>
        </w:rPr>
      </w:pPr>
      <w:r w:rsidRPr="0087715B">
        <w:rPr>
          <w:rFonts w:ascii="Arial" w:hAnsi="Arial" w:cs="Arial"/>
          <w:lang w:val="en-US"/>
        </w:rPr>
        <w:t>Ivanovski, S., C. Vaquette, S. Gronthos, D. W. Hut</w:t>
      </w:r>
      <w:r w:rsidR="00875A65">
        <w:rPr>
          <w:rFonts w:ascii="Arial" w:hAnsi="Arial" w:cs="Arial"/>
          <w:lang w:val="en-US"/>
        </w:rPr>
        <w:t>macher, et P. M. Bartold. 2014a</w:t>
      </w:r>
      <w:r w:rsidRPr="0087715B">
        <w:rPr>
          <w:rFonts w:ascii="Arial" w:hAnsi="Arial" w:cs="Arial"/>
          <w:lang w:val="en-US"/>
        </w:rPr>
        <w:t xml:space="preserve"> « Multiphasic Scaffolds for Periodontal Tissue Engineering ». </w:t>
      </w:r>
      <w:r w:rsidRPr="0087715B">
        <w:rPr>
          <w:rFonts w:ascii="Arial" w:hAnsi="Arial" w:cs="Arial"/>
          <w:i/>
          <w:iCs/>
          <w:lang w:val="en-US"/>
        </w:rPr>
        <w:t>Journal of Dental Research</w:t>
      </w:r>
      <w:r w:rsidRPr="0087715B">
        <w:rPr>
          <w:rFonts w:ascii="Arial" w:hAnsi="Arial" w:cs="Arial"/>
          <w:lang w:val="en-US"/>
        </w:rPr>
        <w:t xml:space="preserve"> 93 (12): 1212</w:t>
      </w:r>
      <w:r w:rsidRPr="0087715B">
        <w:rPr>
          <w:rFonts w:ascii="American Typewriter" w:hAnsi="American Typewriter" w:cs="American Typewriter"/>
          <w:lang w:val="en-US"/>
        </w:rPr>
        <w:t>‑</w:t>
      </w:r>
      <w:r w:rsidRPr="0087715B">
        <w:rPr>
          <w:rFonts w:ascii="Arial" w:hAnsi="Arial" w:cs="Arial"/>
          <w:lang w:val="en-US"/>
        </w:rPr>
        <w:t>21. https://doi.org/10.1177/0022034514544301.</w:t>
      </w:r>
    </w:p>
    <w:p w14:paraId="65BC89B9" w14:textId="77777777" w:rsidR="00875A65" w:rsidRPr="00875A65" w:rsidRDefault="00875A65" w:rsidP="00202EAD">
      <w:pPr>
        <w:jc w:val="both"/>
      </w:pPr>
    </w:p>
    <w:p w14:paraId="43EA0F1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Iwasaki, K., M. Komaki, K. Mimori, E. Leon, Y. Izumi, et I. Ishikawa. 2008. « IL-6 Induces Osteoblastic Differentiation of Periodontal Ligament Cells ». </w:t>
      </w:r>
      <w:r w:rsidRPr="0087715B">
        <w:rPr>
          <w:rFonts w:ascii="Arial" w:hAnsi="Arial" w:cs="Arial"/>
          <w:i/>
          <w:iCs/>
          <w:lang w:val="en-US"/>
        </w:rPr>
        <w:t>Journal of Dental Research</w:t>
      </w:r>
      <w:r w:rsidRPr="0087715B">
        <w:rPr>
          <w:rFonts w:ascii="Arial" w:hAnsi="Arial" w:cs="Arial"/>
          <w:lang w:val="en-US"/>
        </w:rPr>
        <w:t xml:space="preserve"> 87 (10): 937</w:t>
      </w:r>
      <w:r w:rsidRPr="0087715B">
        <w:rPr>
          <w:rFonts w:ascii="American Typewriter" w:hAnsi="American Typewriter" w:cs="American Typewriter"/>
          <w:lang w:val="en-US"/>
        </w:rPr>
        <w:t>‑</w:t>
      </w:r>
      <w:r w:rsidRPr="0087715B">
        <w:rPr>
          <w:rFonts w:ascii="Arial" w:hAnsi="Arial" w:cs="Arial"/>
          <w:lang w:val="en-US"/>
        </w:rPr>
        <w:t>42. https://doi.org/10.1177/154405910808701002.</w:t>
      </w:r>
    </w:p>
    <w:p w14:paraId="0CFC641D" w14:textId="77777777" w:rsidR="00875A65" w:rsidRPr="00875A65" w:rsidRDefault="00875A65" w:rsidP="00202EAD">
      <w:pPr>
        <w:jc w:val="both"/>
      </w:pPr>
    </w:p>
    <w:p w14:paraId="055234D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Jüni, Peter, Linda Nartey, Stephan Reichenbach, Rebekka Sterchi, Paul A. Dieppe, et Matthias Egger. 2004. « Risk of Cardiovascular Events and Rofecoxib: Cumulative Meta-Analysis ». </w:t>
      </w:r>
      <w:r w:rsidRPr="0087715B">
        <w:rPr>
          <w:rFonts w:ascii="Arial" w:hAnsi="Arial" w:cs="Arial"/>
          <w:i/>
          <w:iCs/>
          <w:lang w:val="en-US"/>
        </w:rPr>
        <w:t>Lancet (London, England)</w:t>
      </w:r>
      <w:r w:rsidRPr="0087715B">
        <w:rPr>
          <w:rFonts w:ascii="Arial" w:hAnsi="Arial" w:cs="Arial"/>
          <w:lang w:val="en-US"/>
        </w:rPr>
        <w:t xml:space="preserve"> 364 (9450): 2021</w:t>
      </w:r>
      <w:r w:rsidRPr="0087715B">
        <w:rPr>
          <w:rFonts w:ascii="American Typewriter" w:hAnsi="American Typewriter" w:cs="American Typewriter"/>
          <w:lang w:val="en-US"/>
        </w:rPr>
        <w:t>‑</w:t>
      </w:r>
      <w:r w:rsidRPr="0087715B">
        <w:rPr>
          <w:rFonts w:ascii="Arial" w:hAnsi="Arial" w:cs="Arial"/>
          <w:lang w:val="en-US"/>
        </w:rPr>
        <w:t>29. https://doi.org/10.1016/S0140-6736(04)17514-4.</w:t>
      </w:r>
    </w:p>
    <w:p w14:paraId="2E4A3A49" w14:textId="77777777" w:rsidR="00875A65" w:rsidRPr="00875A65" w:rsidRDefault="00875A65" w:rsidP="00202EAD">
      <w:pPr>
        <w:jc w:val="both"/>
      </w:pPr>
    </w:p>
    <w:p w14:paraId="3DC1A7C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Karring, Thorkild, Sture Nyman, Jan Gottlow, et Lars Laurell. 1993. « Development of the Biological Concept of Guided Tissue Regeneration — Animal and Human Studies ». </w:t>
      </w:r>
      <w:r w:rsidRPr="0087715B">
        <w:rPr>
          <w:rFonts w:ascii="Arial" w:hAnsi="Arial" w:cs="Arial"/>
          <w:i/>
          <w:iCs/>
          <w:lang w:val="en-US"/>
        </w:rPr>
        <w:t>Periodontology 2000</w:t>
      </w:r>
      <w:r w:rsidRPr="0087715B">
        <w:rPr>
          <w:rFonts w:ascii="Arial" w:hAnsi="Arial" w:cs="Arial"/>
          <w:lang w:val="en-US"/>
        </w:rPr>
        <w:t xml:space="preserve"> 1 (1): 26</w:t>
      </w:r>
      <w:r w:rsidRPr="0087715B">
        <w:rPr>
          <w:rFonts w:ascii="American Typewriter" w:hAnsi="American Typewriter" w:cs="American Typewriter"/>
          <w:lang w:val="en-US"/>
        </w:rPr>
        <w:t>‑</w:t>
      </w:r>
      <w:r w:rsidRPr="0087715B">
        <w:rPr>
          <w:rFonts w:ascii="Arial" w:hAnsi="Arial" w:cs="Arial"/>
          <w:lang w:val="en-US"/>
        </w:rPr>
        <w:t>35. https://doi.org/10.1111/j.1600-0757.1993.tb00204.x.</w:t>
      </w:r>
    </w:p>
    <w:p w14:paraId="70AADB02" w14:textId="77777777" w:rsidR="00875A65" w:rsidRPr="00875A65" w:rsidRDefault="00875A65" w:rsidP="00202EAD">
      <w:pPr>
        <w:jc w:val="both"/>
      </w:pPr>
    </w:p>
    <w:p w14:paraId="494EFD7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Keyser, Filip De. 2011. « Choice of Biologic Therapy for Patients with Rheumatoid Arthritis: The Infection Perspective ». </w:t>
      </w:r>
      <w:r w:rsidRPr="0087715B">
        <w:rPr>
          <w:rFonts w:ascii="Arial" w:hAnsi="Arial" w:cs="Arial"/>
          <w:i/>
          <w:iCs/>
          <w:lang w:val="en-US"/>
        </w:rPr>
        <w:t>Current Rheumatology Reviews</w:t>
      </w:r>
      <w:r w:rsidRPr="0087715B">
        <w:rPr>
          <w:rFonts w:ascii="Arial" w:hAnsi="Arial" w:cs="Arial"/>
          <w:lang w:val="en-US"/>
        </w:rPr>
        <w:t xml:space="preserve"> 7 (1): 77</w:t>
      </w:r>
      <w:r w:rsidRPr="0087715B">
        <w:rPr>
          <w:rFonts w:ascii="American Typewriter" w:hAnsi="American Typewriter" w:cs="American Typewriter"/>
          <w:lang w:val="en-US"/>
        </w:rPr>
        <w:t>‑</w:t>
      </w:r>
      <w:r w:rsidRPr="0087715B">
        <w:rPr>
          <w:rFonts w:ascii="Arial" w:hAnsi="Arial" w:cs="Arial"/>
          <w:lang w:val="en-US"/>
        </w:rPr>
        <w:t>87. https://doi.org/10.2174/157339711794474620.</w:t>
      </w:r>
    </w:p>
    <w:p w14:paraId="65A0C96B" w14:textId="77777777" w:rsidR="00875A65" w:rsidRPr="00875A65" w:rsidRDefault="00875A65" w:rsidP="00202EAD">
      <w:pPr>
        <w:jc w:val="both"/>
      </w:pPr>
    </w:p>
    <w:p w14:paraId="765EE5E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Kiji, M, T Nagasawa, D Hormdee, R Yashiro, H Kobayashi, K Noguchi, H Nitta, Y Izumi, et I Ishikawa. 2007. « Internal prostaglandin synthesis augments osteoprotegerin production in human gingival fibroblasts stimulated by lipopolysaccharide ». </w:t>
      </w:r>
      <w:r w:rsidRPr="0087715B">
        <w:rPr>
          <w:rFonts w:ascii="Arial" w:hAnsi="Arial" w:cs="Arial"/>
          <w:i/>
          <w:iCs/>
          <w:lang w:val="en-US"/>
        </w:rPr>
        <w:t>Clinical and Experimental Immunology</w:t>
      </w:r>
      <w:r w:rsidRPr="0087715B">
        <w:rPr>
          <w:rFonts w:ascii="Arial" w:hAnsi="Arial" w:cs="Arial"/>
          <w:lang w:val="en-US"/>
        </w:rPr>
        <w:t xml:space="preserve"> 149 (2): 327</w:t>
      </w:r>
      <w:r w:rsidRPr="0087715B">
        <w:rPr>
          <w:rFonts w:ascii="American Typewriter" w:hAnsi="American Typewriter" w:cs="American Typewriter"/>
          <w:lang w:val="en-US"/>
        </w:rPr>
        <w:t>‑</w:t>
      </w:r>
      <w:r w:rsidRPr="0087715B">
        <w:rPr>
          <w:rFonts w:ascii="Arial" w:hAnsi="Arial" w:cs="Arial"/>
          <w:lang w:val="en-US"/>
        </w:rPr>
        <w:t>34. https://doi.org/10.1111/j.1365-2249.2007.03414.x.</w:t>
      </w:r>
    </w:p>
    <w:p w14:paraId="645C0B13" w14:textId="77777777" w:rsidR="00875A65" w:rsidRPr="00875A65" w:rsidRDefault="00875A65" w:rsidP="00202EAD">
      <w:pPr>
        <w:jc w:val="both"/>
      </w:pPr>
    </w:p>
    <w:p w14:paraId="31A755D8"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Kim, J. H., C. H. Park, R. A. Perez, H. Y. Lee, J. H. Jang, H. H. Lee, I. B. Wall, S. Shi, et H. W. Kim. 2014a. « Advanced Biomatrix Designs for Regenerative Therapy of Periodontal Tissues ». </w:t>
      </w:r>
      <w:r w:rsidRPr="0087715B">
        <w:rPr>
          <w:rFonts w:ascii="Arial" w:hAnsi="Arial" w:cs="Arial"/>
          <w:i/>
          <w:iCs/>
          <w:lang w:val="en-US"/>
        </w:rPr>
        <w:t>Journal of Dental Research</w:t>
      </w:r>
      <w:r w:rsidRPr="0087715B">
        <w:rPr>
          <w:rFonts w:ascii="Arial" w:hAnsi="Arial" w:cs="Arial"/>
          <w:lang w:val="en-US"/>
        </w:rPr>
        <w:t xml:space="preserve"> 93 (12): 1203</w:t>
      </w:r>
      <w:r w:rsidRPr="0087715B">
        <w:rPr>
          <w:rFonts w:ascii="American Typewriter" w:hAnsi="American Typewriter" w:cs="American Typewriter"/>
          <w:lang w:val="en-US"/>
        </w:rPr>
        <w:t>‑</w:t>
      </w:r>
      <w:r w:rsidRPr="0087715B">
        <w:rPr>
          <w:rFonts w:ascii="Arial" w:hAnsi="Arial" w:cs="Arial"/>
          <w:lang w:val="en-US"/>
        </w:rPr>
        <w:t>11. https://doi.org/10.1177/0022034514540682.</w:t>
      </w:r>
    </w:p>
    <w:p w14:paraId="3A21C5BF" w14:textId="77777777" w:rsidR="00875A65" w:rsidRDefault="00875A65" w:rsidP="00202EAD">
      <w:pPr>
        <w:pStyle w:val="Bibliography"/>
        <w:jc w:val="both"/>
        <w:rPr>
          <w:rFonts w:ascii="Arial" w:hAnsi="Arial" w:cs="Arial"/>
          <w:lang w:val="en-US"/>
        </w:rPr>
      </w:pPr>
    </w:p>
    <w:p w14:paraId="1E66A68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Kim, Ji-Hye, Ae Ri Kim, Yun Hui Choi, Sungil Jang, Gye-Hyeong Woo, Jeong-Heon Cha, Eun-Jung Bak, et Yun-Jung Yoo. 2017. « Tumor Necrosis Factor-α Antagonist Diminishes Osteocytic RANKL and Sclerostin Expression in Diabetes Rats with Periodontitis ». </w:t>
      </w:r>
      <w:r w:rsidRPr="0087715B">
        <w:rPr>
          <w:rFonts w:ascii="Arial" w:hAnsi="Arial" w:cs="Arial"/>
          <w:i/>
          <w:iCs/>
          <w:lang w:val="en-US"/>
        </w:rPr>
        <w:t>PloS One</w:t>
      </w:r>
      <w:r w:rsidRPr="0087715B">
        <w:rPr>
          <w:rFonts w:ascii="Arial" w:hAnsi="Arial" w:cs="Arial"/>
          <w:lang w:val="en-US"/>
        </w:rPr>
        <w:t xml:space="preserve"> 12 (12): e0189702. https://doi.org/10.1371/journal.pone.0189702.</w:t>
      </w:r>
    </w:p>
    <w:p w14:paraId="3CAC152A" w14:textId="77777777" w:rsidR="00875A65" w:rsidRPr="00875A65" w:rsidRDefault="00875A65" w:rsidP="00202EAD">
      <w:pPr>
        <w:jc w:val="both"/>
      </w:pPr>
    </w:p>
    <w:p w14:paraId="630E35A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Kinane, Denis F., Philip M. Preshaw, Bruno G. Loos, et Working Group 2 of Seventh European Workshop on Periodontology. 2011. « Host-Response: Understanding the Cellular and Molecular Mechanisms of Host-Microbial Interactions--Consensus of the Seventh European Workshop on Periodontology ». </w:t>
      </w:r>
      <w:r w:rsidRPr="0087715B">
        <w:rPr>
          <w:rFonts w:ascii="Arial" w:hAnsi="Arial" w:cs="Arial"/>
          <w:i/>
          <w:iCs/>
          <w:lang w:val="en-US"/>
        </w:rPr>
        <w:t>Journal of Clinical Periodontology</w:t>
      </w:r>
      <w:r w:rsidRPr="0087715B">
        <w:rPr>
          <w:rFonts w:ascii="Arial" w:hAnsi="Arial" w:cs="Arial"/>
          <w:lang w:val="en-US"/>
        </w:rPr>
        <w:t xml:space="preserve"> 38 Suppl 11 (mars): 44</w:t>
      </w:r>
      <w:r w:rsidRPr="0087715B">
        <w:rPr>
          <w:rFonts w:ascii="American Typewriter" w:hAnsi="American Typewriter" w:cs="American Typewriter"/>
          <w:lang w:val="en-US"/>
        </w:rPr>
        <w:t>‑</w:t>
      </w:r>
      <w:r w:rsidRPr="0087715B">
        <w:rPr>
          <w:rFonts w:ascii="Arial" w:hAnsi="Arial" w:cs="Arial"/>
          <w:lang w:val="en-US"/>
        </w:rPr>
        <w:t>48. https://doi.org/10.1111/j.1600-051X.2010.01682.x.</w:t>
      </w:r>
    </w:p>
    <w:p w14:paraId="30B4D1DD" w14:textId="77777777" w:rsidR="00875A65" w:rsidRPr="00875A65" w:rsidRDefault="00875A65" w:rsidP="00202EAD">
      <w:pPr>
        <w:jc w:val="both"/>
      </w:pPr>
    </w:p>
    <w:p w14:paraId="332DD1A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Kinane, Denis F., Panagiota G. Stathopoulou, et Panos N. Papapanou. 2017. « Periodontal Diseases ». </w:t>
      </w:r>
      <w:r w:rsidRPr="0087715B">
        <w:rPr>
          <w:rFonts w:ascii="Arial" w:hAnsi="Arial" w:cs="Arial"/>
          <w:i/>
          <w:iCs/>
          <w:lang w:val="en-US"/>
        </w:rPr>
        <w:t>Nature Reviews. Disease Primers</w:t>
      </w:r>
      <w:r w:rsidRPr="0087715B">
        <w:rPr>
          <w:rFonts w:ascii="Arial" w:hAnsi="Arial" w:cs="Arial"/>
          <w:lang w:val="en-US"/>
        </w:rPr>
        <w:t xml:space="preserve"> 3 (juin): 17038. https://doi.org/10.1038/nrdp.2017.38.</w:t>
      </w:r>
    </w:p>
    <w:p w14:paraId="23E3CA74" w14:textId="77777777" w:rsidR="00875A65" w:rsidRPr="00875A65" w:rsidRDefault="00875A65" w:rsidP="00202EAD">
      <w:pPr>
        <w:jc w:val="both"/>
      </w:pPr>
    </w:p>
    <w:p w14:paraId="7FD139D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Kotsakis, Georgios A., Ashley Thai, Andreas L. Ioannou, Ryan T. Demmer, et Bryan S. Michalowicz. 2015. « Association between Low-Dose Aspirin and Periodontal Disease: Results from the Continuous National Health and Nutrition Examination Survey (NHANES) 2011-2012 ». </w:t>
      </w:r>
      <w:r w:rsidRPr="0087715B">
        <w:rPr>
          <w:rFonts w:ascii="Arial" w:hAnsi="Arial" w:cs="Arial"/>
          <w:i/>
          <w:iCs/>
          <w:lang w:val="en-US"/>
        </w:rPr>
        <w:t>Journal of Clinical Periodontology</w:t>
      </w:r>
      <w:r w:rsidRPr="0087715B">
        <w:rPr>
          <w:rFonts w:ascii="Arial" w:hAnsi="Arial" w:cs="Arial"/>
          <w:lang w:val="en-US"/>
        </w:rPr>
        <w:t xml:space="preserve"> 42 (4): 333</w:t>
      </w:r>
      <w:r w:rsidRPr="0087715B">
        <w:rPr>
          <w:rFonts w:ascii="American Typewriter" w:hAnsi="American Typewriter" w:cs="American Typewriter"/>
          <w:lang w:val="en-US"/>
        </w:rPr>
        <w:t>‑</w:t>
      </w:r>
      <w:r w:rsidRPr="0087715B">
        <w:rPr>
          <w:rFonts w:ascii="Arial" w:hAnsi="Arial" w:cs="Arial"/>
          <w:lang w:val="en-US"/>
        </w:rPr>
        <w:t>41. https://doi.org/10.1111/jcpe.12380.</w:t>
      </w:r>
    </w:p>
    <w:p w14:paraId="74DA7C55" w14:textId="77777777" w:rsidR="00875A65" w:rsidRPr="00875A65" w:rsidRDefault="00875A65" w:rsidP="00202EAD">
      <w:pPr>
        <w:jc w:val="both"/>
      </w:pPr>
    </w:p>
    <w:p w14:paraId="18A54AE5"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Kurtis, Bülent, Gilay Tüter, Muhittin Serdar, Selin Pinar, Ilkim Demirel, et Utku Toyman. 2007. « GCF MMP-8 Levels in Smokers and Non-Smokers with Chronic Periodontitis Following Scaling and Root Planing Accompanied by Systemic Use of Flurbiprofen ». </w:t>
      </w:r>
      <w:r w:rsidRPr="0087715B">
        <w:rPr>
          <w:rFonts w:ascii="Arial" w:hAnsi="Arial" w:cs="Arial"/>
          <w:i/>
          <w:iCs/>
          <w:lang w:val="en-US"/>
        </w:rPr>
        <w:t>Journal of Periodontology</w:t>
      </w:r>
      <w:r w:rsidRPr="0087715B">
        <w:rPr>
          <w:rFonts w:ascii="Arial" w:hAnsi="Arial" w:cs="Arial"/>
          <w:lang w:val="en-US"/>
        </w:rPr>
        <w:t xml:space="preserve"> 78 (10): 1954</w:t>
      </w:r>
      <w:r w:rsidRPr="0087715B">
        <w:rPr>
          <w:rFonts w:ascii="American Typewriter" w:hAnsi="American Typewriter" w:cs="American Typewriter"/>
          <w:lang w:val="en-US"/>
        </w:rPr>
        <w:t>‑</w:t>
      </w:r>
      <w:r w:rsidRPr="0087715B">
        <w:rPr>
          <w:rFonts w:ascii="Arial" w:hAnsi="Arial" w:cs="Arial"/>
          <w:lang w:val="en-US"/>
        </w:rPr>
        <w:t>61. https://doi.org/10.1902/jop.2007.070149.</w:t>
      </w:r>
    </w:p>
    <w:p w14:paraId="7CE0D1EB" w14:textId="77777777" w:rsidR="00875A65" w:rsidRPr="00875A65" w:rsidRDefault="00875A65" w:rsidP="00202EAD">
      <w:pPr>
        <w:jc w:val="both"/>
      </w:pPr>
    </w:p>
    <w:p w14:paraId="1836FFD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Lee, Jae Ho, Jeong-Hui Park, Ahmed El-Fiqi, Joong-Hyun Kim, Ye-Rang Yun, Jun-Hyeog Jang, Cheol-Min Han, Eun-Jung Lee, et Hae-Won Kim. 2014. « Biointerface Control of Electrospun Fiber Scaffolds for Bone Regeneration: Engineered Protein Link to Mineralized Surface ». </w:t>
      </w:r>
      <w:r w:rsidRPr="0087715B">
        <w:rPr>
          <w:rFonts w:ascii="Arial" w:hAnsi="Arial" w:cs="Arial"/>
          <w:i/>
          <w:iCs/>
          <w:lang w:val="en-US"/>
        </w:rPr>
        <w:t>Acta Biomaterialia</w:t>
      </w:r>
      <w:r w:rsidRPr="0087715B">
        <w:rPr>
          <w:rFonts w:ascii="Arial" w:hAnsi="Arial" w:cs="Arial"/>
          <w:lang w:val="en-US"/>
        </w:rPr>
        <w:t xml:space="preserve"> 10 (6): 2750</w:t>
      </w:r>
      <w:r w:rsidRPr="0087715B">
        <w:rPr>
          <w:rFonts w:ascii="American Typewriter" w:hAnsi="American Typewriter" w:cs="American Typewriter"/>
          <w:lang w:val="en-US"/>
        </w:rPr>
        <w:t>‑</w:t>
      </w:r>
      <w:r w:rsidRPr="0087715B">
        <w:rPr>
          <w:rFonts w:ascii="Arial" w:hAnsi="Arial" w:cs="Arial"/>
          <w:lang w:val="en-US"/>
        </w:rPr>
        <w:t>61. https://doi.org/10.1016/j.actbio.2014.01.021.</w:t>
      </w:r>
    </w:p>
    <w:p w14:paraId="57E22D1D" w14:textId="77777777" w:rsidR="00875A65" w:rsidRPr="00875A65" w:rsidRDefault="00875A65" w:rsidP="00202EAD">
      <w:pPr>
        <w:jc w:val="both"/>
      </w:pPr>
    </w:p>
    <w:p w14:paraId="1101D45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Legler, Daniel F., Markus Bruckner, Edith Uetz-von Allmen, et Petra Krause. 2010. « Prostaglandin E2 at New Glance: Novel Insights in Functional Diversity Offer Therapeutic Chances ». </w:t>
      </w:r>
      <w:r w:rsidRPr="0087715B">
        <w:rPr>
          <w:rFonts w:ascii="Arial" w:hAnsi="Arial" w:cs="Arial"/>
          <w:i/>
          <w:iCs/>
          <w:lang w:val="en-US"/>
        </w:rPr>
        <w:t>The International Journal of Biochemistry &amp; Cell Biology</w:t>
      </w:r>
      <w:r w:rsidRPr="0087715B">
        <w:rPr>
          <w:rFonts w:ascii="Arial" w:hAnsi="Arial" w:cs="Arial"/>
          <w:lang w:val="en-US"/>
        </w:rPr>
        <w:t xml:space="preserve"> 42 (2): 198</w:t>
      </w:r>
      <w:r w:rsidRPr="0087715B">
        <w:rPr>
          <w:rFonts w:ascii="American Typewriter" w:hAnsi="American Typewriter" w:cs="American Typewriter"/>
          <w:lang w:val="en-US"/>
        </w:rPr>
        <w:t>‑</w:t>
      </w:r>
      <w:r w:rsidRPr="0087715B">
        <w:rPr>
          <w:rFonts w:ascii="Arial" w:hAnsi="Arial" w:cs="Arial"/>
          <w:lang w:val="en-US"/>
        </w:rPr>
        <w:t>201. https://doi.org/10.1016/j.biocel.2009.09.015.</w:t>
      </w:r>
    </w:p>
    <w:p w14:paraId="1AE99E69" w14:textId="77777777" w:rsidR="00875A65" w:rsidRPr="00875A65" w:rsidRDefault="00875A65" w:rsidP="00202EAD">
      <w:pPr>
        <w:jc w:val="both"/>
      </w:pPr>
    </w:p>
    <w:p w14:paraId="0E3BE367"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Levy, B. D., C. B. Clish, B. Schmidt, K. Gronert, et C. N. Serhan. 2001. « Lipid Mediator Class Switching during Acute Inflammation: Signals in Resolution ». </w:t>
      </w:r>
      <w:r w:rsidRPr="0087715B">
        <w:rPr>
          <w:rFonts w:ascii="Arial" w:hAnsi="Arial" w:cs="Arial"/>
          <w:i/>
          <w:iCs/>
          <w:lang w:val="en-US"/>
        </w:rPr>
        <w:t>Nature Immunology</w:t>
      </w:r>
      <w:r w:rsidRPr="0087715B">
        <w:rPr>
          <w:rFonts w:ascii="Arial" w:hAnsi="Arial" w:cs="Arial"/>
          <w:lang w:val="en-US"/>
        </w:rPr>
        <w:t xml:space="preserve"> 2 (7): 612</w:t>
      </w:r>
      <w:r w:rsidRPr="0087715B">
        <w:rPr>
          <w:rFonts w:ascii="American Typewriter" w:hAnsi="American Typewriter" w:cs="American Typewriter"/>
          <w:lang w:val="en-US"/>
        </w:rPr>
        <w:t>‑</w:t>
      </w:r>
      <w:r w:rsidRPr="0087715B">
        <w:rPr>
          <w:rFonts w:ascii="Arial" w:hAnsi="Arial" w:cs="Arial"/>
          <w:lang w:val="en-US"/>
        </w:rPr>
        <w:t>19. https://doi.org/10.1038/89759.</w:t>
      </w:r>
    </w:p>
    <w:p w14:paraId="0F6ED2B4" w14:textId="77777777" w:rsidR="00875A65" w:rsidRPr="00875A65" w:rsidRDefault="00875A65" w:rsidP="00202EAD">
      <w:pPr>
        <w:jc w:val="both"/>
      </w:pPr>
    </w:p>
    <w:p w14:paraId="2A8F991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Liu, Xin-Hua, Alexander Kirschenbaum, Shen Yao, et Alice C. Levine. 2005. « Cross-Talk between the Interleukin-6 and Prostaglandin E(2) Signaling Systems Results in Enhancement of Osteoclastogenesis through Effects on the Osteoprotegerin/Receptor Activator of Nuclear Factor-{kappa}B (RANK) Ligand/RANK System ». </w:t>
      </w:r>
      <w:r w:rsidRPr="0087715B">
        <w:rPr>
          <w:rFonts w:ascii="Arial" w:hAnsi="Arial" w:cs="Arial"/>
          <w:i/>
          <w:iCs/>
          <w:lang w:val="en-US"/>
        </w:rPr>
        <w:t>Endocrinology</w:t>
      </w:r>
      <w:r w:rsidRPr="0087715B">
        <w:rPr>
          <w:rFonts w:ascii="Arial" w:hAnsi="Arial" w:cs="Arial"/>
          <w:lang w:val="en-US"/>
        </w:rPr>
        <w:t xml:space="preserve"> 146 (4): 1991</w:t>
      </w:r>
      <w:r w:rsidRPr="0087715B">
        <w:rPr>
          <w:rFonts w:ascii="American Typewriter" w:hAnsi="American Typewriter" w:cs="American Typewriter"/>
          <w:lang w:val="en-US"/>
        </w:rPr>
        <w:t>‑</w:t>
      </w:r>
      <w:r w:rsidRPr="0087715B">
        <w:rPr>
          <w:rFonts w:ascii="Arial" w:hAnsi="Arial" w:cs="Arial"/>
          <w:lang w:val="en-US"/>
        </w:rPr>
        <w:t>98. https://doi.org/10.1210/en.2004-1167.</w:t>
      </w:r>
    </w:p>
    <w:p w14:paraId="2995EB7B" w14:textId="77777777" w:rsidR="00875A65" w:rsidRPr="00875A65" w:rsidRDefault="00875A65" w:rsidP="00202EAD">
      <w:pPr>
        <w:jc w:val="both"/>
      </w:pPr>
    </w:p>
    <w:p w14:paraId="61F0194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Maciel-Oliveira, Newton, Vivian Bradaschia-Correa, et Victor E. Arana-Chavez. 2011. « Early Alveolar Bone Regeneration in Rats after Topical Administration of Simvastatin ». </w:t>
      </w:r>
      <w:r w:rsidRPr="0087715B">
        <w:rPr>
          <w:rFonts w:ascii="Arial" w:hAnsi="Arial" w:cs="Arial"/>
          <w:i/>
          <w:iCs/>
          <w:lang w:val="en-US"/>
        </w:rPr>
        <w:t>Oral Surgery, Oral Medicine, Oral Pathology, Oral Radiology, and Endodontics</w:t>
      </w:r>
      <w:r w:rsidRPr="0087715B">
        <w:rPr>
          <w:rFonts w:ascii="Arial" w:hAnsi="Arial" w:cs="Arial"/>
          <w:lang w:val="en-US"/>
        </w:rPr>
        <w:t xml:space="preserve"> 112 (2): 170</w:t>
      </w:r>
      <w:r w:rsidRPr="0087715B">
        <w:rPr>
          <w:rFonts w:ascii="American Typewriter" w:hAnsi="American Typewriter" w:cs="American Typewriter"/>
          <w:lang w:val="en-US"/>
        </w:rPr>
        <w:t>‑</w:t>
      </w:r>
      <w:r w:rsidRPr="0087715B">
        <w:rPr>
          <w:rFonts w:ascii="Arial" w:hAnsi="Arial" w:cs="Arial"/>
          <w:lang w:val="en-US"/>
        </w:rPr>
        <w:t>79. https://doi.org/10.1016/j.tripleo.2010.08.027.</w:t>
      </w:r>
    </w:p>
    <w:p w14:paraId="777787FA" w14:textId="77777777" w:rsidR="00875A65" w:rsidRPr="00875A65" w:rsidRDefault="00875A65" w:rsidP="00202EAD">
      <w:pPr>
        <w:jc w:val="both"/>
      </w:pPr>
    </w:p>
    <w:p w14:paraId="5306E5E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Mak, Karen, Aleem Manji, Corrie Gallant-Behm, Colin Wiebe, David A. Hart, Hannu Larjava, et Lari Häkkinen. 2009. « Scarless Healing of Oral Mucosa Is Characterized by Faster Resolution of Inflammation and Control of Myofibroblast Action Compared to Skin Wounds in the Red Duroc Pig Model ». </w:t>
      </w:r>
      <w:r w:rsidRPr="0087715B">
        <w:rPr>
          <w:rFonts w:ascii="Arial" w:hAnsi="Arial" w:cs="Arial"/>
          <w:i/>
          <w:iCs/>
          <w:lang w:val="en-US"/>
        </w:rPr>
        <w:t>Journal of Dermatological Science</w:t>
      </w:r>
      <w:r w:rsidRPr="0087715B">
        <w:rPr>
          <w:rFonts w:ascii="Arial" w:hAnsi="Arial" w:cs="Arial"/>
          <w:lang w:val="en-US"/>
        </w:rPr>
        <w:t xml:space="preserve"> 56 (3): 168</w:t>
      </w:r>
      <w:r w:rsidRPr="0087715B">
        <w:rPr>
          <w:rFonts w:ascii="American Typewriter" w:hAnsi="American Typewriter" w:cs="American Typewriter"/>
          <w:lang w:val="en-US"/>
        </w:rPr>
        <w:t>‑</w:t>
      </w:r>
      <w:r w:rsidRPr="0087715B">
        <w:rPr>
          <w:rFonts w:ascii="Arial" w:hAnsi="Arial" w:cs="Arial"/>
          <w:lang w:val="en-US"/>
        </w:rPr>
        <w:t>80. https://doi.org/10.1016/j.jdermsci.2009.09.005.</w:t>
      </w:r>
    </w:p>
    <w:p w14:paraId="3FA867CC" w14:textId="77777777" w:rsidR="00875A65" w:rsidRPr="00875A65" w:rsidRDefault="00875A65" w:rsidP="00202EAD">
      <w:pPr>
        <w:jc w:val="both"/>
      </w:pPr>
    </w:p>
    <w:p w14:paraId="4AADB2D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Mendoza-Palomares, Carlos, Alice Ferrand, Sybille Facca, Florence Fioretti, Guy Ladam, Sabine Kuchler-Bopp, Thomas Regnier, Didier Mainard, et Nadia Benkirane-Jessel. 2012. « Smart Hybrid Materials Equipped by Nanoreservoirs of Therapeutics ». </w:t>
      </w:r>
      <w:r w:rsidRPr="0087715B">
        <w:rPr>
          <w:rFonts w:ascii="Arial" w:hAnsi="Arial" w:cs="Arial"/>
          <w:i/>
          <w:iCs/>
          <w:lang w:val="en-US"/>
        </w:rPr>
        <w:t>ACS Nano</w:t>
      </w:r>
      <w:r w:rsidRPr="0087715B">
        <w:rPr>
          <w:rFonts w:ascii="Arial" w:hAnsi="Arial" w:cs="Arial"/>
          <w:lang w:val="en-US"/>
        </w:rPr>
        <w:t xml:space="preserve"> 6 (1): 483</w:t>
      </w:r>
      <w:r w:rsidRPr="0087715B">
        <w:rPr>
          <w:rFonts w:ascii="American Typewriter" w:hAnsi="American Typewriter" w:cs="American Typewriter"/>
          <w:lang w:val="en-US"/>
        </w:rPr>
        <w:t>‑</w:t>
      </w:r>
      <w:r w:rsidRPr="0087715B">
        <w:rPr>
          <w:rFonts w:ascii="Arial" w:hAnsi="Arial" w:cs="Arial"/>
          <w:lang w:val="en-US"/>
        </w:rPr>
        <w:t>90. https://doi.org/10.1021/nn203817t.</w:t>
      </w:r>
    </w:p>
    <w:p w14:paraId="3AA2DF31" w14:textId="77777777" w:rsidR="00875A65" w:rsidRPr="00875A65" w:rsidRDefault="00875A65" w:rsidP="00202EAD">
      <w:pPr>
        <w:jc w:val="both"/>
      </w:pPr>
    </w:p>
    <w:p w14:paraId="04B2D49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Miremadi, Seyed Reza, Hugo De Bruyn, Harold Steyaert, Katrijn Princen, Mehran M. Sabzevar, et Jan Cosyn. 2014. « A Randomized Controlled Trial on Immediate Surgery versus Root Planing in Patients with Advanced Periodontal Disease: A Cost-Effectiveness Analysis ». </w:t>
      </w:r>
      <w:r w:rsidRPr="0087715B">
        <w:rPr>
          <w:rFonts w:ascii="Arial" w:hAnsi="Arial" w:cs="Arial"/>
          <w:i/>
          <w:iCs/>
          <w:lang w:val="en-US"/>
        </w:rPr>
        <w:t>Journal of Clinical Periodontology</w:t>
      </w:r>
      <w:r w:rsidRPr="0087715B">
        <w:rPr>
          <w:rFonts w:ascii="Arial" w:hAnsi="Arial" w:cs="Arial"/>
          <w:lang w:val="en-US"/>
        </w:rPr>
        <w:t xml:space="preserve"> 41 (2): 164</w:t>
      </w:r>
      <w:r w:rsidRPr="0087715B">
        <w:rPr>
          <w:rFonts w:ascii="American Typewriter" w:hAnsi="American Typewriter" w:cs="American Typewriter"/>
          <w:lang w:val="en-US"/>
        </w:rPr>
        <w:t>‑</w:t>
      </w:r>
      <w:r w:rsidRPr="0087715B">
        <w:rPr>
          <w:rFonts w:ascii="Arial" w:hAnsi="Arial" w:cs="Arial"/>
          <w:lang w:val="en-US"/>
        </w:rPr>
        <w:t>71. https://doi.org/10.1111/jcpe.12201.</w:t>
      </w:r>
    </w:p>
    <w:p w14:paraId="64CF4A73" w14:textId="77777777" w:rsidR="00202EAD" w:rsidRPr="00202EAD" w:rsidRDefault="00202EAD" w:rsidP="00202EAD"/>
    <w:p w14:paraId="5B92BA0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Montero, Javier, Guillermo Manzano, et Alberto Albaladejo. 2014. « The Role of Topical Simvastatin on Bone Regeneration: A Systematic Review ». </w:t>
      </w:r>
      <w:r w:rsidRPr="0087715B">
        <w:rPr>
          <w:rFonts w:ascii="Arial" w:hAnsi="Arial" w:cs="Arial"/>
          <w:i/>
          <w:iCs/>
          <w:lang w:val="en-US"/>
        </w:rPr>
        <w:t>Journal of Clinical and Experimental Dentistry</w:t>
      </w:r>
      <w:r w:rsidRPr="0087715B">
        <w:rPr>
          <w:rFonts w:ascii="Arial" w:hAnsi="Arial" w:cs="Arial"/>
          <w:lang w:val="en-US"/>
        </w:rPr>
        <w:t xml:space="preserve"> 6 (3): e286-290. https://doi.org/10.4317/jced.51415.</w:t>
      </w:r>
    </w:p>
    <w:p w14:paraId="15592BBA" w14:textId="77777777" w:rsidR="00875A65" w:rsidRPr="00875A65" w:rsidRDefault="00875A65" w:rsidP="00202EAD">
      <w:pPr>
        <w:jc w:val="both"/>
      </w:pPr>
    </w:p>
    <w:p w14:paraId="26F7DDE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Morand, David-Nicolas, Olivier Huck, Laetitia Keller, Nadia Jessel, Henri Tenenbaum, et Jean-Luc Davideau. 2015. « Active Nanofibrous Membrane Effects on Gingival Cell Inflammatory Response ». </w:t>
      </w:r>
      <w:r w:rsidRPr="0087715B">
        <w:rPr>
          <w:rFonts w:ascii="Arial" w:hAnsi="Arial" w:cs="Arial"/>
          <w:i/>
          <w:iCs/>
          <w:lang w:val="en-US"/>
        </w:rPr>
        <w:t>Materials</w:t>
      </w:r>
      <w:r w:rsidRPr="0087715B">
        <w:rPr>
          <w:rFonts w:ascii="Arial" w:hAnsi="Arial" w:cs="Arial"/>
          <w:lang w:val="en-US"/>
        </w:rPr>
        <w:t xml:space="preserve"> 8 (10): 7217</w:t>
      </w:r>
      <w:r w:rsidRPr="0087715B">
        <w:rPr>
          <w:rFonts w:ascii="American Typewriter" w:hAnsi="American Typewriter" w:cs="American Typewriter"/>
          <w:lang w:val="en-US"/>
        </w:rPr>
        <w:t>‑</w:t>
      </w:r>
      <w:r w:rsidRPr="0087715B">
        <w:rPr>
          <w:rFonts w:ascii="Arial" w:hAnsi="Arial" w:cs="Arial"/>
          <w:lang w:val="en-US"/>
        </w:rPr>
        <w:t>29. https://doi.org/10.3390/ma8105376.</w:t>
      </w:r>
    </w:p>
    <w:p w14:paraId="18EF38A4" w14:textId="77777777" w:rsidR="00875A65" w:rsidRPr="00875A65" w:rsidRDefault="00875A65" w:rsidP="00202EAD">
      <w:pPr>
        <w:jc w:val="both"/>
      </w:pPr>
    </w:p>
    <w:p w14:paraId="0E090A0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Morand, Dn, J-L Davideau, F Clauss, N Jessel, H Tenenbaum, et O Huck. 2017. « Cytokines during Periodontal Wound Healing: Potential Application for New Therapeutic Approach ». </w:t>
      </w:r>
      <w:r w:rsidRPr="0087715B">
        <w:rPr>
          <w:rFonts w:ascii="Arial" w:hAnsi="Arial" w:cs="Arial"/>
          <w:i/>
          <w:iCs/>
          <w:lang w:val="en-US"/>
        </w:rPr>
        <w:t>Oral Diseases</w:t>
      </w:r>
      <w:r w:rsidRPr="0087715B">
        <w:rPr>
          <w:rFonts w:ascii="Arial" w:hAnsi="Arial" w:cs="Arial"/>
          <w:lang w:val="en-US"/>
        </w:rPr>
        <w:t xml:space="preserve"> 23 (3): 300</w:t>
      </w:r>
      <w:r w:rsidRPr="0087715B">
        <w:rPr>
          <w:rFonts w:ascii="American Typewriter" w:hAnsi="American Typewriter" w:cs="American Typewriter"/>
          <w:lang w:val="en-US"/>
        </w:rPr>
        <w:t>‑</w:t>
      </w:r>
      <w:r w:rsidRPr="0087715B">
        <w:rPr>
          <w:rFonts w:ascii="Arial" w:hAnsi="Arial" w:cs="Arial"/>
          <w:lang w:val="en-US"/>
        </w:rPr>
        <w:t>311. https://doi.org/10.1111/odi.12469.</w:t>
      </w:r>
    </w:p>
    <w:p w14:paraId="2C5CBCA7" w14:textId="77777777" w:rsidR="00875A65" w:rsidRPr="00875A65" w:rsidRDefault="00875A65" w:rsidP="00202EAD">
      <w:pPr>
        <w:jc w:val="both"/>
      </w:pPr>
    </w:p>
    <w:p w14:paraId="0BD2E5A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Mustafa, Manal, Ahmed Zarrough, Anne Isine Bolstad, Henning Lygre, Kamal Mustafa, Hatice Hasturk, Charles Serhan, Alpdogan Kantarci, et Thomas E. Van Dyke. 2013. « Resolvin D1 Protects Periodontal Ligament ». </w:t>
      </w:r>
      <w:r w:rsidRPr="0087715B">
        <w:rPr>
          <w:rFonts w:ascii="Arial" w:hAnsi="Arial" w:cs="Arial"/>
          <w:i/>
          <w:iCs/>
          <w:lang w:val="en-US"/>
        </w:rPr>
        <w:t>American Journal of Physiology. Cell Physiology</w:t>
      </w:r>
      <w:r w:rsidRPr="0087715B">
        <w:rPr>
          <w:rFonts w:ascii="Arial" w:hAnsi="Arial" w:cs="Arial"/>
          <w:lang w:val="en-US"/>
        </w:rPr>
        <w:t xml:space="preserve"> 305 (6): C673-679. https://doi.org/10.1152/ajpcell.00242.2012.</w:t>
      </w:r>
    </w:p>
    <w:p w14:paraId="7CBE1AAC" w14:textId="77777777" w:rsidR="00875A65" w:rsidRPr="00875A65" w:rsidRDefault="00875A65" w:rsidP="00202EAD">
      <w:pPr>
        <w:jc w:val="both"/>
      </w:pPr>
    </w:p>
    <w:p w14:paraId="34C1A84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Nassar, Carlos Augusto, Guilherme Degani Battistetti, Flávia Pardo Salata Nahsan, Joice Olegário, Juliana Marconato, Caroline Fernandes Marin, Daniele Marin Faccioni, Karine Figueiredo da Costa, Luciana Bill Mikito Kottwitz, et Patricia Oehlmeyer Nassar. 2014. « Evaluation of the Effect of Simvastatin on the Progression of Alveolar Bone Loss in Experimental Periodontitis--an Animal Study ». </w:t>
      </w:r>
      <w:r w:rsidRPr="0087715B">
        <w:rPr>
          <w:rFonts w:ascii="Arial" w:hAnsi="Arial" w:cs="Arial"/>
          <w:i/>
          <w:iCs/>
          <w:lang w:val="en-US"/>
        </w:rPr>
        <w:t>Journal of the International Academy of Periodontology</w:t>
      </w:r>
      <w:r w:rsidRPr="0087715B">
        <w:rPr>
          <w:rFonts w:ascii="Arial" w:hAnsi="Arial" w:cs="Arial"/>
          <w:lang w:val="en-US"/>
        </w:rPr>
        <w:t xml:space="preserve"> 16 (1): 2</w:t>
      </w:r>
      <w:r w:rsidRPr="0087715B">
        <w:rPr>
          <w:rFonts w:ascii="American Typewriter" w:hAnsi="American Typewriter" w:cs="American Typewriter"/>
          <w:lang w:val="en-US"/>
        </w:rPr>
        <w:t>‑</w:t>
      </w:r>
      <w:r w:rsidRPr="0087715B">
        <w:rPr>
          <w:rFonts w:ascii="Arial" w:hAnsi="Arial" w:cs="Arial"/>
          <w:lang w:val="en-US"/>
        </w:rPr>
        <w:t>7.</w:t>
      </w:r>
    </w:p>
    <w:p w14:paraId="7F67FD9B" w14:textId="77777777" w:rsidR="00202EAD" w:rsidRPr="00202EAD" w:rsidRDefault="00202EAD" w:rsidP="00202EAD"/>
    <w:p w14:paraId="0460F5B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Ong, G. 1998. « Periodontal Disease and Tooth Loss ». </w:t>
      </w:r>
      <w:r w:rsidRPr="0087715B">
        <w:rPr>
          <w:rFonts w:ascii="Arial" w:hAnsi="Arial" w:cs="Arial"/>
          <w:i/>
          <w:iCs/>
          <w:lang w:val="en-US"/>
        </w:rPr>
        <w:t>International Dental Journal</w:t>
      </w:r>
      <w:r w:rsidRPr="0087715B">
        <w:rPr>
          <w:rFonts w:ascii="Arial" w:hAnsi="Arial" w:cs="Arial"/>
          <w:lang w:val="en-US"/>
        </w:rPr>
        <w:t xml:space="preserve"> 48 (3 Suppl 1): 233</w:t>
      </w:r>
      <w:r w:rsidRPr="0087715B">
        <w:rPr>
          <w:rFonts w:ascii="American Typewriter" w:hAnsi="American Typewriter" w:cs="American Typewriter"/>
          <w:lang w:val="en-US"/>
        </w:rPr>
        <w:t>‑</w:t>
      </w:r>
      <w:r w:rsidRPr="0087715B">
        <w:rPr>
          <w:rFonts w:ascii="Arial" w:hAnsi="Arial" w:cs="Arial"/>
          <w:lang w:val="en-US"/>
        </w:rPr>
        <w:t>38.</w:t>
      </w:r>
    </w:p>
    <w:p w14:paraId="241227AE" w14:textId="77777777" w:rsidR="00875A65" w:rsidRPr="00875A65" w:rsidRDefault="00875A65" w:rsidP="00202EAD">
      <w:pPr>
        <w:jc w:val="both"/>
      </w:pPr>
    </w:p>
    <w:p w14:paraId="16BE81F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Osta, Bilal, Giulia Benedetti, et Pierre Miossec. 2014. « Classical and Paradoxical Effects of TNF-α on Bone Homeostasis ». </w:t>
      </w:r>
      <w:r w:rsidRPr="0087715B">
        <w:rPr>
          <w:rFonts w:ascii="Arial" w:hAnsi="Arial" w:cs="Arial"/>
          <w:i/>
          <w:iCs/>
          <w:lang w:val="en-US"/>
        </w:rPr>
        <w:t>Frontiers in Immunology</w:t>
      </w:r>
      <w:r w:rsidRPr="0087715B">
        <w:rPr>
          <w:rFonts w:ascii="Arial" w:hAnsi="Arial" w:cs="Arial"/>
          <w:lang w:val="en-US"/>
        </w:rPr>
        <w:t xml:space="preserve"> 5 (février). https://doi.org/10.3389/fimmu.2014.00048.</w:t>
      </w:r>
    </w:p>
    <w:p w14:paraId="678906F7" w14:textId="77777777" w:rsidR="00875A65" w:rsidRPr="00875A65" w:rsidRDefault="00875A65" w:rsidP="00202EAD">
      <w:pPr>
        <w:jc w:val="both"/>
      </w:pPr>
    </w:p>
    <w:p w14:paraId="258C7B1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Ozgören, Ozgür, Hakan Develioglu, Güliz Güncü, Abdullah Akman, et Ezel Berker. 2014. « The Adjunctive Effect of Tenoxicam during Non-Surgical Periodontal Treatment on Clinical Parameters and Gingival Crevicular Fluid Levels of MMP-8 and TNF-α in Patients with Chronic Periodontitis - Randomized, Double-Blind Clinical Trial ». </w:t>
      </w:r>
      <w:r w:rsidRPr="0087715B">
        <w:rPr>
          <w:rFonts w:ascii="Arial" w:hAnsi="Arial" w:cs="Arial"/>
          <w:i/>
          <w:iCs/>
          <w:lang w:val="en-US"/>
        </w:rPr>
        <w:t>Advances in Clinical and Experimental Medicine: Official Organ Wroclaw Medical University</w:t>
      </w:r>
      <w:r w:rsidRPr="0087715B">
        <w:rPr>
          <w:rFonts w:ascii="Arial" w:hAnsi="Arial" w:cs="Arial"/>
          <w:lang w:val="en-US"/>
        </w:rPr>
        <w:t xml:space="preserve"> 23 (4): 559</w:t>
      </w:r>
      <w:r w:rsidRPr="0087715B">
        <w:rPr>
          <w:rFonts w:ascii="American Typewriter" w:hAnsi="American Typewriter" w:cs="American Typewriter"/>
          <w:lang w:val="en-US"/>
        </w:rPr>
        <w:t>‑</w:t>
      </w:r>
      <w:r w:rsidRPr="0087715B">
        <w:rPr>
          <w:rFonts w:ascii="Arial" w:hAnsi="Arial" w:cs="Arial"/>
          <w:lang w:val="en-US"/>
        </w:rPr>
        <w:t>65.</w:t>
      </w:r>
    </w:p>
    <w:p w14:paraId="0EDD19E2" w14:textId="77777777" w:rsidR="00875A65" w:rsidRPr="00875A65" w:rsidRDefault="00875A65" w:rsidP="00202EAD">
      <w:pPr>
        <w:jc w:val="both"/>
      </w:pPr>
    </w:p>
    <w:p w14:paraId="195B924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Pakyari, Mohammadreza, Ali Farrokhi, Mohsen Khosravi Maharlooei, et Aziz Ghahary. 2013. « Critical Role of Transforming Growth Factor Beta in Different Phases of Wound Healing ». </w:t>
      </w:r>
      <w:r w:rsidRPr="0087715B">
        <w:rPr>
          <w:rFonts w:ascii="Arial" w:hAnsi="Arial" w:cs="Arial"/>
          <w:i/>
          <w:iCs/>
          <w:lang w:val="en-US"/>
        </w:rPr>
        <w:t>Advances in Wound Care</w:t>
      </w:r>
      <w:r w:rsidRPr="0087715B">
        <w:rPr>
          <w:rFonts w:ascii="Arial" w:hAnsi="Arial" w:cs="Arial"/>
          <w:lang w:val="en-US"/>
        </w:rPr>
        <w:t xml:space="preserve"> 2 (5): 215</w:t>
      </w:r>
      <w:r w:rsidRPr="0087715B">
        <w:rPr>
          <w:rFonts w:ascii="American Typewriter" w:hAnsi="American Typewriter" w:cs="American Typewriter"/>
          <w:lang w:val="en-US"/>
        </w:rPr>
        <w:t>‑</w:t>
      </w:r>
      <w:r w:rsidRPr="0087715B">
        <w:rPr>
          <w:rFonts w:ascii="Arial" w:hAnsi="Arial" w:cs="Arial"/>
          <w:lang w:val="en-US"/>
        </w:rPr>
        <w:t>24. https://doi.org/10.1089/wound.2012.0406.</w:t>
      </w:r>
    </w:p>
    <w:p w14:paraId="5336B902" w14:textId="77777777" w:rsidR="00875A65" w:rsidRPr="00875A65" w:rsidRDefault="00875A65" w:rsidP="00202EAD">
      <w:pPr>
        <w:jc w:val="both"/>
      </w:pPr>
    </w:p>
    <w:p w14:paraId="69067A1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Park, Chan Ho, Hector F. Rios, Andrei D. Taut, Miguel Padial-Molina, Colleen L. Flanagan, Sophia P. Pilipchuk, Scott J. Hollister, et William V. Giannobile. 2014. « Image-Based, Fiber Guiding Scaffolds: A Platform for Regenerating Tissue Interfaces ». </w:t>
      </w:r>
      <w:r w:rsidRPr="0087715B">
        <w:rPr>
          <w:rFonts w:ascii="Arial" w:hAnsi="Arial" w:cs="Arial"/>
          <w:i/>
          <w:iCs/>
          <w:lang w:val="en-US"/>
        </w:rPr>
        <w:t>Tissue Engineering. Part C, Methods</w:t>
      </w:r>
      <w:r w:rsidRPr="0087715B">
        <w:rPr>
          <w:rFonts w:ascii="Arial" w:hAnsi="Arial" w:cs="Arial"/>
          <w:lang w:val="en-US"/>
        </w:rPr>
        <w:t xml:space="preserve"> 20 (7): 533</w:t>
      </w:r>
      <w:r w:rsidRPr="0087715B">
        <w:rPr>
          <w:rFonts w:ascii="American Typewriter" w:hAnsi="American Typewriter" w:cs="American Typewriter"/>
          <w:lang w:val="en-US"/>
        </w:rPr>
        <w:t>‑</w:t>
      </w:r>
      <w:r w:rsidRPr="0087715B">
        <w:rPr>
          <w:rFonts w:ascii="Arial" w:hAnsi="Arial" w:cs="Arial"/>
          <w:lang w:val="en-US"/>
        </w:rPr>
        <w:t>42. https://doi.org/10.1089/ten.tec.2013.0619.</w:t>
      </w:r>
    </w:p>
    <w:p w14:paraId="75646D9F" w14:textId="77777777" w:rsidR="00875A65" w:rsidRPr="00875A65" w:rsidRDefault="00875A65" w:rsidP="00202EAD">
      <w:pPr>
        <w:jc w:val="both"/>
      </w:pPr>
    </w:p>
    <w:p w14:paraId="388794B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Penn, Jack W., Adriaan O. Grobbelaar, et Kerstin J. Rolfe. 2012. « The Role of the TGF-β Family in Wound Healing, Burns and Scarring: A Review ». </w:t>
      </w:r>
      <w:r w:rsidRPr="0087715B">
        <w:rPr>
          <w:rFonts w:ascii="Arial" w:hAnsi="Arial" w:cs="Arial"/>
          <w:i/>
          <w:iCs/>
          <w:lang w:val="en-US"/>
        </w:rPr>
        <w:t>International Journal of Burns and Trauma</w:t>
      </w:r>
      <w:r w:rsidRPr="0087715B">
        <w:rPr>
          <w:rFonts w:ascii="Arial" w:hAnsi="Arial" w:cs="Arial"/>
          <w:lang w:val="en-US"/>
        </w:rPr>
        <w:t xml:space="preserve"> 2 (1): 18</w:t>
      </w:r>
      <w:r w:rsidRPr="0087715B">
        <w:rPr>
          <w:rFonts w:ascii="American Typewriter" w:hAnsi="American Typewriter" w:cs="American Typewriter"/>
          <w:lang w:val="en-US"/>
        </w:rPr>
        <w:t>‑</w:t>
      </w:r>
      <w:r w:rsidRPr="0087715B">
        <w:rPr>
          <w:rFonts w:ascii="Arial" w:hAnsi="Arial" w:cs="Arial"/>
          <w:lang w:val="en-US"/>
        </w:rPr>
        <w:t>28.</w:t>
      </w:r>
    </w:p>
    <w:p w14:paraId="28CE5C2F" w14:textId="77777777" w:rsidR="00875A65" w:rsidRPr="00875A65" w:rsidRDefault="00875A65" w:rsidP="00202EAD">
      <w:pPr>
        <w:jc w:val="both"/>
      </w:pPr>
    </w:p>
    <w:p w14:paraId="4460CC5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Pihlstrom, Bruce L., Bryan S. Michalowicz, et Newell W. Johnson. 2005. « Periodontal Diseases ». </w:t>
      </w:r>
      <w:r w:rsidRPr="0087715B">
        <w:rPr>
          <w:rFonts w:ascii="Arial" w:hAnsi="Arial" w:cs="Arial"/>
          <w:i/>
          <w:iCs/>
          <w:lang w:val="en-US"/>
        </w:rPr>
        <w:t>Lancet (London, England)</w:t>
      </w:r>
      <w:r w:rsidRPr="0087715B">
        <w:rPr>
          <w:rFonts w:ascii="Arial" w:hAnsi="Arial" w:cs="Arial"/>
          <w:lang w:val="en-US"/>
        </w:rPr>
        <w:t xml:space="preserve"> 366 (9499): 1809</w:t>
      </w:r>
      <w:r w:rsidRPr="0087715B">
        <w:rPr>
          <w:rFonts w:ascii="American Typewriter" w:hAnsi="American Typewriter" w:cs="American Typewriter"/>
          <w:lang w:val="en-US"/>
        </w:rPr>
        <w:t>‑</w:t>
      </w:r>
      <w:r w:rsidRPr="0087715B">
        <w:rPr>
          <w:rFonts w:ascii="Arial" w:hAnsi="Arial" w:cs="Arial"/>
          <w:lang w:val="en-US"/>
        </w:rPr>
        <w:t>20. https://doi.org/10.1016/S0140-6736(05)67728-8.</w:t>
      </w:r>
    </w:p>
    <w:p w14:paraId="0FB32E73" w14:textId="77777777" w:rsidR="00875A65" w:rsidRPr="00875A65" w:rsidRDefault="00875A65" w:rsidP="00202EAD">
      <w:pPr>
        <w:jc w:val="both"/>
      </w:pPr>
    </w:p>
    <w:p w14:paraId="508C886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Pinho, Márcia de Noronha, Leonardo Bíscaro Pereira, Sérgio Luís Scombatti de Souza, Daniela Bazan Palioto, Márcio Fernando de Moraes Grisi, Arthur Belém Novaes, et Mario Taba. 2008. « Short-Term Effect of COX-2 Selective Inhibitor as an Adjunct for the Treatment of Periodontal Disease: A Clinical Double-Blind Study in Humans ». </w:t>
      </w:r>
      <w:r w:rsidRPr="0087715B">
        <w:rPr>
          <w:rFonts w:ascii="Arial" w:hAnsi="Arial" w:cs="Arial"/>
          <w:i/>
          <w:iCs/>
          <w:lang w:val="en-US"/>
        </w:rPr>
        <w:t>Brazilian Dental Journal</w:t>
      </w:r>
      <w:r w:rsidRPr="0087715B">
        <w:rPr>
          <w:rFonts w:ascii="Arial" w:hAnsi="Arial" w:cs="Arial"/>
          <w:lang w:val="en-US"/>
        </w:rPr>
        <w:t xml:space="preserve"> 19 (4): 323</w:t>
      </w:r>
      <w:r w:rsidRPr="0087715B">
        <w:rPr>
          <w:rFonts w:ascii="American Typewriter" w:hAnsi="American Typewriter" w:cs="American Typewriter"/>
          <w:lang w:val="en-US"/>
        </w:rPr>
        <w:t>‑</w:t>
      </w:r>
      <w:r w:rsidRPr="0087715B">
        <w:rPr>
          <w:rFonts w:ascii="Arial" w:hAnsi="Arial" w:cs="Arial"/>
          <w:lang w:val="en-US"/>
        </w:rPr>
        <w:t>28.</w:t>
      </w:r>
    </w:p>
    <w:p w14:paraId="6809AE2B" w14:textId="77777777" w:rsidR="00875A65" w:rsidRPr="00875A65" w:rsidRDefault="00875A65" w:rsidP="00202EAD">
      <w:pPr>
        <w:jc w:val="both"/>
      </w:pPr>
    </w:p>
    <w:p w14:paraId="3A5A1DAE"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Pouliot, Marc, Clary B. Clish, Nicos A. Petasis, Thomas E. Van Dyke, et Charles N. Serhan. 2000. « Lipoxin A4 Analogues Inhibit Leukocyte Recruitment to Porphyromonas gingivalis:  A Role for Cyclooxygenase-2 and Lipoxins in Periodontal Disease ». </w:t>
      </w:r>
      <w:r w:rsidRPr="0087715B">
        <w:rPr>
          <w:rFonts w:ascii="Arial" w:hAnsi="Arial" w:cs="Arial"/>
          <w:i/>
          <w:iCs/>
          <w:lang w:val="en-US"/>
        </w:rPr>
        <w:t>Biochemistry</w:t>
      </w:r>
      <w:r w:rsidRPr="0087715B">
        <w:rPr>
          <w:rFonts w:ascii="Arial" w:hAnsi="Arial" w:cs="Arial"/>
          <w:lang w:val="en-US"/>
        </w:rPr>
        <w:t xml:space="preserve"> 39 (16): 4761</w:t>
      </w:r>
      <w:r w:rsidRPr="0087715B">
        <w:rPr>
          <w:rFonts w:ascii="American Typewriter" w:hAnsi="American Typewriter" w:cs="American Typewriter"/>
          <w:lang w:val="en-US"/>
        </w:rPr>
        <w:t>‑</w:t>
      </w:r>
      <w:r w:rsidRPr="0087715B">
        <w:rPr>
          <w:rFonts w:ascii="Arial" w:hAnsi="Arial" w:cs="Arial"/>
          <w:lang w:val="en-US"/>
        </w:rPr>
        <w:t>68. https://doi.org/10.1021/bi992551b.</w:t>
      </w:r>
    </w:p>
    <w:p w14:paraId="566B90E5" w14:textId="77777777" w:rsidR="00875A65" w:rsidRPr="00875A65" w:rsidRDefault="00875A65" w:rsidP="00202EAD">
      <w:pPr>
        <w:jc w:val="both"/>
      </w:pPr>
    </w:p>
    <w:p w14:paraId="2E31678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Shruti Karvekar, Kanika Nagpal, Kaushik Patnaik, C. N. Guruprasad, et K. M. Kumaraswamy. 2015. « Efficacy of Locally Delivered 1.2% Rosuvastatin Gel to Non-Surgical Treatment of Patients with Chronic Periodontitis: A Randomized, Placebo-Controlled Clinical Trial ». </w:t>
      </w:r>
      <w:r w:rsidRPr="0087715B">
        <w:rPr>
          <w:rFonts w:ascii="Arial" w:hAnsi="Arial" w:cs="Arial"/>
          <w:i/>
          <w:iCs/>
          <w:lang w:val="en-US"/>
        </w:rPr>
        <w:t>Journal of Periodontology</w:t>
      </w:r>
      <w:r w:rsidRPr="0087715B">
        <w:rPr>
          <w:rFonts w:ascii="Arial" w:hAnsi="Arial" w:cs="Arial"/>
          <w:lang w:val="en-US"/>
        </w:rPr>
        <w:t xml:space="preserve"> 86 (6): 738</w:t>
      </w:r>
      <w:r w:rsidRPr="0087715B">
        <w:rPr>
          <w:rFonts w:ascii="American Typewriter" w:hAnsi="American Typewriter" w:cs="American Typewriter"/>
          <w:lang w:val="en-US"/>
        </w:rPr>
        <w:t>‑</w:t>
      </w:r>
      <w:r w:rsidRPr="0087715B">
        <w:rPr>
          <w:rFonts w:ascii="Arial" w:hAnsi="Arial" w:cs="Arial"/>
          <w:lang w:val="en-US"/>
        </w:rPr>
        <w:t>45. https://doi.org/10.1902/jop.2015.140631.</w:t>
      </w:r>
    </w:p>
    <w:p w14:paraId="77A282E5" w14:textId="77777777" w:rsidR="00875A65" w:rsidRPr="00875A65" w:rsidRDefault="00875A65" w:rsidP="00202EAD">
      <w:pPr>
        <w:jc w:val="both"/>
      </w:pPr>
    </w:p>
    <w:p w14:paraId="385CFB7C"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Minal Kumari, Nishanth S. Rao, Santosh S. Martande, et Savitha B. Naik. 2013. « Clinical Efficacy of Subgingivally Delivered 1.2% Atorvastatin in Chronic Periodontitis: A Randomized Controlled Clinical Trial ». </w:t>
      </w:r>
      <w:r w:rsidRPr="0087715B">
        <w:rPr>
          <w:rFonts w:ascii="Arial" w:hAnsi="Arial" w:cs="Arial"/>
          <w:i/>
          <w:iCs/>
          <w:lang w:val="en-US"/>
        </w:rPr>
        <w:t>Journal of Periodontology</w:t>
      </w:r>
      <w:r w:rsidRPr="0087715B">
        <w:rPr>
          <w:rFonts w:ascii="Arial" w:hAnsi="Arial" w:cs="Arial"/>
          <w:lang w:val="en-US"/>
        </w:rPr>
        <w:t xml:space="preserve"> 84 (7): 871</w:t>
      </w:r>
      <w:r w:rsidRPr="0087715B">
        <w:rPr>
          <w:rFonts w:ascii="American Typewriter" w:hAnsi="American Typewriter" w:cs="American Typewriter"/>
          <w:lang w:val="en-US"/>
        </w:rPr>
        <w:t>‑</w:t>
      </w:r>
      <w:r w:rsidRPr="0087715B">
        <w:rPr>
          <w:rFonts w:ascii="Arial" w:hAnsi="Arial" w:cs="Arial"/>
          <w:lang w:val="en-US"/>
        </w:rPr>
        <w:t>79. https://doi.org/10.1902/jop.2012.120393.</w:t>
      </w:r>
    </w:p>
    <w:p w14:paraId="30848600" w14:textId="77777777" w:rsidR="00875A65" w:rsidRPr="00875A65" w:rsidRDefault="00875A65" w:rsidP="00202EAD">
      <w:pPr>
        <w:jc w:val="both"/>
      </w:pPr>
    </w:p>
    <w:p w14:paraId="6228974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 R., Nishanth S. Rao, Pavan Bajaj, et Minal Kumari. 2013. « Efficacy of Subgingivally Delivered Simvastatin in the Treatment of Patients with Type 2 Diabetes and Chronic Periodontitis: A Randomized Double-Masked Controlled Clinical Trial ». </w:t>
      </w:r>
      <w:r w:rsidRPr="0087715B">
        <w:rPr>
          <w:rFonts w:ascii="Arial" w:hAnsi="Arial" w:cs="Arial"/>
          <w:i/>
          <w:iCs/>
          <w:lang w:val="en-US"/>
        </w:rPr>
        <w:t>Journal of Periodontology</w:t>
      </w:r>
      <w:r w:rsidRPr="0087715B">
        <w:rPr>
          <w:rFonts w:ascii="Arial" w:hAnsi="Arial" w:cs="Arial"/>
          <w:lang w:val="en-US"/>
        </w:rPr>
        <w:t xml:space="preserve"> 84 (1): 24</w:t>
      </w:r>
      <w:r w:rsidRPr="0087715B">
        <w:rPr>
          <w:rFonts w:ascii="American Typewriter" w:hAnsi="American Typewriter" w:cs="American Typewriter"/>
          <w:lang w:val="en-US"/>
        </w:rPr>
        <w:t>‑</w:t>
      </w:r>
      <w:r w:rsidRPr="0087715B">
        <w:rPr>
          <w:rFonts w:ascii="Arial" w:hAnsi="Arial" w:cs="Arial"/>
          <w:lang w:val="en-US"/>
        </w:rPr>
        <w:t>31. https://doi.org/10.1902/jop.2012.110721.</w:t>
      </w:r>
    </w:p>
    <w:p w14:paraId="67157CBF" w14:textId="77777777" w:rsidR="00875A65" w:rsidRPr="00875A65" w:rsidRDefault="00875A65" w:rsidP="00202EAD">
      <w:pPr>
        <w:jc w:val="both"/>
      </w:pPr>
    </w:p>
    <w:p w14:paraId="4A40EA8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Pradeep, Avani R., et Manojkumar S. Thorat. 2010. « Clinical Effect of Subgingivally Delivered Simvastatin in the Treatment of Patients with Chronic Periodontitis: A Randomized Clinical Trial ». </w:t>
      </w:r>
      <w:r w:rsidRPr="0087715B">
        <w:rPr>
          <w:rFonts w:ascii="Arial" w:hAnsi="Arial" w:cs="Arial"/>
          <w:i/>
          <w:iCs/>
          <w:lang w:val="en-US"/>
        </w:rPr>
        <w:t>Journal of Periodontology</w:t>
      </w:r>
      <w:r w:rsidRPr="0087715B">
        <w:rPr>
          <w:rFonts w:ascii="Arial" w:hAnsi="Arial" w:cs="Arial"/>
          <w:lang w:val="en-US"/>
        </w:rPr>
        <w:t xml:space="preserve"> 81 (2): 214</w:t>
      </w:r>
      <w:r w:rsidRPr="0087715B">
        <w:rPr>
          <w:rFonts w:ascii="American Typewriter" w:hAnsi="American Typewriter" w:cs="American Typewriter"/>
          <w:lang w:val="en-US"/>
        </w:rPr>
        <w:t>‑</w:t>
      </w:r>
      <w:r w:rsidRPr="0087715B">
        <w:rPr>
          <w:rFonts w:ascii="Arial" w:hAnsi="Arial" w:cs="Arial"/>
          <w:lang w:val="en-US"/>
        </w:rPr>
        <w:t>22. https://doi.org/10.1902/jop.2009.090429.</w:t>
      </w:r>
    </w:p>
    <w:p w14:paraId="3E5FA7EB" w14:textId="77777777" w:rsidR="00875A65" w:rsidRPr="00875A65" w:rsidRDefault="00875A65" w:rsidP="00202EAD">
      <w:pPr>
        <w:jc w:val="both"/>
      </w:pPr>
    </w:p>
    <w:p w14:paraId="3771B4B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Prystaz, Katja, Kathrin Kaiser, Anna Kovtun, Melanie Haffner-Luntzer, Verena Fischer, Anna E. Rapp, Astrid Liedert, et al. 2018. « Distinct Effects of IL-6 Classic and Trans-Signaling in Bone Fracture Healing ». </w:t>
      </w:r>
      <w:r w:rsidRPr="0087715B">
        <w:rPr>
          <w:rFonts w:ascii="Arial" w:hAnsi="Arial" w:cs="Arial"/>
          <w:i/>
          <w:iCs/>
          <w:lang w:val="en-US"/>
        </w:rPr>
        <w:t>The American Journal of Pathology</w:t>
      </w:r>
      <w:r w:rsidRPr="0087715B">
        <w:rPr>
          <w:rFonts w:ascii="Arial" w:hAnsi="Arial" w:cs="Arial"/>
          <w:lang w:val="en-US"/>
        </w:rPr>
        <w:t xml:space="preserve"> 188 (2): 474</w:t>
      </w:r>
      <w:r w:rsidRPr="0087715B">
        <w:rPr>
          <w:rFonts w:ascii="American Typewriter" w:hAnsi="American Typewriter" w:cs="American Typewriter"/>
          <w:lang w:val="en-US"/>
        </w:rPr>
        <w:t>‑</w:t>
      </w:r>
      <w:r w:rsidRPr="0087715B">
        <w:rPr>
          <w:rFonts w:ascii="Arial" w:hAnsi="Arial" w:cs="Arial"/>
          <w:lang w:val="en-US"/>
        </w:rPr>
        <w:t>90. https://doi.org/10.1016/j.ajpath.2017.10.011.</w:t>
      </w:r>
    </w:p>
    <w:p w14:paraId="76B9B7DC" w14:textId="77777777" w:rsidR="00875A65" w:rsidRPr="00875A65" w:rsidRDefault="00875A65" w:rsidP="00202EAD">
      <w:pPr>
        <w:jc w:val="both"/>
      </w:pPr>
    </w:p>
    <w:p w14:paraId="202F1731"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Qasim, Saad B., Muhammad S. Zafar, Shariq Najeeb, Zohaib Khurshid, Altaf H. Shah, Shehriar Husain, et Ihtesham Ur Rehman. 2018. « Electrospinning of Chitosan-Based Solutions for Tissue Engineering and Regenerative Medicine ». </w:t>
      </w:r>
      <w:r w:rsidRPr="0087715B">
        <w:rPr>
          <w:rFonts w:ascii="Arial" w:hAnsi="Arial" w:cs="Arial"/>
          <w:i/>
          <w:iCs/>
          <w:lang w:val="en-US"/>
        </w:rPr>
        <w:t>International Journal of Molecular Sciences</w:t>
      </w:r>
      <w:r w:rsidRPr="0087715B">
        <w:rPr>
          <w:rFonts w:ascii="Arial" w:hAnsi="Arial" w:cs="Arial"/>
          <w:lang w:val="en-US"/>
        </w:rPr>
        <w:t xml:space="preserve"> 19 (2). https://doi.org/10.3390/ijms19020407.</w:t>
      </w:r>
    </w:p>
    <w:p w14:paraId="4DCF7CCA" w14:textId="77777777" w:rsidR="00875A65" w:rsidRPr="00875A65" w:rsidRDefault="00875A65" w:rsidP="00202EAD">
      <w:pPr>
        <w:jc w:val="both"/>
      </w:pPr>
    </w:p>
    <w:p w14:paraId="4999818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Rajakariar, Ravindra, Mark Hilliard, Toby Lawrence, Seema Trivedi, Paul Colville-Nash, Geoff Bellingan, Desmond Fitzgerald, Muhammad M. Yaqoob, et Derek W. Gilroy. 2007. « Hematopoietic Prostaglandin D2 Synthase Controls the Onset and Resolution of Acute Inflammation through PGD2 and 15-DeoxyDelta12 14 PGJ2 ». </w:t>
      </w:r>
      <w:r w:rsidRPr="0087715B">
        <w:rPr>
          <w:rFonts w:ascii="Arial" w:hAnsi="Arial" w:cs="Arial"/>
          <w:i/>
          <w:iCs/>
          <w:lang w:val="en-US"/>
        </w:rPr>
        <w:t>Proceedings of the National Academy of Sciences of the United States of America</w:t>
      </w:r>
      <w:r w:rsidRPr="0087715B">
        <w:rPr>
          <w:rFonts w:ascii="Arial" w:hAnsi="Arial" w:cs="Arial"/>
          <w:lang w:val="en-US"/>
        </w:rPr>
        <w:t xml:space="preserve"> 104 (52): 20979</w:t>
      </w:r>
      <w:r w:rsidRPr="0087715B">
        <w:rPr>
          <w:rFonts w:ascii="American Typewriter" w:hAnsi="American Typewriter" w:cs="American Typewriter"/>
          <w:lang w:val="en-US"/>
        </w:rPr>
        <w:t>‑</w:t>
      </w:r>
      <w:r w:rsidRPr="0087715B">
        <w:rPr>
          <w:rFonts w:ascii="Arial" w:hAnsi="Arial" w:cs="Arial"/>
          <w:lang w:val="en-US"/>
        </w:rPr>
        <w:t>84. https://doi.org/10.1073/pnas.0707394104.</w:t>
      </w:r>
    </w:p>
    <w:p w14:paraId="2BF3339E" w14:textId="77777777" w:rsidR="00875A65" w:rsidRPr="00875A65" w:rsidRDefault="00875A65" w:rsidP="00202EAD">
      <w:pPr>
        <w:jc w:val="both"/>
      </w:pPr>
    </w:p>
    <w:p w14:paraId="210BD46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Rajakariar, Ravindra, Muhammad M. Yaqoob, et Derek W. Gilroy. 2006. « COX-2 in Inflammation and Resolution ». </w:t>
      </w:r>
      <w:r w:rsidRPr="0087715B">
        <w:rPr>
          <w:rFonts w:ascii="Arial" w:hAnsi="Arial" w:cs="Arial"/>
          <w:i/>
          <w:iCs/>
          <w:lang w:val="en-US"/>
        </w:rPr>
        <w:t>Molecular Interventions</w:t>
      </w:r>
      <w:r w:rsidRPr="0087715B">
        <w:rPr>
          <w:rFonts w:ascii="Arial" w:hAnsi="Arial" w:cs="Arial"/>
          <w:lang w:val="en-US"/>
        </w:rPr>
        <w:t xml:space="preserve"> 6 (4): 199</w:t>
      </w:r>
      <w:r w:rsidRPr="0087715B">
        <w:rPr>
          <w:rFonts w:ascii="American Typewriter" w:hAnsi="American Typewriter" w:cs="American Typewriter"/>
          <w:lang w:val="en-US"/>
        </w:rPr>
        <w:t>‑</w:t>
      </w:r>
      <w:r w:rsidRPr="0087715B">
        <w:rPr>
          <w:rFonts w:ascii="Arial" w:hAnsi="Arial" w:cs="Arial"/>
          <w:lang w:val="en-US"/>
        </w:rPr>
        <w:t>207. https://doi.org/10.1124/mi.6.4.6.</w:t>
      </w:r>
    </w:p>
    <w:p w14:paraId="2C0FECE5" w14:textId="77777777" w:rsidR="00875A65" w:rsidRPr="00875A65" w:rsidRDefault="00875A65" w:rsidP="00202EAD">
      <w:pPr>
        <w:jc w:val="both"/>
      </w:pPr>
    </w:p>
    <w:p w14:paraId="5DDFD5D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Ramseier, Christoph A., Giulio Rasperini, Salvatore Batia, et William V. Giannobile. 2012. « Advanced regenerative technologies for periodontal tissue repair ». </w:t>
      </w:r>
      <w:r w:rsidRPr="0087715B">
        <w:rPr>
          <w:rFonts w:ascii="Arial" w:hAnsi="Arial" w:cs="Arial"/>
          <w:i/>
          <w:iCs/>
          <w:lang w:val="en-US"/>
        </w:rPr>
        <w:t>Periodontology 2000</w:t>
      </w:r>
      <w:r w:rsidRPr="0087715B">
        <w:rPr>
          <w:rFonts w:ascii="Arial" w:hAnsi="Arial" w:cs="Arial"/>
          <w:lang w:val="en-US"/>
        </w:rPr>
        <w:t xml:space="preserve"> 59 (1): 185</w:t>
      </w:r>
      <w:r w:rsidRPr="0087715B">
        <w:rPr>
          <w:rFonts w:ascii="American Typewriter" w:hAnsi="American Typewriter" w:cs="American Typewriter"/>
          <w:lang w:val="en-US"/>
        </w:rPr>
        <w:t>‑</w:t>
      </w:r>
      <w:r w:rsidRPr="0087715B">
        <w:rPr>
          <w:rFonts w:ascii="Arial" w:hAnsi="Arial" w:cs="Arial"/>
          <w:lang w:val="en-US"/>
        </w:rPr>
        <w:t>202. https://doi.org/10.1111/j.1600-0757.2011.00432.x.</w:t>
      </w:r>
    </w:p>
    <w:p w14:paraId="53792FB9" w14:textId="77777777" w:rsidR="00202EAD" w:rsidRPr="00202EAD" w:rsidRDefault="00202EAD" w:rsidP="00202EAD"/>
    <w:p w14:paraId="6F1ABCC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Ricciotti, Emanuela, et Garret A. FitzGerald. 2011. « Prostaglandins and Inflammation ». </w:t>
      </w:r>
      <w:r w:rsidRPr="0087715B">
        <w:rPr>
          <w:rFonts w:ascii="Arial" w:hAnsi="Arial" w:cs="Arial"/>
          <w:i/>
          <w:iCs/>
          <w:lang w:val="en-US"/>
        </w:rPr>
        <w:t>Arteriosclerosis, Thrombosis, and Vascular Biology</w:t>
      </w:r>
      <w:r w:rsidRPr="0087715B">
        <w:rPr>
          <w:rFonts w:ascii="Arial" w:hAnsi="Arial" w:cs="Arial"/>
          <w:lang w:val="en-US"/>
        </w:rPr>
        <w:t xml:space="preserve"> 31 (5): 986</w:t>
      </w:r>
      <w:r w:rsidRPr="0087715B">
        <w:rPr>
          <w:rFonts w:ascii="American Typewriter" w:hAnsi="American Typewriter" w:cs="American Typewriter"/>
          <w:lang w:val="en-US"/>
        </w:rPr>
        <w:t>‑</w:t>
      </w:r>
      <w:r w:rsidRPr="0087715B">
        <w:rPr>
          <w:rFonts w:ascii="Arial" w:hAnsi="Arial" w:cs="Arial"/>
          <w:lang w:val="en-US"/>
        </w:rPr>
        <w:t>1000. https://doi.org/10.1161/ATVBAHA.110.207449.</w:t>
      </w:r>
    </w:p>
    <w:p w14:paraId="79FFE561" w14:textId="77777777" w:rsidR="00875A65" w:rsidRPr="00875A65" w:rsidRDefault="00875A65" w:rsidP="00202EAD">
      <w:pPr>
        <w:jc w:val="both"/>
      </w:pPr>
    </w:p>
    <w:p w14:paraId="6FC999F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Righini, C.-A., E. Motto, G. Ferretti, K. Boubagra, E. Soriano, et E. Reyt. 2007. « [Diffuse cervical cellulites and descending necrotizing mediastinitis] ». </w:t>
      </w:r>
      <w:r w:rsidRPr="0087715B">
        <w:rPr>
          <w:rFonts w:ascii="Arial" w:hAnsi="Arial" w:cs="Arial"/>
          <w:i/>
          <w:iCs/>
          <w:lang w:val="en-US"/>
        </w:rPr>
        <w:t>Annales D’oto-Laryngologie Et De Chirurgie Cervico Faciale: Bulletin De La Societe D’oto-Laryngologie Des Hopitaux De Paris</w:t>
      </w:r>
      <w:r w:rsidRPr="0087715B">
        <w:rPr>
          <w:rFonts w:ascii="Arial" w:hAnsi="Arial" w:cs="Arial"/>
          <w:lang w:val="en-US"/>
        </w:rPr>
        <w:t xml:space="preserve"> 124 (6): 292</w:t>
      </w:r>
      <w:r w:rsidRPr="0087715B">
        <w:rPr>
          <w:rFonts w:ascii="American Typewriter" w:hAnsi="American Typewriter" w:cs="American Typewriter"/>
          <w:lang w:val="en-US"/>
        </w:rPr>
        <w:t>‑</w:t>
      </w:r>
      <w:r w:rsidRPr="0087715B">
        <w:rPr>
          <w:rFonts w:ascii="Arial" w:hAnsi="Arial" w:cs="Arial"/>
          <w:lang w:val="en-US"/>
        </w:rPr>
        <w:t>300. https://doi.org/10.1016/j.aorl.2007.02.001.</w:t>
      </w:r>
    </w:p>
    <w:p w14:paraId="690FB26C" w14:textId="77777777" w:rsidR="00875A65" w:rsidRPr="00875A65" w:rsidRDefault="00875A65" w:rsidP="00202EAD">
      <w:pPr>
        <w:jc w:val="both"/>
      </w:pPr>
    </w:p>
    <w:p w14:paraId="2424EAC2"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Serhan, Charles N., Nan Chiang, et Thomas E. Van Dyke. 2008. « Resolving Inflammation: Dual Anti-Inflammatory and pro-Resolution Lipid Mediators ». </w:t>
      </w:r>
      <w:r w:rsidRPr="0087715B">
        <w:rPr>
          <w:rFonts w:ascii="Arial" w:hAnsi="Arial" w:cs="Arial"/>
          <w:i/>
          <w:iCs/>
          <w:lang w:val="en-US"/>
        </w:rPr>
        <w:t>Nature Reviews. Immunology</w:t>
      </w:r>
      <w:r w:rsidRPr="0087715B">
        <w:rPr>
          <w:rFonts w:ascii="Arial" w:hAnsi="Arial" w:cs="Arial"/>
          <w:lang w:val="en-US"/>
        </w:rPr>
        <w:t xml:space="preserve"> 8 (5): 349</w:t>
      </w:r>
      <w:r w:rsidRPr="0087715B">
        <w:rPr>
          <w:rFonts w:ascii="American Typewriter" w:hAnsi="American Typewriter" w:cs="American Typewriter"/>
          <w:lang w:val="en-US"/>
        </w:rPr>
        <w:t>‑</w:t>
      </w:r>
      <w:r w:rsidRPr="0087715B">
        <w:rPr>
          <w:rFonts w:ascii="Arial" w:hAnsi="Arial" w:cs="Arial"/>
          <w:lang w:val="en-US"/>
        </w:rPr>
        <w:t>61. https://doi.org/10.1038/nri2294.</w:t>
      </w:r>
    </w:p>
    <w:p w14:paraId="1A3CC090" w14:textId="77777777" w:rsidR="00875A65" w:rsidRPr="00875A65" w:rsidRDefault="00875A65" w:rsidP="00202EAD">
      <w:pPr>
        <w:jc w:val="both"/>
      </w:pPr>
    </w:p>
    <w:p w14:paraId="374ECD5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Seto, H., H. Ohba, K. Tokunaga, H. Hama, M. Horibe, et T. Nagata. 2008. « Topical Administration of Simvastatin Recovers Alveolar Bone Loss in Rats ». </w:t>
      </w:r>
      <w:r w:rsidRPr="0087715B">
        <w:rPr>
          <w:rFonts w:ascii="Arial" w:hAnsi="Arial" w:cs="Arial"/>
          <w:i/>
          <w:iCs/>
          <w:lang w:val="en-US"/>
        </w:rPr>
        <w:t>Journal of Periodontal Research</w:t>
      </w:r>
      <w:r w:rsidRPr="0087715B">
        <w:rPr>
          <w:rFonts w:ascii="Arial" w:hAnsi="Arial" w:cs="Arial"/>
          <w:lang w:val="en-US"/>
        </w:rPr>
        <w:t xml:space="preserve"> 43 (3): 261</w:t>
      </w:r>
      <w:r w:rsidRPr="0087715B">
        <w:rPr>
          <w:rFonts w:ascii="American Typewriter" w:hAnsi="American Typewriter" w:cs="American Typewriter"/>
          <w:lang w:val="en-US"/>
        </w:rPr>
        <w:t>‑</w:t>
      </w:r>
      <w:r w:rsidRPr="0087715B">
        <w:rPr>
          <w:rFonts w:ascii="Arial" w:hAnsi="Arial" w:cs="Arial"/>
          <w:lang w:val="en-US"/>
        </w:rPr>
        <w:t>67. https://doi.org/10.1111/j.1600-0765.2007.01024.x.</w:t>
      </w:r>
    </w:p>
    <w:p w14:paraId="27B41A4C" w14:textId="77777777" w:rsidR="00875A65" w:rsidRPr="00875A65" w:rsidRDefault="00875A65" w:rsidP="00202EAD">
      <w:pPr>
        <w:jc w:val="both"/>
      </w:pPr>
    </w:p>
    <w:p w14:paraId="6528A400"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Shiloah, Jacob, Paul S. Bland, Mark Scarbecz, Mark R. Patters, Sydney H. Stein, et David A. Tipton. 2014. « The Effect of Long-Term Aspirin Intake on the Outcome of Non-Surgical Periodontal Therapy in Smokers: A Double-Blind, Randomized Pilot Study ». </w:t>
      </w:r>
      <w:r w:rsidRPr="0087715B">
        <w:rPr>
          <w:rFonts w:ascii="Arial" w:hAnsi="Arial" w:cs="Arial"/>
          <w:i/>
          <w:iCs/>
          <w:lang w:val="en-US"/>
        </w:rPr>
        <w:t>Journal of Periodontal Research</w:t>
      </w:r>
      <w:r w:rsidRPr="0087715B">
        <w:rPr>
          <w:rFonts w:ascii="Arial" w:hAnsi="Arial" w:cs="Arial"/>
          <w:lang w:val="en-US"/>
        </w:rPr>
        <w:t xml:space="preserve"> 49 (1): 102</w:t>
      </w:r>
      <w:r w:rsidRPr="0087715B">
        <w:rPr>
          <w:rFonts w:ascii="American Typewriter" w:hAnsi="American Typewriter" w:cs="American Typewriter"/>
          <w:lang w:val="en-US"/>
        </w:rPr>
        <w:t>‑</w:t>
      </w:r>
      <w:r w:rsidRPr="0087715B">
        <w:rPr>
          <w:rFonts w:ascii="Arial" w:hAnsi="Arial" w:cs="Arial"/>
          <w:lang w:val="en-US"/>
        </w:rPr>
        <w:t>9. https://doi.org/10.1111/jre.12085.</w:t>
      </w:r>
    </w:p>
    <w:p w14:paraId="4361A21C" w14:textId="77777777" w:rsidR="00875A65" w:rsidRPr="00875A65" w:rsidRDefault="00875A65" w:rsidP="00202EAD">
      <w:pPr>
        <w:jc w:val="both"/>
      </w:pPr>
    </w:p>
    <w:p w14:paraId="6328779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Siebert, Stefan, Alexander Tsoukas, Jamie Robertson, et Iain McInnes. 2015. « Cytokines as Therapeutic Targets in Rheumatoid Arthritis and Other Inflammatory Diseases ». </w:t>
      </w:r>
      <w:r w:rsidRPr="0087715B">
        <w:rPr>
          <w:rFonts w:ascii="Arial" w:hAnsi="Arial" w:cs="Arial"/>
          <w:i/>
          <w:iCs/>
          <w:lang w:val="en-US"/>
        </w:rPr>
        <w:t>Pharmacological Reviews</w:t>
      </w:r>
      <w:r w:rsidRPr="0087715B">
        <w:rPr>
          <w:rFonts w:ascii="Arial" w:hAnsi="Arial" w:cs="Arial"/>
          <w:lang w:val="en-US"/>
        </w:rPr>
        <w:t xml:space="preserve"> 67 (2): 280</w:t>
      </w:r>
      <w:r w:rsidRPr="0087715B">
        <w:rPr>
          <w:rFonts w:ascii="American Typewriter" w:hAnsi="American Typewriter" w:cs="American Typewriter"/>
          <w:lang w:val="en-US"/>
        </w:rPr>
        <w:t>‑</w:t>
      </w:r>
      <w:r w:rsidRPr="0087715B">
        <w:rPr>
          <w:rFonts w:ascii="Arial" w:hAnsi="Arial" w:cs="Arial"/>
          <w:lang w:val="en-US"/>
        </w:rPr>
        <w:t>309. https://doi.org/10.1124/pr.114.009639.</w:t>
      </w:r>
    </w:p>
    <w:p w14:paraId="1394F779" w14:textId="77777777" w:rsidR="00875A65" w:rsidRPr="00875A65" w:rsidRDefault="00875A65" w:rsidP="00202EAD">
      <w:pPr>
        <w:jc w:val="both"/>
      </w:pPr>
    </w:p>
    <w:p w14:paraId="228051F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Skurkovich, S. V., E. G. Klinova, E. I. Eremkina, et N. V. Levina. 1974. « Immunosuppressive Effect of an Anti-Interferon Serum ». </w:t>
      </w:r>
      <w:r w:rsidRPr="0087715B">
        <w:rPr>
          <w:rFonts w:ascii="Arial" w:hAnsi="Arial" w:cs="Arial"/>
          <w:i/>
          <w:iCs/>
          <w:lang w:val="en-US"/>
        </w:rPr>
        <w:t>Nature</w:t>
      </w:r>
      <w:r w:rsidRPr="0087715B">
        <w:rPr>
          <w:rFonts w:ascii="Arial" w:hAnsi="Arial" w:cs="Arial"/>
          <w:lang w:val="en-US"/>
        </w:rPr>
        <w:t xml:space="preserve"> 247 (5442): 551</w:t>
      </w:r>
      <w:r w:rsidRPr="0087715B">
        <w:rPr>
          <w:rFonts w:ascii="American Typewriter" w:hAnsi="American Typewriter" w:cs="American Typewriter"/>
          <w:lang w:val="en-US"/>
        </w:rPr>
        <w:t>‑</w:t>
      </w:r>
      <w:r w:rsidRPr="0087715B">
        <w:rPr>
          <w:rFonts w:ascii="Arial" w:hAnsi="Arial" w:cs="Arial"/>
          <w:lang w:val="en-US"/>
        </w:rPr>
        <w:t>52.</w:t>
      </w:r>
    </w:p>
    <w:p w14:paraId="54E694A1" w14:textId="77777777" w:rsidR="00875A65" w:rsidRPr="00875A65" w:rsidRDefault="00875A65" w:rsidP="00202EAD">
      <w:pPr>
        <w:jc w:val="both"/>
      </w:pPr>
    </w:p>
    <w:p w14:paraId="2FD54B7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Souza, Kênia Soares de, Thiago Anselmo Cantaruti, Geraldo Magela Azevedo, Daniel Antero de Almeida Galdino, Claudiney Melquíades Rodrigues, Raquel Alves Costa, Nelson Monteiro Vaz, et Cláudia Rocha Carvalho. 2015. « Improved Cutaneous Wound Healing after Intraperitoneal Injection of Alpha-Melanocyte-Stimulating Hormone ». </w:t>
      </w:r>
      <w:r w:rsidRPr="0087715B">
        <w:rPr>
          <w:rFonts w:ascii="Arial" w:hAnsi="Arial" w:cs="Arial"/>
          <w:i/>
          <w:iCs/>
          <w:lang w:val="en-US"/>
        </w:rPr>
        <w:t>Experimental Dermatology</w:t>
      </w:r>
      <w:r w:rsidRPr="0087715B">
        <w:rPr>
          <w:rFonts w:ascii="Arial" w:hAnsi="Arial" w:cs="Arial"/>
          <w:lang w:val="en-US"/>
        </w:rPr>
        <w:t xml:space="preserve"> 24 (3): 198</w:t>
      </w:r>
      <w:r w:rsidRPr="0087715B">
        <w:rPr>
          <w:rFonts w:ascii="American Typewriter" w:hAnsi="American Typewriter" w:cs="American Typewriter"/>
          <w:lang w:val="en-US"/>
        </w:rPr>
        <w:t>‑</w:t>
      </w:r>
      <w:r w:rsidRPr="0087715B">
        <w:rPr>
          <w:rFonts w:ascii="Arial" w:hAnsi="Arial" w:cs="Arial"/>
          <w:lang w:val="en-US"/>
        </w:rPr>
        <w:t>203. https://doi.org/10.1111/exd.12609.</w:t>
      </w:r>
    </w:p>
    <w:p w14:paraId="2CE0BCC1" w14:textId="77777777" w:rsidR="00875A65" w:rsidRPr="00875A65" w:rsidRDefault="00875A65" w:rsidP="00202EAD">
      <w:pPr>
        <w:jc w:val="both"/>
      </w:pPr>
    </w:p>
    <w:p w14:paraId="24BD132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Suresh, Snophia, Satya Narayana, P. Jayakumar, Uma Sudhakar, et V. Pramod. 2013. « Evaluation of Anti-Inflammatory Effect of Statins in Chronic Periodontitis ». </w:t>
      </w:r>
      <w:r w:rsidRPr="0087715B">
        <w:rPr>
          <w:rFonts w:ascii="Arial" w:hAnsi="Arial" w:cs="Arial"/>
          <w:i/>
          <w:iCs/>
          <w:lang w:val="en-US"/>
        </w:rPr>
        <w:t>Indian Journal of Pharmacology</w:t>
      </w:r>
      <w:r w:rsidRPr="0087715B">
        <w:rPr>
          <w:rFonts w:ascii="Arial" w:hAnsi="Arial" w:cs="Arial"/>
          <w:lang w:val="en-US"/>
        </w:rPr>
        <w:t xml:space="preserve"> 45 (4): 391</w:t>
      </w:r>
      <w:r w:rsidRPr="0087715B">
        <w:rPr>
          <w:rFonts w:ascii="American Typewriter" w:hAnsi="American Typewriter" w:cs="American Typewriter"/>
          <w:lang w:val="en-US"/>
        </w:rPr>
        <w:t>‑</w:t>
      </w:r>
      <w:r w:rsidRPr="0087715B">
        <w:rPr>
          <w:rFonts w:ascii="Arial" w:hAnsi="Arial" w:cs="Arial"/>
          <w:lang w:val="en-US"/>
        </w:rPr>
        <w:t>94. https://doi.org/10.4103/0253-7613.115017.</w:t>
      </w:r>
    </w:p>
    <w:p w14:paraId="44B610E7" w14:textId="77777777" w:rsidR="00875A65" w:rsidRPr="00875A65" w:rsidRDefault="00875A65" w:rsidP="00202EAD">
      <w:pPr>
        <w:jc w:val="both"/>
      </w:pPr>
    </w:p>
    <w:p w14:paraId="0494DA3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Tanaka, A., H. Araki, Y. Komoike, S. Hase, et K. Takeuchi. 2001. « Inhibition of Both COX-1 and COX-2 Is Required for Development of Gastric Damage in Response to Nonsteroidal Antiinflammatory Drugs ». </w:t>
      </w:r>
      <w:r w:rsidRPr="0087715B">
        <w:rPr>
          <w:rFonts w:ascii="Arial" w:hAnsi="Arial" w:cs="Arial"/>
          <w:i/>
          <w:iCs/>
          <w:lang w:val="en-US"/>
        </w:rPr>
        <w:t>Journal of Physiology, Paris</w:t>
      </w:r>
      <w:r w:rsidRPr="0087715B">
        <w:rPr>
          <w:rFonts w:ascii="Arial" w:hAnsi="Arial" w:cs="Arial"/>
          <w:lang w:val="en-US"/>
        </w:rPr>
        <w:t xml:space="preserve"> 95 (1</w:t>
      </w:r>
      <w:r w:rsidRPr="0087715B">
        <w:rPr>
          <w:rFonts w:ascii="American Typewriter" w:hAnsi="American Typewriter" w:cs="American Typewriter"/>
          <w:lang w:val="en-US"/>
        </w:rPr>
        <w:t>‑</w:t>
      </w:r>
      <w:r w:rsidRPr="0087715B">
        <w:rPr>
          <w:rFonts w:ascii="Arial" w:hAnsi="Arial" w:cs="Arial"/>
          <w:lang w:val="en-US"/>
        </w:rPr>
        <w:t>6): 21</w:t>
      </w:r>
      <w:r w:rsidRPr="0087715B">
        <w:rPr>
          <w:rFonts w:ascii="American Typewriter" w:hAnsi="American Typewriter" w:cs="American Typewriter"/>
          <w:lang w:val="en-US"/>
        </w:rPr>
        <w:t>‑</w:t>
      </w:r>
      <w:r w:rsidRPr="0087715B">
        <w:rPr>
          <w:rFonts w:ascii="Arial" w:hAnsi="Arial" w:cs="Arial"/>
          <w:lang w:val="en-US"/>
        </w:rPr>
        <w:t>27.</w:t>
      </w:r>
    </w:p>
    <w:p w14:paraId="17B35120" w14:textId="77777777" w:rsidR="00875A65" w:rsidRPr="00875A65" w:rsidRDefault="00875A65" w:rsidP="00202EAD">
      <w:pPr>
        <w:jc w:val="both"/>
      </w:pPr>
    </w:p>
    <w:p w14:paraId="5D8382E2" w14:textId="79B1D286" w:rsidR="0087715B" w:rsidRDefault="0087715B" w:rsidP="00202EAD">
      <w:pPr>
        <w:pStyle w:val="Bibliography"/>
        <w:jc w:val="both"/>
        <w:rPr>
          <w:rFonts w:ascii="Arial" w:hAnsi="Arial" w:cs="Arial"/>
          <w:lang w:val="en-US"/>
        </w:rPr>
      </w:pPr>
      <w:r w:rsidRPr="0087715B">
        <w:rPr>
          <w:rFonts w:ascii="Arial" w:hAnsi="Arial" w:cs="Arial"/>
          <w:lang w:val="en-US"/>
        </w:rPr>
        <w:t xml:space="preserve">Toker, Hulya, Ismail Marakoglu, et Omer Poyraz. 2006. « Effect of Meloxicam on Gingival Crevicular Fluid IL-1beta and IL1 Receptor Antagonist Levels in Subjects with Chronic Periodontitis, and Its Effects on Clinical Parameters ». </w:t>
      </w:r>
      <w:r w:rsidRPr="0087715B">
        <w:rPr>
          <w:rFonts w:ascii="Arial" w:hAnsi="Arial" w:cs="Arial"/>
          <w:i/>
          <w:iCs/>
          <w:lang w:val="en-US"/>
        </w:rPr>
        <w:t>Clinical Oral Investigations</w:t>
      </w:r>
      <w:r w:rsidRPr="0087715B">
        <w:rPr>
          <w:rFonts w:ascii="Arial" w:hAnsi="Arial" w:cs="Arial"/>
          <w:lang w:val="en-US"/>
        </w:rPr>
        <w:t xml:space="preserve"> 10 (4): 305</w:t>
      </w:r>
      <w:r w:rsidRPr="0087715B">
        <w:rPr>
          <w:rFonts w:ascii="American Typewriter" w:hAnsi="American Typewriter" w:cs="American Typewriter"/>
          <w:lang w:val="en-US"/>
        </w:rPr>
        <w:t>‑</w:t>
      </w:r>
      <w:r w:rsidRPr="0087715B">
        <w:rPr>
          <w:rFonts w:ascii="Arial" w:hAnsi="Arial" w:cs="Arial"/>
          <w:lang w:val="en-US"/>
        </w:rPr>
        <w:t>10. https://doi.org/10.1007/s00784-006-0062-3.</w:t>
      </w:r>
    </w:p>
    <w:p w14:paraId="35E65BBC" w14:textId="77777777" w:rsidR="00875A65" w:rsidRPr="00875A65" w:rsidRDefault="00875A65" w:rsidP="00202EAD">
      <w:pPr>
        <w:jc w:val="both"/>
      </w:pPr>
    </w:p>
    <w:p w14:paraId="1941065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Vaquette, Cédryck, Wei Fan, Yin Xiao, Stephen Hamlet, Dietmar W. Hutmacher, et Saso Ivanovski. 2012. « A Biphasic Scaffold Design Combined with Cell Sheet Technology for Simultaneous Regeneration of Alveolar Bone/Periodontal Ligament Complex ». </w:t>
      </w:r>
      <w:r w:rsidRPr="0087715B">
        <w:rPr>
          <w:rFonts w:ascii="Arial" w:hAnsi="Arial" w:cs="Arial"/>
          <w:i/>
          <w:iCs/>
          <w:lang w:val="en-US"/>
        </w:rPr>
        <w:t>Biomaterials</w:t>
      </w:r>
      <w:r w:rsidRPr="0087715B">
        <w:rPr>
          <w:rFonts w:ascii="Arial" w:hAnsi="Arial" w:cs="Arial"/>
          <w:lang w:val="en-US"/>
        </w:rPr>
        <w:t xml:space="preserve"> 33 (22): 5560</w:t>
      </w:r>
      <w:r w:rsidRPr="0087715B">
        <w:rPr>
          <w:rFonts w:ascii="American Typewriter" w:hAnsi="American Typewriter" w:cs="American Typewriter"/>
          <w:lang w:val="en-US"/>
        </w:rPr>
        <w:t>‑</w:t>
      </w:r>
      <w:r w:rsidRPr="0087715B">
        <w:rPr>
          <w:rFonts w:ascii="Arial" w:hAnsi="Arial" w:cs="Arial"/>
          <w:lang w:val="en-US"/>
        </w:rPr>
        <w:t>73. https://doi.org/10.1016/j.biomaterials.2012.04.038.</w:t>
      </w:r>
    </w:p>
    <w:p w14:paraId="615A1B47" w14:textId="77777777" w:rsidR="00875A65" w:rsidRPr="00875A65" w:rsidRDefault="00875A65" w:rsidP="00202EAD">
      <w:pPr>
        <w:jc w:val="both"/>
      </w:pPr>
    </w:p>
    <w:p w14:paraId="6E9C590B"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Vardar, Saynur, Haluk Baylas, et Afig Huseyinov. 2003. « Effects of Selective Cyclooxygenase-2 Inhibition on Gingival Tissue Levels of Prostaglandin E2 and Prostaglandin F2alpha and Clinical Parameters of Chronic Periodontitis ». </w:t>
      </w:r>
      <w:r w:rsidRPr="0087715B">
        <w:rPr>
          <w:rFonts w:ascii="Arial" w:hAnsi="Arial" w:cs="Arial"/>
          <w:i/>
          <w:iCs/>
          <w:lang w:val="en-US"/>
        </w:rPr>
        <w:t>Journal of Periodontology</w:t>
      </w:r>
      <w:r w:rsidRPr="0087715B">
        <w:rPr>
          <w:rFonts w:ascii="Arial" w:hAnsi="Arial" w:cs="Arial"/>
          <w:lang w:val="en-US"/>
        </w:rPr>
        <w:t xml:space="preserve"> 74 (1): 57</w:t>
      </w:r>
      <w:r w:rsidRPr="0087715B">
        <w:rPr>
          <w:rFonts w:ascii="American Typewriter" w:hAnsi="American Typewriter" w:cs="American Typewriter"/>
          <w:lang w:val="en-US"/>
        </w:rPr>
        <w:t>‑</w:t>
      </w:r>
      <w:r w:rsidRPr="0087715B">
        <w:rPr>
          <w:rFonts w:ascii="Arial" w:hAnsi="Arial" w:cs="Arial"/>
          <w:lang w:val="en-US"/>
        </w:rPr>
        <w:t>63. https://doi.org/10.1902/jop.2003.74.1.57.</w:t>
      </w:r>
    </w:p>
    <w:p w14:paraId="58D566C8" w14:textId="77777777" w:rsidR="00875A65" w:rsidRPr="00875A65" w:rsidRDefault="00875A65" w:rsidP="00202EAD">
      <w:pPr>
        <w:jc w:val="both"/>
      </w:pPr>
    </w:p>
    <w:p w14:paraId="7F10F25A"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Villar, Cristina C., et David L. Cochran. 2010. « Regeneration of Periodontal Tissues: Guided Tissue Regeneration ». </w:t>
      </w:r>
      <w:r w:rsidRPr="0087715B">
        <w:rPr>
          <w:rFonts w:ascii="Arial" w:hAnsi="Arial" w:cs="Arial"/>
          <w:i/>
          <w:iCs/>
          <w:lang w:val="en-US"/>
        </w:rPr>
        <w:t>Dental Clinics of North America</w:t>
      </w:r>
      <w:r w:rsidRPr="0087715B">
        <w:rPr>
          <w:rFonts w:ascii="Arial" w:hAnsi="Arial" w:cs="Arial"/>
          <w:lang w:val="en-US"/>
        </w:rPr>
        <w:t xml:space="preserve"> 54 (1): 73</w:t>
      </w:r>
      <w:r w:rsidRPr="0087715B">
        <w:rPr>
          <w:rFonts w:ascii="American Typewriter" w:hAnsi="American Typewriter" w:cs="American Typewriter"/>
          <w:lang w:val="en-US"/>
        </w:rPr>
        <w:t>‑</w:t>
      </w:r>
      <w:r w:rsidRPr="0087715B">
        <w:rPr>
          <w:rFonts w:ascii="Arial" w:hAnsi="Arial" w:cs="Arial"/>
          <w:lang w:val="en-US"/>
        </w:rPr>
        <w:t>92. https://doi.org/10.1016/j.cden.2009.08.011.</w:t>
      </w:r>
    </w:p>
    <w:p w14:paraId="0DD4E764" w14:textId="77777777" w:rsidR="00875A65" w:rsidRPr="00875A65" w:rsidRDefault="00875A65" w:rsidP="00202EAD">
      <w:pPr>
        <w:jc w:val="both"/>
      </w:pPr>
    </w:p>
    <w:p w14:paraId="482E7489"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Vong, Linda, Jose G. P. Ferraz, Remo Panaccione, Paul L. Beck, et John L. Wallace. 2010. « A pro-resolution mediator, prostaglandin D2, is specifically up-regulated in individuals in long-term remission from ulcerative colitis ». </w:t>
      </w:r>
      <w:r w:rsidRPr="0087715B">
        <w:rPr>
          <w:rFonts w:ascii="Arial" w:hAnsi="Arial" w:cs="Arial"/>
          <w:i/>
          <w:iCs/>
          <w:lang w:val="en-US"/>
        </w:rPr>
        <w:t>Proceedings of the National Academy of Sciences of the United States of America</w:t>
      </w:r>
      <w:r w:rsidRPr="0087715B">
        <w:rPr>
          <w:rFonts w:ascii="Arial" w:hAnsi="Arial" w:cs="Arial"/>
          <w:lang w:val="en-US"/>
        </w:rPr>
        <w:t xml:space="preserve"> 107 (26): 12023</w:t>
      </w:r>
      <w:r w:rsidRPr="0087715B">
        <w:rPr>
          <w:rFonts w:ascii="American Typewriter" w:hAnsi="American Typewriter" w:cs="American Typewriter"/>
          <w:lang w:val="en-US"/>
        </w:rPr>
        <w:t>‑</w:t>
      </w:r>
      <w:r w:rsidRPr="0087715B">
        <w:rPr>
          <w:rFonts w:ascii="Arial" w:hAnsi="Arial" w:cs="Arial"/>
          <w:lang w:val="en-US"/>
        </w:rPr>
        <w:t>27. https://doi.org/10.1073/pnas.1004982107.</w:t>
      </w:r>
    </w:p>
    <w:p w14:paraId="3BBDADE9" w14:textId="77777777" w:rsidR="00875A65" w:rsidRPr="00875A65" w:rsidRDefault="00875A65" w:rsidP="00202EAD">
      <w:pPr>
        <w:jc w:val="both"/>
      </w:pPr>
    </w:p>
    <w:p w14:paraId="39397FC4"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Wallace, J. L., W. McKnight, B. K. Reuter, et N. Vergnolle. 2000. « NSAID-Induced Gastric Damage in Rats: Requirement for Inhibition of Both Cyclooxygenase 1 and 2 ». </w:t>
      </w:r>
      <w:r w:rsidRPr="0087715B">
        <w:rPr>
          <w:rFonts w:ascii="Arial" w:hAnsi="Arial" w:cs="Arial"/>
          <w:i/>
          <w:iCs/>
          <w:lang w:val="en-US"/>
        </w:rPr>
        <w:t>Gastroenterology</w:t>
      </w:r>
      <w:r w:rsidRPr="0087715B">
        <w:rPr>
          <w:rFonts w:ascii="Arial" w:hAnsi="Arial" w:cs="Arial"/>
          <w:lang w:val="en-US"/>
        </w:rPr>
        <w:t xml:space="preserve"> 119 (3): 706</w:t>
      </w:r>
      <w:r w:rsidRPr="0087715B">
        <w:rPr>
          <w:rFonts w:ascii="American Typewriter" w:hAnsi="American Typewriter" w:cs="American Typewriter"/>
          <w:lang w:val="en-US"/>
        </w:rPr>
        <w:t>‑</w:t>
      </w:r>
      <w:r w:rsidRPr="0087715B">
        <w:rPr>
          <w:rFonts w:ascii="Arial" w:hAnsi="Arial" w:cs="Arial"/>
          <w:lang w:val="en-US"/>
        </w:rPr>
        <w:t>14.</w:t>
      </w:r>
    </w:p>
    <w:p w14:paraId="76C5A187" w14:textId="77777777" w:rsidR="00875A65" w:rsidRPr="00875A65" w:rsidRDefault="00875A65" w:rsidP="00202EAD">
      <w:pPr>
        <w:jc w:val="both"/>
      </w:pPr>
    </w:p>
    <w:p w14:paraId="6DE74D6E" w14:textId="77777777" w:rsidR="0087715B" w:rsidRDefault="0087715B" w:rsidP="00202EAD">
      <w:pPr>
        <w:pStyle w:val="Bibliography"/>
        <w:jc w:val="both"/>
        <w:rPr>
          <w:rFonts w:ascii="Arial" w:hAnsi="Arial" w:cs="Arial"/>
          <w:lang w:val="en-US"/>
        </w:rPr>
      </w:pPr>
      <w:r w:rsidRPr="0087715B">
        <w:rPr>
          <w:rFonts w:ascii="Arial" w:hAnsi="Arial" w:cs="Arial"/>
          <w:lang w:val="en-US"/>
        </w:rPr>
        <w:t>Wang D. 2014. « The use of biologic therapies in the treatment of rheumatoid arthritis. - PubMed - NCBI ». 2014. https://www.ncbi.nlm.nih.gov/pubmed/25213363.</w:t>
      </w:r>
    </w:p>
    <w:p w14:paraId="16D2A8BD" w14:textId="77777777" w:rsidR="00875A65" w:rsidRPr="00875A65" w:rsidRDefault="00875A65" w:rsidP="00202EAD">
      <w:pPr>
        <w:jc w:val="both"/>
      </w:pPr>
    </w:p>
    <w:p w14:paraId="5D925CE3"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Weinreb, M., I. Suponitzky, et S. Keila. 1997. « Systemic Administration of an Anabolic Dose of PGE2 in Young Rats Increases the Osteogenic Capacity of Bone Marrow ». </w:t>
      </w:r>
      <w:r w:rsidRPr="0087715B">
        <w:rPr>
          <w:rFonts w:ascii="Arial" w:hAnsi="Arial" w:cs="Arial"/>
          <w:i/>
          <w:iCs/>
          <w:lang w:val="en-US"/>
        </w:rPr>
        <w:t>Bone</w:t>
      </w:r>
      <w:r w:rsidRPr="0087715B">
        <w:rPr>
          <w:rFonts w:ascii="Arial" w:hAnsi="Arial" w:cs="Arial"/>
          <w:lang w:val="en-US"/>
        </w:rPr>
        <w:t xml:space="preserve"> 20 (6): 521</w:t>
      </w:r>
      <w:r w:rsidRPr="0087715B">
        <w:rPr>
          <w:rFonts w:ascii="American Typewriter" w:hAnsi="American Typewriter" w:cs="American Typewriter"/>
          <w:lang w:val="en-US"/>
        </w:rPr>
        <w:t>‑</w:t>
      </w:r>
      <w:r w:rsidRPr="0087715B">
        <w:rPr>
          <w:rFonts w:ascii="Arial" w:hAnsi="Arial" w:cs="Arial"/>
          <w:lang w:val="en-US"/>
        </w:rPr>
        <w:t>26.</w:t>
      </w:r>
    </w:p>
    <w:p w14:paraId="2AA01555" w14:textId="77777777" w:rsidR="00875A65" w:rsidRPr="00875A65" w:rsidRDefault="00875A65" w:rsidP="00202EAD">
      <w:pPr>
        <w:jc w:val="both"/>
      </w:pPr>
    </w:p>
    <w:p w14:paraId="530247E8"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Wong, Joyce W., Corrie Gallant-Behm, Colin Wiebe, Karen Mak, David A. Hart, Hannu Larjava, et Lari Häkkinen. 2009. « Wound Healing in Oral Mucosa Results in Reduced Scar Formation as Compared with Skin: Evidence from the Red Duroc Pig Model and Humans ». </w:t>
      </w:r>
      <w:r w:rsidRPr="0087715B">
        <w:rPr>
          <w:rFonts w:ascii="Arial" w:hAnsi="Arial" w:cs="Arial"/>
          <w:i/>
          <w:iCs/>
          <w:lang w:val="en-US"/>
        </w:rPr>
        <w:t>Wound Repair and Regeneration: Official Publication of the Wound Healing Society [and] the European Tissue Repair Society</w:t>
      </w:r>
      <w:r w:rsidRPr="0087715B">
        <w:rPr>
          <w:rFonts w:ascii="Arial" w:hAnsi="Arial" w:cs="Arial"/>
          <w:lang w:val="en-US"/>
        </w:rPr>
        <w:t xml:space="preserve"> 17 (5): 717</w:t>
      </w:r>
      <w:r w:rsidRPr="0087715B">
        <w:rPr>
          <w:rFonts w:ascii="American Typewriter" w:hAnsi="American Typewriter" w:cs="American Typewriter"/>
          <w:lang w:val="en-US"/>
        </w:rPr>
        <w:t>‑</w:t>
      </w:r>
      <w:r w:rsidRPr="0087715B">
        <w:rPr>
          <w:rFonts w:ascii="Arial" w:hAnsi="Arial" w:cs="Arial"/>
          <w:lang w:val="en-US"/>
        </w:rPr>
        <w:t>29. https://doi.org/10.1111/j.1524-475X.2009.00531.x.</w:t>
      </w:r>
    </w:p>
    <w:p w14:paraId="5A5F19F8" w14:textId="77777777" w:rsidR="00875A65" w:rsidRPr="00875A65" w:rsidRDefault="00875A65" w:rsidP="00202EAD">
      <w:pPr>
        <w:jc w:val="both"/>
      </w:pPr>
    </w:p>
    <w:p w14:paraId="198D6826"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Xiaoguang, Li, Wang Yizhu, et Guo Bin. 2017. « [Tumor necrosis factor-α regulates the osteogenic differentiation of bone marrow mesenchymal stem cells in chronic periodontitis] ». </w:t>
      </w:r>
      <w:r w:rsidRPr="0087715B">
        <w:rPr>
          <w:rFonts w:ascii="Arial" w:hAnsi="Arial" w:cs="Arial"/>
          <w:i/>
          <w:iCs/>
          <w:lang w:val="en-US"/>
        </w:rPr>
        <w:t>Hua Xi Kou Qiang Yi Xue Za Zhi = Huaxi Kouqiang Yixue Zazhi = West China Journal of Stomatology</w:t>
      </w:r>
      <w:r w:rsidRPr="0087715B">
        <w:rPr>
          <w:rFonts w:ascii="Arial" w:hAnsi="Arial" w:cs="Arial"/>
          <w:lang w:val="en-US"/>
        </w:rPr>
        <w:t xml:space="preserve"> 35 (3): 334</w:t>
      </w:r>
      <w:r w:rsidRPr="0087715B">
        <w:rPr>
          <w:rFonts w:ascii="American Typewriter" w:hAnsi="American Typewriter" w:cs="American Typewriter"/>
          <w:lang w:val="en-US"/>
        </w:rPr>
        <w:t>‑</w:t>
      </w:r>
      <w:r w:rsidRPr="0087715B">
        <w:rPr>
          <w:rFonts w:ascii="Arial" w:hAnsi="Arial" w:cs="Arial"/>
          <w:lang w:val="en-US"/>
        </w:rPr>
        <w:t>38. https://doi.org/10.7518/hxkq.2017.03.019.</w:t>
      </w:r>
    </w:p>
    <w:p w14:paraId="0D7432DD" w14:textId="77777777" w:rsidR="00875A65" w:rsidRPr="00875A65" w:rsidRDefault="00875A65" w:rsidP="00202EAD">
      <w:pPr>
        <w:jc w:val="both"/>
      </w:pPr>
    </w:p>
    <w:p w14:paraId="60E13D9D" w14:textId="77777777" w:rsidR="0087715B" w:rsidRDefault="0087715B" w:rsidP="00202EAD">
      <w:pPr>
        <w:pStyle w:val="Bibliography"/>
        <w:jc w:val="both"/>
        <w:rPr>
          <w:rFonts w:ascii="Arial" w:hAnsi="Arial" w:cs="Arial"/>
          <w:lang w:val="en-US"/>
        </w:rPr>
      </w:pPr>
      <w:r w:rsidRPr="0087715B">
        <w:rPr>
          <w:rFonts w:ascii="Arial" w:hAnsi="Arial" w:cs="Arial"/>
          <w:lang w:val="en-US"/>
        </w:rPr>
        <w:t xml:space="preserve">Yen, C. Alec, Petros D. Damoulis, Paul C. Stark, Patricia L. Hibberd, Medha Singh, et Athena S. Papas. 2008. « The Effect of a Selective Cyclooxygenase-2 Inhibitor (Celecoxib) on Chronic Periodontitis ». </w:t>
      </w:r>
      <w:r w:rsidRPr="0087715B">
        <w:rPr>
          <w:rFonts w:ascii="Arial" w:hAnsi="Arial" w:cs="Arial"/>
          <w:i/>
          <w:iCs/>
          <w:lang w:val="en-US"/>
        </w:rPr>
        <w:t>Journal of Periodontology</w:t>
      </w:r>
      <w:r w:rsidRPr="0087715B">
        <w:rPr>
          <w:rFonts w:ascii="Arial" w:hAnsi="Arial" w:cs="Arial"/>
          <w:lang w:val="en-US"/>
        </w:rPr>
        <w:t xml:space="preserve"> 79 (1): 104</w:t>
      </w:r>
      <w:r w:rsidRPr="0087715B">
        <w:rPr>
          <w:rFonts w:ascii="American Typewriter" w:hAnsi="American Typewriter" w:cs="American Typewriter"/>
          <w:lang w:val="en-US"/>
        </w:rPr>
        <w:t>‑</w:t>
      </w:r>
      <w:r w:rsidRPr="0087715B">
        <w:rPr>
          <w:rFonts w:ascii="Arial" w:hAnsi="Arial" w:cs="Arial"/>
          <w:lang w:val="en-US"/>
        </w:rPr>
        <w:t>13. https://doi.org/10.1902/jop.2008.070271.</w:t>
      </w:r>
    </w:p>
    <w:p w14:paraId="3DCFEDC0" w14:textId="77777777" w:rsidR="00875A65" w:rsidRPr="00875A65" w:rsidRDefault="00875A65" w:rsidP="00202EAD">
      <w:pPr>
        <w:jc w:val="both"/>
      </w:pPr>
    </w:p>
    <w:p w14:paraId="3C0598A3" w14:textId="6CE0B1B1" w:rsidR="0087715B" w:rsidRDefault="0087715B" w:rsidP="00202EAD">
      <w:pPr>
        <w:pStyle w:val="Bibliography"/>
        <w:jc w:val="both"/>
        <w:rPr>
          <w:rFonts w:ascii="Arial" w:hAnsi="Arial" w:cs="Arial"/>
          <w:lang w:val="en-US"/>
        </w:rPr>
      </w:pPr>
      <w:r w:rsidRPr="0087715B">
        <w:rPr>
          <w:rFonts w:ascii="Arial" w:hAnsi="Arial" w:cs="Arial"/>
          <w:lang w:val="en-US"/>
        </w:rPr>
        <w:t xml:space="preserve">Zeren et al. 2006. « Clinical and Biochemical Evaluation of Short-Term Systemic Ibuprofen as an Adjunct to Non-Surgical Periodontal Therapy of Chronic Periodontitis ». 2006. </w:t>
      </w:r>
    </w:p>
    <w:p w14:paraId="030DD66E" w14:textId="77777777" w:rsidR="00875A65" w:rsidRPr="00875A65" w:rsidRDefault="00875A65" w:rsidP="00202EAD">
      <w:pPr>
        <w:jc w:val="both"/>
      </w:pPr>
    </w:p>
    <w:p w14:paraId="3DBD6E92" w14:textId="77777777" w:rsidR="0087715B" w:rsidRPr="0087715B" w:rsidRDefault="0087715B" w:rsidP="00202EAD">
      <w:pPr>
        <w:pStyle w:val="Bibliography"/>
        <w:jc w:val="both"/>
        <w:rPr>
          <w:rFonts w:ascii="Arial" w:hAnsi="Arial" w:cs="Arial"/>
          <w:lang w:val="en-US"/>
        </w:rPr>
      </w:pPr>
      <w:r w:rsidRPr="0087715B">
        <w:rPr>
          <w:rFonts w:ascii="Arial" w:hAnsi="Arial" w:cs="Arial"/>
          <w:lang w:val="en-US"/>
        </w:rPr>
        <w:t xml:space="preserve">Zhang, Xuemei, Malika Kohli, Qingde Zhou, Dana T. Graves, et Salomon Amar. 2004. « Short- and Long-Term Effects of IL-1 and TNF Antagonists on Periodontal Wound Healing ». </w:t>
      </w:r>
      <w:r w:rsidRPr="0087715B">
        <w:rPr>
          <w:rFonts w:ascii="Arial" w:hAnsi="Arial" w:cs="Arial"/>
          <w:i/>
          <w:iCs/>
          <w:lang w:val="en-US"/>
        </w:rPr>
        <w:t>Journal of Immunology (Baltimore, Md.: 1950)</w:t>
      </w:r>
      <w:r w:rsidRPr="0087715B">
        <w:rPr>
          <w:rFonts w:ascii="Arial" w:hAnsi="Arial" w:cs="Arial"/>
          <w:lang w:val="en-US"/>
        </w:rPr>
        <w:t xml:space="preserve"> 173 (5): 3514</w:t>
      </w:r>
      <w:r w:rsidRPr="0087715B">
        <w:rPr>
          <w:rFonts w:ascii="American Typewriter" w:hAnsi="American Typewriter" w:cs="American Typewriter"/>
          <w:lang w:val="en-US"/>
        </w:rPr>
        <w:t>‑</w:t>
      </w:r>
      <w:r w:rsidRPr="0087715B">
        <w:rPr>
          <w:rFonts w:ascii="Arial" w:hAnsi="Arial" w:cs="Arial"/>
          <w:lang w:val="en-US"/>
        </w:rPr>
        <w:t>23.</w:t>
      </w:r>
    </w:p>
    <w:p w14:paraId="5276753B" w14:textId="7ACED0E2" w:rsidR="00AD59DB" w:rsidRPr="0087715B" w:rsidRDefault="0087715B" w:rsidP="00202EAD">
      <w:pPr>
        <w:spacing w:line="360" w:lineRule="auto"/>
        <w:jc w:val="both"/>
        <w:rPr>
          <w:rFonts w:ascii="Arial" w:hAnsi="Arial"/>
        </w:rPr>
      </w:pPr>
      <w:r w:rsidRPr="0087715B">
        <w:rPr>
          <w:rFonts w:ascii="Arial" w:hAnsi="Arial"/>
        </w:rPr>
        <w:fldChar w:fldCharType="end"/>
      </w:r>
    </w:p>
    <w:p w14:paraId="257C3E90" w14:textId="77777777" w:rsidR="00AD59DB" w:rsidRPr="0087715B" w:rsidRDefault="00AD59DB" w:rsidP="00AD59DB">
      <w:pPr>
        <w:spacing w:line="360" w:lineRule="auto"/>
        <w:rPr>
          <w:rFonts w:ascii="Arial" w:hAnsi="Arial"/>
        </w:rPr>
      </w:pPr>
    </w:p>
    <w:p w14:paraId="2A78E3E5" w14:textId="77777777" w:rsidR="00AD59DB" w:rsidRPr="0087715B" w:rsidRDefault="00AD59DB" w:rsidP="00AD59DB">
      <w:pPr>
        <w:spacing w:line="360" w:lineRule="auto"/>
        <w:rPr>
          <w:rFonts w:ascii="Arial" w:hAnsi="Arial"/>
        </w:rPr>
      </w:pPr>
    </w:p>
    <w:p w14:paraId="7ACB89E6" w14:textId="77777777" w:rsidR="00AD59DB" w:rsidRDefault="00AD59DB" w:rsidP="00AD59DB">
      <w:pPr>
        <w:spacing w:line="360" w:lineRule="auto"/>
        <w:rPr>
          <w:rFonts w:ascii="Arial" w:hAnsi="Arial"/>
          <w:sz w:val="28"/>
        </w:rPr>
      </w:pPr>
    </w:p>
    <w:p w14:paraId="6D764838" w14:textId="77777777" w:rsidR="00AD59DB" w:rsidRDefault="00AD59DB" w:rsidP="00AD59DB">
      <w:pPr>
        <w:spacing w:line="360" w:lineRule="auto"/>
        <w:rPr>
          <w:rFonts w:ascii="Arial" w:hAnsi="Arial"/>
          <w:sz w:val="28"/>
        </w:rPr>
      </w:pPr>
    </w:p>
    <w:p w14:paraId="6DBD7C5C" w14:textId="77777777" w:rsidR="00AD59DB" w:rsidRDefault="00AD59DB" w:rsidP="00AD59DB">
      <w:pPr>
        <w:spacing w:line="360" w:lineRule="auto"/>
        <w:rPr>
          <w:rFonts w:ascii="Arial" w:hAnsi="Arial"/>
          <w:sz w:val="28"/>
        </w:rPr>
      </w:pPr>
    </w:p>
    <w:p w14:paraId="1958C48B" w14:textId="77777777" w:rsidR="00AD59DB" w:rsidRDefault="00AD59DB" w:rsidP="00AD59DB">
      <w:pPr>
        <w:spacing w:line="360" w:lineRule="auto"/>
        <w:rPr>
          <w:rFonts w:ascii="Arial" w:hAnsi="Arial"/>
          <w:sz w:val="28"/>
        </w:rPr>
      </w:pPr>
    </w:p>
    <w:p w14:paraId="3C10A13A" w14:textId="77777777" w:rsidR="00AD59DB" w:rsidRPr="00AD59DB" w:rsidRDefault="00AD59DB" w:rsidP="00AD59DB">
      <w:pPr>
        <w:tabs>
          <w:tab w:val="left" w:pos="2186"/>
        </w:tabs>
      </w:pPr>
    </w:p>
    <w:sectPr w:rsidR="00AD59DB" w:rsidRPr="00AD59DB" w:rsidSect="00873C18">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A365C" w14:textId="77777777" w:rsidR="0094071B" w:rsidRDefault="0094071B" w:rsidP="006466F9">
      <w:r>
        <w:separator/>
      </w:r>
    </w:p>
  </w:endnote>
  <w:endnote w:type="continuationSeparator" w:id="0">
    <w:p w14:paraId="39C64FD6" w14:textId="77777777" w:rsidR="0094071B" w:rsidRDefault="0094071B" w:rsidP="0064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radley Hand Bold">
    <w:panose1 w:val="00000700000000000000"/>
    <w:charset w:val="00"/>
    <w:family w:val="auto"/>
    <w:pitch w:val="variable"/>
    <w:sig w:usb0="800000FF" w:usb1="5000204A" w:usb2="00000000" w:usb3="00000000" w:csb0="00000111"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50A8" w14:textId="77777777" w:rsidR="0094071B" w:rsidRPr="006466F9" w:rsidRDefault="0094071B" w:rsidP="006466F9">
    <w:pPr>
      <w:pStyle w:val="Footer"/>
      <w:jc w:val="center"/>
      <w:rPr>
        <w:rFonts w:ascii="Arial" w:hAnsi="Arial"/>
      </w:rPr>
    </w:pPr>
    <w:r w:rsidRPr="006466F9">
      <w:rPr>
        <w:rStyle w:val="PageNumber"/>
        <w:rFonts w:ascii="Arial" w:hAnsi="Arial"/>
      </w:rPr>
      <w:fldChar w:fldCharType="begin"/>
    </w:r>
    <w:r w:rsidRPr="006466F9">
      <w:rPr>
        <w:rStyle w:val="PageNumber"/>
        <w:rFonts w:ascii="Arial" w:hAnsi="Arial"/>
      </w:rPr>
      <w:instrText xml:space="preserve"> PAGE </w:instrText>
    </w:r>
    <w:r w:rsidRPr="006466F9">
      <w:rPr>
        <w:rStyle w:val="PageNumber"/>
        <w:rFonts w:ascii="Arial" w:hAnsi="Arial"/>
      </w:rPr>
      <w:fldChar w:fldCharType="separate"/>
    </w:r>
    <w:r w:rsidR="00D72D28">
      <w:rPr>
        <w:rStyle w:val="PageNumber"/>
        <w:rFonts w:ascii="Arial" w:hAnsi="Arial"/>
        <w:noProof/>
      </w:rPr>
      <w:t>1</w:t>
    </w:r>
    <w:r w:rsidRPr="006466F9">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F7CE4" w14:textId="77777777" w:rsidR="0094071B" w:rsidRDefault="0094071B" w:rsidP="006466F9">
      <w:r>
        <w:separator/>
      </w:r>
    </w:p>
  </w:footnote>
  <w:footnote w:type="continuationSeparator" w:id="0">
    <w:p w14:paraId="73348134" w14:textId="77777777" w:rsidR="0094071B" w:rsidRDefault="0094071B" w:rsidP="006466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4258D"/>
    <w:multiLevelType w:val="hybridMultilevel"/>
    <w:tmpl w:val="27D68136"/>
    <w:lvl w:ilvl="0" w:tplc="07E4250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14B48"/>
    <w:multiLevelType w:val="hybridMultilevel"/>
    <w:tmpl w:val="60A4DB1E"/>
    <w:lvl w:ilvl="0" w:tplc="73004820">
      <w:start w:val="1"/>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101AB"/>
    <w:multiLevelType w:val="hybridMultilevel"/>
    <w:tmpl w:val="119E16D0"/>
    <w:lvl w:ilvl="0" w:tplc="CEC029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0C0D36"/>
    <w:multiLevelType w:val="hybridMultilevel"/>
    <w:tmpl w:val="66401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F54E1"/>
    <w:multiLevelType w:val="multilevel"/>
    <w:tmpl w:val="2604EC0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5FA7F8E"/>
    <w:multiLevelType w:val="hybridMultilevel"/>
    <w:tmpl w:val="CA4447B2"/>
    <w:lvl w:ilvl="0" w:tplc="05B2DAAE">
      <w:start w:val="3"/>
      <w:numFmt w:val="bullet"/>
      <w:lvlText w:val=""/>
      <w:lvlJc w:val="left"/>
      <w:pPr>
        <w:ind w:left="600" w:hanging="60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6B445B6"/>
    <w:multiLevelType w:val="hybridMultilevel"/>
    <w:tmpl w:val="34B8FA1E"/>
    <w:lvl w:ilvl="0" w:tplc="072A5700">
      <w:start w:val="1"/>
      <w:numFmt w:val="decimal"/>
      <w:pStyle w:val="Styl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A6280"/>
    <w:multiLevelType w:val="hybridMultilevel"/>
    <w:tmpl w:val="A77CDB5E"/>
    <w:lvl w:ilvl="0" w:tplc="82B4DD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C5F01"/>
    <w:multiLevelType w:val="hybridMultilevel"/>
    <w:tmpl w:val="2604EC0E"/>
    <w:lvl w:ilvl="0" w:tplc="67A0C03C">
      <w:start w:val="1"/>
      <w:numFmt w:val="lowerRoman"/>
      <w:pStyle w:val="Style3"/>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4B6C26"/>
    <w:multiLevelType w:val="hybridMultilevel"/>
    <w:tmpl w:val="AF1AE38A"/>
    <w:lvl w:ilvl="0" w:tplc="C980C620">
      <w:start w:val="1"/>
      <w:numFmt w:val="upperRoman"/>
      <w:pStyle w:val="Style1"/>
      <w:lvlText w:val="%1."/>
      <w:lvlJc w:val="left"/>
      <w:pPr>
        <w:ind w:left="1080" w:hanging="720"/>
      </w:pPr>
      <w:rPr>
        <w:rFonts w:hint="default"/>
        <w:b/>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6"/>
    <w:lvlOverride w:ilvl="0">
      <w:startOverride w:val="1"/>
    </w:lvlOverride>
  </w:num>
  <w:num w:numId="5">
    <w:abstractNumId w:val="8"/>
  </w:num>
  <w:num w:numId="6">
    <w:abstractNumId w:val="5"/>
  </w:num>
  <w:num w:numId="7">
    <w:abstractNumId w:val="8"/>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6"/>
    <w:lvlOverride w:ilvl="0">
      <w:startOverride w:val="1"/>
    </w:lvlOverride>
  </w:num>
  <w:num w:numId="14">
    <w:abstractNumId w:val="8"/>
    <w:lvlOverride w:ilvl="0">
      <w:startOverride w:val="1"/>
    </w:lvlOverride>
  </w:num>
  <w:num w:numId="15">
    <w:abstractNumId w:val="6"/>
    <w:lvlOverride w:ilvl="0">
      <w:startOverride w:val="1"/>
    </w:lvlOverride>
  </w:num>
  <w:num w:numId="16">
    <w:abstractNumId w:val="8"/>
    <w:lvlOverride w:ilvl="0">
      <w:startOverride w:val="1"/>
    </w:lvlOverride>
  </w:num>
  <w:num w:numId="17">
    <w:abstractNumId w:val="6"/>
    <w:lvlOverride w:ilvl="0">
      <w:startOverride w:val="1"/>
    </w:lvlOverride>
  </w:num>
  <w:num w:numId="18">
    <w:abstractNumId w:val="8"/>
  </w:num>
  <w:num w:numId="19">
    <w:abstractNumId w:val="8"/>
    <w:lvlOverride w:ilvl="0">
      <w:startOverride w:val="1"/>
    </w:lvlOverride>
  </w:num>
  <w:num w:numId="20">
    <w:abstractNumId w:val="4"/>
  </w:num>
  <w:num w:numId="21">
    <w:abstractNumId w:val="8"/>
    <w:lvlOverride w:ilvl="0">
      <w:startOverride w:val="1"/>
    </w:lvlOverride>
  </w:num>
  <w:num w:numId="22">
    <w:abstractNumId w:val="2"/>
  </w:num>
  <w:num w:numId="23">
    <w:abstractNumId w:val="8"/>
    <w:lvlOverride w:ilvl="0">
      <w:startOverride w:val="1"/>
    </w:lvlOverride>
  </w:num>
  <w:num w:numId="24">
    <w:abstractNumId w:val="3"/>
  </w:num>
  <w:num w:numId="25">
    <w:abstractNumId w:val="6"/>
    <w:lvlOverride w:ilvl="0">
      <w:startOverride w:val="1"/>
    </w:lvlOverride>
  </w:num>
  <w:num w:numId="26">
    <w:abstractNumId w:val="0"/>
  </w:num>
  <w:num w:numId="27">
    <w:abstractNumId w:val="7"/>
  </w:num>
  <w:num w:numId="28">
    <w:abstractNumId w:val="8"/>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86"/>
    <w:rsid w:val="00003D36"/>
    <w:rsid w:val="00005BAD"/>
    <w:rsid w:val="00007019"/>
    <w:rsid w:val="000153EF"/>
    <w:rsid w:val="000154AE"/>
    <w:rsid w:val="000168D1"/>
    <w:rsid w:val="00023C30"/>
    <w:rsid w:val="00024699"/>
    <w:rsid w:val="00034FB3"/>
    <w:rsid w:val="000357F4"/>
    <w:rsid w:val="000403E1"/>
    <w:rsid w:val="00040F36"/>
    <w:rsid w:val="00041C7D"/>
    <w:rsid w:val="00042EDE"/>
    <w:rsid w:val="00043D09"/>
    <w:rsid w:val="000524A0"/>
    <w:rsid w:val="00057A43"/>
    <w:rsid w:val="0006179D"/>
    <w:rsid w:val="00062B8B"/>
    <w:rsid w:val="00066783"/>
    <w:rsid w:val="000674F1"/>
    <w:rsid w:val="00067EC7"/>
    <w:rsid w:val="000705E5"/>
    <w:rsid w:val="0007406B"/>
    <w:rsid w:val="000751E0"/>
    <w:rsid w:val="0007578F"/>
    <w:rsid w:val="000766AE"/>
    <w:rsid w:val="00087A39"/>
    <w:rsid w:val="000A71FF"/>
    <w:rsid w:val="000C25B4"/>
    <w:rsid w:val="000C7865"/>
    <w:rsid w:val="000D1C6D"/>
    <w:rsid w:val="000D2CAA"/>
    <w:rsid w:val="000D59F2"/>
    <w:rsid w:val="000E09E1"/>
    <w:rsid w:val="000E3713"/>
    <w:rsid w:val="000E51BA"/>
    <w:rsid w:val="000E6E89"/>
    <w:rsid w:val="000E7CBA"/>
    <w:rsid w:val="000F03B4"/>
    <w:rsid w:val="000F12BE"/>
    <w:rsid w:val="000F27BF"/>
    <w:rsid w:val="00102351"/>
    <w:rsid w:val="0010757B"/>
    <w:rsid w:val="00113E43"/>
    <w:rsid w:val="00115FBC"/>
    <w:rsid w:val="0012001C"/>
    <w:rsid w:val="00120E94"/>
    <w:rsid w:val="00124325"/>
    <w:rsid w:val="00131E31"/>
    <w:rsid w:val="00132226"/>
    <w:rsid w:val="00135A97"/>
    <w:rsid w:val="00153191"/>
    <w:rsid w:val="0015510B"/>
    <w:rsid w:val="00161D1C"/>
    <w:rsid w:val="001631A5"/>
    <w:rsid w:val="00171F6E"/>
    <w:rsid w:val="0017273C"/>
    <w:rsid w:val="00174132"/>
    <w:rsid w:val="001757EC"/>
    <w:rsid w:val="001823BB"/>
    <w:rsid w:val="001853B9"/>
    <w:rsid w:val="001856E4"/>
    <w:rsid w:val="00186095"/>
    <w:rsid w:val="0018798A"/>
    <w:rsid w:val="00193182"/>
    <w:rsid w:val="001A2A53"/>
    <w:rsid w:val="001A6FA4"/>
    <w:rsid w:val="001B04B7"/>
    <w:rsid w:val="001B3BA6"/>
    <w:rsid w:val="001B709E"/>
    <w:rsid w:val="001C0D6C"/>
    <w:rsid w:val="001C5759"/>
    <w:rsid w:val="001C6154"/>
    <w:rsid w:val="001D1538"/>
    <w:rsid w:val="001E0146"/>
    <w:rsid w:val="001E7104"/>
    <w:rsid w:val="001F0E7E"/>
    <w:rsid w:val="001F28E7"/>
    <w:rsid w:val="002020C2"/>
    <w:rsid w:val="00202EAD"/>
    <w:rsid w:val="002033FB"/>
    <w:rsid w:val="00204642"/>
    <w:rsid w:val="00205515"/>
    <w:rsid w:val="00211649"/>
    <w:rsid w:val="00213B8C"/>
    <w:rsid w:val="00233703"/>
    <w:rsid w:val="0025059D"/>
    <w:rsid w:val="002621AE"/>
    <w:rsid w:val="00265461"/>
    <w:rsid w:val="00266089"/>
    <w:rsid w:val="0026644C"/>
    <w:rsid w:val="002713C1"/>
    <w:rsid w:val="0027635D"/>
    <w:rsid w:val="0028264E"/>
    <w:rsid w:val="00285ECE"/>
    <w:rsid w:val="00286BAC"/>
    <w:rsid w:val="00287354"/>
    <w:rsid w:val="00287CA8"/>
    <w:rsid w:val="00291DB9"/>
    <w:rsid w:val="002939C2"/>
    <w:rsid w:val="002A01DD"/>
    <w:rsid w:val="002A1E13"/>
    <w:rsid w:val="002A4E3C"/>
    <w:rsid w:val="002A4E9C"/>
    <w:rsid w:val="002B65DF"/>
    <w:rsid w:val="002C1E65"/>
    <w:rsid w:val="002C3C96"/>
    <w:rsid w:val="002D06B5"/>
    <w:rsid w:val="002D14E0"/>
    <w:rsid w:val="002D2DAC"/>
    <w:rsid w:val="002F2B89"/>
    <w:rsid w:val="002F2D43"/>
    <w:rsid w:val="002F53B7"/>
    <w:rsid w:val="0030048E"/>
    <w:rsid w:val="00304A5E"/>
    <w:rsid w:val="003101BF"/>
    <w:rsid w:val="0031672E"/>
    <w:rsid w:val="003179B8"/>
    <w:rsid w:val="00320B97"/>
    <w:rsid w:val="00324C25"/>
    <w:rsid w:val="003325C5"/>
    <w:rsid w:val="00367147"/>
    <w:rsid w:val="0037364B"/>
    <w:rsid w:val="003739B7"/>
    <w:rsid w:val="003752DD"/>
    <w:rsid w:val="003921C7"/>
    <w:rsid w:val="00396350"/>
    <w:rsid w:val="00397A10"/>
    <w:rsid w:val="003A005C"/>
    <w:rsid w:val="003A0E9D"/>
    <w:rsid w:val="003A1991"/>
    <w:rsid w:val="003A6740"/>
    <w:rsid w:val="003B099A"/>
    <w:rsid w:val="003B37E8"/>
    <w:rsid w:val="003C3C5A"/>
    <w:rsid w:val="003C653A"/>
    <w:rsid w:val="003D2496"/>
    <w:rsid w:val="003D3A47"/>
    <w:rsid w:val="003D6A98"/>
    <w:rsid w:val="003E4FF3"/>
    <w:rsid w:val="003F2FE9"/>
    <w:rsid w:val="003F78BB"/>
    <w:rsid w:val="00401041"/>
    <w:rsid w:val="004016E0"/>
    <w:rsid w:val="00402E03"/>
    <w:rsid w:val="004100FF"/>
    <w:rsid w:val="00411ED2"/>
    <w:rsid w:val="004159FB"/>
    <w:rsid w:val="00415EA0"/>
    <w:rsid w:val="00417746"/>
    <w:rsid w:val="00433048"/>
    <w:rsid w:val="00441A96"/>
    <w:rsid w:val="00442D55"/>
    <w:rsid w:val="00446276"/>
    <w:rsid w:val="00447058"/>
    <w:rsid w:val="00454A29"/>
    <w:rsid w:val="004566BB"/>
    <w:rsid w:val="004602D5"/>
    <w:rsid w:val="004718A8"/>
    <w:rsid w:val="00472273"/>
    <w:rsid w:val="00475B9C"/>
    <w:rsid w:val="00481AFF"/>
    <w:rsid w:val="00481C11"/>
    <w:rsid w:val="00483956"/>
    <w:rsid w:val="00483FF1"/>
    <w:rsid w:val="00487560"/>
    <w:rsid w:val="004909D0"/>
    <w:rsid w:val="004924FB"/>
    <w:rsid w:val="00492E47"/>
    <w:rsid w:val="004A0E98"/>
    <w:rsid w:val="004A4FA1"/>
    <w:rsid w:val="004A7D87"/>
    <w:rsid w:val="004C27F0"/>
    <w:rsid w:val="004C3E34"/>
    <w:rsid w:val="004C49B9"/>
    <w:rsid w:val="004C5567"/>
    <w:rsid w:val="004C55B8"/>
    <w:rsid w:val="004C6754"/>
    <w:rsid w:val="004D6902"/>
    <w:rsid w:val="004D73A2"/>
    <w:rsid w:val="004E32BF"/>
    <w:rsid w:val="004F3DBC"/>
    <w:rsid w:val="004F43DC"/>
    <w:rsid w:val="004F6BC7"/>
    <w:rsid w:val="004F7785"/>
    <w:rsid w:val="004F79CD"/>
    <w:rsid w:val="00502734"/>
    <w:rsid w:val="0050549B"/>
    <w:rsid w:val="00505DDD"/>
    <w:rsid w:val="00507F30"/>
    <w:rsid w:val="0051686C"/>
    <w:rsid w:val="005318F9"/>
    <w:rsid w:val="00534603"/>
    <w:rsid w:val="00535D8B"/>
    <w:rsid w:val="00543DB2"/>
    <w:rsid w:val="00545A07"/>
    <w:rsid w:val="00553579"/>
    <w:rsid w:val="00553F7A"/>
    <w:rsid w:val="00557785"/>
    <w:rsid w:val="0056170E"/>
    <w:rsid w:val="00566D0B"/>
    <w:rsid w:val="005742BB"/>
    <w:rsid w:val="005745B0"/>
    <w:rsid w:val="00575760"/>
    <w:rsid w:val="00582364"/>
    <w:rsid w:val="00585B32"/>
    <w:rsid w:val="00585D9F"/>
    <w:rsid w:val="0059409D"/>
    <w:rsid w:val="0059509B"/>
    <w:rsid w:val="00595CCC"/>
    <w:rsid w:val="00595E74"/>
    <w:rsid w:val="00596FD2"/>
    <w:rsid w:val="005A5948"/>
    <w:rsid w:val="005B429A"/>
    <w:rsid w:val="005B6202"/>
    <w:rsid w:val="005C0BEE"/>
    <w:rsid w:val="005C3A67"/>
    <w:rsid w:val="005D0162"/>
    <w:rsid w:val="005D3433"/>
    <w:rsid w:val="005E0F70"/>
    <w:rsid w:val="005E52B2"/>
    <w:rsid w:val="005F3039"/>
    <w:rsid w:val="005F32EF"/>
    <w:rsid w:val="006029C8"/>
    <w:rsid w:val="006040F9"/>
    <w:rsid w:val="006103DD"/>
    <w:rsid w:val="00612D6C"/>
    <w:rsid w:val="00614D5E"/>
    <w:rsid w:val="006162F0"/>
    <w:rsid w:val="006172C0"/>
    <w:rsid w:val="006201DA"/>
    <w:rsid w:val="00625600"/>
    <w:rsid w:val="0063065E"/>
    <w:rsid w:val="00644B0B"/>
    <w:rsid w:val="006466F9"/>
    <w:rsid w:val="0064699E"/>
    <w:rsid w:val="00653C6B"/>
    <w:rsid w:val="006754BF"/>
    <w:rsid w:val="00676832"/>
    <w:rsid w:val="0067692C"/>
    <w:rsid w:val="00680CD9"/>
    <w:rsid w:val="00691A14"/>
    <w:rsid w:val="00691ACC"/>
    <w:rsid w:val="00694325"/>
    <w:rsid w:val="006A04C6"/>
    <w:rsid w:val="006B1E48"/>
    <w:rsid w:val="006B6FFB"/>
    <w:rsid w:val="006C1A8B"/>
    <w:rsid w:val="006C72AE"/>
    <w:rsid w:val="006E135B"/>
    <w:rsid w:val="006E144C"/>
    <w:rsid w:val="006E146C"/>
    <w:rsid w:val="006E166B"/>
    <w:rsid w:val="006E2703"/>
    <w:rsid w:val="006E34C9"/>
    <w:rsid w:val="006F17E2"/>
    <w:rsid w:val="006F1FF1"/>
    <w:rsid w:val="006F6F80"/>
    <w:rsid w:val="00704CCB"/>
    <w:rsid w:val="00705A92"/>
    <w:rsid w:val="00705BF9"/>
    <w:rsid w:val="0071171C"/>
    <w:rsid w:val="00713469"/>
    <w:rsid w:val="00722F33"/>
    <w:rsid w:val="00723E32"/>
    <w:rsid w:val="00724A79"/>
    <w:rsid w:val="00733055"/>
    <w:rsid w:val="00742FEB"/>
    <w:rsid w:val="00752C25"/>
    <w:rsid w:val="00756733"/>
    <w:rsid w:val="00762281"/>
    <w:rsid w:val="007622FB"/>
    <w:rsid w:val="007639FD"/>
    <w:rsid w:val="007647AB"/>
    <w:rsid w:val="00766E82"/>
    <w:rsid w:val="0076711F"/>
    <w:rsid w:val="00767560"/>
    <w:rsid w:val="007676C2"/>
    <w:rsid w:val="00771501"/>
    <w:rsid w:val="007760E8"/>
    <w:rsid w:val="00781439"/>
    <w:rsid w:val="007822E4"/>
    <w:rsid w:val="00786060"/>
    <w:rsid w:val="007907EC"/>
    <w:rsid w:val="007A0307"/>
    <w:rsid w:val="007A0C48"/>
    <w:rsid w:val="007A31F1"/>
    <w:rsid w:val="007B193E"/>
    <w:rsid w:val="007B297C"/>
    <w:rsid w:val="007B5410"/>
    <w:rsid w:val="007C26F3"/>
    <w:rsid w:val="007C5DFE"/>
    <w:rsid w:val="007C7C90"/>
    <w:rsid w:val="007D2E0E"/>
    <w:rsid w:val="007D47B8"/>
    <w:rsid w:val="007D6A2A"/>
    <w:rsid w:val="007E09D6"/>
    <w:rsid w:val="007E34DA"/>
    <w:rsid w:val="007E3754"/>
    <w:rsid w:val="007E3D8D"/>
    <w:rsid w:val="007F16B5"/>
    <w:rsid w:val="00800F58"/>
    <w:rsid w:val="00806ED2"/>
    <w:rsid w:val="008105D4"/>
    <w:rsid w:val="0081061D"/>
    <w:rsid w:val="00812E7A"/>
    <w:rsid w:val="008246F2"/>
    <w:rsid w:val="00827194"/>
    <w:rsid w:val="0083228E"/>
    <w:rsid w:val="00832A09"/>
    <w:rsid w:val="008342BA"/>
    <w:rsid w:val="00836B40"/>
    <w:rsid w:val="00837111"/>
    <w:rsid w:val="00837155"/>
    <w:rsid w:val="00846890"/>
    <w:rsid w:val="00846E7B"/>
    <w:rsid w:val="00847ABD"/>
    <w:rsid w:val="0085138C"/>
    <w:rsid w:val="0085157D"/>
    <w:rsid w:val="00852FBE"/>
    <w:rsid w:val="00857AA7"/>
    <w:rsid w:val="0086542B"/>
    <w:rsid w:val="008669C0"/>
    <w:rsid w:val="00873C18"/>
    <w:rsid w:val="00875A65"/>
    <w:rsid w:val="00876C9C"/>
    <w:rsid w:val="0087715B"/>
    <w:rsid w:val="00877F1B"/>
    <w:rsid w:val="00890643"/>
    <w:rsid w:val="00893FAA"/>
    <w:rsid w:val="0089480A"/>
    <w:rsid w:val="008949B9"/>
    <w:rsid w:val="008A169E"/>
    <w:rsid w:val="008A6528"/>
    <w:rsid w:val="008B08EA"/>
    <w:rsid w:val="008B25D0"/>
    <w:rsid w:val="008C19C9"/>
    <w:rsid w:val="008C1F5F"/>
    <w:rsid w:val="008C32A5"/>
    <w:rsid w:val="008C4646"/>
    <w:rsid w:val="008C5582"/>
    <w:rsid w:val="008C58B1"/>
    <w:rsid w:val="008C6649"/>
    <w:rsid w:val="008D3D78"/>
    <w:rsid w:val="008D5AE4"/>
    <w:rsid w:val="008E0174"/>
    <w:rsid w:val="008E6F70"/>
    <w:rsid w:val="008F1F1B"/>
    <w:rsid w:val="008F24E0"/>
    <w:rsid w:val="00931EC3"/>
    <w:rsid w:val="00932113"/>
    <w:rsid w:val="00932A0A"/>
    <w:rsid w:val="00937524"/>
    <w:rsid w:val="0094071B"/>
    <w:rsid w:val="00943AF7"/>
    <w:rsid w:val="00946869"/>
    <w:rsid w:val="00947058"/>
    <w:rsid w:val="00947792"/>
    <w:rsid w:val="00947C70"/>
    <w:rsid w:val="00962BD3"/>
    <w:rsid w:val="0098646C"/>
    <w:rsid w:val="00991E7B"/>
    <w:rsid w:val="009966BE"/>
    <w:rsid w:val="009A0FE1"/>
    <w:rsid w:val="009A101F"/>
    <w:rsid w:val="009A47D9"/>
    <w:rsid w:val="009A5AD9"/>
    <w:rsid w:val="009A5E3F"/>
    <w:rsid w:val="009A7397"/>
    <w:rsid w:val="009B2977"/>
    <w:rsid w:val="009B439C"/>
    <w:rsid w:val="009B4992"/>
    <w:rsid w:val="009D0E41"/>
    <w:rsid w:val="009D19D9"/>
    <w:rsid w:val="009D218E"/>
    <w:rsid w:val="009D7FD0"/>
    <w:rsid w:val="009F51CB"/>
    <w:rsid w:val="00A028CE"/>
    <w:rsid w:val="00A03474"/>
    <w:rsid w:val="00A06C22"/>
    <w:rsid w:val="00A10EEE"/>
    <w:rsid w:val="00A13834"/>
    <w:rsid w:val="00A164FA"/>
    <w:rsid w:val="00A23917"/>
    <w:rsid w:val="00A41EB2"/>
    <w:rsid w:val="00A43998"/>
    <w:rsid w:val="00A448E2"/>
    <w:rsid w:val="00A47DA2"/>
    <w:rsid w:val="00A51436"/>
    <w:rsid w:val="00A635AE"/>
    <w:rsid w:val="00A71702"/>
    <w:rsid w:val="00A83D37"/>
    <w:rsid w:val="00A85A61"/>
    <w:rsid w:val="00AB6382"/>
    <w:rsid w:val="00AB649D"/>
    <w:rsid w:val="00AB6A59"/>
    <w:rsid w:val="00AC5003"/>
    <w:rsid w:val="00AC571F"/>
    <w:rsid w:val="00AC6EDE"/>
    <w:rsid w:val="00AD59DB"/>
    <w:rsid w:val="00AD7E42"/>
    <w:rsid w:val="00AE06D1"/>
    <w:rsid w:val="00AE702F"/>
    <w:rsid w:val="00AF2A61"/>
    <w:rsid w:val="00AF4089"/>
    <w:rsid w:val="00AF4667"/>
    <w:rsid w:val="00B01FB1"/>
    <w:rsid w:val="00B02CC8"/>
    <w:rsid w:val="00B03C65"/>
    <w:rsid w:val="00B0650F"/>
    <w:rsid w:val="00B107DA"/>
    <w:rsid w:val="00B23153"/>
    <w:rsid w:val="00B37626"/>
    <w:rsid w:val="00B44CBF"/>
    <w:rsid w:val="00B527D8"/>
    <w:rsid w:val="00B5632D"/>
    <w:rsid w:val="00B606D7"/>
    <w:rsid w:val="00B622FC"/>
    <w:rsid w:val="00B80BD4"/>
    <w:rsid w:val="00B83BAF"/>
    <w:rsid w:val="00B85E22"/>
    <w:rsid w:val="00B8600B"/>
    <w:rsid w:val="00B93BF6"/>
    <w:rsid w:val="00B96770"/>
    <w:rsid w:val="00BA1233"/>
    <w:rsid w:val="00BA4D6C"/>
    <w:rsid w:val="00BA6950"/>
    <w:rsid w:val="00BC689F"/>
    <w:rsid w:val="00BD28AB"/>
    <w:rsid w:val="00BD2DDF"/>
    <w:rsid w:val="00BD714A"/>
    <w:rsid w:val="00BD72B3"/>
    <w:rsid w:val="00BE37B6"/>
    <w:rsid w:val="00BF19FE"/>
    <w:rsid w:val="00BF5F49"/>
    <w:rsid w:val="00C01C05"/>
    <w:rsid w:val="00C129F5"/>
    <w:rsid w:val="00C12BCF"/>
    <w:rsid w:val="00C2233C"/>
    <w:rsid w:val="00C234E1"/>
    <w:rsid w:val="00C33D19"/>
    <w:rsid w:val="00C353BD"/>
    <w:rsid w:val="00C42D8C"/>
    <w:rsid w:val="00C60620"/>
    <w:rsid w:val="00C62A0B"/>
    <w:rsid w:val="00C63D05"/>
    <w:rsid w:val="00C674E0"/>
    <w:rsid w:val="00C75158"/>
    <w:rsid w:val="00C766DF"/>
    <w:rsid w:val="00C91CBC"/>
    <w:rsid w:val="00C94774"/>
    <w:rsid w:val="00C9659E"/>
    <w:rsid w:val="00CA058A"/>
    <w:rsid w:val="00CA35C9"/>
    <w:rsid w:val="00CA4874"/>
    <w:rsid w:val="00CA5D63"/>
    <w:rsid w:val="00CB0CE2"/>
    <w:rsid w:val="00CB1B3A"/>
    <w:rsid w:val="00CB201C"/>
    <w:rsid w:val="00CB4873"/>
    <w:rsid w:val="00CB4DF6"/>
    <w:rsid w:val="00CB5064"/>
    <w:rsid w:val="00CB6F65"/>
    <w:rsid w:val="00CC78BB"/>
    <w:rsid w:val="00CD5BF4"/>
    <w:rsid w:val="00CE23A4"/>
    <w:rsid w:val="00CE2475"/>
    <w:rsid w:val="00CF0AF2"/>
    <w:rsid w:val="00CF2853"/>
    <w:rsid w:val="00CF5FB5"/>
    <w:rsid w:val="00D0041E"/>
    <w:rsid w:val="00D01603"/>
    <w:rsid w:val="00D02861"/>
    <w:rsid w:val="00D07B8D"/>
    <w:rsid w:val="00D10CC1"/>
    <w:rsid w:val="00D124AD"/>
    <w:rsid w:val="00D1488F"/>
    <w:rsid w:val="00D1512E"/>
    <w:rsid w:val="00D226A4"/>
    <w:rsid w:val="00D22913"/>
    <w:rsid w:val="00D2377D"/>
    <w:rsid w:val="00D41F54"/>
    <w:rsid w:val="00D4354C"/>
    <w:rsid w:val="00D447E5"/>
    <w:rsid w:val="00D47270"/>
    <w:rsid w:val="00D47598"/>
    <w:rsid w:val="00D548D9"/>
    <w:rsid w:val="00D5688A"/>
    <w:rsid w:val="00D605BA"/>
    <w:rsid w:val="00D63B6C"/>
    <w:rsid w:val="00D6658E"/>
    <w:rsid w:val="00D70212"/>
    <w:rsid w:val="00D70AFD"/>
    <w:rsid w:val="00D72D28"/>
    <w:rsid w:val="00D84B57"/>
    <w:rsid w:val="00D84D47"/>
    <w:rsid w:val="00D85E7C"/>
    <w:rsid w:val="00D8633A"/>
    <w:rsid w:val="00D92749"/>
    <w:rsid w:val="00D9418B"/>
    <w:rsid w:val="00D9668A"/>
    <w:rsid w:val="00D96CEA"/>
    <w:rsid w:val="00D97008"/>
    <w:rsid w:val="00D97F0A"/>
    <w:rsid w:val="00DA01F3"/>
    <w:rsid w:val="00DA3EA4"/>
    <w:rsid w:val="00DA4533"/>
    <w:rsid w:val="00DA7748"/>
    <w:rsid w:val="00DB0986"/>
    <w:rsid w:val="00DB16CB"/>
    <w:rsid w:val="00DB1F07"/>
    <w:rsid w:val="00DB5D86"/>
    <w:rsid w:val="00DC1A11"/>
    <w:rsid w:val="00DC1C52"/>
    <w:rsid w:val="00DC2528"/>
    <w:rsid w:val="00DC304C"/>
    <w:rsid w:val="00DC422F"/>
    <w:rsid w:val="00DD621E"/>
    <w:rsid w:val="00DD6D2C"/>
    <w:rsid w:val="00DE07A7"/>
    <w:rsid w:val="00DE58BD"/>
    <w:rsid w:val="00DF01EA"/>
    <w:rsid w:val="00DF29B5"/>
    <w:rsid w:val="00DF6C2C"/>
    <w:rsid w:val="00DF7AF7"/>
    <w:rsid w:val="00E057E8"/>
    <w:rsid w:val="00E06D6D"/>
    <w:rsid w:val="00E074AB"/>
    <w:rsid w:val="00E158A2"/>
    <w:rsid w:val="00E20D4F"/>
    <w:rsid w:val="00E230A8"/>
    <w:rsid w:val="00E30FD0"/>
    <w:rsid w:val="00E3706F"/>
    <w:rsid w:val="00E41B7C"/>
    <w:rsid w:val="00E50712"/>
    <w:rsid w:val="00E509F3"/>
    <w:rsid w:val="00E61677"/>
    <w:rsid w:val="00E70BCA"/>
    <w:rsid w:val="00E723FB"/>
    <w:rsid w:val="00E75D5A"/>
    <w:rsid w:val="00E83747"/>
    <w:rsid w:val="00E867F3"/>
    <w:rsid w:val="00E901C1"/>
    <w:rsid w:val="00E902D3"/>
    <w:rsid w:val="00E94A85"/>
    <w:rsid w:val="00E9782E"/>
    <w:rsid w:val="00EA40A6"/>
    <w:rsid w:val="00EA7148"/>
    <w:rsid w:val="00EC0F6B"/>
    <w:rsid w:val="00ED3C26"/>
    <w:rsid w:val="00EE1683"/>
    <w:rsid w:val="00EF35E5"/>
    <w:rsid w:val="00EF38A1"/>
    <w:rsid w:val="00F00AA6"/>
    <w:rsid w:val="00F02D7C"/>
    <w:rsid w:val="00F11DAF"/>
    <w:rsid w:val="00F152CD"/>
    <w:rsid w:val="00F200ED"/>
    <w:rsid w:val="00F201D0"/>
    <w:rsid w:val="00F229C9"/>
    <w:rsid w:val="00F25A04"/>
    <w:rsid w:val="00F27519"/>
    <w:rsid w:val="00F27947"/>
    <w:rsid w:val="00F461BE"/>
    <w:rsid w:val="00F54643"/>
    <w:rsid w:val="00F5508A"/>
    <w:rsid w:val="00F666CD"/>
    <w:rsid w:val="00F677C7"/>
    <w:rsid w:val="00F83CA7"/>
    <w:rsid w:val="00F84A9E"/>
    <w:rsid w:val="00F86451"/>
    <w:rsid w:val="00F87290"/>
    <w:rsid w:val="00F9238E"/>
    <w:rsid w:val="00F92B4C"/>
    <w:rsid w:val="00F92C58"/>
    <w:rsid w:val="00F931F5"/>
    <w:rsid w:val="00F9401F"/>
    <w:rsid w:val="00FB1B4B"/>
    <w:rsid w:val="00FB3121"/>
    <w:rsid w:val="00FB7FD1"/>
    <w:rsid w:val="00FC405F"/>
    <w:rsid w:val="00FD2A63"/>
    <w:rsid w:val="00FE1C5B"/>
    <w:rsid w:val="00FE4F69"/>
    <w:rsid w:val="00FF05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EEB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4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tleparagraphe">
    <w:name w:val="Stytle paragraphe"/>
    <w:basedOn w:val="Normal"/>
    <w:qFormat/>
    <w:rsid w:val="00713469"/>
    <w:pPr>
      <w:spacing w:line="360" w:lineRule="auto"/>
      <w:jc w:val="both"/>
    </w:pPr>
    <w:rPr>
      <w:rFonts w:ascii="Arial" w:hAnsi="Arial"/>
    </w:rPr>
  </w:style>
  <w:style w:type="paragraph" w:styleId="Header">
    <w:name w:val="header"/>
    <w:basedOn w:val="Normal"/>
    <w:link w:val="HeaderChar"/>
    <w:uiPriority w:val="99"/>
    <w:unhideWhenUsed/>
    <w:rsid w:val="006466F9"/>
    <w:pPr>
      <w:tabs>
        <w:tab w:val="center" w:pos="4153"/>
        <w:tab w:val="right" w:pos="8306"/>
      </w:tabs>
    </w:pPr>
  </w:style>
  <w:style w:type="character" w:customStyle="1" w:styleId="HeaderChar">
    <w:name w:val="Header Char"/>
    <w:basedOn w:val="DefaultParagraphFont"/>
    <w:link w:val="Header"/>
    <w:uiPriority w:val="99"/>
    <w:rsid w:val="006466F9"/>
  </w:style>
  <w:style w:type="paragraph" w:styleId="Footer">
    <w:name w:val="footer"/>
    <w:basedOn w:val="Normal"/>
    <w:link w:val="FooterChar"/>
    <w:uiPriority w:val="99"/>
    <w:unhideWhenUsed/>
    <w:rsid w:val="006466F9"/>
    <w:pPr>
      <w:tabs>
        <w:tab w:val="center" w:pos="4153"/>
        <w:tab w:val="right" w:pos="8306"/>
      </w:tabs>
    </w:pPr>
  </w:style>
  <w:style w:type="character" w:customStyle="1" w:styleId="FooterChar">
    <w:name w:val="Footer Char"/>
    <w:basedOn w:val="DefaultParagraphFont"/>
    <w:link w:val="Footer"/>
    <w:uiPriority w:val="99"/>
    <w:rsid w:val="006466F9"/>
  </w:style>
  <w:style w:type="character" w:styleId="PageNumber">
    <w:name w:val="page number"/>
    <w:basedOn w:val="DefaultParagraphFont"/>
    <w:uiPriority w:val="99"/>
    <w:semiHidden/>
    <w:unhideWhenUsed/>
    <w:rsid w:val="006466F9"/>
  </w:style>
  <w:style w:type="paragraph" w:styleId="ListParagraph">
    <w:name w:val="List Paragraph"/>
    <w:basedOn w:val="Normal"/>
    <w:uiPriority w:val="34"/>
    <w:qFormat/>
    <w:rsid w:val="006466F9"/>
    <w:pPr>
      <w:ind w:left="720"/>
      <w:contextualSpacing/>
    </w:pPr>
  </w:style>
  <w:style w:type="paragraph" w:customStyle="1" w:styleId="Style1">
    <w:name w:val="Style1"/>
    <w:basedOn w:val="ListParagraph"/>
    <w:qFormat/>
    <w:rsid w:val="009A47D9"/>
    <w:pPr>
      <w:numPr>
        <w:numId w:val="1"/>
      </w:numPr>
      <w:spacing w:line="360" w:lineRule="auto"/>
      <w:jc w:val="center"/>
    </w:pPr>
    <w:rPr>
      <w:rFonts w:ascii="Arial" w:hAnsi="Arial"/>
      <w:b/>
      <w:sz w:val="36"/>
    </w:rPr>
  </w:style>
  <w:style w:type="paragraph" w:customStyle="1" w:styleId="Style2">
    <w:name w:val="Style2"/>
    <w:basedOn w:val="Stytleparagraphe"/>
    <w:qFormat/>
    <w:rsid w:val="00713469"/>
    <w:pPr>
      <w:numPr>
        <w:numId w:val="2"/>
      </w:numPr>
    </w:pPr>
    <w:rPr>
      <w:b/>
      <w:sz w:val="36"/>
    </w:rPr>
  </w:style>
  <w:style w:type="paragraph" w:styleId="BalloonText">
    <w:name w:val="Balloon Text"/>
    <w:basedOn w:val="Normal"/>
    <w:link w:val="BalloonTextChar"/>
    <w:uiPriority w:val="99"/>
    <w:semiHidden/>
    <w:unhideWhenUsed/>
    <w:rsid w:val="00475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B9C"/>
    <w:rPr>
      <w:rFonts w:ascii="Lucida Grande" w:hAnsi="Lucida Grande" w:cs="Lucida Grande"/>
      <w:sz w:val="18"/>
      <w:szCs w:val="18"/>
    </w:rPr>
  </w:style>
  <w:style w:type="paragraph" w:styleId="TOC2">
    <w:name w:val="toc 2"/>
    <w:basedOn w:val="Normal"/>
    <w:next w:val="Normal"/>
    <w:autoRedefine/>
    <w:uiPriority w:val="39"/>
    <w:unhideWhenUsed/>
    <w:rsid w:val="00E20D4F"/>
    <w:pPr>
      <w:ind w:left="240"/>
    </w:pPr>
    <w:rPr>
      <w:smallCaps/>
      <w:sz w:val="22"/>
      <w:szCs w:val="22"/>
    </w:rPr>
  </w:style>
  <w:style w:type="paragraph" w:styleId="TOC1">
    <w:name w:val="toc 1"/>
    <w:basedOn w:val="Normal"/>
    <w:next w:val="Normal"/>
    <w:autoRedefine/>
    <w:uiPriority w:val="39"/>
    <w:unhideWhenUsed/>
    <w:rsid w:val="00E20D4F"/>
    <w:pPr>
      <w:spacing w:before="120"/>
    </w:pPr>
    <w:rPr>
      <w:b/>
      <w:caps/>
      <w:sz w:val="22"/>
      <w:szCs w:val="22"/>
    </w:rPr>
  </w:style>
  <w:style w:type="paragraph" w:styleId="TOC3">
    <w:name w:val="toc 3"/>
    <w:basedOn w:val="Normal"/>
    <w:next w:val="Normal"/>
    <w:autoRedefine/>
    <w:uiPriority w:val="39"/>
    <w:unhideWhenUsed/>
    <w:rsid w:val="00E20D4F"/>
    <w:pPr>
      <w:ind w:left="480"/>
    </w:pPr>
    <w:rPr>
      <w:i/>
      <w:sz w:val="22"/>
      <w:szCs w:val="22"/>
    </w:rPr>
  </w:style>
  <w:style w:type="paragraph" w:styleId="TOC4">
    <w:name w:val="toc 4"/>
    <w:basedOn w:val="Normal"/>
    <w:next w:val="Normal"/>
    <w:autoRedefine/>
    <w:uiPriority w:val="39"/>
    <w:unhideWhenUsed/>
    <w:rsid w:val="00E20D4F"/>
    <w:pPr>
      <w:ind w:left="720"/>
    </w:pPr>
    <w:rPr>
      <w:sz w:val="18"/>
      <w:szCs w:val="18"/>
    </w:rPr>
  </w:style>
  <w:style w:type="paragraph" w:styleId="TOC5">
    <w:name w:val="toc 5"/>
    <w:basedOn w:val="Normal"/>
    <w:next w:val="Normal"/>
    <w:autoRedefine/>
    <w:uiPriority w:val="39"/>
    <w:unhideWhenUsed/>
    <w:rsid w:val="00E20D4F"/>
    <w:pPr>
      <w:ind w:left="960"/>
    </w:pPr>
    <w:rPr>
      <w:sz w:val="18"/>
      <w:szCs w:val="18"/>
    </w:rPr>
  </w:style>
  <w:style w:type="paragraph" w:styleId="TOC6">
    <w:name w:val="toc 6"/>
    <w:basedOn w:val="Normal"/>
    <w:next w:val="Normal"/>
    <w:autoRedefine/>
    <w:uiPriority w:val="39"/>
    <w:unhideWhenUsed/>
    <w:rsid w:val="00E20D4F"/>
    <w:pPr>
      <w:ind w:left="1200"/>
    </w:pPr>
    <w:rPr>
      <w:sz w:val="18"/>
      <w:szCs w:val="18"/>
    </w:rPr>
  </w:style>
  <w:style w:type="paragraph" w:styleId="TOC7">
    <w:name w:val="toc 7"/>
    <w:basedOn w:val="Normal"/>
    <w:next w:val="Normal"/>
    <w:autoRedefine/>
    <w:uiPriority w:val="39"/>
    <w:unhideWhenUsed/>
    <w:rsid w:val="00E20D4F"/>
    <w:pPr>
      <w:ind w:left="1440"/>
    </w:pPr>
    <w:rPr>
      <w:sz w:val="18"/>
      <w:szCs w:val="18"/>
    </w:rPr>
  </w:style>
  <w:style w:type="paragraph" w:styleId="TOC8">
    <w:name w:val="toc 8"/>
    <w:basedOn w:val="Normal"/>
    <w:next w:val="Normal"/>
    <w:autoRedefine/>
    <w:uiPriority w:val="39"/>
    <w:unhideWhenUsed/>
    <w:rsid w:val="00E20D4F"/>
    <w:pPr>
      <w:ind w:left="1680"/>
    </w:pPr>
    <w:rPr>
      <w:sz w:val="18"/>
      <w:szCs w:val="18"/>
    </w:rPr>
  </w:style>
  <w:style w:type="paragraph" w:styleId="TOC9">
    <w:name w:val="toc 9"/>
    <w:basedOn w:val="Normal"/>
    <w:next w:val="Normal"/>
    <w:autoRedefine/>
    <w:uiPriority w:val="39"/>
    <w:unhideWhenUsed/>
    <w:rsid w:val="00E20D4F"/>
    <w:pPr>
      <w:ind w:left="1920"/>
    </w:pPr>
    <w:rPr>
      <w:sz w:val="18"/>
      <w:szCs w:val="18"/>
    </w:rPr>
  </w:style>
  <w:style w:type="paragraph" w:styleId="Bibliography">
    <w:name w:val="Bibliography"/>
    <w:basedOn w:val="Normal"/>
    <w:next w:val="Normal"/>
    <w:uiPriority w:val="37"/>
    <w:unhideWhenUsed/>
    <w:rsid w:val="00E20D4F"/>
    <w:pPr>
      <w:ind w:left="720" w:hanging="720"/>
    </w:pPr>
  </w:style>
  <w:style w:type="paragraph" w:styleId="FootnoteText">
    <w:name w:val="footnote text"/>
    <w:basedOn w:val="Normal"/>
    <w:link w:val="FootnoteTextChar"/>
    <w:uiPriority w:val="99"/>
    <w:unhideWhenUsed/>
    <w:rsid w:val="001853B9"/>
  </w:style>
  <w:style w:type="character" w:customStyle="1" w:styleId="FootnoteTextChar">
    <w:name w:val="Footnote Text Char"/>
    <w:basedOn w:val="DefaultParagraphFont"/>
    <w:link w:val="FootnoteText"/>
    <w:uiPriority w:val="99"/>
    <w:rsid w:val="001853B9"/>
  </w:style>
  <w:style w:type="character" w:styleId="FootnoteReference">
    <w:name w:val="footnote reference"/>
    <w:basedOn w:val="DefaultParagraphFont"/>
    <w:uiPriority w:val="99"/>
    <w:unhideWhenUsed/>
    <w:rsid w:val="001853B9"/>
    <w:rPr>
      <w:vertAlign w:val="superscript"/>
    </w:rPr>
  </w:style>
  <w:style w:type="paragraph" w:customStyle="1" w:styleId="Style3">
    <w:name w:val="Style3"/>
    <w:basedOn w:val="Stytleparagraphe"/>
    <w:qFormat/>
    <w:rsid w:val="00AC571F"/>
    <w:pPr>
      <w:numPr>
        <w:numId w:val="5"/>
      </w:numPr>
    </w:pPr>
    <w:rPr>
      <w:b/>
      <w:sz w:val="28"/>
    </w:rPr>
  </w:style>
  <w:style w:type="table" w:styleId="TableGrid">
    <w:name w:val="Table Grid"/>
    <w:basedOn w:val="TableNormal"/>
    <w:uiPriority w:val="59"/>
    <w:rsid w:val="000E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4B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754BF"/>
    <w:pPr>
      <w:spacing w:line="276" w:lineRule="auto"/>
      <w:outlineLvl w:val="9"/>
    </w:pPr>
    <w:rPr>
      <w:color w:val="365F91" w:themeColor="accent1" w:themeShade="BF"/>
      <w:sz w:val="28"/>
      <w:szCs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4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tleparagraphe">
    <w:name w:val="Stytle paragraphe"/>
    <w:basedOn w:val="Normal"/>
    <w:qFormat/>
    <w:rsid w:val="00713469"/>
    <w:pPr>
      <w:spacing w:line="360" w:lineRule="auto"/>
      <w:jc w:val="both"/>
    </w:pPr>
    <w:rPr>
      <w:rFonts w:ascii="Arial" w:hAnsi="Arial"/>
    </w:rPr>
  </w:style>
  <w:style w:type="paragraph" w:styleId="Header">
    <w:name w:val="header"/>
    <w:basedOn w:val="Normal"/>
    <w:link w:val="HeaderChar"/>
    <w:uiPriority w:val="99"/>
    <w:unhideWhenUsed/>
    <w:rsid w:val="006466F9"/>
    <w:pPr>
      <w:tabs>
        <w:tab w:val="center" w:pos="4153"/>
        <w:tab w:val="right" w:pos="8306"/>
      </w:tabs>
    </w:pPr>
  </w:style>
  <w:style w:type="character" w:customStyle="1" w:styleId="HeaderChar">
    <w:name w:val="Header Char"/>
    <w:basedOn w:val="DefaultParagraphFont"/>
    <w:link w:val="Header"/>
    <w:uiPriority w:val="99"/>
    <w:rsid w:val="006466F9"/>
  </w:style>
  <w:style w:type="paragraph" w:styleId="Footer">
    <w:name w:val="footer"/>
    <w:basedOn w:val="Normal"/>
    <w:link w:val="FooterChar"/>
    <w:uiPriority w:val="99"/>
    <w:unhideWhenUsed/>
    <w:rsid w:val="006466F9"/>
    <w:pPr>
      <w:tabs>
        <w:tab w:val="center" w:pos="4153"/>
        <w:tab w:val="right" w:pos="8306"/>
      </w:tabs>
    </w:pPr>
  </w:style>
  <w:style w:type="character" w:customStyle="1" w:styleId="FooterChar">
    <w:name w:val="Footer Char"/>
    <w:basedOn w:val="DefaultParagraphFont"/>
    <w:link w:val="Footer"/>
    <w:uiPriority w:val="99"/>
    <w:rsid w:val="006466F9"/>
  </w:style>
  <w:style w:type="character" w:styleId="PageNumber">
    <w:name w:val="page number"/>
    <w:basedOn w:val="DefaultParagraphFont"/>
    <w:uiPriority w:val="99"/>
    <w:semiHidden/>
    <w:unhideWhenUsed/>
    <w:rsid w:val="006466F9"/>
  </w:style>
  <w:style w:type="paragraph" w:styleId="ListParagraph">
    <w:name w:val="List Paragraph"/>
    <w:basedOn w:val="Normal"/>
    <w:uiPriority w:val="34"/>
    <w:qFormat/>
    <w:rsid w:val="006466F9"/>
    <w:pPr>
      <w:ind w:left="720"/>
      <w:contextualSpacing/>
    </w:pPr>
  </w:style>
  <w:style w:type="paragraph" w:customStyle="1" w:styleId="Style1">
    <w:name w:val="Style1"/>
    <w:basedOn w:val="ListParagraph"/>
    <w:qFormat/>
    <w:rsid w:val="009A47D9"/>
    <w:pPr>
      <w:numPr>
        <w:numId w:val="1"/>
      </w:numPr>
      <w:spacing w:line="360" w:lineRule="auto"/>
      <w:jc w:val="center"/>
    </w:pPr>
    <w:rPr>
      <w:rFonts w:ascii="Arial" w:hAnsi="Arial"/>
      <w:b/>
      <w:sz w:val="36"/>
    </w:rPr>
  </w:style>
  <w:style w:type="paragraph" w:customStyle="1" w:styleId="Style2">
    <w:name w:val="Style2"/>
    <w:basedOn w:val="Stytleparagraphe"/>
    <w:qFormat/>
    <w:rsid w:val="00713469"/>
    <w:pPr>
      <w:numPr>
        <w:numId w:val="2"/>
      </w:numPr>
    </w:pPr>
    <w:rPr>
      <w:b/>
      <w:sz w:val="36"/>
    </w:rPr>
  </w:style>
  <w:style w:type="paragraph" w:styleId="BalloonText">
    <w:name w:val="Balloon Text"/>
    <w:basedOn w:val="Normal"/>
    <w:link w:val="BalloonTextChar"/>
    <w:uiPriority w:val="99"/>
    <w:semiHidden/>
    <w:unhideWhenUsed/>
    <w:rsid w:val="00475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5B9C"/>
    <w:rPr>
      <w:rFonts w:ascii="Lucida Grande" w:hAnsi="Lucida Grande" w:cs="Lucida Grande"/>
      <w:sz w:val="18"/>
      <w:szCs w:val="18"/>
    </w:rPr>
  </w:style>
  <w:style w:type="paragraph" w:styleId="TOC2">
    <w:name w:val="toc 2"/>
    <w:basedOn w:val="Normal"/>
    <w:next w:val="Normal"/>
    <w:autoRedefine/>
    <w:uiPriority w:val="39"/>
    <w:unhideWhenUsed/>
    <w:rsid w:val="00E20D4F"/>
    <w:pPr>
      <w:ind w:left="240"/>
    </w:pPr>
    <w:rPr>
      <w:smallCaps/>
      <w:sz w:val="22"/>
      <w:szCs w:val="22"/>
    </w:rPr>
  </w:style>
  <w:style w:type="paragraph" w:styleId="TOC1">
    <w:name w:val="toc 1"/>
    <w:basedOn w:val="Normal"/>
    <w:next w:val="Normal"/>
    <w:autoRedefine/>
    <w:uiPriority w:val="39"/>
    <w:unhideWhenUsed/>
    <w:rsid w:val="00E20D4F"/>
    <w:pPr>
      <w:spacing w:before="120"/>
    </w:pPr>
    <w:rPr>
      <w:b/>
      <w:caps/>
      <w:sz w:val="22"/>
      <w:szCs w:val="22"/>
    </w:rPr>
  </w:style>
  <w:style w:type="paragraph" w:styleId="TOC3">
    <w:name w:val="toc 3"/>
    <w:basedOn w:val="Normal"/>
    <w:next w:val="Normal"/>
    <w:autoRedefine/>
    <w:uiPriority w:val="39"/>
    <w:unhideWhenUsed/>
    <w:rsid w:val="00E20D4F"/>
    <w:pPr>
      <w:ind w:left="480"/>
    </w:pPr>
    <w:rPr>
      <w:i/>
      <w:sz w:val="22"/>
      <w:szCs w:val="22"/>
    </w:rPr>
  </w:style>
  <w:style w:type="paragraph" w:styleId="TOC4">
    <w:name w:val="toc 4"/>
    <w:basedOn w:val="Normal"/>
    <w:next w:val="Normal"/>
    <w:autoRedefine/>
    <w:uiPriority w:val="39"/>
    <w:unhideWhenUsed/>
    <w:rsid w:val="00E20D4F"/>
    <w:pPr>
      <w:ind w:left="720"/>
    </w:pPr>
    <w:rPr>
      <w:sz w:val="18"/>
      <w:szCs w:val="18"/>
    </w:rPr>
  </w:style>
  <w:style w:type="paragraph" w:styleId="TOC5">
    <w:name w:val="toc 5"/>
    <w:basedOn w:val="Normal"/>
    <w:next w:val="Normal"/>
    <w:autoRedefine/>
    <w:uiPriority w:val="39"/>
    <w:unhideWhenUsed/>
    <w:rsid w:val="00E20D4F"/>
    <w:pPr>
      <w:ind w:left="960"/>
    </w:pPr>
    <w:rPr>
      <w:sz w:val="18"/>
      <w:szCs w:val="18"/>
    </w:rPr>
  </w:style>
  <w:style w:type="paragraph" w:styleId="TOC6">
    <w:name w:val="toc 6"/>
    <w:basedOn w:val="Normal"/>
    <w:next w:val="Normal"/>
    <w:autoRedefine/>
    <w:uiPriority w:val="39"/>
    <w:unhideWhenUsed/>
    <w:rsid w:val="00E20D4F"/>
    <w:pPr>
      <w:ind w:left="1200"/>
    </w:pPr>
    <w:rPr>
      <w:sz w:val="18"/>
      <w:szCs w:val="18"/>
    </w:rPr>
  </w:style>
  <w:style w:type="paragraph" w:styleId="TOC7">
    <w:name w:val="toc 7"/>
    <w:basedOn w:val="Normal"/>
    <w:next w:val="Normal"/>
    <w:autoRedefine/>
    <w:uiPriority w:val="39"/>
    <w:unhideWhenUsed/>
    <w:rsid w:val="00E20D4F"/>
    <w:pPr>
      <w:ind w:left="1440"/>
    </w:pPr>
    <w:rPr>
      <w:sz w:val="18"/>
      <w:szCs w:val="18"/>
    </w:rPr>
  </w:style>
  <w:style w:type="paragraph" w:styleId="TOC8">
    <w:name w:val="toc 8"/>
    <w:basedOn w:val="Normal"/>
    <w:next w:val="Normal"/>
    <w:autoRedefine/>
    <w:uiPriority w:val="39"/>
    <w:unhideWhenUsed/>
    <w:rsid w:val="00E20D4F"/>
    <w:pPr>
      <w:ind w:left="1680"/>
    </w:pPr>
    <w:rPr>
      <w:sz w:val="18"/>
      <w:szCs w:val="18"/>
    </w:rPr>
  </w:style>
  <w:style w:type="paragraph" w:styleId="TOC9">
    <w:name w:val="toc 9"/>
    <w:basedOn w:val="Normal"/>
    <w:next w:val="Normal"/>
    <w:autoRedefine/>
    <w:uiPriority w:val="39"/>
    <w:unhideWhenUsed/>
    <w:rsid w:val="00E20D4F"/>
    <w:pPr>
      <w:ind w:left="1920"/>
    </w:pPr>
    <w:rPr>
      <w:sz w:val="18"/>
      <w:szCs w:val="18"/>
    </w:rPr>
  </w:style>
  <w:style w:type="paragraph" w:styleId="Bibliography">
    <w:name w:val="Bibliography"/>
    <w:basedOn w:val="Normal"/>
    <w:next w:val="Normal"/>
    <w:uiPriority w:val="37"/>
    <w:unhideWhenUsed/>
    <w:rsid w:val="00E20D4F"/>
    <w:pPr>
      <w:ind w:left="720" w:hanging="720"/>
    </w:pPr>
  </w:style>
  <w:style w:type="paragraph" w:styleId="FootnoteText">
    <w:name w:val="footnote text"/>
    <w:basedOn w:val="Normal"/>
    <w:link w:val="FootnoteTextChar"/>
    <w:uiPriority w:val="99"/>
    <w:unhideWhenUsed/>
    <w:rsid w:val="001853B9"/>
  </w:style>
  <w:style w:type="character" w:customStyle="1" w:styleId="FootnoteTextChar">
    <w:name w:val="Footnote Text Char"/>
    <w:basedOn w:val="DefaultParagraphFont"/>
    <w:link w:val="FootnoteText"/>
    <w:uiPriority w:val="99"/>
    <w:rsid w:val="001853B9"/>
  </w:style>
  <w:style w:type="character" w:styleId="FootnoteReference">
    <w:name w:val="footnote reference"/>
    <w:basedOn w:val="DefaultParagraphFont"/>
    <w:uiPriority w:val="99"/>
    <w:unhideWhenUsed/>
    <w:rsid w:val="001853B9"/>
    <w:rPr>
      <w:vertAlign w:val="superscript"/>
    </w:rPr>
  </w:style>
  <w:style w:type="paragraph" w:customStyle="1" w:styleId="Style3">
    <w:name w:val="Style3"/>
    <w:basedOn w:val="Stytleparagraphe"/>
    <w:qFormat/>
    <w:rsid w:val="00AC571F"/>
    <w:pPr>
      <w:numPr>
        <w:numId w:val="5"/>
      </w:numPr>
    </w:pPr>
    <w:rPr>
      <w:b/>
      <w:sz w:val="28"/>
    </w:rPr>
  </w:style>
  <w:style w:type="table" w:styleId="TableGrid">
    <w:name w:val="Table Grid"/>
    <w:basedOn w:val="TableNormal"/>
    <w:uiPriority w:val="59"/>
    <w:rsid w:val="000E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754B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754BF"/>
    <w:pPr>
      <w:spacing w:line="276" w:lineRule="auto"/>
      <w:outlineLvl w:val="9"/>
    </w:pPr>
    <w:rPr>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2053">
      <w:bodyDiv w:val="1"/>
      <w:marLeft w:val="0"/>
      <w:marRight w:val="0"/>
      <w:marTop w:val="0"/>
      <w:marBottom w:val="0"/>
      <w:divBdr>
        <w:top w:val="none" w:sz="0" w:space="0" w:color="auto"/>
        <w:left w:val="none" w:sz="0" w:space="0" w:color="auto"/>
        <w:bottom w:val="none" w:sz="0" w:space="0" w:color="auto"/>
        <w:right w:val="none" w:sz="0" w:space="0" w:color="auto"/>
      </w:divBdr>
    </w:div>
    <w:div w:id="1269893689">
      <w:bodyDiv w:val="1"/>
      <w:marLeft w:val="0"/>
      <w:marRight w:val="0"/>
      <w:marTop w:val="0"/>
      <w:marBottom w:val="0"/>
      <w:divBdr>
        <w:top w:val="none" w:sz="0" w:space="0" w:color="auto"/>
        <w:left w:val="none" w:sz="0" w:space="0" w:color="auto"/>
        <w:bottom w:val="none" w:sz="0" w:space="0" w:color="auto"/>
        <w:right w:val="none" w:sz="0" w:space="0" w:color="auto"/>
      </w:divBdr>
    </w:div>
    <w:div w:id="1585147915">
      <w:bodyDiv w:val="1"/>
      <w:marLeft w:val="0"/>
      <w:marRight w:val="0"/>
      <w:marTop w:val="0"/>
      <w:marBottom w:val="0"/>
      <w:divBdr>
        <w:top w:val="none" w:sz="0" w:space="0" w:color="auto"/>
        <w:left w:val="none" w:sz="0" w:space="0" w:color="auto"/>
        <w:bottom w:val="none" w:sz="0" w:space="0" w:color="auto"/>
        <w:right w:val="none" w:sz="0" w:space="0" w:color="auto"/>
      </w:divBdr>
    </w:div>
    <w:div w:id="1646356868">
      <w:bodyDiv w:val="1"/>
      <w:marLeft w:val="0"/>
      <w:marRight w:val="0"/>
      <w:marTop w:val="0"/>
      <w:marBottom w:val="0"/>
      <w:divBdr>
        <w:top w:val="none" w:sz="0" w:space="0" w:color="auto"/>
        <w:left w:val="none" w:sz="0" w:space="0" w:color="auto"/>
        <w:bottom w:val="none" w:sz="0" w:space="0" w:color="auto"/>
        <w:right w:val="none" w:sz="0" w:space="0" w:color="auto"/>
      </w:divBdr>
    </w:div>
    <w:div w:id="1761830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99A53A6-F870-AE40-AFDE-6A999D3D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76</Pages>
  <Words>70317</Words>
  <Characters>400808</Characters>
  <Application>Microsoft Macintosh Word</Application>
  <DocSecurity>0</DocSecurity>
  <Lines>3340</Lines>
  <Paragraphs>940</Paragraphs>
  <ScaleCrop>false</ScaleCrop>
  <Company/>
  <LinksUpToDate>false</LinksUpToDate>
  <CharactersWithSpaces>470185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cp:lastModifiedBy>
  <cp:revision>193</cp:revision>
  <cp:lastPrinted>2017-12-06T17:01:00Z</cp:lastPrinted>
  <dcterms:created xsi:type="dcterms:W3CDTF">2018-02-19T12:41:00Z</dcterms:created>
  <dcterms:modified xsi:type="dcterms:W3CDTF">2018-04-13T07:43:00Z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zotero-version="5.0.37"&gt;&lt;session id="QFdZnI1R"/&gt;&lt;style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