
<file path=[Content_Types].xml><?xml version="1.0" encoding="utf-8"?>
<Types xmlns="http://schemas.openxmlformats.org/package/2006/content-types">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ind w:left="-708.6614173228347" w:right="-622.7952755905511" w:firstLine="0"/>
        <w:contextualSpacing w:val="0"/>
        <w:rPr/>
      </w:pPr>
      <w:r w:rsidDel="00000000" w:rsidR="00000000" w:rsidRPr="00000000">
        <w:rPr>
          <w:rtl w:val="0"/>
        </w:rPr>
      </w:r>
    </w:p>
    <w:tbl>
      <w:tblPr>
        <w:tblStyle w:val="Table1"/>
        <w:tblW w:w="10395.0" w:type="dxa"/>
        <w:jc w:val="left"/>
        <w:tblInd w:w="-90.0" w:type="dxa"/>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3480"/>
        <w:gridCol w:w="3195"/>
        <w:gridCol w:w="3720"/>
        <w:tblGridChange w:id="0">
          <w:tblGrid>
            <w:gridCol w:w="3480"/>
            <w:gridCol w:w="3195"/>
            <w:gridCol w:w="3720"/>
          </w:tblGrid>
        </w:tblGridChange>
      </w:tblGrid>
      <w:tr>
        <w:trPr>
          <w:trHeight w:val="1980" w:hRule="atLeast"/>
        </w:trPr>
        <w:tc>
          <w:tcPr>
            <w:tcBorders>
              <w:top w:color="000001" w:space="0" w:sz="6" w:val="single"/>
              <w:left w:color="000001" w:space="0" w:sz="6" w:val="single"/>
              <w:bottom w:color="000001" w:space="0" w:sz="6" w:val="single"/>
              <w:right w:color="80808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40" w:before="40" w:lineRule="auto"/>
              <w:ind w:left="0" w:right="-622.7952755905511" w:firstLine="0"/>
              <w:contextualSpacing w:val="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Université catholique de Louvain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40" w:before="40" w:lineRule="auto"/>
              <w:ind w:left="0" w:right="-622.7952755905511" w:firstLine="0"/>
              <w:contextualSpacing w:val="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Faculté ESPO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40" w:before="40" w:lineRule="auto"/>
              <w:ind w:left="0" w:right="-622.7952755905511" w:firstLine="0"/>
              <w:contextualSpacing w:val="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LINGE1223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40" w:before="40" w:lineRule="auto"/>
              <w:ind w:left="0" w:right="-622.7952755905511" w:firstLine="0"/>
              <w:contextualSpacing w:val="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Année académique 2017-2018 </w:t>
            </w:r>
          </w:p>
        </w:tc>
        <w:tc>
          <w:tcPr>
            <w:tcBorders>
              <w:top w:color="000001" w:space="0" w:sz="6" w:val="single"/>
              <w:left w:color="808080" w:space="0" w:sz="6" w:val="single"/>
              <w:bottom w:color="000001" w:space="0" w:sz="6" w:val="single"/>
              <w:right w:color="80808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40" w:before="40" w:lineRule="auto"/>
              <w:ind w:left="0" w:right="-622.7952755905511" w:firstLine="0"/>
              <w:contextualSpacing w:val="0"/>
              <w:jc w:val="center"/>
              <w:rPr>
                <w:rFonts w:ascii="Times New Roman" w:cs="Times New Roman" w:eastAsia="Times New Roman" w:hAnsi="Times New Roman"/>
                <w:color w:val="00000a"/>
                <w:sz w:val="28"/>
                <w:szCs w:val="28"/>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40" w:before="40" w:lineRule="auto"/>
              <w:ind w:left="-708.6614173228347" w:right="-622.7952755905511" w:firstLine="0"/>
              <w:contextualSpacing w:val="0"/>
              <w:jc w:val="center"/>
              <w:rPr>
                <w:rFonts w:ascii="Times New Roman" w:cs="Times New Roman" w:eastAsia="Times New Roman" w:hAnsi="Times New Roman"/>
                <w:color w:val="00000a"/>
                <w:sz w:val="36"/>
                <w:szCs w:val="36"/>
              </w:rPr>
            </w:pPr>
            <w:r w:rsidDel="00000000" w:rsidR="00000000" w:rsidRPr="00000000">
              <w:rPr>
                <w:rFonts w:ascii="Times New Roman" w:cs="Times New Roman" w:eastAsia="Times New Roman" w:hAnsi="Times New Roman"/>
                <w:color w:val="00000a"/>
                <w:sz w:val="36"/>
                <w:szCs w:val="36"/>
                <w:rtl w:val="0"/>
              </w:rPr>
              <w:t xml:space="preserve">Chimie organique</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40" w:before="40" w:lineRule="auto"/>
              <w:ind w:left="-850.3937007874017" w:right="-622.7952755905511" w:firstLine="0"/>
              <w:contextualSpacing w:val="0"/>
              <w:jc w:val="center"/>
              <w:rPr>
                <w:rFonts w:ascii="Times New Roman" w:cs="Times New Roman" w:eastAsia="Times New Roman" w:hAnsi="Times New Roman"/>
                <w:b w:val="1"/>
                <w:color w:val="00000a"/>
                <w:sz w:val="24"/>
                <w:szCs w:val="24"/>
              </w:rPr>
            </w:pPr>
            <w:r w:rsidDel="00000000" w:rsidR="00000000" w:rsidRPr="00000000">
              <w:rPr>
                <w:rFonts w:ascii="Times New Roman" w:cs="Times New Roman" w:eastAsia="Times New Roman" w:hAnsi="Times New Roman"/>
                <w:b w:val="1"/>
                <w:color w:val="00000a"/>
                <w:rtl w:val="0"/>
              </w:rPr>
              <w:t xml:space="preserve">Groupe 43</w:t>
            </w:r>
            <w:r w:rsidDel="00000000" w:rsidR="00000000" w:rsidRPr="00000000">
              <w:rPr>
                <w:rFonts w:ascii="Times New Roman" w:cs="Times New Roman" w:eastAsia="Times New Roman" w:hAnsi="Times New Roman"/>
                <w:b w:val="1"/>
                <w:color w:val="00000a"/>
                <w:sz w:val="24"/>
                <w:szCs w:val="24"/>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40" w:before="40" w:lineRule="auto"/>
              <w:ind w:left="0" w:right="-622.7952755905511" w:firstLine="0"/>
              <w:contextualSpacing w:val="0"/>
              <w:jc w:val="center"/>
              <w:rPr>
                <w:rFonts w:ascii="Times New Roman" w:cs="Times New Roman" w:eastAsia="Times New Roman" w:hAnsi="Times New Roman"/>
                <w:color w:val="00000a"/>
              </w:rPr>
            </w:pPr>
            <w:r w:rsidDel="00000000" w:rsidR="00000000" w:rsidRPr="00000000">
              <w:rPr>
                <w:rtl w:val="0"/>
              </w:rPr>
            </w:r>
          </w:p>
        </w:tc>
        <w:tc>
          <w:tcPr>
            <w:tcBorders>
              <w:top w:color="000001" w:space="0" w:sz="6" w:val="single"/>
              <w:left w:color="808080" w:space="0" w:sz="6" w:val="single"/>
              <w:bottom w:color="000001" w:space="0" w:sz="6" w:val="single"/>
              <w:right w:color="000001"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40" w:before="40" w:lineRule="auto"/>
              <w:ind w:left="0" w:right="-622.7952755905511" w:firstLine="0"/>
              <w:contextualSpacing w:val="0"/>
              <w:jc w:val="left"/>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40" w:before="40" w:lineRule="auto"/>
              <w:ind w:left="1559.0551181102364" w:right="-622.7952755905511" w:firstLine="0"/>
              <w:contextualSpacing w:val="0"/>
              <w:jc w:val="left"/>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Ansriou Ilham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40" w:before="40" w:lineRule="auto"/>
              <w:ind w:left="0" w:right="-622.7952755905511" w:firstLine="0"/>
              <w:contextualSpacing w:val="0"/>
              <w:jc w:val="left"/>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Gilchrist Ailie</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40" w:before="40" w:lineRule="auto"/>
              <w:ind w:left="0" w:right="-622.7952755905511" w:firstLine="0"/>
              <w:contextualSpacing w:val="0"/>
              <w:jc w:val="left"/>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Gueulette Arnaud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40" w:before="40" w:lineRule="auto"/>
              <w:ind w:left="0" w:right="-622.7952755905511" w:firstLine="0"/>
              <w:contextualSpacing w:val="0"/>
              <w:jc w:val="right"/>
              <w:rPr>
                <w:rFonts w:ascii="Times New Roman" w:cs="Times New Roman" w:eastAsia="Times New Roman" w:hAnsi="Times New Roman"/>
                <w:color w:val="00000a"/>
                <w:sz w:val="24"/>
                <w:szCs w:val="24"/>
              </w:rPr>
            </w:pPr>
            <w:r w:rsidDel="00000000" w:rsidR="00000000" w:rsidRPr="00000000">
              <w:rPr>
                <w:rtl w:val="0"/>
              </w:rPr>
            </w:r>
          </w:p>
        </w:tc>
      </w:tr>
    </w:tbl>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ind w:left="-708.6614173228347" w:right="-622.7952755905511" w:firstLine="0"/>
        <w:contextualSpacing w:val="0"/>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00F">
      <w:pPr>
        <w:ind w:left="-708.6614173228347" w:right="-622.7952755905511" w:firstLine="0"/>
        <w:contextualSpacing w:val="0"/>
        <w:rPr/>
      </w:pPr>
      <w:r w:rsidDel="00000000" w:rsidR="00000000" w:rsidRPr="00000000">
        <w:rPr>
          <w:rtl w:val="0"/>
        </w:rPr>
      </w:r>
    </w:p>
    <w:p w:rsidR="00000000" w:rsidDel="00000000" w:rsidP="00000000" w:rsidRDefault="00000000" w:rsidRPr="00000000" w14:paraId="00000010">
      <w:pPr>
        <w:ind w:left="141.73228346456688" w:right="-622.7952755905511" w:firstLine="0"/>
        <w:contextualSpacing w:val="0"/>
        <w:rPr/>
      </w:pPr>
      <w:r w:rsidDel="00000000" w:rsidR="00000000" w:rsidRPr="00000000">
        <w:rPr>
          <w:b w:val="1"/>
          <w:rtl w:val="0"/>
        </w:rPr>
        <w:t xml:space="preserve">1</w:t>
      </w:r>
      <w:r w:rsidDel="00000000" w:rsidR="00000000" w:rsidRPr="00000000">
        <w:rPr>
          <w:b w:val="1"/>
          <w:u w:val="single"/>
          <w:rtl w:val="0"/>
        </w:rPr>
        <w:t xml:space="preserve">. Nom usuel du polymère :</w:t>
      </w:r>
      <w:r w:rsidDel="00000000" w:rsidR="00000000" w:rsidRPr="00000000">
        <w:rPr>
          <w:rtl w:val="0"/>
        </w:rPr>
        <w:t xml:space="preserve"> Polyimide</w:t>
      </w:r>
    </w:p>
    <w:p w:rsidR="00000000" w:rsidDel="00000000" w:rsidP="00000000" w:rsidRDefault="00000000" w:rsidRPr="00000000" w14:paraId="00000011">
      <w:pPr>
        <w:ind w:left="141.73228346456688" w:right="-622.7952755905511" w:firstLine="0"/>
        <w:contextualSpacing w:val="0"/>
        <w:rPr/>
      </w:pPr>
      <w:r w:rsidDel="00000000" w:rsidR="00000000" w:rsidRPr="00000000">
        <w:rPr>
          <w:rtl w:val="0"/>
        </w:rPr>
      </w:r>
    </w:p>
    <w:p w:rsidR="00000000" w:rsidDel="00000000" w:rsidP="00000000" w:rsidRDefault="00000000" w:rsidRPr="00000000" w14:paraId="00000012">
      <w:pPr>
        <w:ind w:left="141.73228346456688" w:right="-622.7952755905511" w:firstLine="0"/>
        <w:contextualSpacing w:val="0"/>
        <w:rPr/>
      </w:pPr>
      <w:r w:rsidDel="00000000" w:rsidR="00000000" w:rsidRPr="00000000">
        <w:rPr>
          <w:rtl w:val="0"/>
        </w:rPr>
      </w:r>
    </w:p>
    <w:p w:rsidR="00000000" w:rsidDel="00000000" w:rsidP="00000000" w:rsidRDefault="00000000" w:rsidRPr="00000000" w14:paraId="00000013">
      <w:pPr>
        <w:ind w:left="141.73228346456688" w:right="-622.7952755905511" w:firstLine="0"/>
        <w:contextualSpacing w:val="0"/>
        <w:rPr>
          <w:b w:val="1"/>
          <w:u w:val="single"/>
        </w:rPr>
      </w:pPr>
      <w:r w:rsidDel="00000000" w:rsidR="00000000" w:rsidRPr="00000000">
        <w:rPr>
          <w:b w:val="1"/>
          <w:u w:val="single"/>
          <w:rtl w:val="0"/>
        </w:rPr>
        <w:t xml:space="preserve">2. Structure du polymère : </w:t>
      </w:r>
    </w:p>
    <w:p w:rsidR="00000000" w:rsidDel="00000000" w:rsidP="00000000" w:rsidRDefault="00000000" w:rsidRPr="00000000" w14:paraId="00000014">
      <w:pPr>
        <w:ind w:left="141.73228346456688" w:right="-622.7952755905511" w:firstLine="0"/>
        <w:contextualSpacing w:val="0"/>
        <w:rPr>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4400550</wp:posOffset>
            </wp:positionH>
            <wp:positionV relativeFrom="paragraph">
              <wp:posOffset>133350</wp:posOffset>
            </wp:positionV>
            <wp:extent cx="1272942" cy="947738"/>
            <wp:effectExtent b="0" l="0" r="0" t="0"/>
            <wp:wrapSquare wrapText="bothSides" distB="114300" distT="114300" distL="114300" distR="114300"/>
            <wp:docPr id="10" name="image20.png"/>
            <a:graphic>
              <a:graphicData uri="http://schemas.openxmlformats.org/drawingml/2006/picture">
                <pic:pic>
                  <pic:nvPicPr>
                    <pic:cNvPr id="0" name="image20.png"/>
                    <pic:cNvPicPr preferRelativeResize="0"/>
                  </pic:nvPicPr>
                  <pic:blipFill>
                    <a:blip r:embed="rId6"/>
                    <a:srcRect b="0" l="0" r="0" t="0"/>
                    <a:stretch>
                      <a:fillRect/>
                    </a:stretch>
                  </pic:blipFill>
                  <pic:spPr>
                    <a:xfrm>
                      <a:off x="0" y="0"/>
                      <a:ext cx="1272942" cy="947738"/>
                    </a:xfrm>
                    <a:prstGeom prst="rect"/>
                    <a:ln/>
                  </pic:spPr>
                </pic:pic>
              </a:graphicData>
            </a:graphic>
          </wp:anchor>
        </w:drawing>
      </w:r>
    </w:p>
    <w:p w:rsidR="00000000" w:rsidDel="00000000" w:rsidP="00000000" w:rsidRDefault="00000000" w:rsidRPr="00000000" w14:paraId="00000015">
      <w:pPr>
        <w:ind w:left="141.73228346456688" w:right="-622.7952755905511" w:firstLine="0"/>
        <w:contextualSpacing w:val="0"/>
        <w:rPr>
          <w:u w:val="single"/>
        </w:rPr>
      </w:pPr>
      <w:r w:rsidDel="00000000" w:rsidR="00000000" w:rsidRPr="00000000">
        <w:rPr/>
        <w:drawing>
          <wp:inline distB="114300" distT="114300" distL="114300" distR="114300">
            <wp:extent cx="4138613" cy="1045924"/>
            <wp:effectExtent b="0" l="0" r="0" t="0"/>
            <wp:docPr id="7" name="image17.gif"/>
            <a:graphic>
              <a:graphicData uri="http://schemas.openxmlformats.org/drawingml/2006/picture">
                <pic:pic>
                  <pic:nvPicPr>
                    <pic:cNvPr id="0" name="image17.gif"/>
                    <pic:cNvPicPr preferRelativeResize="0"/>
                  </pic:nvPicPr>
                  <pic:blipFill>
                    <a:blip r:embed="rId7"/>
                    <a:srcRect b="0" l="0" r="0" t="0"/>
                    <a:stretch>
                      <a:fillRect/>
                    </a:stretch>
                  </pic:blipFill>
                  <pic:spPr>
                    <a:xfrm>
                      <a:off x="0" y="0"/>
                      <a:ext cx="4138613" cy="1045924"/>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ind w:left="141.73228346456688" w:right="-622.7952755905511" w:firstLine="0"/>
        <w:contextualSpacing w:val="0"/>
        <w:rPr/>
      </w:pPr>
      <w:r w:rsidDel="00000000" w:rsidR="00000000" w:rsidRPr="00000000">
        <w:rPr>
          <w:rtl w:val="0"/>
        </w:rPr>
        <w:t xml:space="preserve">Le polyimide représenté ci-dessus est composé en grande majorité d’hétérocycles imides. </w:t>
      </w:r>
    </w:p>
    <w:p w:rsidR="00000000" w:rsidDel="00000000" w:rsidP="00000000" w:rsidRDefault="00000000" w:rsidRPr="00000000" w14:paraId="00000017">
      <w:pPr>
        <w:ind w:left="141.73228346456688" w:right="-622.7952755905511" w:firstLine="0"/>
        <w:contextualSpacing w:val="0"/>
        <w:rPr/>
      </w:pPr>
      <w:r w:rsidDel="00000000" w:rsidR="00000000" w:rsidRPr="00000000">
        <w:rPr>
          <w:rtl w:val="0"/>
        </w:rPr>
      </w:r>
    </w:p>
    <w:p w:rsidR="00000000" w:rsidDel="00000000" w:rsidP="00000000" w:rsidRDefault="00000000" w:rsidRPr="00000000" w14:paraId="00000018">
      <w:pPr>
        <w:ind w:left="141.73228346456688" w:right="-622.7952755905511" w:firstLine="0"/>
        <w:contextualSpacing w:val="0"/>
        <w:rPr>
          <w:b w:val="1"/>
        </w:rPr>
      </w:pPr>
      <w:r w:rsidDel="00000000" w:rsidR="00000000" w:rsidRPr="00000000">
        <w:rPr>
          <w:b w:val="1"/>
          <w:u w:val="single"/>
          <w:rtl w:val="0"/>
        </w:rPr>
        <w:t xml:space="preserve">3. Structure du (ou des) monomère(s) :</w:t>
      </w:r>
      <w:r w:rsidDel="00000000" w:rsidR="00000000" w:rsidRPr="00000000">
        <w:rPr>
          <w:b w:val="1"/>
          <w:rtl w:val="0"/>
        </w:rPr>
        <w:t xml:space="preserve"> </w:t>
      </w:r>
    </w:p>
    <w:p w:rsidR="00000000" w:rsidDel="00000000" w:rsidP="00000000" w:rsidRDefault="00000000" w:rsidRPr="00000000" w14:paraId="00000019">
      <w:pPr>
        <w:ind w:left="141.73228346456688" w:right="-622.7952755905511" w:firstLine="0"/>
        <w:contextualSpacing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-114299</wp:posOffset>
            </wp:positionH>
            <wp:positionV relativeFrom="paragraph">
              <wp:posOffset>57150</wp:posOffset>
            </wp:positionV>
            <wp:extent cx="1624013" cy="1085850"/>
            <wp:effectExtent b="0" l="0" r="0" t="0"/>
            <wp:wrapSquare wrapText="bothSides" distB="114300" distT="114300" distL="114300" distR="114300"/>
            <wp:docPr id="6" name="image16.png"/>
            <a:graphic>
              <a:graphicData uri="http://schemas.openxmlformats.org/drawingml/2006/picture">
                <pic:pic>
                  <pic:nvPicPr>
                    <pic:cNvPr id="0" name="image16.png"/>
                    <pic:cNvPicPr preferRelativeResize="0"/>
                  </pic:nvPicPr>
                  <pic:blipFill>
                    <a:blip r:embed="rId8"/>
                    <a:srcRect b="0" l="0" r="0" t="0"/>
                    <a:stretch>
                      <a:fillRect/>
                    </a:stretch>
                  </pic:blipFill>
                  <pic:spPr>
                    <a:xfrm>
                      <a:off x="0" y="0"/>
                      <a:ext cx="1624013" cy="1085850"/>
                    </a:xfrm>
                    <a:prstGeom prst="rect"/>
                    <a:ln/>
                  </pic:spPr>
                </pic:pic>
              </a:graphicData>
            </a:graphic>
          </wp:anchor>
        </w:drawing>
      </w:r>
    </w:p>
    <w:p w:rsidR="00000000" w:rsidDel="00000000" w:rsidP="00000000" w:rsidRDefault="00000000" w:rsidRPr="00000000" w14:paraId="0000001A">
      <w:pPr>
        <w:ind w:left="141.73228346456688" w:right="-622.7952755905511" w:firstLine="0"/>
        <w:contextualSpacing w:val="0"/>
        <w:jc w:val="both"/>
        <w:rPr/>
      </w:pPr>
      <w:r w:rsidDel="00000000" w:rsidR="00000000" w:rsidRPr="00000000">
        <w:rPr>
          <w:rtl w:val="0"/>
        </w:rPr>
        <w:t xml:space="preserve">Un groupe imide (ou amide secondaire) est un groupe fonctionnel caractérisé par une formule (</w:t>
      </w:r>
      <w:r w:rsidDel="00000000" w:rsidR="00000000" w:rsidRPr="00000000">
        <w:rPr>
          <w:rFonts w:ascii="Arial Unicode MS" w:cs="Arial Unicode MS" w:eastAsia="Arial Unicode MS" w:hAnsi="Arial Unicode MS"/>
          <w:color w:val="222222"/>
          <w:sz w:val="21"/>
          <w:szCs w:val="21"/>
          <w:shd w:fill="f8f9fa" w:val="clear"/>
          <w:rtl w:val="0"/>
        </w:rPr>
        <w:t xml:space="preserve">R−</w:t>
      </w:r>
      <w:r w:rsidDel="00000000" w:rsidR="00000000" w:rsidRPr="00000000">
        <w:rPr>
          <w:b w:val="1"/>
          <w:color w:val="222222"/>
          <w:sz w:val="21"/>
          <w:szCs w:val="21"/>
          <w:rtl w:val="0"/>
        </w:rPr>
        <w:t xml:space="preserve">C(=O)-N</w:t>
      </w:r>
      <w:r w:rsidDel="00000000" w:rsidR="00000000" w:rsidRPr="00000000">
        <w:rPr>
          <w:color w:val="222222"/>
          <w:sz w:val="21"/>
          <w:szCs w:val="21"/>
          <w:shd w:fill="f8f9fa" w:val="clear"/>
          <w:rtl w:val="0"/>
        </w:rPr>
        <w:t xml:space="preserve">(-R</w:t>
      </w:r>
      <w:r w:rsidDel="00000000" w:rsidR="00000000" w:rsidRPr="00000000">
        <w:rPr>
          <w:i w:val="1"/>
          <w:color w:val="222222"/>
          <w:sz w:val="21"/>
          <w:szCs w:val="21"/>
          <w:rtl w:val="0"/>
        </w:rPr>
        <w:t xml:space="preserve">)</w:t>
      </w:r>
      <w:r w:rsidDel="00000000" w:rsidR="00000000" w:rsidRPr="00000000">
        <w:rPr>
          <w:b w:val="1"/>
          <w:i w:val="1"/>
          <w:color w:val="222222"/>
          <w:sz w:val="21"/>
          <w:szCs w:val="21"/>
          <w:rtl w:val="0"/>
        </w:rPr>
        <w:t xml:space="preserve">-C(=O)</w:t>
      </w:r>
      <w:r w:rsidDel="00000000" w:rsidR="00000000" w:rsidRPr="00000000">
        <w:rPr>
          <w:rFonts w:ascii="Arial Unicode MS" w:cs="Arial Unicode MS" w:eastAsia="Arial Unicode MS" w:hAnsi="Arial Unicode MS"/>
          <w:i w:val="1"/>
          <w:color w:val="222222"/>
          <w:sz w:val="21"/>
          <w:szCs w:val="21"/>
          <w:rtl w:val="0"/>
        </w:rPr>
        <w:t xml:space="preserve">−R'). </w:t>
      </w:r>
      <w:r w:rsidDel="00000000" w:rsidR="00000000" w:rsidRPr="00000000">
        <w:rPr>
          <w:rtl w:val="0"/>
        </w:rPr>
        <w:t xml:space="preserve">En effectuant une polymérisation du groupe fonctionnel que nous venons de présenter ci-dessus, la résultante sera un polyimide. Les polyimides se présentent en général sous deux formes différentes. Deux structures sont possibles, celles-ci sont illustrées ci-dessous.</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828675</wp:posOffset>
            </wp:positionH>
            <wp:positionV relativeFrom="paragraph">
              <wp:posOffset>1143000</wp:posOffset>
            </wp:positionV>
            <wp:extent cx="3863578" cy="1404938"/>
            <wp:effectExtent b="0" l="0" r="0" t="0"/>
            <wp:wrapTopAndBottom distB="114300" distT="114300"/>
            <wp:docPr descr="pimide1f.gif (2906 octets)" id="9" name="image19.gif"/>
            <a:graphic>
              <a:graphicData uri="http://schemas.openxmlformats.org/drawingml/2006/picture">
                <pic:pic>
                  <pic:nvPicPr>
                    <pic:cNvPr descr="pimide1f.gif (2906 octets)" id="0" name="image19.gif"/>
                    <pic:cNvPicPr preferRelativeResize="0"/>
                  </pic:nvPicPr>
                  <pic:blipFill>
                    <a:blip r:embed="rId9"/>
                    <a:srcRect b="0" l="0" r="0" t="0"/>
                    <a:stretch>
                      <a:fillRect/>
                    </a:stretch>
                  </pic:blipFill>
                  <pic:spPr>
                    <a:xfrm>
                      <a:off x="0" y="0"/>
                      <a:ext cx="3863578" cy="1404938"/>
                    </a:xfrm>
                    <a:prstGeom prst="rect"/>
                    <a:ln/>
                  </pic:spPr>
                </pic:pic>
              </a:graphicData>
            </a:graphic>
          </wp:anchor>
        </w:drawing>
      </w:r>
    </w:p>
    <w:p w:rsidR="00000000" w:rsidDel="00000000" w:rsidP="00000000" w:rsidRDefault="00000000" w:rsidRPr="00000000" w14:paraId="0000001B">
      <w:pPr>
        <w:ind w:left="141.73228346456688" w:right="-622.7952755905511" w:firstLine="0"/>
        <w:contextualSpacing w:val="0"/>
        <w:rPr/>
      </w:pPr>
      <w:r w:rsidDel="00000000" w:rsidR="00000000" w:rsidRPr="00000000">
        <w:rPr>
          <w:rtl w:val="0"/>
        </w:rPr>
      </w:r>
    </w:p>
    <w:p w:rsidR="00000000" w:rsidDel="00000000" w:rsidP="00000000" w:rsidRDefault="00000000" w:rsidRPr="00000000" w14:paraId="0000001C">
      <w:pPr>
        <w:ind w:left="141.73228346456688" w:right="-622.7952755905511" w:firstLine="0"/>
        <w:contextualSpacing w:val="0"/>
        <w:rPr/>
      </w:pPr>
      <w:r w:rsidDel="00000000" w:rsidR="00000000" w:rsidRPr="00000000">
        <w:rPr>
          <w:rtl w:val="0"/>
        </w:rPr>
      </w:r>
    </w:p>
    <w:p w:rsidR="00000000" w:rsidDel="00000000" w:rsidP="00000000" w:rsidRDefault="00000000" w:rsidRPr="00000000" w14:paraId="0000001D">
      <w:pPr>
        <w:ind w:left="141.73228346456688" w:right="-622.7952755905511" w:firstLine="0"/>
        <w:contextualSpacing w:val="0"/>
        <w:rPr/>
      </w:pPr>
      <w:r w:rsidDel="00000000" w:rsidR="00000000" w:rsidRPr="00000000">
        <w:rPr>
          <w:rtl w:val="0"/>
        </w:rPr>
      </w:r>
    </w:p>
    <w:p w:rsidR="00000000" w:rsidDel="00000000" w:rsidP="00000000" w:rsidRDefault="00000000" w:rsidRPr="00000000" w14:paraId="0000001E">
      <w:pPr>
        <w:ind w:left="141.73228346456688" w:right="-622.7952755905511" w:firstLine="0"/>
        <w:contextualSpacing w:val="0"/>
        <w:rPr/>
      </w:pPr>
      <w:r w:rsidDel="00000000" w:rsidR="00000000" w:rsidRPr="00000000">
        <w:rPr>
          <w:rtl w:val="0"/>
        </w:rPr>
      </w:r>
    </w:p>
    <w:p w:rsidR="00000000" w:rsidDel="00000000" w:rsidP="00000000" w:rsidRDefault="00000000" w:rsidRPr="00000000" w14:paraId="0000001F">
      <w:pPr>
        <w:ind w:left="141.73228346456688" w:right="-622.7952755905511" w:firstLine="0"/>
        <w:contextualSpacing w:val="0"/>
        <w:rPr/>
      </w:pPr>
      <w:r w:rsidDel="00000000" w:rsidR="00000000" w:rsidRPr="00000000">
        <w:rPr>
          <w:rtl w:val="0"/>
        </w:rPr>
      </w:r>
    </w:p>
    <w:p w:rsidR="00000000" w:rsidDel="00000000" w:rsidP="00000000" w:rsidRDefault="00000000" w:rsidRPr="00000000" w14:paraId="00000020">
      <w:pPr>
        <w:ind w:left="141.73228346456688" w:right="-622.7952755905511" w:firstLine="0"/>
        <w:contextualSpacing w:val="0"/>
        <w:rPr/>
      </w:pPr>
      <w:r w:rsidDel="00000000" w:rsidR="00000000" w:rsidRPr="00000000">
        <w:rPr>
          <w:rtl w:val="0"/>
        </w:rPr>
      </w:r>
    </w:p>
    <w:p w:rsidR="00000000" w:rsidDel="00000000" w:rsidP="00000000" w:rsidRDefault="00000000" w:rsidRPr="00000000" w14:paraId="00000021">
      <w:pPr>
        <w:ind w:left="141.73228346456688" w:right="-622.7952755905511" w:firstLine="0"/>
        <w:contextualSpacing w:val="0"/>
        <w:rPr/>
      </w:pPr>
      <w:r w:rsidDel="00000000" w:rsidR="00000000" w:rsidRPr="00000000">
        <w:rPr>
          <w:rtl w:val="0"/>
        </w:rPr>
      </w:r>
    </w:p>
    <w:p w:rsidR="00000000" w:rsidDel="00000000" w:rsidP="00000000" w:rsidRDefault="00000000" w:rsidRPr="00000000" w14:paraId="00000022">
      <w:pPr>
        <w:ind w:left="141.73228346456688" w:right="-622.7952755905511" w:firstLine="0"/>
        <w:contextualSpacing w:val="0"/>
        <w:rPr/>
      </w:pPr>
      <w:r w:rsidDel="00000000" w:rsidR="00000000" w:rsidRPr="00000000">
        <w:rPr>
          <w:u w:val="single"/>
          <w:rtl w:val="0"/>
        </w:rPr>
        <w:t xml:space="preserve">4. Type de polymérisation :</w:t>
      </w:r>
      <w:r w:rsidDel="00000000" w:rsidR="00000000" w:rsidRPr="00000000">
        <w:rPr>
          <w:rtl w:val="0"/>
        </w:rPr>
        <w:t xml:space="preserve">  </w:t>
      </w:r>
    </w:p>
    <w:p w:rsidR="00000000" w:rsidDel="00000000" w:rsidP="00000000" w:rsidRDefault="00000000" w:rsidRPr="00000000" w14:paraId="00000023">
      <w:pPr>
        <w:ind w:left="141.73228346456688" w:right="-622.7952755905511" w:firstLine="0"/>
        <w:contextualSpacing w:val="0"/>
        <w:rPr>
          <w:b w:val="1"/>
        </w:rPr>
      </w:pPr>
      <w:r w:rsidDel="00000000" w:rsidR="00000000" w:rsidRPr="00000000">
        <w:rPr>
          <w:rtl w:val="0"/>
        </w:rPr>
      </w:r>
    </w:p>
    <w:p w:rsidR="00000000" w:rsidDel="00000000" w:rsidP="00000000" w:rsidRDefault="00000000" w:rsidRPr="00000000" w14:paraId="00000024">
      <w:pPr>
        <w:ind w:left="141.73228346456688" w:right="-622.7952755905511" w:firstLine="0"/>
        <w:contextualSpacing w:val="0"/>
        <w:jc w:val="both"/>
        <w:rPr>
          <w:sz w:val="24"/>
          <w:szCs w:val="24"/>
        </w:rPr>
      </w:pPr>
      <w:r w:rsidDel="00000000" w:rsidR="00000000" w:rsidRPr="00000000">
        <w:rPr>
          <w:b w:val="1"/>
          <w:i w:val="1"/>
          <w:sz w:val="24"/>
          <w:szCs w:val="24"/>
          <w:rtl w:val="0"/>
        </w:rPr>
        <w:t xml:space="preserve">Polycondensation</w:t>
      </w:r>
      <w:r w:rsidDel="00000000" w:rsidR="00000000" w:rsidRPr="00000000">
        <w:rPr>
          <w:sz w:val="24"/>
          <w:szCs w:val="24"/>
          <w:rtl w:val="0"/>
        </w:rPr>
        <w:tab/>
        <w:tab/>
        <w:tab/>
        <w:tab/>
        <w:tab/>
        <w:tab/>
      </w:r>
    </w:p>
    <w:p w:rsidR="00000000" w:rsidDel="00000000" w:rsidP="00000000" w:rsidRDefault="00000000" w:rsidRPr="00000000" w14:paraId="00000025">
      <w:pPr>
        <w:ind w:left="141.73228346456688" w:right="-622.7952755905511" w:firstLine="0"/>
        <w:contextualSpacing w:val="0"/>
        <w:jc w:val="both"/>
        <w:rPr>
          <w:sz w:val="24"/>
          <w:szCs w:val="24"/>
        </w:rPr>
      </w:pPr>
      <w:r w:rsidDel="00000000" w:rsidR="00000000" w:rsidRPr="00000000">
        <w:rPr>
          <w:sz w:val="24"/>
          <w:szCs w:val="24"/>
          <w:rtl w:val="0"/>
        </w:rPr>
        <w:t xml:space="preserve">“La polycondensation est une </w:t>
      </w:r>
      <w:r w:rsidDel="00000000" w:rsidR="00000000" w:rsidRPr="00000000">
        <w:rPr>
          <w:b w:val="1"/>
          <w:sz w:val="24"/>
          <w:szCs w:val="24"/>
          <w:u w:val="single"/>
          <w:rtl w:val="0"/>
        </w:rPr>
        <w:t xml:space="preserve">polymérisation par étapes</w:t>
      </w:r>
      <w:r w:rsidDel="00000000" w:rsidR="00000000" w:rsidRPr="00000000">
        <w:rPr>
          <w:sz w:val="24"/>
          <w:szCs w:val="24"/>
          <w:rtl w:val="0"/>
        </w:rPr>
        <w:t xml:space="preserve">. Les monomères avec deux ou plusieurs groupes fonctionnels réagissent pour former d'abord des dimères, ensuite des trimères et oligomères plus longs, et ensuite des polymères à chaine longue”. Il est à noter que ces réactions s’accompagnent généralement de l’élimination de petites molécules (</w:t>
      </w:r>
      <w:r w:rsidDel="00000000" w:rsidR="00000000" w:rsidRPr="00000000">
        <w:rPr>
          <w:sz w:val="24"/>
          <w:szCs w:val="24"/>
          <w:rtl w:val="0"/>
        </w:rPr>
        <w:t xml:space="preserve">H2O</w:t>
      </w:r>
      <w:r w:rsidDel="00000000" w:rsidR="00000000" w:rsidRPr="00000000">
        <w:rPr>
          <w:sz w:val="24"/>
          <w:szCs w:val="24"/>
          <w:rtl w:val="0"/>
        </w:rPr>
        <w:t xml:space="preserve">, HCL, NH3, CH3OH) qui sont justement fonctions des monomères présents.</w:t>
      </w:r>
    </w:p>
    <w:p w:rsidR="00000000" w:rsidDel="00000000" w:rsidP="00000000" w:rsidRDefault="00000000" w:rsidRPr="00000000" w14:paraId="00000026">
      <w:pPr>
        <w:ind w:left="141.73228346456688" w:right="-622.7952755905511" w:firstLine="0"/>
        <w:contextualSpacing w:val="0"/>
        <w:jc w:val="both"/>
        <w:rPr/>
      </w:pPr>
      <w:r w:rsidDel="00000000" w:rsidR="00000000" w:rsidRPr="00000000">
        <w:rPr>
          <w:rtl w:val="0"/>
        </w:rPr>
        <w:tab/>
        <w:tab/>
        <w:tab/>
        <w:tab/>
        <w:tab/>
        <w:tab/>
      </w:r>
    </w:p>
    <w:p w:rsidR="00000000" w:rsidDel="00000000" w:rsidP="00000000" w:rsidRDefault="00000000" w:rsidRPr="00000000" w14:paraId="00000027">
      <w:pPr>
        <w:ind w:left="141.73228346456688" w:right="-622.7952755905511" w:firstLine="0"/>
        <w:contextualSpacing w:val="0"/>
        <w:jc w:val="both"/>
        <w:rPr>
          <w:b w:val="1"/>
          <w:u w:val="single"/>
        </w:rPr>
      </w:pPr>
      <w:r w:rsidDel="00000000" w:rsidR="00000000" w:rsidRPr="00000000">
        <w:rPr>
          <w:b w:val="1"/>
          <w:u w:val="single"/>
          <w:rtl w:val="0"/>
        </w:rPr>
        <w:t xml:space="preserve"> 5. Réaction de synthèse :</w:t>
      </w:r>
      <w:r w:rsidDel="00000000" w:rsidR="00000000" w:rsidRPr="00000000">
        <w:drawing>
          <wp:anchor allowOverlap="1" behindDoc="0" distB="114300" distT="114300" distL="114300" distR="114300" hidden="0" layoutInCell="1" locked="0" relativeHeight="0" simplePos="0">
            <wp:simplePos x="0" y="0"/>
            <wp:positionH relativeFrom="margin">
              <wp:posOffset>2952750</wp:posOffset>
            </wp:positionH>
            <wp:positionV relativeFrom="paragraph">
              <wp:posOffset>95250</wp:posOffset>
            </wp:positionV>
            <wp:extent cx="3729038" cy="1601293"/>
            <wp:effectExtent b="0" l="0" r="0" t="0"/>
            <wp:wrapSquare wrapText="bothSides" distB="114300" distT="114300" distL="114300" distR="114300"/>
            <wp:docPr id="5" name="image15.png"/>
            <a:graphic>
              <a:graphicData uri="http://schemas.openxmlformats.org/drawingml/2006/picture">
                <pic:pic>
                  <pic:nvPicPr>
                    <pic:cNvPr id="0" name="image15.png"/>
                    <pic:cNvPicPr preferRelativeResize="0"/>
                  </pic:nvPicPr>
                  <pic:blipFill>
                    <a:blip r:embed="rId10"/>
                    <a:srcRect b="0" l="0" r="0" t="0"/>
                    <a:stretch>
                      <a:fillRect/>
                    </a:stretch>
                  </pic:blipFill>
                  <pic:spPr>
                    <a:xfrm>
                      <a:off x="0" y="0"/>
                      <a:ext cx="3729038" cy="1601293"/>
                    </a:xfrm>
                    <a:prstGeom prst="rect"/>
                    <a:ln/>
                  </pic:spPr>
                </pic:pic>
              </a:graphicData>
            </a:graphic>
          </wp:anchor>
        </w:drawing>
      </w:r>
    </w:p>
    <w:p w:rsidR="00000000" w:rsidDel="00000000" w:rsidP="00000000" w:rsidRDefault="00000000" w:rsidRPr="00000000" w14:paraId="00000028">
      <w:pPr>
        <w:ind w:left="141.73228346456688" w:right="-622.7952755905511" w:firstLine="0"/>
        <w:contextualSpacing w:val="0"/>
        <w:jc w:val="both"/>
        <w:rPr/>
      </w:pPr>
      <w:r w:rsidDel="00000000" w:rsidR="00000000" w:rsidRPr="00000000">
        <w:rPr>
          <w:rtl w:val="0"/>
        </w:rPr>
      </w:r>
    </w:p>
    <w:p w:rsidR="00000000" w:rsidDel="00000000" w:rsidP="00000000" w:rsidRDefault="00000000" w:rsidRPr="00000000" w14:paraId="00000029">
      <w:pPr>
        <w:ind w:left="141.73228346456688" w:right="-622.7952755905511" w:firstLine="0"/>
        <w:contextualSpacing w:val="0"/>
        <w:jc w:val="both"/>
        <w:rPr/>
      </w:pPr>
      <w:r w:rsidDel="00000000" w:rsidR="00000000" w:rsidRPr="00000000">
        <w:rPr>
          <w:rtl w:val="0"/>
        </w:rPr>
        <w:t xml:space="preserve">Plusieurs voies de synthèses sont possibles pour le polyimide. La réaction de synthèse qui est généralement favorisée est </w:t>
      </w:r>
      <w:r w:rsidDel="00000000" w:rsidR="00000000" w:rsidRPr="00000000">
        <w:rPr>
          <w:b w:val="1"/>
          <w:rtl w:val="0"/>
        </w:rPr>
        <w:t xml:space="preserve">la polycondensation</w:t>
      </w:r>
      <w:r w:rsidDel="00000000" w:rsidR="00000000" w:rsidRPr="00000000">
        <w:rPr>
          <w:rtl w:val="0"/>
        </w:rPr>
        <w:t xml:space="preserve">, ces réactions de polycondensations peuvent avoir lieu entre différentes molécules  :</w:t>
      </w:r>
    </w:p>
    <w:p w:rsidR="00000000" w:rsidDel="00000000" w:rsidP="00000000" w:rsidRDefault="00000000" w:rsidRPr="00000000" w14:paraId="0000002A">
      <w:pPr>
        <w:ind w:left="141.73228346456688" w:right="-622.7952755905511" w:firstLine="0"/>
        <w:contextualSpacing w:val="0"/>
        <w:jc w:val="both"/>
        <w:rPr/>
      </w:pPr>
      <w:r w:rsidDel="00000000" w:rsidR="00000000" w:rsidRPr="00000000">
        <w:rPr>
          <w:rtl w:val="0"/>
        </w:rPr>
      </w:r>
    </w:p>
    <w:p w:rsidR="00000000" w:rsidDel="00000000" w:rsidP="00000000" w:rsidRDefault="00000000" w:rsidRPr="00000000" w14:paraId="0000002B">
      <w:pPr>
        <w:numPr>
          <w:ilvl w:val="0"/>
          <w:numId w:val="1"/>
        </w:numPr>
        <w:ind w:left="425.19685039370086" w:right="-622.7952755905511" w:hanging="285"/>
        <w:contextualSpacing w:val="1"/>
        <w:jc w:val="both"/>
        <w:rPr>
          <w:u w:val="none"/>
        </w:rPr>
      </w:pPr>
      <w:r w:rsidDel="00000000" w:rsidR="00000000" w:rsidRPr="00000000">
        <w:rPr>
          <w:rtl w:val="0"/>
        </w:rPr>
        <w:t xml:space="preserve">un dianhydride et une diamine</w:t>
      </w:r>
    </w:p>
    <w:p w:rsidR="00000000" w:rsidDel="00000000" w:rsidP="00000000" w:rsidRDefault="00000000" w:rsidRPr="00000000" w14:paraId="0000002C">
      <w:pPr>
        <w:numPr>
          <w:ilvl w:val="0"/>
          <w:numId w:val="1"/>
        </w:numPr>
        <w:ind w:left="425.19685039370086" w:right="-622.7952755905511" w:hanging="285"/>
        <w:contextualSpacing w:val="1"/>
        <w:jc w:val="both"/>
        <w:rPr>
          <w:u w:val="none"/>
        </w:rPr>
      </w:pPr>
      <w:r w:rsidDel="00000000" w:rsidR="00000000" w:rsidRPr="00000000">
        <w:rPr>
          <w:rtl w:val="0"/>
        </w:rPr>
        <w:t xml:space="preserve">un diester diacide et une diamine</w:t>
      </w:r>
    </w:p>
    <w:p w:rsidR="00000000" w:rsidDel="00000000" w:rsidP="00000000" w:rsidRDefault="00000000" w:rsidRPr="00000000" w14:paraId="0000002D">
      <w:pPr>
        <w:numPr>
          <w:ilvl w:val="0"/>
          <w:numId w:val="1"/>
        </w:numPr>
        <w:ind w:left="425.19685039370086" w:right="-622.7952755905511" w:hanging="285"/>
        <w:contextualSpacing w:val="1"/>
        <w:jc w:val="both"/>
        <w:rPr>
          <w:u w:val="none"/>
        </w:rPr>
      </w:pPr>
      <w:r w:rsidDel="00000000" w:rsidR="00000000" w:rsidRPr="00000000">
        <w:rPr>
          <w:rtl w:val="0"/>
        </w:rPr>
        <w:t xml:space="preserve">un dianhydride et un diisocyanate.</w:t>
        <w:br w:type="textWrapping"/>
      </w:r>
    </w:p>
    <w:p w:rsidR="00000000" w:rsidDel="00000000" w:rsidP="00000000" w:rsidRDefault="00000000" w:rsidRPr="00000000" w14:paraId="0000002E">
      <w:pPr>
        <w:ind w:left="141.73228346456688" w:right="-622.7952755905511" w:firstLine="0"/>
        <w:contextualSpacing w:val="0"/>
        <w:jc w:val="center"/>
        <w:rPr>
          <w:sz w:val="24"/>
          <w:szCs w:val="24"/>
        </w:rPr>
      </w:pPr>
      <w:r w:rsidDel="00000000" w:rsidR="00000000" w:rsidRPr="00000000">
        <w:rPr/>
        <w:drawing>
          <wp:inline distB="114300" distT="114300" distL="114300" distR="114300">
            <wp:extent cx="4624388" cy="2798745"/>
            <wp:effectExtent b="0" l="0" r="0" t="0"/>
            <wp:docPr id="2" name="image12.png"/>
            <a:graphic>
              <a:graphicData uri="http://schemas.openxmlformats.org/drawingml/2006/picture">
                <pic:pic>
                  <pic:nvPicPr>
                    <pic:cNvPr id="0" name="image12.png"/>
                    <pic:cNvPicPr preferRelativeResize="0"/>
                  </pic:nvPicPr>
                  <pic:blipFill>
                    <a:blip r:embed="rId11"/>
                    <a:srcRect b="0" l="0" r="0" t="0"/>
                    <a:stretch>
                      <a:fillRect/>
                    </a:stretch>
                  </pic:blipFill>
                  <pic:spPr>
                    <a:xfrm>
                      <a:off x="0" y="0"/>
                      <a:ext cx="4624388" cy="2798745"/>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ind w:left="141.73228346456688" w:right="-622.7952755905511" w:firstLine="0"/>
        <w:contextualSpacing w:val="0"/>
        <w:rPr/>
      </w:pPr>
      <w:r w:rsidDel="00000000" w:rsidR="00000000" w:rsidRPr="00000000">
        <w:rPr>
          <w:rtl w:val="0"/>
        </w:rPr>
        <w:t xml:space="preserve">Dans le cadre du cours et par soucis de synthétisation de notre travail, nous nous contenterons d’expliquer la méthode de synthèse la plus utilisée pour la formation du polyimide qui est </w:t>
      </w:r>
      <w:r w:rsidDel="00000000" w:rsidR="00000000" w:rsidRPr="00000000">
        <w:rPr>
          <w:u w:val="single"/>
          <w:rtl w:val="0"/>
        </w:rPr>
        <w:t xml:space="preserve">la réaction de synthèse en deux étapes</w:t>
      </w:r>
      <w:r w:rsidDel="00000000" w:rsidR="00000000" w:rsidRPr="00000000">
        <w:rPr>
          <w:rtl w:val="0"/>
        </w:rPr>
        <w:t xml:space="preserve">. </w:t>
      </w:r>
    </w:p>
    <w:p w:rsidR="00000000" w:rsidDel="00000000" w:rsidP="00000000" w:rsidRDefault="00000000" w:rsidRPr="00000000" w14:paraId="00000030">
      <w:pPr>
        <w:ind w:left="141.73228346456688" w:right="-622.7952755905511" w:firstLine="0"/>
        <w:contextualSpacing w:val="0"/>
        <w:rPr/>
      </w:pPr>
      <w:r w:rsidDel="00000000" w:rsidR="00000000" w:rsidRPr="00000000">
        <w:rPr>
          <w:rtl w:val="0"/>
        </w:rPr>
      </w:r>
    </w:p>
    <w:p w:rsidR="00000000" w:rsidDel="00000000" w:rsidP="00000000" w:rsidRDefault="00000000" w:rsidRPr="00000000" w14:paraId="00000031">
      <w:pPr>
        <w:ind w:left="141.73228346456688" w:right="-622.7952755905511" w:firstLine="0"/>
        <w:contextualSpacing w:val="0"/>
        <w:rPr>
          <w:u w:val="single"/>
        </w:rPr>
      </w:pPr>
      <w:r w:rsidDel="00000000" w:rsidR="00000000" w:rsidRPr="00000000">
        <w:rPr>
          <w:rtl w:val="0"/>
        </w:rPr>
        <w:t xml:space="preserve">Dans un premier temps, il est question d’effectuer la réaction de synthèse d’un acide polyamique puis de le transformer via la seconde étape, en polyimide par phénomène de cyclisation intramoléculaire.</w:t>
      </w:r>
      <w:r w:rsidDel="00000000" w:rsidR="00000000" w:rsidRPr="00000000">
        <w:rPr>
          <w:u w:val="single"/>
          <w:rtl w:val="0"/>
        </w:rPr>
        <w:br w:type="textWrapping"/>
      </w:r>
    </w:p>
    <w:p w:rsidR="00000000" w:rsidDel="00000000" w:rsidP="00000000" w:rsidRDefault="00000000" w:rsidRPr="00000000" w14:paraId="00000032">
      <w:pPr>
        <w:ind w:left="141.73228346456688" w:right="-622.7952755905511" w:firstLine="0"/>
        <w:contextualSpacing w:val="0"/>
        <w:rPr>
          <w:u w:val="single"/>
        </w:rPr>
      </w:pPr>
      <w:r w:rsidDel="00000000" w:rsidR="00000000" w:rsidRPr="00000000">
        <w:rPr>
          <w:rtl w:val="0"/>
        </w:rPr>
      </w:r>
    </w:p>
    <w:p w:rsidR="00000000" w:rsidDel="00000000" w:rsidP="00000000" w:rsidRDefault="00000000" w:rsidRPr="00000000" w14:paraId="00000033">
      <w:pPr>
        <w:ind w:left="141.73228346456688" w:right="-622.7952755905511" w:firstLine="0"/>
        <w:contextualSpacing w:val="0"/>
        <w:rPr>
          <w:u w:val="single"/>
        </w:rPr>
      </w:pPr>
      <w:r w:rsidDel="00000000" w:rsidR="00000000" w:rsidRPr="00000000">
        <w:rPr>
          <w:u w:val="single"/>
          <w:rtl w:val="0"/>
        </w:rPr>
        <w:t xml:space="preserve">Cette réaction de synthèse peut être effectué selon deux voies distinctes :</w:t>
      </w:r>
    </w:p>
    <w:p w:rsidR="00000000" w:rsidDel="00000000" w:rsidP="00000000" w:rsidRDefault="00000000" w:rsidRPr="00000000" w14:paraId="00000034">
      <w:pPr>
        <w:ind w:left="141.73228346456688" w:right="-622.7952755905511" w:firstLine="0"/>
        <w:contextualSpacing w:val="0"/>
        <w:rPr/>
      </w:pPr>
      <w:r w:rsidDel="00000000" w:rsidR="00000000" w:rsidRPr="00000000">
        <w:rPr>
          <w:u w:val="single"/>
          <w:rtl w:val="0"/>
        </w:rPr>
        <w:br w:type="textWrapping"/>
        <w:t xml:space="preserve">Par voie thermique</w:t>
      </w:r>
      <w:r w:rsidDel="00000000" w:rsidR="00000000" w:rsidRPr="00000000">
        <w:rPr>
          <w:rtl w:val="0"/>
        </w:rPr>
        <w:t xml:space="preserve"> : On effectue la réaction à haute température (180°C) en solution, puis au-delà de cette température pour permettre au polyimide de se solidifier et d’être présenté sous forme solide.</w:t>
      </w:r>
    </w:p>
    <w:p w:rsidR="00000000" w:rsidDel="00000000" w:rsidP="00000000" w:rsidRDefault="00000000" w:rsidRPr="00000000" w14:paraId="00000035">
      <w:pPr>
        <w:ind w:left="141.73228346456688" w:right="-622.7952755905511" w:firstLine="0"/>
        <w:contextualSpacing w:val="0"/>
        <w:rPr/>
      </w:pPr>
      <w:r w:rsidDel="00000000" w:rsidR="00000000" w:rsidRPr="00000000">
        <w:rPr>
          <w:rtl w:val="0"/>
        </w:rPr>
      </w:r>
    </w:p>
    <w:p w:rsidR="00000000" w:rsidDel="00000000" w:rsidP="00000000" w:rsidRDefault="00000000" w:rsidRPr="00000000" w14:paraId="00000036">
      <w:pPr>
        <w:ind w:left="141.73228346456688" w:right="-622.7952755905511" w:firstLine="0"/>
        <w:contextualSpacing w:val="0"/>
        <w:rPr>
          <w:color w:val="ff0000"/>
        </w:rPr>
      </w:pPr>
      <w:r w:rsidDel="00000000" w:rsidR="00000000" w:rsidRPr="00000000">
        <w:rPr>
          <w:u w:val="single"/>
          <w:rtl w:val="0"/>
        </w:rPr>
        <w:t xml:space="preserve">Par voie chimique en solution</w:t>
      </w:r>
      <w:r w:rsidDel="00000000" w:rsidR="00000000" w:rsidRPr="00000000">
        <w:rPr>
          <w:rtl w:val="0"/>
        </w:rPr>
        <w:t xml:space="preserve"> : On traite la réaction avec l’utilisation d’agents chimiques qui permettent la cyclisation du polyimide.</w:t>
      </w:r>
      <w:r w:rsidDel="00000000" w:rsidR="00000000" w:rsidRPr="00000000">
        <w:rPr>
          <w:color w:val="ff0000"/>
          <w:rtl w:val="0"/>
        </w:rPr>
        <w:t xml:space="preserve"> </w:t>
      </w:r>
    </w:p>
    <w:p w:rsidR="00000000" w:rsidDel="00000000" w:rsidP="00000000" w:rsidRDefault="00000000" w:rsidRPr="00000000" w14:paraId="00000037">
      <w:pPr>
        <w:ind w:left="141.73228346456688" w:right="-622.7952755905511" w:firstLine="0"/>
        <w:contextualSpacing w:val="0"/>
        <w:rPr/>
      </w:pPr>
      <w:r w:rsidDel="00000000" w:rsidR="00000000" w:rsidRPr="00000000">
        <w:rPr>
          <w:rtl w:val="0"/>
        </w:rPr>
      </w:r>
    </w:p>
    <w:p w:rsidR="00000000" w:rsidDel="00000000" w:rsidP="00000000" w:rsidRDefault="00000000" w:rsidRPr="00000000" w14:paraId="00000038">
      <w:pPr>
        <w:ind w:left="141.73228346456688" w:right="-622.7952755905511" w:firstLine="0"/>
        <w:contextualSpacing w:val="0"/>
        <w:rPr>
          <w:color w:val="ff0000"/>
        </w:rPr>
      </w:pPr>
      <w:r w:rsidDel="00000000" w:rsidR="00000000" w:rsidRPr="00000000">
        <w:rPr>
          <w:rtl w:val="0"/>
        </w:rPr>
        <w:t xml:space="preserve">En ce qui concerne la formation de </w:t>
      </w:r>
      <w:r w:rsidDel="00000000" w:rsidR="00000000" w:rsidRPr="00000000">
        <w:rPr>
          <w:b w:val="1"/>
          <w:rtl w:val="0"/>
        </w:rPr>
        <w:t xml:space="preserve">l’acide polyamique </w:t>
      </w:r>
      <w:r w:rsidDel="00000000" w:rsidR="00000000" w:rsidRPr="00000000">
        <w:rPr>
          <w:rtl w:val="0"/>
        </w:rPr>
        <w:t xml:space="preserve">qui est la première étape de la réaction de synthèse, celle-ci se produit via l’attaque nucléophile de l’azote du groupe amine sur le carbone du groupe carbonyle de l’anhydride provoquant l’ouverture du cycle et la formation de l’acide polyamique par le transfert du proton de l’azote vers l’oxygène de l’acide.</w:t>
      </w:r>
      <w:r w:rsidDel="00000000" w:rsidR="00000000" w:rsidRPr="00000000">
        <w:rPr>
          <w:rtl w:val="0"/>
        </w:rPr>
      </w:r>
    </w:p>
    <w:p w:rsidR="00000000" w:rsidDel="00000000" w:rsidP="00000000" w:rsidRDefault="00000000" w:rsidRPr="00000000" w14:paraId="00000039">
      <w:pPr>
        <w:ind w:left="141.73228346456688" w:right="-622.7952755905511" w:firstLine="0"/>
        <w:contextualSpacing w:val="0"/>
        <w:rPr>
          <w:u w:val="singl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A">
      <w:pPr>
        <w:ind w:left="141.73228346456688" w:right="-622.7952755905511" w:firstLine="0"/>
        <w:contextualSpacing w:val="0"/>
        <w:rPr>
          <w:color w:val="ff0000"/>
        </w:rPr>
      </w:pPr>
      <w:r w:rsidDel="00000000" w:rsidR="00000000" w:rsidRPr="00000000">
        <w:rPr>
          <w:b w:val="1"/>
          <w:rtl w:val="0"/>
        </w:rPr>
        <w:t xml:space="preserve">Une fois l’acide polyamique formé</w:t>
      </w:r>
      <w:r w:rsidDel="00000000" w:rsidR="00000000" w:rsidRPr="00000000">
        <w:rPr>
          <w:rtl w:val="0"/>
        </w:rPr>
        <w:t xml:space="preserve">, il est question de le convertir en polyimide et d’en assurer sa cyclisation via un des processus de cyclisations possibles (thermique ou chimique).</w:t>
      </w:r>
      <w:r w:rsidDel="00000000" w:rsidR="00000000" w:rsidRPr="00000000">
        <w:rPr>
          <w:color w:val="ff0000"/>
          <w:rtl w:val="0"/>
        </w:rPr>
        <w:t xml:space="preserve"> </w:t>
      </w:r>
    </w:p>
    <w:p w:rsidR="00000000" w:rsidDel="00000000" w:rsidP="00000000" w:rsidRDefault="00000000" w:rsidRPr="00000000" w14:paraId="0000003B">
      <w:pPr>
        <w:ind w:left="141.73228346456688" w:right="-622.7952755905511" w:firstLine="0"/>
        <w:contextualSpacing w:val="0"/>
        <w:rPr>
          <w:color w:val="ff0000"/>
        </w:rPr>
      </w:pPr>
      <w:r w:rsidDel="00000000" w:rsidR="00000000" w:rsidRPr="00000000">
        <w:rPr>
          <w:rtl w:val="0"/>
        </w:rPr>
      </w:r>
    </w:p>
    <w:p w:rsidR="00000000" w:rsidDel="00000000" w:rsidP="00000000" w:rsidRDefault="00000000" w:rsidRPr="00000000" w14:paraId="0000003C">
      <w:pPr>
        <w:ind w:left="141.73228346456688" w:right="-622.7952755905511" w:firstLine="0"/>
        <w:contextualSpacing w:val="0"/>
        <w:rPr/>
      </w:pPr>
      <w:r w:rsidDel="00000000" w:rsidR="00000000" w:rsidRPr="00000000">
        <w:rPr>
          <w:rtl w:val="0"/>
        </w:rPr>
        <w:t xml:space="preserve">En absence de solvant, la formation du cycle imide se fait directement par l’attaque du groupe amide sur l’acide non dissocié. </w:t>
      </w:r>
    </w:p>
    <w:p w:rsidR="00000000" w:rsidDel="00000000" w:rsidP="00000000" w:rsidRDefault="00000000" w:rsidRPr="00000000" w14:paraId="0000003D">
      <w:pPr>
        <w:ind w:left="141.73228346456688" w:right="-622.7952755905511" w:firstLine="0"/>
        <w:contextualSpacing w:val="0"/>
        <w:rPr>
          <w:i w:val="1"/>
        </w:rPr>
      </w:pPr>
      <w:r w:rsidDel="00000000" w:rsidR="00000000" w:rsidRPr="00000000">
        <w:rPr>
          <w:rtl w:val="0"/>
        </w:rPr>
      </w:r>
    </w:p>
    <w:p w:rsidR="00000000" w:rsidDel="00000000" w:rsidP="00000000" w:rsidRDefault="00000000" w:rsidRPr="00000000" w14:paraId="0000003E">
      <w:pPr>
        <w:ind w:left="141.73228346456688" w:right="-622.7952755905511" w:firstLine="0"/>
        <w:contextualSpacing w:val="0"/>
        <w:rPr>
          <w:i w:val="1"/>
        </w:rPr>
      </w:pPr>
      <w:r w:rsidDel="00000000" w:rsidR="00000000" w:rsidRPr="00000000">
        <w:rPr>
          <w:i w:val="1"/>
          <w:rtl w:val="0"/>
        </w:rPr>
        <w:t xml:space="preserve">La cyclisation thermique de l’acide polyamique solide permet un taux de conversion proche de 100% en polyimide. </w:t>
      </w:r>
    </w:p>
    <w:p w:rsidR="00000000" w:rsidDel="00000000" w:rsidP="00000000" w:rsidRDefault="00000000" w:rsidRPr="00000000" w14:paraId="0000003F">
      <w:pPr>
        <w:ind w:left="141.73228346456688" w:right="-622.7952755905511" w:firstLine="0"/>
        <w:contextualSpacing w:val="0"/>
        <w:rPr/>
      </w:pPr>
      <w:r w:rsidDel="00000000" w:rsidR="00000000" w:rsidRPr="00000000">
        <w:rPr>
          <w:rtl w:val="0"/>
        </w:rPr>
      </w:r>
    </w:p>
    <w:p w:rsidR="00000000" w:rsidDel="00000000" w:rsidP="00000000" w:rsidRDefault="00000000" w:rsidRPr="00000000" w14:paraId="00000040">
      <w:pPr>
        <w:ind w:left="141.73228346456688" w:right="-622.7952755905511" w:firstLine="0"/>
        <w:contextualSpacing w:val="0"/>
        <w:rPr>
          <w:b w:val="1"/>
          <w:u w:val="single"/>
        </w:rPr>
      </w:pPr>
      <w:r w:rsidDel="00000000" w:rsidR="00000000" w:rsidRPr="00000000">
        <w:rPr>
          <w:b w:val="1"/>
          <w:u w:val="single"/>
          <w:rtl w:val="0"/>
        </w:rPr>
        <w:t xml:space="preserve">6. Propriétés physico-chimiques </w:t>
      </w:r>
    </w:p>
    <w:p w:rsidR="00000000" w:rsidDel="00000000" w:rsidP="00000000" w:rsidRDefault="00000000" w:rsidRPr="00000000" w14:paraId="00000041">
      <w:pPr>
        <w:ind w:left="141.73228346456688" w:right="-622.7952755905511" w:firstLine="0"/>
        <w:contextualSpacing w:val="0"/>
        <w:rPr>
          <w:u w:val="single"/>
        </w:rPr>
      </w:pPr>
      <w:r w:rsidDel="00000000" w:rsidR="00000000" w:rsidRPr="00000000">
        <w:rPr>
          <w:rtl w:val="0"/>
        </w:rPr>
      </w:r>
    </w:p>
    <w:p w:rsidR="00000000" w:rsidDel="00000000" w:rsidP="00000000" w:rsidRDefault="00000000" w:rsidRPr="00000000" w14:paraId="00000042">
      <w:pPr>
        <w:ind w:left="141.73228346456688" w:right="-622.7952755905511" w:firstLine="0"/>
        <w:contextualSpacing w:val="0"/>
        <w:rPr>
          <w:highlight w:val="white"/>
        </w:rPr>
      </w:pPr>
      <w:r w:rsidDel="00000000" w:rsidR="00000000" w:rsidRPr="00000000">
        <w:rPr>
          <w:highlight w:val="white"/>
          <w:rtl w:val="0"/>
        </w:rPr>
        <w:t xml:space="preserve">Le Meldin a de nombreuses propriétés qui font de lui un matériaux de plus en plus utilisé. Il est résistants mécaniquement, chimiquement et également thermiquement. Sa résistance est si grande que ce matériaux remplace souvent le verre et des métaux comme l'acier dans des applications industrielles très exigeantes. </w:t>
      </w:r>
    </w:p>
    <w:p w:rsidR="00000000" w:rsidDel="00000000" w:rsidP="00000000" w:rsidRDefault="00000000" w:rsidRPr="00000000" w14:paraId="00000043">
      <w:pPr>
        <w:ind w:left="141.73228346456688" w:right="-622.7952755905511" w:firstLine="0"/>
        <w:contextualSpacing w:val="0"/>
        <w:rPr>
          <w:highlight w:val="white"/>
        </w:rPr>
      </w:pPr>
      <w:r w:rsidDel="00000000" w:rsidR="00000000" w:rsidRPr="00000000">
        <w:rPr>
          <w:rtl w:val="0"/>
        </w:rPr>
      </w:r>
    </w:p>
    <w:p w:rsidR="00000000" w:rsidDel="00000000" w:rsidP="00000000" w:rsidRDefault="00000000" w:rsidRPr="00000000" w14:paraId="00000044">
      <w:pPr>
        <w:ind w:left="141.73228346456688" w:right="-622.7952755905511" w:firstLine="0"/>
        <w:contextualSpacing w:val="0"/>
        <w:rPr>
          <w:color w:val="212121"/>
          <w:highlight w:val="white"/>
        </w:rPr>
      </w:pPr>
      <w:r w:rsidDel="00000000" w:rsidR="00000000" w:rsidRPr="00000000">
        <w:rPr>
          <w:color w:val="212121"/>
          <w:highlight w:val="white"/>
          <w:rtl w:val="0"/>
        </w:rPr>
        <w:t xml:space="preserve">C’est également un matériau thermodurcissable et formable qui présente une stabilité dimensionnelle élevée et une très faible dégradation des propriétés mécaniques à des températures élevées</w:t>
      </w:r>
      <w:r w:rsidDel="00000000" w:rsidR="00000000" w:rsidRPr="00000000">
        <w:rPr>
          <w:rtl w:val="0"/>
        </w:rPr>
        <w:t xml:space="preserve">. </w:t>
      </w:r>
      <w:r w:rsidDel="00000000" w:rsidR="00000000" w:rsidRPr="00000000">
        <w:rPr>
          <w:color w:val="212121"/>
          <w:highlight w:val="white"/>
          <w:rtl w:val="0"/>
        </w:rPr>
        <w:t xml:space="preserve">En outre, ses caractéristiques d'usure et de frottement, sa résistance chimique et ses propriétés électriques font de lui le choix idéal pour les composants mécaniques ou les applications d'isolation électrique et thermique.</w:t>
      </w:r>
    </w:p>
    <w:p w:rsidR="00000000" w:rsidDel="00000000" w:rsidP="00000000" w:rsidRDefault="00000000" w:rsidRPr="00000000" w14:paraId="00000045">
      <w:pPr>
        <w:ind w:left="141.73228346456688" w:right="-622.7952755905511" w:firstLine="0"/>
        <w:contextualSpacing w:val="0"/>
        <w:rPr>
          <w:color w:val="212121"/>
          <w:highlight w:val="white"/>
        </w:rPr>
      </w:pPr>
      <w:r w:rsidDel="00000000" w:rsidR="00000000" w:rsidRPr="00000000">
        <w:rPr>
          <w:rtl w:val="0"/>
        </w:rPr>
      </w:r>
    </w:p>
    <w:p w:rsidR="00000000" w:rsidDel="00000000" w:rsidP="00000000" w:rsidRDefault="00000000" w:rsidRPr="00000000" w14:paraId="00000046">
      <w:pPr>
        <w:numPr>
          <w:ilvl w:val="0"/>
          <w:numId w:val="7"/>
        </w:numPr>
        <w:ind w:left="425.19685039370074" w:right="-622.7952755905511" w:hanging="283.46456692913375"/>
        <w:contextualSpacing w:val="1"/>
        <w:rPr>
          <w:color w:val="212121"/>
          <w:highlight w:val="white"/>
          <w:u w:val="none"/>
        </w:rPr>
      </w:pPr>
      <w:r w:rsidDel="00000000" w:rsidR="00000000" w:rsidRPr="00000000">
        <w:rPr>
          <w:color w:val="212121"/>
          <w:highlight w:val="white"/>
          <w:rtl w:val="0"/>
        </w:rPr>
        <w:t xml:space="preserve">Résistance à la chaleur</w:t>
        <w:br w:type="textWrapping"/>
        <w:t xml:space="preserve">Température de service continu de 315 ℃</w:t>
        <w:br w:type="textWrapping"/>
        <w:t xml:space="preserve">Température de service intermittente de 482 ℃</w:t>
        <w:br w:type="textWrapping"/>
        <w:t xml:space="preserve">Résistance mécanique stable à hautes températures</w:t>
      </w:r>
    </w:p>
    <w:p w:rsidR="00000000" w:rsidDel="00000000" w:rsidP="00000000" w:rsidRDefault="00000000" w:rsidRPr="00000000" w14:paraId="00000047">
      <w:pPr>
        <w:ind w:left="141.73228346456688" w:right="-622.7952755905511" w:firstLine="0"/>
        <w:contextualSpacing w:val="0"/>
        <w:rPr>
          <w:color w:val="212121"/>
          <w:highlight w:val="white"/>
        </w:rPr>
      </w:pPr>
      <w:r w:rsidDel="00000000" w:rsidR="00000000" w:rsidRPr="00000000">
        <w:rPr>
          <w:rtl w:val="0"/>
        </w:rPr>
      </w:r>
    </w:p>
    <w:p w:rsidR="00000000" w:rsidDel="00000000" w:rsidP="00000000" w:rsidRDefault="00000000" w:rsidRPr="00000000" w14:paraId="00000048">
      <w:pPr>
        <w:numPr>
          <w:ilvl w:val="0"/>
          <w:numId w:val="4"/>
        </w:numPr>
        <w:ind w:left="425.19685039370074" w:right="-622.7952755905511" w:hanging="283.46456692913375"/>
        <w:contextualSpacing w:val="1"/>
        <w:rPr>
          <w:color w:val="212121"/>
          <w:highlight w:val="white"/>
          <w:u w:val="none"/>
        </w:rPr>
      </w:pPr>
      <w:r w:rsidDel="00000000" w:rsidR="00000000" w:rsidRPr="00000000">
        <w:rPr>
          <w:color w:val="212121"/>
          <w:highlight w:val="white"/>
          <w:rtl w:val="0"/>
        </w:rPr>
        <w:t xml:space="preserve">Propriétés glissantes</w:t>
        <w:br w:type="textWrapping"/>
        <w:t xml:space="preserve">Une charge élevée peut être supportée sans ramollissement à haute température.</w:t>
        <w:br w:type="textWrapping"/>
        <w:t xml:space="preserve">Les variations dimensionnelles restent à 0,04% dans l'essai où la température est passée de 22,77 ℃ à 260 ℃ pendant 48 heures.</w:t>
      </w:r>
    </w:p>
    <w:p w:rsidR="00000000" w:rsidDel="00000000" w:rsidP="00000000" w:rsidRDefault="00000000" w:rsidRPr="00000000" w14:paraId="00000049">
      <w:pPr>
        <w:ind w:right="-622.7952755905511"/>
        <w:contextualSpacing w:val="0"/>
        <w:rPr>
          <w:color w:val="212121"/>
          <w:highlight w:val="white"/>
        </w:rPr>
      </w:pPr>
      <w:r w:rsidDel="00000000" w:rsidR="00000000" w:rsidRPr="00000000">
        <w:rPr>
          <w:rtl w:val="0"/>
        </w:rPr>
      </w:r>
    </w:p>
    <w:p w:rsidR="00000000" w:rsidDel="00000000" w:rsidP="00000000" w:rsidRDefault="00000000" w:rsidRPr="00000000" w14:paraId="0000004A">
      <w:pPr>
        <w:ind w:left="141.73228346456688" w:right="-622.7952755905511" w:firstLine="0"/>
        <w:contextualSpacing w:val="0"/>
        <w:rPr>
          <w:color w:val="212121"/>
          <w:highlight w:val="white"/>
        </w:rPr>
      </w:pPr>
      <w:r w:rsidDel="00000000" w:rsidR="00000000" w:rsidRPr="00000000">
        <w:rPr>
          <w:rtl w:val="0"/>
        </w:rPr>
      </w:r>
    </w:p>
    <w:p w:rsidR="00000000" w:rsidDel="00000000" w:rsidP="00000000" w:rsidRDefault="00000000" w:rsidRPr="00000000" w14:paraId="0000004B">
      <w:pPr>
        <w:numPr>
          <w:ilvl w:val="0"/>
          <w:numId w:val="2"/>
        </w:numPr>
        <w:ind w:left="425.19685039370074" w:right="-622.7952755905511" w:hanging="283.46456692913375"/>
        <w:contextualSpacing w:val="1"/>
        <w:rPr>
          <w:color w:val="212121"/>
          <w:highlight w:val="white"/>
          <w:u w:val="none"/>
        </w:rPr>
      </w:pPr>
      <w:r w:rsidDel="00000000" w:rsidR="00000000" w:rsidRPr="00000000">
        <w:rPr>
          <w:color w:val="212121"/>
          <w:highlight w:val="white"/>
          <w:rtl w:val="0"/>
        </w:rPr>
        <w:t xml:space="preserve">Résistance chimique, résistance à la graisse, à l'huile et aux solvants</w:t>
      </w:r>
    </w:p>
    <w:p w:rsidR="00000000" w:rsidDel="00000000" w:rsidP="00000000" w:rsidRDefault="00000000" w:rsidRPr="00000000" w14:paraId="0000004C">
      <w:pPr>
        <w:numPr>
          <w:ilvl w:val="0"/>
          <w:numId w:val="2"/>
        </w:numPr>
        <w:ind w:left="425.19685039370074" w:right="-622.7952755905511" w:hanging="283.46456692913375"/>
        <w:contextualSpacing w:val="1"/>
        <w:rPr>
          <w:color w:val="212121"/>
          <w:highlight w:val="white"/>
          <w:u w:val="none"/>
        </w:rPr>
      </w:pPr>
      <w:r w:rsidDel="00000000" w:rsidR="00000000" w:rsidRPr="00000000">
        <w:rPr>
          <w:color w:val="212121"/>
          <w:highlight w:val="white"/>
          <w:rtl w:val="0"/>
        </w:rPr>
        <w:t xml:space="preserve">Résistance à l'abrasion</w:t>
      </w:r>
    </w:p>
    <w:p w:rsidR="00000000" w:rsidDel="00000000" w:rsidP="00000000" w:rsidRDefault="00000000" w:rsidRPr="00000000" w14:paraId="0000004D">
      <w:pPr>
        <w:numPr>
          <w:ilvl w:val="0"/>
          <w:numId w:val="2"/>
        </w:numPr>
        <w:ind w:left="425.19685039370074" w:right="-622.7952755905511" w:hanging="283.46456692913375"/>
        <w:contextualSpacing w:val="1"/>
        <w:rPr>
          <w:color w:val="212121"/>
          <w:highlight w:val="white"/>
          <w:u w:val="none"/>
        </w:rPr>
      </w:pPr>
      <w:r w:rsidDel="00000000" w:rsidR="00000000" w:rsidRPr="00000000">
        <w:rPr>
          <w:color w:val="212121"/>
          <w:highlight w:val="white"/>
          <w:rtl w:val="0"/>
        </w:rPr>
        <w:t xml:space="preserve">Résistance au plasma et au rayonnemen</w:t>
      </w:r>
      <w:r w:rsidDel="00000000" w:rsidR="00000000" w:rsidRPr="00000000">
        <w:rPr>
          <w:color w:val="212121"/>
          <w:highlight w:val="white"/>
          <w:rtl w:val="0"/>
        </w:rPr>
        <w:t xml:space="preserve">t</w:t>
      </w:r>
    </w:p>
    <w:p w:rsidR="00000000" w:rsidDel="00000000" w:rsidP="00000000" w:rsidRDefault="00000000" w:rsidRPr="00000000" w14:paraId="0000004E">
      <w:pPr>
        <w:ind w:right="-622.7952755905511"/>
        <w:contextualSpacing w:val="0"/>
        <w:rPr>
          <w:color w:val="212121"/>
          <w:highlight w:val="white"/>
        </w:rPr>
      </w:pPr>
      <w:r w:rsidDel="00000000" w:rsidR="00000000" w:rsidRPr="00000000">
        <w:rPr>
          <w:rtl w:val="0"/>
        </w:rPr>
      </w:r>
    </w:p>
    <w:p w:rsidR="00000000" w:rsidDel="00000000" w:rsidP="00000000" w:rsidRDefault="00000000" w:rsidRPr="00000000" w14:paraId="0000004F">
      <w:pPr>
        <w:ind w:left="141.73228346456688" w:right="-622.7952755905511" w:firstLine="0"/>
        <w:contextualSpacing w:val="0"/>
        <w:rPr>
          <w:b w:val="1"/>
          <w:u w:val="single"/>
        </w:rPr>
      </w:pPr>
      <w:r w:rsidDel="00000000" w:rsidR="00000000" w:rsidRPr="00000000">
        <w:rPr>
          <w:b w:val="1"/>
          <w:u w:val="single"/>
          <w:rtl w:val="0"/>
        </w:rPr>
        <w:t xml:space="preserve">7. Domaines d’application </w:t>
      </w:r>
    </w:p>
    <w:p w:rsidR="00000000" w:rsidDel="00000000" w:rsidP="00000000" w:rsidRDefault="00000000" w:rsidRPr="00000000" w14:paraId="00000050">
      <w:pPr>
        <w:ind w:left="141.73228346456688" w:right="-622.7952755905511" w:firstLine="0"/>
        <w:contextualSpacing w:val="0"/>
        <w:rPr/>
      </w:pPr>
      <w:r w:rsidDel="00000000" w:rsidR="00000000" w:rsidRPr="00000000">
        <w:rPr>
          <w:rtl w:val="0"/>
        </w:rPr>
      </w:r>
    </w:p>
    <w:p w:rsidR="00000000" w:rsidDel="00000000" w:rsidP="00000000" w:rsidRDefault="00000000" w:rsidRPr="00000000" w14:paraId="00000051">
      <w:pPr>
        <w:ind w:left="141.73228346456688" w:right="-622.7952755905511" w:firstLine="0"/>
        <w:contextualSpacing w:val="0"/>
        <w:rPr/>
      </w:pPr>
      <w:r w:rsidDel="00000000" w:rsidR="00000000" w:rsidRPr="00000000">
        <w:rPr>
          <w:rtl w:val="0"/>
        </w:rPr>
        <w:t xml:space="preserve">Le Meldin est le nom commercial du polyimide. Il y a diverses domaines d’applications. On retrouve le Meldin notamment dans la fabrication de:</w:t>
      </w:r>
    </w:p>
    <w:p w:rsidR="00000000" w:rsidDel="00000000" w:rsidP="00000000" w:rsidRDefault="00000000" w:rsidRPr="00000000" w14:paraId="00000052">
      <w:pPr>
        <w:ind w:left="141.73228346456688" w:right="-622.7952755905511" w:firstLine="0"/>
        <w:contextualSpacing w:val="0"/>
        <w:rPr/>
      </w:pPr>
      <w:r w:rsidDel="00000000" w:rsidR="00000000" w:rsidRPr="00000000">
        <w:rPr>
          <w:rtl w:val="0"/>
        </w:rPr>
      </w:r>
    </w:p>
    <w:p w:rsidR="00000000" w:rsidDel="00000000" w:rsidP="00000000" w:rsidRDefault="00000000" w:rsidRPr="00000000" w14:paraId="00000053">
      <w:pPr>
        <w:numPr>
          <w:ilvl w:val="0"/>
          <w:numId w:val="6"/>
        </w:numPr>
        <w:ind w:left="425.19685039370074" w:right="-622.7952755905511" w:hanging="283.46456692913375"/>
        <w:contextualSpacing w:val="1"/>
        <w:rPr>
          <w:color w:val="212121"/>
          <w:highlight w:val="white"/>
          <w:u w:val="none"/>
        </w:rPr>
      </w:pPr>
      <w:r w:rsidDel="00000000" w:rsidR="00000000" w:rsidRPr="00000000">
        <w:rPr>
          <w:color w:val="212121"/>
          <w:highlight w:val="white"/>
          <w:rtl w:val="0"/>
        </w:rPr>
        <w:t xml:space="preserve">Pièces pour équipement de fabrication de semi-conducteurs</w:t>
      </w:r>
    </w:p>
    <w:p w:rsidR="00000000" w:rsidDel="00000000" w:rsidP="00000000" w:rsidRDefault="00000000" w:rsidRPr="00000000" w14:paraId="00000054">
      <w:pPr>
        <w:numPr>
          <w:ilvl w:val="0"/>
          <w:numId w:val="6"/>
        </w:numPr>
        <w:ind w:left="425.19685039370074" w:right="-622.7952755905511" w:hanging="283.46456692913375"/>
        <w:contextualSpacing w:val="1"/>
        <w:rPr>
          <w:color w:val="212121"/>
          <w:highlight w:val="white"/>
          <w:u w:val="none"/>
        </w:rPr>
      </w:pPr>
      <w:r w:rsidDel="00000000" w:rsidR="00000000" w:rsidRPr="00000000">
        <w:rPr>
          <w:color w:val="212121"/>
          <w:highlight w:val="white"/>
          <w:rtl w:val="0"/>
        </w:rPr>
        <w:t xml:space="preserve">Pièces pour équipement de fabrication FPD</w:t>
      </w:r>
    </w:p>
    <w:p w:rsidR="00000000" w:rsidDel="00000000" w:rsidP="00000000" w:rsidRDefault="00000000" w:rsidRPr="00000000" w14:paraId="00000055">
      <w:pPr>
        <w:numPr>
          <w:ilvl w:val="0"/>
          <w:numId w:val="6"/>
        </w:numPr>
        <w:ind w:left="425.19685039370074" w:right="-622.7952755905511" w:hanging="283.46456692913375"/>
        <w:contextualSpacing w:val="1"/>
        <w:rPr>
          <w:color w:val="212121"/>
          <w:highlight w:val="white"/>
          <w:u w:val="none"/>
        </w:rPr>
      </w:pPr>
      <w:r w:rsidDel="00000000" w:rsidR="00000000" w:rsidRPr="00000000">
        <w:rPr>
          <w:color w:val="212121"/>
          <w:highlight w:val="white"/>
          <w:rtl w:val="0"/>
        </w:rPr>
        <w:t xml:space="preserve">Systèmes de dépôt de film de verre</w:t>
      </w:r>
    </w:p>
    <w:p w:rsidR="00000000" w:rsidDel="00000000" w:rsidP="00000000" w:rsidRDefault="00000000" w:rsidRPr="00000000" w14:paraId="00000056">
      <w:pPr>
        <w:numPr>
          <w:ilvl w:val="0"/>
          <w:numId w:val="6"/>
        </w:numPr>
        <w:ind w:left="425.19685039370074" w:right="-622.7952755905511" w:hanging="283.46456692913375"/>
        <w:contextualSpacing w:val="1"/>
        <w:rPr>
          <w:color w:val="212121"/>
          <w:highlight w:val="white"/>
          <w:u w:val="none"/>
        </w:rPr>
      </w:pPr>
      <w:r w:rsidDel="00000000" w:rsidR="00000000" w:rsidRPr="00000000">
        <w:rPr>
          <w:color w:val="212121"/>
          <w:highlight w:val="white"/>
          <w:rtl w:val="0"/>
        </w:rPr>
        <w:t xml:space="preserve">Fabrication de bouteilles en verre</w:t>
      </w:r>
    </w:p>
    <w:p w:rsidR="00000000" w:rsidDel="00000000" w:rsidP="00000000" w:rsidRDefault="00000000" w:rsidRPr="00000000" w14:paraId="00000057">
      <w:pPr>
        <w:numPr>
          <w:ilvl w:val="0"/>
          <w:numId w:val="6"/>
        </w:numPr>
        <w:ind w:left="425.19685039370074" w:right="-622.7952755905511" w:hanging="283.46456692913375"/>
        <w:contextualSpacing w:val="1"/>
        <w:rPr>
          <w:color w:val="212121"/>
          <w:highlight w:val="white"/>
          <w:u w:val="none"/>
        </w:rPr>
      </w:pPr>
      <w:r w:rsidDel="00000000" w:rsidR="00000000" w:rsidRPr="00000000">
        <w:rPr>
          <w:color w:val="212121"/>
          <w:highlight w:val="white"/>
          <w:rtl w:val="0"/>
        </w:rPr>
        <w:t xml:space="preserve">Fabrication de matériel optique</w:t>
      </w:r>
    </w:p>
    <w:p w:rsidR="00000000" w:rsidDel="00000000" w:rsidP="00000000" w:rsidRDefault="00000000" w:rsidRPr="00000000" w14:paraId="00000058">
      <w:pPr>
        <w:numPr>
          <w:ilvl w:val="0"/>
          <w:numId w:val="6"/>
        </w:numPr>
        <w:ind w:left="425.19685039370074" w:right="-622.7952755905511" w:hanging="283.46456692913375"/>
        <w:contextualSpacing w:val="1"/>
        <w:rPr>
          <w:color w:val="212121"/>
          <w:highlight w:val="white"/>
          <w:u w:val="none"/>
        </w:rPr>
      </w:pPr>
      <w:r w:rsidDel="00000000" w:rsidR="00000000" w:rsidRPr="00000000">
        <w:rPr>
          <w:color w:val="212121"/>
          <w:highlight w:val="white"/>
          <w:rtl w:val="0"/>
        </w:rPr>
        <w:t xml:space="preserve">Fabrication de bouteilles en plastique</w:t>
      </w:r>
    </w:p>
    <w:p w:rsidR="00000000" w:rsidDel="00000000" w:rsidP="00000000" w:rsidRDefault="00000000" w:rsidRPr="00000000" w14:paraId="00000059">
      <w:pPr>
        <w:numPr>
          <w:ilvl w:val="0"/>
          <w:numId w:val="6"/>
        </w:numPr>
        <w:ind w:left="425.19685039370074" w:right="-622.7952755905511" w:hanging="283.46456692913375"/>
        <w:contextualSpacing w:val="1"/>
        <w:rPr>
          <w:color w:val="212121"/>
          <w:highlight w:val="white"/>
          <w:u w:val="none"/>
        </w:rPr>
      </w:pPr>
      <w:r w:rsidDel="00000000" w:rsidR="00000000" w:rsidRPr="00000000">
        <w:rPr>
          <w:color w:val="212121"/>
          <w:highlight w:val="white"/>
          <w:rtl w:val="0"/>
        </w:rPr>
        <w:t xml:space="preserve">Fabrication de carton de papier</w:t>
      </w:r>
    </w:p>
    <w:p w:rsidR="00000000" w:rsidDel="00000000" w:rsidP="00000000" w:rsidRDefault="00000000" w:rsidRPr="00000000" w14:paraId="0000005A">
      <w:pPr>
        <w:numPr>
          <w:ilvl w:val="0"/>
          <w:numId w:val="6"/>
        </w:numPr>
        <w:ind w:left="425.19685039370074" w:right="-622.7952755905511" w:hanging="283.46456692913375"/>
        <w:contextualSpacing w:val="1"/>
        <w:rPr>
          <w:color w:val="212121"/>
          <w:highlight w:val="white"/>
          <w:u w:val="none"/>
        </w:rPr>
      </w:pPr>
      <w:r w:rsidDel="00000000" w:rsidR="00000000" w:rsidRPr="00000000">
        <w:rPr>
          <w:color w:val="212121"/>
          <w:highlight w:val="white"/>
          <w:rtl w:val="0"/>
        </w:rPr>
        <w:t xml:space="preserve">Équipement sous vide</w:t>
      </w:r>
    </w:p>
    <w:p w:rsidR="00000000" w:rsidDel="00000000" w:rsidP="00000000" w:rsidRDefault="00000000" w:rsidRPr="00000000" w14:paraId="0000005B">
      <w:pPr>
        <w:numPr>
          <w:ilvl w:val="0"/>
          <w:numId w:val="6"/>
        </w:numPr>
        <w:spacing w:line="480" w:lineRule="auto"/>
        <w:ind w:left="425.19685039370074" w:right="-622.7952755905511" w:hanging="283.46456692913375"/>
        <w:contextualSpacing w:val="1"/>
        <w:rPr>
          <w:color w:val="212121"/>
          <w:highlight w:val="white"/>
          <w:u w:val="none"/>
        </w:rPr>
      </w:pPr>
      <w:r w:rsidDel="00000000" w:rsidR="00000000" w:rsidRPr="00000000">
        <w:rPr>
          <w:color w:val="212121"/>
          <w:highlight w:val="white"/>
          <w:rtl w:val="0"/>
        </w:rPr>
        <w:t xml:space="preserve">Fours </w:t>
      </w:r>
    </w:p>
    <w:p w:rsidR="00000000" w:rsidDel="00000000" w:rsidP="00000000" w:rsidRDefault="00000000" w:rsidRPr="00000000" w14:paraId="0000005C">
      <w:pPr>
        <w:spacing w:line="480" w:lineRule="auto"/>
        <w:ind w:left="141.73228346456688" w:right="-622.7952755905511" w:firstLine="0"/>
        <w:contextualSpacing w:val="0"/>
        <w:rPr>
          <w:color w:val="212121"/>
          <w:highlight w:val="white"/>
        </w:rPr>
      </w:pPr>
      <w:r w:rsidDel="00000000" w:rsidR="00000000" w:rsidRPr="00000000">
        <w:rPr>
          <w:rtl w:val="0"/>
        </w:rPr>
      </w:r>
    </w:p>
    <w:p w:rsidR="00000000" w:rsidDel="00000000" w:rsidP="00000000" w:rsidRDefault="00000000" w:rsidRPr="00000000" w14:paraId="0000005D">
      <w:pPr>
        <w:ind w:left="141.73228346456688" w:right="-622.7952755905511" w:firstLine="0"/>
        <w:contextualSpacing w:val="0"/>
        <w:rPr>
          <w:i w:val="1"/>
          <w:color w:val="212121"/>
          <w:highlight w:val="white"/>
        </w:rPr>
      </w:pPr>
      <w:r w:rsidDel="00000000" w:rsidR="00000000" w:rsidRPr="00000000">
        <w:rPr>
          <w:i w:val="1"/>
          <w:color w:val="212121"/>
          <w:highlight w:val="white"/>
          <w:rtl w:val="0"/>
        </w:rPr>
        <w:t xml:space="preserve">Divers produits manufacturés</w:t>
      </w:r>
      <w:r w:rsidDel="00000000" w:rsidR="00000000" w:rsidRPr="00000000">
        <w:rPr>
          <w:color w:val="212121"/>
          <w:highlight w:val="white"/>
          <w:rtl w:val="0"/>
        </w:rPr>
        <w:t xml:space="preserve">   </w:t>
      </w:r>
      <w:r w:rsidDel="00000000" w:rsidR="00000000" w:rsidRPr="00000000">
        <w:rPr>
          <w:i w:val="1"/>
          <w:color w:val="212121"/>
          <w:highlight w:val="white"/>
          <w:rtl w:val="0"/>
        </w:rPr>
        <w:t xml:space="preserve">Pièces liées aux semi-conducteurs</w:t>
      </w:r>
      <w:r w:rsidDel="00000000" w:rsidR="00000000" w:rsidRPr="00000000">
        <w:rPr>
          <w:color w:val="212121"/>
          <w:highlight w:val="white"/>
          <w:rtl w:val="0"/>
        </w:rPr>
        <w:t xml:space="preserve">   </w:t>
      </w:r>
      <w:r w:rsidDel="00000000" w:rsidR="00000000" w:rsidRPr="00000000">
        <w:rPr>
          <w:i w:val="1"/>
          <w:color w:val="212121"/>
          <w:highlight w:val="white"/>
          <w:rtl w:val="0"/>
        </w:rPr>
        <w:t xml:space="preserve">Pièces connexes LCD</w:t>
      </w:r>
    </w:p>
    <w:p w:rsidR="00000000" w:rsidDel="00000000" w:rsidP="00000000" w:rsidRDefault="00000000" w:rsidRPr="00000000" w14:paraId="0000005E">
      <w:pPr>
        <w:ind w:left="141.73228346456688" w:right="-622.7952755905511" w:firstLine="0"/>
        <w:contextualSpacing w:val="0"/>
        <w:rPr>
          <w:color w:val="212121"/>
          <w:highlight w:val="white"/>
        </w:rPr>
      </w:pPr>
      <w:r w:rsidDel="00000000" w:rsidR="00000000" w:rsidRPr="00000000">
        <w:rPr>
          <w:color w:val="212121"/>
          <w:highlight w:val="white"/>
          <w:rtl w:val="0"/>
        </w:rPr>
        <w:t xml:space="preserve">      </w:t>
      </w:r>
      <w:r w:rsidDel="00000000" w:rsidR="00000000" w:rsidRPr="00000000">
        <w:rPr>
          <w:color w:val="212121"/>
          <w:highlight w:val="white"/>
        </w:rPr>
        <w:drawing>
          <wp:inline distB="114300" distT="114300" distL="114300" distR="114300">
            <wp:extent cx="1333500" cy="990600"/>
            <wp:effectExtent b="0" l="0" r="0" t="0"/>
            <wp:docPr id="8" name="image18.png"/>
            <a:graphic>
              <a:graphicData uri="http://schemas.openxmlformats.org/drawingml/2006/picture">
                <pic:pic>
                  <pic:nvPicPr>
                    <pic:cNvPr id="0" name="image18.png"/>
                    <pic:cNvPicPr preferRelativeResize="0"/>
                  </pic:nvPicPr>
                  <pic:blipFill>
                    <a:blip r:embed="rId12"/>
                    <a:srcRect b="0" l="0" r="0" t="0"/>
                    <a:stretch>
                      <a:fillRect/>
                    </a:stretch>
                  </pic:blipFill>
                  <pic:spPr>
                    <a:xfrm>
                      <a:off x="0" y="0"/>
                      <a:ext cx="1333500" cy="990600"/>
                    </a:xfrm>
                    <a:prstGeom prst="rect"/>
                    <a:ln/>
                  </pic:spPr>
                </pic:pic>
              </a:graphicData>
            </a:graphic>
          </wp:inline>
        </w:drawing>
      </w:r>
      <w:r w:rsidDel="00000000" w:rsidR="00000000" w:rsidRPr="00000000">
        <w:rPr>
          <w:color w:val="212121"/>
          <w:highlight w:val="white"/>
          <w:rtl w:val="0"/>
        </w:rPr>
        <w:t xml:space="preserve">                 </w:t>
      </w:r>
      <w:r w:rsidDel="00000000" w:rsidR="00000000" w:rsidRPr="00000000">
        <w:rPr>
          <w:color w:val="212121"/>
          <w:highlight w:val="white"/>
        </w:rPr>
        <w:drawing>
          <wp:inline distB="114300" distT="114300" distL="114300" distR="114300">
            <wp:extent cx="1333500" cy="990600"/>
            <wp:effectExtent b="0" l="0" r="0" t="0"/>
            <wp:docPr id="3" name="image13.png"/>
            <a:graphic>
              <a:graphicData uri="http://schemas.openxmlformats.org/drawingml/2006/picture">
                <pic:pic>
                  <pic:nvPicPr>
                    <pic:cNvPr id="0" name="image13.png"/>
                    <pic:cNvPicPr preferRelativeResize="0"/>
                  </pic:nvPicPr>
                  <pic:blipFill>
                    <a:blip r:embed="rId13"/>
                    <a:srcRect b="0" l="0" r="0" t="0"/>
                    <a:stretch>
                      <a:fillRect/>
                    </a:stretch>
                  </pic:blipFill>
                  <pic:spPr>
                    <a:xfrm>
                      <a:off x="0" y="0"/>
                      <a:ext cx="1333500" cy="990600"/>
                    </a:xfrm>
                    <a:prstGeom prst="rect"/>
                    <a:ln/>
                  </pic:spPr>
                </pic:pic>
              </a:graphicData>
            </a:graphic>
          </wp:inline>
        </w:drawing>
      </w:r>
      <w:r w:rsidDel="00000000" w:rsidR="00000000" w:rsidRPr="00000000">
        <w:rPr>
          <w:color w:val="212121"/>
          <w:highlight w:val="white"/>
          <w:rtl w:val="0"/>
        </w:rPr>
        <w:t xml:space="preserve">                </w:t>
      </w:r>
      <w:r w:rsidDel="00000000" w:rsidR="00000000" w:rsidRPr="00000000">
        <w:rPr>
          <w:color w:val="212121"/>
          <w:highlight w:val="white"/>
        </w:rPr>
        <w:drawing>
          <wp:inline distB="114300" distT="114300" distL="114300" distR="114300">
            <wp:extent cx="1333500" cy="990600"/>
            <wp:effectExtent b="0" l="0" r="0" t="0"/>
            <wp:docPr id="4" name="image14.png"/>
            <a:graphic>
              <a:graphicData uri="http://schemas.openxmlformats.org/drawingml/2006/picture">
                <pic:pic>
                  <pic:nvPicPr>
                    <pic:cNvPr id="0" name="image14.png"/>
                    <pic:cNvPicPr preferRelativeResize="0"/>
                  </pic:nvPicPr>
                  <pic:blipFill>
                    <a:blip r:embed="rId14"/>
                    <a:srcRect b="0" l="0" r="0" t="0"/>
                    <a:stretch>
                      <a:fillRect/>
                    </a:stretch>
                  </pic:blipFill>
                  <pic:spPr>
                    <a:xfrm>
                      <a:off x="0" y="0"/>
                      <a:ext cx="1333500" cy="990600"/>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ind w:left="141.73228346456688" w:right="-622.7952755905511" w:firstLine="0"/>
        <w:contextualSpacing w:val="0"/>
        <w:rPr/>
      </w:pPr>
      <w:r w:rsidDel="00000000" w:rsidR="00000000" w:rsidRPr="00000000">
        <w:rPr>
          <w:rtl w:val="0"/>
        </w:rPr>
      </w:r>
    </w:p>
    <w:p w:rsidR="00000000" w:rsidDel="00000000" w:rsidP="00000000" w:rsidRDefault="00000000" w:rsidRPr="00000000" w14:paraId="00000060">
      <w:pPr>
        <w:ind w:left="141.73228346456688" w:right="-622.7952755905511" w:firstLine="0"/>
        <w:contextualSpacing w:val="0"/>
        <w:rPr>
          <w:i w:val="1"/>
        </w:rPr>
      </w:pPr>
      <w:r w:rsidDel="00000000" w:rsidR="00000000" w:rsidRPr="00000000">
        <w:rPr>
          <w:color w:val="212121"/>
          <w:highlight w:val="white"/>
          <w:rtl w:val="0"/>
        </w:rPr>
        <w:t xml:space="preserve">                                                             </w:t>
      </w:r>
      <w:r w:rsidDel="00000000" w:rsidR="00000000" w:rsidRPr="00000000">
        <w:rPr>
          <w:i w:val="1"/>
          <w:color w:val="212121"/>
          <w:highlight w:val="white"/>
          <w:rtl w:val="0"/>
        </w:rPr>
        <w:t xml:space="preserve">Fabrication de verre</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2352675</wp:posOffset>
            </wp:positionH>
            <wp:positionV relativeFrom="paragraph">
              <wp:posOffset>95250</wp:posOffset>
            </wp:positionV>
            <wp:extent cx="1333500" cy="990600"/>
            <wp:effectExtent b="0" l="0" r="0" t="0"/>
            <wp:wrapTopAndBottom distB="114300" distT="114300"/>
            <wp:docPr id="1"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1333500" cy="990600"/>
                    </a:xfrm>
                    <a:prstGeom prst="rect"/>
                    <a:ln/>
                  </pic:spPr>
                </pic:pic>
              </a:graphicData>
            </a:graphic>
          </wp:anchor>
        </w:drawing>
      </w:r>
    </w:p>
    <w:p w:rsidR="00000000" w:rsidDel="00000000" w:rsidP="00000000" w:rsidRDefault="00000000" w:rsidRPr="00000000" w14:paraId="00000061">
      <w:pPr>
        <w:ind w:left="141.73228346456688" w:right="-622.7952755905511" w:firstLine="0"/>
        <w:contextualSpacing w:val="0"/>
        <w:rPr/>
      </w:pPr>
      <w:r w:rsidDel="00000000" w:rsidR="00000000" w:rsidRPr="00000000">
        <w:rPr>
          <w:rtl w:val="0"/>
        </w:rPr>
      </w:r>
    </w:p>
    <w:p w:rsidR="00000000" w:rsidDel="00000000" w:rsidP="00000000" w:rsidRDefault="00000000" w:rsidRPr="00000000" w14:paraId="00000062">
      <w:pPr>
        <w:ind w:left="141.73228346456688" w:right="-622.7952755905511" w:firstLine="0"/>
        <w:contextualSpacing w:val="0"/>
        <w:rPr/>
      </w:pPr>
      <w:r w:rsidDel="00000000" w:rsidR="00000000" w:rsidRPr="00000000">
        <w:rPr>
          <w:rtl w:val="0"/>
        </w:rPr>
      </w:r>
    </w:p>
    <w:p w:rsidR="00000000" w:rsidDel="00000000" w:rsidP="00000000" w:rsidRDefault="00000000" w:rsidRPr="00000000" w14:paraId="00000063">
      <w:pPr>
        <w:ind w:left="141.73228346456688" w:right="-622.7952755905511" w:firstLine="0"/>
        <w:contextualSpacing w:val="0"/>
        <w:rPr/>
      </w:pPr>
      <w:r w:rsidDel="00000000" w:rsidR="00000000" w:rsidRPr="00000000">
        <w:rPr>
          <w:rtl w:val="0"/>
        </w:rPr>
      </w:r>
    </w:p>
    <w:p w:rsidR="00000000" w:rsidDel="00000000" w:rsidP="00000000" w:rsidRDefault="00000000" w:rsidRPr="00000000" w14:paraId="00000064">
      <w:pPr>
        <w:ind w:left="141.73228346456688" w:right="-622.7952755905511" w:firstLine="0"/>
        <w:contextualSpacing w:val="0"/>
        <w:rPr/>
      </w:pPr>
      <w:r w:rsidDel="00000000" w:rsidR="00000000" w:rsidRPr="00000000">
        <w:rPr>
          <w:rtl w:val="0"/>
        </w:rPr>
      </w:r>
    </w:p>
    <w:p w:rsidR="00000000" w:rsidDel="00000000" w:rsidP="00000000" w:rsidRDefault="00000000" w:rsidRPr="00000000" w14:paraId="00000065">
      <w:pPr>
        <w:ind w:left="141.73228346456688" w:right="-622.7952755905511" w:firstLine="0"/>
        <w:contextualSpacing w:val="0"/>
        <w:rPr/>
      </w:pPr>
      <w:r w:rsidDel="00000000" w:rsidR="00000000" w:rsidRPr="00000000">
        <w:rPr>
          <w:rtl w:val="0"/>
        </w:rPr>
      </w:r>
    </w:p>
    <w:p w:rsidR="00000000" w:rsidDel="00000000" w:rsidP="00000000" w:rsidRDefault="00000000" w:rsidRPr="00000000" w14:paraId="00000066">
      <w:pPr>
        <w:ind w:left="141.73228346456688" w:right="-622.7952755905511" w:firstLine="0"/>
        <w:contextualSpacing w:val="0"/>
        <w:rPr/>
      </w:pPr>
      <w:r w:rsidDel="00000000" w:rsidR="00000000" w:rsidRPr="00000000">
        <w:rPr>
          <w:rtl w:val="0"/>
        </w:rPr>
      </w:r>
    </w:p>
    <w:p w:rsidR="00000000" w:rsidDel="00000000" w:rsidP="00000000" w:rsidRDefault="00000000" w:rsidRPr="00000000" w14:paraId="00000067">
      <w:pPr>
        <w:ind w:left="141.73228346456688" w:right="-622.7952755905511" w:firstLine="0"/>
        <w:contextualSpacing w:val="0"/>
        <w:rPr/>
      </w:pPr>
      <w:r w:rsidDel="00000000" w:rsidR="00000000" w:rsidRPr="00000000">
        <w:rPr>
          <w:rtl w:val="0"/>
        </w:rPr>
      </w:r>
    </w:p>
    <w:p w:rsidR="00000000" w:rsidDel="00000000" w:rsidP="00000000" w:rsidRDefault="00000000" w:rsidRPr="00000000" w14:paraId="00000068">
      <w:pPr>
        <w:ind w:left="0" w:right="-622.7952755905511" w:firstLine="0"/>
        <w:contextualSpacing w:val="0"/>
        <w:rPr/>
      </w:pPr>
      <w:r w:rsidDel="00000000" w:rsidR="00000000" w:rsidRPr="00000000">
        <w:rPr>
          <w:rtl w:val="0"/>
        </w:rPr>
      </w:r>
    </w:p>
    <w:p w:rsidR="00000000" w:rsidDel="00000000" w:rsidP="00000000" w:rsidRDefault="00000000" w:rsidRPr="00000000" w14:paraId="00000069">
      <w:pPr>
        <w:ind w:left="0" w:right="-622.7952755905511" w:firstLine="0"/>
        <w:contextualSpacing w:val="0"/>
        <w:rPr/>
      </w:pPr>
      <w:r w:rsidDel="00000000" w:rsidR="00000000" w:rsidRPr="00000000">
        <w:rPr>
          <w:rtl w:val="0"/>
        </w:rPr>
      </w:r>
    </w:p>
    <w:p w:rsidR="00000000" w:rsidDel="00000000" w:rsidP="00000000" w:rsidRDefault="00000000" w:rsidRPr="00000000" w14:paraId="0000006A">
      <w:pPr>
        <w:ind w:left="141.73228346456688" w:right="-622.7952755905511" w:firstLine="0"/>
        <w:contextualSpacing w:val="0"/>
        <w:rPr/>
      </w:pPr>
      <w:r w:rsidDel="00000000" w:rsidR="00000000" w:rsidRPr="00000000">
        <w:rPr>
          <w:rtl w:val="0"/>
        </w:rPr>
      </w:r>
    </w:p>
    <w:p w:rsidR="00000000" w:rsidDel="00000000" w:rsidP="00000000" w:rsidRDefault="00000000" w:rsidRPr="00000000" w14:paraId="0000006B">
      <w:pPr>
        <w:ind w:left="141.73228346456688" w:right="-622.7952755905511" w:firstLine="0"/>
        <w:contextualSpacing w:val="0"/>
        <w:rPr>
          <w:b w:val="1"/>
        </w:rPr>
      </w:pPr>
      <w:r w:rsidDel="00000000" w:rsidR="00000000" w:rsidRPr="00000000">
        <w:rPr>
          <w:b w:val="1"/>
          <w:rtl w:val="0"/>
        </w:rPr>
        <w:t xml:space="preserve"> 8. Références bibliographiques</w:t>
      </w:r>
    </w:p>
    <w:p w:rsidR="00000000" w:rsidDel="00000000" w:rsidP="00000000" w:rsidRDefault="00000000" w:rsidRPr="00000000" w14:paraId="0000006C">
      <w:pPr>
        <w:ind w:left="141.73228346456688" w:right="-622.7952755905511" w:firstLine="0"/>
        <w:contextualSpacing w:val="0"/>
        <w:rPr/>
      </w:pPr>
      <w:r w:rsidDel="00000000" w:rsidR="00000000" w:rsidRPr="00000000">
        <w:rPr>
          <w:rtl w:val="0"/>
        </w:rPr>
      </w:r>
    </w:p>
    <w:p w:rsidR="00000000" w:rsidDel="00000000" w:rsidP="00000000" w:rsidRDefault="00000000" w:rsidRPr="00000000" w14:paraId="0000006D">
      <w:pPr>
        <w:numPr>
          <w:ilvl w:val="0"/>
          <w:numId w:val="3"/>
        </w:numPr>
        <w:spacing w:line="335.99999999999994" w:lineRule="auto"/>
        <w:ind w:left="283.46456692913375" w:right="-622.7952755905511" w:hanging="360"/>
        <w:contextualSpacing w:val="1"/>
        <w:rPr>
          <w:u w:val="none"/>
        </w:rPr>
      </w:pPr>
      <w:r w:rsidDel="00000000" w:rsidR="00000000" w:rsidRPr="00000000">
        <w:rPr>
          <w:rtl w:val="0"/>
        </w:rPr>
        <w:t xml:space="preserve">Greg Brust, </w:t>
      </w:r>
      <w:r w:rsidDel="00000000" w:rsidR="00000000" w:rsidRPr="00000000">
        <w:rPr>
          <w:i w:val="1"/>
          <w:rtl w:val="0"/>
        </w:rPr>
        <w:t xml:space="preserve">“Polyimides”</w:t>
      </w:r>
      <w:r w:rsidDel="00000000" w:rsidR="00000000" w:rsidRPr="00000000">
        <w:rPr>
          <w:rtl w:val="0"/>
        </w:rPr>
        <w:t xml:space="preserve"> sur  </w:t>
      </w:r>
      <w:hyperlink r:id="rId16">
        <w:r w:rsidDel="00000000" w:rsidR="00000000" w:rsidRPr="00000000">
          <w:rPr>
            <w:color w:val="1155cc"/>
            <w:u w:val="single"/>
            <w:rtl w:val="0"/>
          </w:rPr>
          <w:t xml:space="preserve">http://pslc.ws/french/imide.htm</w:t>
        </w:r>
      </w:hyperlink>
      <w:r w:rsidDel="00000000" w:rsidR="00000000" w:rsidRPr="00000000">
        <w:rPr>
          <w:rtl w:val="0"/>
        </w:rPr>
        <w:t xml:space="preserve"> consulté le 19 mars 2018.</w:t>
      </w:r>
    </w:p>
    <w:p w:rsidR="00000000" w:rsidDel="00000000" w:rsidP="00000000" w:rsidRDefault="00000000" w:rsidRPr="00000000" w14:paraId="0000006E">
      <w:pPr>
        <w:numPr>
          <w:ilvl w:val="0"/>
          <w:numId w:val="3"/>
        </w:numPr>
        <w:spacing w:line="335.99999999999994" w:lineRule="auto"/>
        <w:ind w:left="283.46456692913375" w:right="-622.7952755905511" w:hanging="360"/>
        <w:contextualSpacing w:val="1"/>
        <w:rPr>
          <w:u w:val="none"/>
        </w:rPr>
      </w:pPr>
      <w:r w:rsidDel="00000000" w:rsidR="00000000" w:rsidRPr="00000000">
        <w:rPr>
          <w:rtl w:val="0"/>
        </w:rPr>
        <w:t xml:space="preserve">Yasojima, “</w:t>
      </w:r>
      <w:r w:rsidDel="00000000" w:rsidR="00000000" w:rsidRPr="00000000">
        <w:rPr>
          <w:i w:val="1"/>
          <w:rtl w:val="0"/>
        </w:rPr>
        <w:t xml:space="preserve">Meldin”</w:t>
      </w:r>
      <w:r w:rsidDel="00000000" w:rsidR="00000000" w:rsidRPr="00000000">
        <w:rPr>
          <w:rtl w:val="0"/>
        </w:rPr>
        <w:t xml:space="preserve">, sur </w:t>
      </w:r>
      <w:hyperlink r:id="rId17">
        <w:r w:rsidDel="00000000" w:rsidR="00000000" w:rsidRPr="00000000">
          <w:rPr>
            <w:color w:val="1155cc"/>
            <w:u w:val="single"/>
            <w:rtl w:val="0"/>
          </w:rPr>
          <w:t xml:space="preserve">http://yasojima-global.com/product/meldin/#use</w:t>
        </w:r>
      </w:hyperlink>
      <w:r w:rsidDel="00000000" w:rsidR="00000000" w:rsidRPr="00000000">
        <w:rPr>
          <w:rtl w:val="0"/>
        </w:rPr>
        <w:t xml:space="preserve"> consulté le 19 mars 2018.</w:t>
      </w:r>
    </w:p>
    <w:p w:rsidR="00000000" w:rsidDel="00000000" w:rsidP="00000000" w:rsidRDefault="00000000" w:rsidRPr="00000000" w14:paraId="0000006F">
      <w:pPr>
        <w:numPr>
          <w:ilvl w:val="0"/>
          <w:numId w:val="3"/>
        </w:numPr>
        <w:spacing w:line="335.99999999999994" w:lineRule="auto"/>
        <w:ind w:left="283.46456692913375" w:right="-622.7952755905511" w:hanging="360"/>
        <w:contextualSpacing w:val="1"/>
        <w:rPr>
          <w:u w:val="none"/>
        </w:rPr>
      </w:pPr>
      <w:r w:rsidDel="00000000" w:rsidR="00000000" w:rsidRPr="00000000">
        <w:rPr>
          <w:rtl w:val="0"/>
        </w:rPr>
        <w:t xml:space="preserve">Saint-Gobain Performance Plastics, “</w:t>
      </w:r>
      <w:r w:rsidDel="00000000" w:rsidR="00000000" w:rsidRPr="00000000">
        <w:rPr>
          <w:i w:val="1"/>
          <w:rtl w:val="0"/>
        </w:rPr>
        <w:t xml:space="preserve">Products”</w:t>
      </w:r>
      <w:r w:rsidDel="00000000" w:rsidR="00000000" w:rsidRPr="00000000">
        <w:rPr>
          <w:rtl w:val="0"/>
        </w:rPr>
        <w:t xml:space="preserve">, sur </w:t>
      </w:r>
      <w:hyperlink r:id="rId18">
        <w:r w:rsidDel="00000000" w:rsidR="00000000" w:rsidRPr="00000000">
          <w:rPr>
            <w:color w:val="1155cc"/>
            <w:u w:val="single"/>
            <w:rtl w:val="0"/>
          </w:rPr>
          <w:t xml:space="preserve">https://www.seals.saint-gobain.com/products</w:t>
        </w:r>
      </w:hyperlink>
      <w:r w:rsidDel="00000000" w:rsidR="00000000" w:rsidRPr="00000000">
        <w:rPr>
          <w:rtl w:val="0"/>
        </w:rPr>
        <w:t xml:space="preserve"> consulté le 19 mars 2018.</w:t>
      </w:r>
    </w:p>
    <w:p w:rsidR="00000000" w:rsidDel="00000000" w:rsidP="00000000" w:rsidRDefault="00000000" w:rsidRPr="00000000" w14:paraId="00000070">
      <w:pPr>
        <w:numPr>
          <w:ilvl w:val="0"/>
          <w:numId w:val="3"/>
        </w:numPr>
        <w:spacing w:line="335.99999999999994" w:lineRule="auto"/>
        <w:ind w:left="283.46456692913375" w:right="-622.7952755905511" w:hanging="360"/>
        <w:contextualSpacing w:val="1"/>
        <w:rPr>
          <w:u w:val="none"/>
        </w:rPr>
      </w:pPr>
      <w:r w:rsidDel="00000000" w:rsidR="00000000" w:rsidRPr="00000000">
        <w:rPr>
          <w:rtl w:val="0"/>
        </w:rPr>
        <w:t xml:space="preserve">Saint-Gobain Performance Plastics, </w:t>
      </w:r>
      <w:r w:rsidDel="00000000" w:rsidR="00000000" w:rsidRPr="00000000">
        <w:rPr>
          <w:i w:val="1"/>
          <w:rtl w:val="0"/>
        </w:rPr>
        <w:t xml:space="preserve">“Meldin 7000 Series Design Guide”</w:t>
      </w:r>
      <w:r w:rsidDel="00000000" w:rsidR="00000000" w:rsidRPr="00000000">
        <w:rPr>
          <w:rtl w:val="0"/>
        </w:rPr>
        <w:t xml:space="preserve">  sur </w:t>
      </w:r>
      <w:hyperlink r:id="rId19">
        <w:r w:rsidDel="00000000" w:rsidR="00000000" w:rsidRPr="00000000">
          <w:rPr>
            <w:color w:val="1155cc"/>
            <w:u w:val="single"/>
            <w:rtl w:val="0"/>
          </w:rPr>
          <w:t xml:space="preserve">https://www.professionalplastics.com/professionalplastics/Meldin7000Guide2009-Sec1.pdf</w:t>
        </w:r>
      </w:hyperlink>
      <w:r w:rsidDel="00000000" w:rsidR="00000000" w:rsidRPr="00000000">
        <w:rPr>
          <w:rtl w:val="0"/>
        </w:rPr>
        <w:t xml:space="preserve"> consulté le 19 mars 2018.</w:t>
      </w:r>
    </w:p>
    <w:p w:rsidR="00000000" w:rsidDel="00000000" w:rsidP="00000000" w:rsidRDefault="00000000" w:rsidRPr="00000000" w14:paraId="00000071">
      <w:pPr>
        <w:numPr>
          <w:ilvl w:val="0"/>
          <w:numId w:val="3"/>
        </w:numPr>
        <w:spacing w:line="335.99999999999994" w:lineRule="auto"/>
        <w:ind w:left="283.46456692913375" w:right="-622.7952755905511" w:hanging="360"/>
        <w:contextualSpacing w:val="1"/>
        <w:rPr>
          <w:u w:val="none"/>
        </w:rPr>
      </w:pPr>
      <w:r w:rsidDel="00000000" w:rsidR="00000000" w:rsidRPr="00000000">
        <w:rPr>
          <w:rtl w:val="0"/>
        </w:rPr>
        <w:t xml:space="preserve">Saint-Gobain Performance Plastics, </w:t>
      </w:r>
      <w:r w:rsidDel="00000000" w:rsidR="00000000" w:rsidRPr="00000000">
        <w:rPr>
          <w:i w:val="1"/>
          <w:rtl w:val="0"/>
        </w:rPr>
        <w:t xml:space="preserve">“Polyimide Direct Formable Thermosetting Materials”</w:t>
      </w:r>
      <w:r w:rsidDel="00000000" w:rsidR="00000000" w:rsidRPr="00000000">
        <w:rPr>
          <w:rtl w:val="0"/>
        </w:rPr>
        <w:t xml:space="preserve"> sur </w:t>
      </w:r>
      <w:hyperlink r:id="rId20">
        <w:r w:rsidDel="00000000" w:rsidR="00000000" w:rsidRPr="00000000">
          <w:rPr>
            <w:color w:val="1155cc"/>
            <w:u w:val="single"/>
            <w:rtl w:val="0"/>
          </w:rPr>
          <w:t xml:space="preserve">http://meldin-rulon.co.uk/wp-content/themes/theme1782/pdf/Meldin7000Brochure.pdf</w:t>
        </w:r>
      </w:hyperlink>
      <w:r w:rsidDel="00000000" w:rsidR="00000000" w:rsidRPr="00000000">
        <w:rPr>
          <w:rtl w:val="0"/>
        </w:rPr>
      </w:r>
    </w:p>
    <w:p w:rsidR="00000000" w:rsidDel="00000000" w:rsidP="00000000" w:rsidRDefault="00000000" w:rsidRPr="00000000" w14:paraId="00000072">
      <w:pPr>
        <w:numPr>
          <w:ilvl w:val="0"/>
          <w:numId w:val="3"/>
        </w:numPr>
        <w:spacing w:line="335.99999999999994" w:lineRule="auto"/>
        <w:ind w:left="283.46456692913375" w:right="-622.7952755905511" w:hanging="360"/>
        <w:contextualSpacing w:val="1"/>
        <w:rPr>
          <w:u w:val="none"/>
        </w:rPr>
      </w:pPr>
      <w:r w:rsidDel="00000000" w:rsidR="00000000" w:rsidRPr="00000000">
        <w:rPr>
          <w:rtl w:val="0"/>
        </w:rPr>
        <w:t xml:space="preserve">Wikipédia, </w:t>
      </w:r>
      <w:r w:rsidDel="00000000" w:rsidR="00000000" w:rsidRPr="00000000">
        <w:rPr>
          <w:i w:val="1"/>
          <w:rtl w:val="0"/>
        </w:rPr>
        <w:t xml:space="preserve">“Polyimide” </w:t>
      </w:r>
      <w:r w:rsidDel="00000000" w:rsidR="00000000" w:rsidRPr="00000000">
        <w:rPr>
          <w:rtl w:val="0"/>
        </w:rPr>
        <w:t xml:space="preserve">sur </w:t>
      </w:r>
      <w:hyperlink r:id="rId21">
        <w:r w:rsidDel="00000000" w:rsidR="00000000" w:rsidRPr="00000000">
          <w:rPr>
            <w:color w:val="1155cc"/>
            <w:u w:val="single"/>
            <w:rtl w:val="0"/>
          </w:rPr>
          <w:t xml:space="preserve">https://fr.wikipedia.org/wiki/Polyimide</w:t>
        </w:r>
      </w:hyperlink>
      <w:r w:rsidDel="00000000" w:rsidR="00000000" w:rsidRPr="00000000">
        <w:rPr>
          <w:rtl w:val="0"/>
        </w:rPr>
        <w:t xml:space="preserve"> consulté le 19 mars 2018.</w:t>
      </w:r>
    </w:p>
    <w:p w:rsidR="00000000" w:rsidDel="00000000" w:rsidP="00000000" w:rsidRDefault="00000000" w:rsidRPr="00000000" w14:paraId="00000073">
      <w:pPr>
        <w:numPr>
          <w:ilvl w:val="0"/>
          <w:numId w:val="3"/>
        </w:numPr>
        <w:spacing w:line="335.99999999999994" w:lineRule="auto"/>
        <w:ind w:left="283.46456692913375" w:right="-622.7952755905511" w:hanging="360"/>
        <w:contextualSpacing w:val="1"/>
        <w:rPr>
          <w:u w:val="none"/>
        </w:rPr>
      </w:pPr>
      <w:r w:rsidDel="00000000" w:rsidR="00000000" w:rsidRPr="00000000">
        <w:rPr>
          <w:rtl w:val="0"/>
        </w:rPr>
        <w:t xml:space="preserve">Wikipédia, </w:t>
      </w:r>
      <w:r w:rsidDel="00000000" w:rsidR="00000000" w:rsidRPr="00000000">
        <w:rPr>
          <w:i w:val="1"/>
          <w:rtl w:val="0"/>
        </w:rPr>
        <w:t xml:space="preserve">“Groupe fonctionnel” </w:t>
      </w:r>
      <w:hyperlink r:id="rId22">
        <w:r w:rsidDel="00000000" w:rsidR="00000000" w:rsidRPr="00000000">
          <w:rPr>
            <w:color w:val="1155cc"/>
            <w:u w:val="single"/>
            <w:rtl w:val="0"/>
          </w:rPr>
          <w:t xml:space="preserve">https://fr.wikipedia.org/wiki/Groupe_fonctionnel#Groupes_de_l'oxygène_et_de_l'azote</w:t>
        </w:r>
      </w:hyperlink>
      <w:r w:rsidDel="00000000" w:rsidR="00000000" w:rsidRPr="00000000">
        <w:rPr>
          <w:rtl w:val="0"/>
        </w:rPr>
        <w:t xml:space="preserve"> consulté le 19 mars 2018.</w:t>
      </w:r>
    </w:p>
    <w:p w:rsidR="00000000" w:rsidDel="00000000" w:rsidP="00000000" w:rsidRDefault="00000000" w:rsidRPr="00000000" w14:paraId="00000074">
      <w:pPr>
        <w:numPr>
          <w:ilvl w:val="0"/>
          <w:numId w:val="3"/>
        </w:numPr>
        <w:spacing w:line="335.99999999999994" w:lineRule="auto"/>
        <w:ind w:left="283.46456692913375" w:right="-622.7952755905511" w:hanging="360"/>
        <w:contextualSpacing w:val="1"/>
        <w:rPr>
          <w:u w:val="none"/>
        </w:rPr>
      </w:pPr>
      <w:r w:rsidDel="00000000" w:rsidR="00000000" w:rsidRPr="00000000">
        <w:rPr>
          <w:rtl w:val="0"/>
        </w:rPr>
        <w:t xml:space="preserve">Wikipédia, “</w:t>
      </w:r>
      <w:r w:rsidDel="00000000" w:rsidR="00000000" w:rsidRPr="00000000">
        <w:rPr>
          <w:i w:val="1"/>
          <w:rtl w:val="0"/>
        </w:rPr>
        <w:t xml:space="preserve">Imide”</w:t>
      </w:r>
      <w:r w:rsidDel="00000000" w:rsidR="00000000" w:rsidRPr="00000000">
        <w:rPr>
          <w:rtl w:val="0"/>
        </w:rPr>
        <w:t xml:space="preserve"> sur </w:t>
      </w:r>
      <w:hyperlink r:id="rId23">
        <w:r w:rsidDel="00000000" w:rsidR="00000000" w:rsidRPr="00000000">
          <w:rPr>
            <w:color w:val="1155cc"/>
            <w:u w:val="single"/>
            <w:rtl w:val="0"/>
          </w:rPr>
          <w:t xml:space="preserve">https://fr.wikipedia.org/wiki/Imide</w:t>
        </w:r>
      </w:hyperlink>
      <w:r w:rsidDel="00000000" w:rsidR="00000000" w:rsidRPr="00000000">
        <w:rPr>
          <w:rtl w:val="0"/>
        </w:rPr>
        <w:t xml:space="preserve"> consulté le 19 mars 2018.</w:t>
      </w:r>
    </w:p>
    <w:p w:rsidR="00000000" w:rsidDel="00000000" w:rsidP="00000000" w:rsidRDefault="00000000" w:rsidRPr="00000000" w14:paraId="00000075">
      <w:pPr>
        <w:numPr>
          <w:ilvl w:val="0"/>
          <w:numId w:val="3"/>
        </w:numPr>
        <w:spacing w:line="335.99999999999994" w:lineRule="auto"/>
        <w:ind w:left="283.46456692913375" w:right="-622.7952755905511" w:hanging="360"/>
        <w:contextualSpacing w:val="1"/>
        <w:rPr>
          <w:u w:val="none"/>
        </w:rPr>
      </w:pPr>
      <w:r w:rsidDel="00000000" w:rsidR="00000000" w:rsidRPr="00000000">
        <w:rPr>
          <w:rtl w:val="0"/>
        </w:rPr>
        <w:t xml:space="preserve">Wikipédia, “</w:t>
      </w:r>
      <w:r w:rsidDel="00000000" w:rsidR="00000000" w:rsidRPr="00000000">
        <w:rPr>
          <w:i w:val="1"/>
          <w:rtl w:val="0"/>
        </w:rPr>
        <w:t xml:space="preserve">Introduction à la chimie organique : Groupements fonctionnels à liaisons simples</w:t>
      </w:r>
      <w:r w:rsidDel="00000000" w:rsidR="00000000" w:rsidRPr="00000000">
        <w:rPr>
          <w:rtl w:val="0"/>
        </w:rPr>
        <w:t xml:space="preserve">” sur </w:t>
      </w:r>
      <w:hyperlink r:id="rId24">
        <w:r w:rsidDel="00000000" w:rsidR="00000000" w:rsidRPr="00000000">
          <w:rPr>
            <w:color w:val="1155cc"/>
            <w:u w:val="single"/>
            <w:rtl w:val="0"/>
          </w:rPr>
          <w:t xml:space="preserve">https://fr.wikiversity.org/wiki/Introduction_à_la_chimie_organique/Groupements_fonctionnels_à_liaisons_simples</w:t>
        </w:r>
      </w:hyperlink>
      <w:r w:rsidDel="00000000" w:rsidR="00000000" w:rsidRPr="00000000">
        <w:rPr>
          <w:rtl w:val="0"/>
        </w:rPr>
        <w:t xml:space="preserve"> consulté le 19 mars 2018.</w:t>
      </w:r>
    </w:p>
    <w:p w:rsidR="00000000" w:rsidDel="00000000" w:rsidP="00000000" w:rsidRDefault="00000000" w:rsidRPr="00000000" w14:paraId="00000076">
      <w:pPr>
        <w:numPr>
          <w:ilvl w:val="0"/>
          <w:numId w:val="3"/>
        </w:numPr>
        <w:spacing w:line="335.99999999999994" w:lineRule="auto"/>
        <w:ind w:left="283.46456692913375" w:right="-622.7952755905511" w:hanging="360"/>
        <w:contextualSpacing w:val="1"/>
        <w:rPr>
          <w:u w:val="none"/>
        </w:rPr>
      </w:pPr>
      <w:r w:rsidDel="00000000" w:rsidR="00000000" w:rsidRPr="00000000">
        <w:rPr>
          <w:rtl w:val="0"/>
        </w:rPr>
        <w:t xml:space="preserve">Wikipédia, “</w:t>
      </w:r>
      <w:r w:rsidDel="00000000" w:rsidR="00000000" w:rsidRPr="00000000">
        <w:rPr>
          <w:i w:val="1"/>
          <w:rtl w:val="0"/>
        </w:rPr>
        <w:t xml:space="preserve">Hétérocycle</w:t>
      </w:r>
      <w:r w:rsidDel="00000000" w:rsidR="00000000" w:rsidRPr="00000000">
        <w:rPr>
          <w:rtl w:val="0"/>
        </w:rPr>
        <w:t xml:space="preserve">” sur </w:t>
      </w:r>
      <w:hyperlink r:id="rId25">
        <w:r w:rsidDel="00000000" w:rsidR="00000000" w:rsidRPr="00000000">
          <w:rPr>
            <w:color w:val="1155cc"/>
            <w:u w:val="single"/>
            <w:rtl w:val="0"/>
          </w:rPr>
          <w:t xml:space="preserve">https://fr.wikipedia.org/wiki/Hétérocycle</w:t>
        </w:r>
      </w:hyperlink>
      <w:r w:rsidDel="00000000" w:rsidR="00000000" w:rsidRPr="00000000">
        <w:rPr>
          <w:rtl w:val="0"/>
        </w:rPr>
        <w:t xml:space="preserve">  consulté le 19 mars 2018.</w:t>
      </w:r>
    </w:p>
    <w:p w:rsidR="00000000" w:rsidDel="00000000" w:rsidP="00000000" w:rsidRDefault="00000000" w:rsidRPr="00000000" w14:paraId="00000077">
      <w:pPr>
        <w:numPr>
          <w:ilvl w:val="0"/>
          <w:numId w:val="5"/>
        </w:numPr>
        <w:spacing w:line="335.99999999999994" w:lineRule="auto"/>
        <w:ind w:left="283.46456692913375" w:right="-622.7952755905511" w:hanging="360"/>
        <w:contextualSpacing w:val="1"/>
        <w:rPr>
          <w:u w:val="none"/>
        </w:rPr>
      </w:pPr>
      <w:r w:rsidDel="00000000" w:rsidR="00000000" w:rsidRPr="00000000">
        <w:rPr>
          <w:rtl w:val="0"/>
        </w:rPr>
        <w:t xml:space="preserve">Tout sur le plastique “</w:t>
      </w:r>
      <w:r w:rsidDel="00000000" w:rsidR="00000000" w:rsidRPr="00000000">
        <w:rPr>
          <w:i w:val="1"/>
          <w:rtl w:val="0"/>
        </w:rPr>
        <w:t xml:space="preserve">Les procédés de synthèse des matières plastiques : la polymérisation</w:t>
      </w:r>
      <w:r w:rsidDel="00000000" w:rsidR="00000000" w:rsidRPr="00000000">
        <w:rPr>
          <w:rtl w:val="0"/>
        </w:rPr>
        <w:t xml:space="preserve">” sur </w:t>
      </w:r>
      <w:hyperlink r:id="rId26">
        <w:r w:rsidDel="00000000" w:rsidR="00000000" w:rsidRPr="00000000">
          <w:rPr>
            <w:color w:val="1155cc"/>
            <w:u w:val="single"/>
            <w:rtl w:val="0"/>
          </w:rPr>
          <w:t xml:space="preserve">http://toutsurleplastique.e-monsite.com/pages/content/partie-ii-le-plastique-petrochimique-fait-suite-a-la-revolution-industrielle-et-repond-aux-attentes-de-la-societe-de-consommation/b-les-procedes-de-synthese-des-matieres-plastiques-la-polymerisation.html</w:t>
        </w:r>
      </w:hyperlink>
      <w:r w:rsidDel="00000000" w:rsidR="00000000" w:rsidRPr="00000000">
        <w:rPr>
          <w:rtl w:val="0"/>
        </w:rPr>
        <w:t xml:space="preserve"> consulté le 19 mars 2018.</w:t>
      </w:r>
    </w:p>
    <w:p w:rsidR="00000000" w:rsidDel="00000000" w:rsidP="00000000" w:rsidRDefault="00000000" w:rsidRPr="00000000" w14:paraId="00000078">
      <w:pPr>
        <w:numPr>
          <w:ilvl w:val="0"/>
          <w:numId w:val="5"/>
        </w:numPr>
        <w:spacing w:line="335.99999999999994" w:lineRule="auto"/>
        <w:ind w:left="283.46456692913375" w:right="-622.7952755905511" w:hanging="360"/>
        <w:contextualSpacing w:val="1"/>
        <w:rPr>
          <w:u w:val="none"/>
        </w:rPr>
      </w:pPr>
      <w:r w:rsidDel="00000000" w:rsidR="00000000" w:rsidRPr="00000000">
        <w:rPr>
          <w:rtl w:val="0"/>
        </w:rPr>
        <w:t xml:space="preserve">IEEE, “</w:t>
      </w:r>
      <w:r w:rsidDel="00000000" w:rsidR="00000000" w:rsidRPr="00000000">
        <w:rPr>
          <w:rtl w:val="0"/>
        </w:rPr>
        <w:t xml:space="preserve">Polyimide (PI) Plastic Sheet and Plastic Film Datasheets” </w:t>
      </w:r>
      <w:hyperlink r:id="rId27">
        <w:r w:rsidDel="00000000" w:rsidR="00000000" w:rsidRPr="00000000">
          <w:rPr>
            <w:color w:val="1155cc"/>
            <w:u w:val="single"/>
            <w:rtl w:val="0"/>
          </w:rPr>
          <w:t xml:space="preserve">https://www.globalspec.com/ds/4397/areaspec/chem_sys_polyimide</w:t>
        </w:r>
      </w:hyperlink>
      <w:r w:rsidDel="00000000" w:rsidR="00000000" w:rsidRPr="00000000">
        <w:rPr>
          <w:rtl w:val="0"/>
        </w:rPr>
        <w:t xml:space="preserve"> consulté le 19 mars 2018.</w:t>
      </w:r>
    </w:p>
    <w:p w:rsidR="00000000" w:rsidDel="00000000" w:rsidP="00000000" w:rsidRDefault="00000000" w:rsidRPr="00000000" w14:paraId="00000079">
      <w:pPr>
        <w:numPr>
          <w:ilvl w:val="0"/>
          <w:numId w:val="5"/>
        </w:numPr>
        <w:spacing w:line="335.99999999999994" w:lineRule="auto"/>
        <w:ind w:left="283.46456692913375" w:right="-622.7952755905511" w:hanging="360"/>
        <w:contextualSpacing w:val="1"/>
        <w:rPr>
          <w:u w:val="none"/>
        </w:rPr>
      </w:pPr>
      <w:r w:rsidDel="00000000" w:rsidR="00000000" w:rsidRPr="00000000">
        <w:rPr>
          <w:rtl w:val="0"/>
        </w:rPr>
        <w:t xml:space="preserve">Saint Gobin Seals, “</w:t>
      </w:r>
      <w:r w:rsidDel="00000000" w:rsidR="00000000" w:rsidRPr="00000000">
        <w:rPr>
          <w:i w:val="1"/>
          <w:rtl w:val="0"/>
        </w:rPr>
        <w:t xml:space="preserve">Meldin</w:t>
      </w:r>
      <w:r w:rsidDel="00000000" w:rsidR="00000000" w:rsidRPr="00000000">
        <w:rPr>
          <w:rtl w:val="0"/>
        </w:rPr>
        <w:t xml:space="preserve">” sur </w:t>
      </w:r>
      <w:r w:rsidDel="00000000" w:rsidR="00000000" w:rsidRPr="00000000">
        <w:rPr>
          <w:rtl w:val="0"/>
        </w:rPr>
        <w:t xml:space="preserve">“</w:t>
      </w:r>
      <w:hyperlink r:id="rId28">
        <w:r w:rsidDel="00000000" w:rsidR="00000000" w:rsidRPr="00000000">
          <w:rPr>
            <w:color w:val="1155cc"/>
            <w:u w:val="single"/>
            <w:rtl w:val="0"/>
          </w:rPr>
          <w:t xml:space="preserve">https://www.seals.saint-gobain.com/sites/imdf.seals.com/files/saint-gobainseals-meldinthermoplasticmaterials-handbook.pdf</w:t>
        </w:r>
      </w:hyperlink>
      <w:r w:rsidDel="00000000" w:rsidR="00000000" w:rsidRPr="00000000">
        <w:rPr>
          <w:rtl w:val="0"/>
        </w:rPr>
        <w:t xml:space="preserve"> consulté le 19 mars 2018.</w:t>
      </w:r>
    </w:p>
    <w:p w:rsidR="00000000" w:rsidDel="00000000" w:rsidP="00000000" w:rsidRDefault="00000000" w:rsidRPr="00000000" w14:paraId="0000007A">
      <w:pPr>
        <w:numPr>
          <w:ilvl w:val="0"/>
          <w:numId w:val="5"/>
        </w:numPr>
        <w:spacing w:line="335.99999999999994" w:lineRule="auto"/>
        <w:ind w:left="283.46456692913375" w:right="-622.7952755905511" w:hanging="360"/>
        <w:contextualSpacing w:val="1"/>
        <w:rPr>
          <w:u w:val="none"/>
        </w:rPr>
      </w:pPr>
      <w:r w:rsidDel="00000000" w:rsidR="00000000" w:rsidRPr="00000000">
        <w:rPr>
          <w:rtl w:val="0"/>
        </w:rPr>
        <w:t xml:space="preserve">Wikipédia, </w:t>
      </w:r>
      <w:r w:rsidDel="00000000" w:rsidR="00000000" w:rsidRPr="00000000">
        <w:rPr>
          <w:i w:val="1"/>
          <w:rtl w:val="0"/>
        </w:rPr>
        <w:t xml:space="preserve">“Polymère”</w:t>
      </w:r>
      <w:r w:rsidDel="00000000" w:rsidR="00000000" w:rsidRPr="00000000">
        <w:rPr>
          <w:rtl w:val="0"/>
        </w:rPr>
        <w:t xml:space="preserve"> sur </w:t>
      </w:r>
      <w:hyperlink r:id="rId29">
        <w:r w:rsidDel="00000000" w:rsidR="00000000" w:rsidRPr="00000000">
          <w:rPr>
            <w:color w:val="1155cc"/>
            <w:u w:val="single"/>
            <w:rtl w:val="0"/>
          </w:rPr>
          <w:t xml:space="preserve">https://fr.wikipedia.org/wiki/Polymère</w:t>
        </w:r>
      </w:hyperlink>
      <w:r w:rsidDel="00000000" w:rsidR="00000000" w:rsidRPr="00000000">
        <w:rPr>
          <w:rtl w:val="0"/>
        </w:rPr>
        <w:t xml:space="preserve"> consulté le 19 mars 2018.</w:t>
      </w:r>
    </w:p>
    <w:p w:rsidR="00000000" w:rsidDel="00000000" w:rsidP="00000000" w:rsidRDefault="00000000" w:rsidRPr="00000000" w14:paraId="0000007B">
      <w:pPr>
        <w:numPr>
          <w:ilvl w:val="0"/>
          <w:numId w:val="5"/>
        </w:numPr>
        <w:spacing w:line="335.99999999999994" w:lineRule="auto"/>
        <w:ind w:left="283.46456692913375" w:right="-622.7952755905511" w:hanging="360"/>
        <w:contextualSpacing w:val="1"/>
        <w:rPr>
          <w:u w:val="none"/>
        </w:rPr>
      </w:pPr>
      <w:r w:rsidDel="00000000" w:rsidR="00000000" w:rsidRPr="00000000">
        <w:rPr>
          <w:rtl w:val="0"/>
        </w:rPr>
        <w:t xml:space="preserve">Saint-Gobain Seal’s “</w:t>
      </w:r>
      <w:r w:rsidDel="00000000" w:rsidR="00000000" w:rsidRPr="00000000">
        <w:rPr>
          <w:i w:val="1"/>
          <w:rtl w:val="0"/>
        </w:rPr>
        <w:t xml:space="preserve">Meldin® 7001 Polyimide Material Qualified for Electric Harness in Major Jet Engine Program</w:t>
      </w:r>
      <w:r w:rsidDel="00000000" w:rsidR="00000000" w:rsidRPr="00000000">
        <w:rPr>
          <w:rtl w:val="0"/>
        </w:rPr>
        <w:t xml:space="preserve">”</w:t>
      </w:r>
      <w:r w:rsidDel="00000000" w:rsidR="00000000" w:rsidRPr="00000000">
        <w:rPr>
          <w:rtl w:val="0"/>
        </w:rPr>
        <w:t xml:space="preserve">, sur </w:t>
      </w:r>
      <w:hyperlink r:id="rId30">
        <w:r w:rsidDel="00000000" w:rsidR="00000000" w:rsidRPr="00000000">
          <w:rPr>
            <w:color w:val="1155cc"/>
            <w:u w:val="single"/>
            <w:rtl w:val="0"/>
          </w:rPr>
          <w:t xml:space="preserve">https://www.seals.saint-gobain.com/news/meldin-7001-polyimide-material-qualified-electric-harness-major-jet-engine-program</w:t>
        </w:r>
      </w:hyperlink>
      <w:r w:rsidDel="00000000" w:rsidR="00000000" w:rsidRPr="00000000">
        <w:rPr>
          <w:rtl w:val="0"/>
        </w:rPr>
        <w:t xml:space="preserve"> consulté le 19 mars 2018.</w:t>
      </w:r>
    </w:p>
    <w:p w:rsidR="00000000" w:rsidDel="00000000" w:rsidP="00000000" w:rsidRDefault="00000000" w:rsidRPr="00000000" w14:paraId="0000007C">
      <w:pPr>
        <w:spacing w:line="360" w:lineRule="auto"/>
        <w:ind w:left="283.46456692913375" w:hanging="360"/>
        <w:contextualSpacing w:val="0"/>
        <w:rPr/>
      </w:pPr>
      <w:r w:rsidDel="00000000" w:rsidR="00000000" w:rsidRPr="00000000">
        <w:rPr>
          <w:rtl w:val="0"/>
        </w:rPr>
      </w:r>
    </w:p>
    <w:p w:rsidR="00000000" w:rsidDel="00000000" w:rsidP="00000000" w:rsidRDefault="00000000" w:rsidRPr="00000000" w14:paraId="0000007D">
      <w:pPr>
        <w:contextualSpacing w:val="0"/>
        <w:rPr/>
      </w:pPr>
      <w:r w:rsidDel="00000000" w:rsidR="00000000" w:rsidRPr="00000000">
        <w:rPr>
          <w:rtl w:val="0"/>
        </w:rPr>
      </w:r>
    </w:p>
    <w:sectPr>
      <w:footerReference r:id="rId31" w:type="default"/>
      <w:pgSz w:h="16834" w:w="11909"/>
      <w:pgMar w:bottom="1440" w:top="1440" w:left="850.3937007874016"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_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meldin-rulon.co.uk/wp-content/themes/theme1782/pdf/Meldin7000Brochure.pdf" TargetMode="External"/><Relationship Id="rId22" Type="http://schemas.openxmlformats.org/officeDocument/2006/relationships/hyperlink" Target="https://fr.wikipedia.org/wiki/Groupe_fonctionnel#Groupes_de_l'oxyg%C3%A8ne_et_de_l'azote" TargetMode="External"/><Relationship Id="rId21" Type="http://schemas.openxmlformats.org/officeDocument/2006/relationships/hyperlink" Target="https://fr.wikipedia.org/wiki/Polyimide" TargetMode="External"/><Relationship Id="rId24" Type="http://schemas.openxmlformats.org/officeDocument/2006/relationships/hyperlink" Target="https://fr.wikiversity.org/wiki/Introduction_%C3%A0_la_chimie_organique/Groupements_fonctionnels_%C3%A0_liaisons_simples" TargetMode="External"/><Relationship Id="rId23" Type="http://schemas.openxmlformats.org/officeDocument/2006/relationships/hyperlink" Target="https://fr.wikipedia.org/wiki/Imi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9.gif"/><Relationship Id="rId26" Type="http://schemas.openxmlformats.org/officeDocument/2006/relationships/hyperlink" Target="http://toutsurleplastique.e-monsite.com/pages/content/partie-ii-le-plastique-petrochimique-fait-suite-a-la-revolution-industrielle-et-repond-aux-attentes-de-la-societe-de-consommation/b-les-procedes-de-synthese-des-matieres-plastiques-la-polymerisation.html" TargetMode="External"/><Relationship Id="rId25" Type="http://schemas.openxmlformats.org/officeDocument/2006/relationships/hyperlink" Target="https://fr.wikipedia.org/wiki/H%C3%A9t%C3%A9rocycle" TargetMode="External"/><Relationship Id="rId28" Type="http://schemas.openxmlformats.org/officeDocument/2006/relationships/hyperlink" Target="https://www.seals.saint-gobain.com/sites/imdf.seals.com/files/saint-gobainseals-meldinthermoplasticmaterials-handbook.pdf" TargetMode="External"/><Relationship Id="rId27" Type="http://schemas.openxmlformats.org/officeDocument/2006/relationships/hyperlink" Target="https://www.globalspec.com/ds/4397/areaspec/chem_sys_polyimide" TargetMode="External"/><Relationship Id="rId5" Type="http://schemas.openxmlformats.org/officeDocument/2006/relationships/styles" Target="styles.xml"/><Relationship Id="rId6" Type="http://schemas.openxmlformats.org/officeDocument/2006/relationships/image" Target="media/image20.png"/><Relationship Id="rId29" Type="http://schemas.openxmlformats.org/officeDocument/2006/relationships/hyperlink" Target="https://fr.wikipedia.org/wiki/Polym%C3%A8re" TargetMode="External"/><Relationship Id="rId7" Type="http://schemas.openxmlformats.org/officeDocument/2006/relationships/image" Target="media/image17.gif"/><Relationship Id="rId8" Type="http://schemas.openxmlformats.org/officeDocument/2006/relationships/image" Target="media/image16.png"/><Relationship Id="rId31" Type="http://schemas.openxmlformats.org/officeDocument/2006/relationships/footer" Target="footer1.xml"/><Relationship Id="rId30" Type="http://schemas.openxmlformats.org/officeDocument/2006/relationships/hyperlink" Target="https://www.seals.saint-gobain.com/news/meldin-7001-polyimide-material-qualified-electric-harness-major-jet-engine-program" TargetMode="External"/><Relationship Id="rId11" Type="http://schemas.openxmlformats.org/officeDocument/2006/relationships/image" Target="media/image12.png"/><Relationship Id="rId10" Type="http://schemas.openxmlformats.org/officeDocument/2006/relationships/image" Target="media/image15.png"/><Relationship Id="rId13" Type="http://schemas.openxmlformats.org/officeDocument/2006/relationships/image" Target="media/image13.png"/><Relationship Id="rId12" Type="http://schemas.openxmlformats.org/officeDocument/2006/relationships/image" Target="media/image18.png"/><Relationship Id="rId15" Type="http://schemas.openxmlformats.org/officeDocument/2006/relationships/image" Target="media/image4.png"/><Relationship Id="rId14" Type="http://schemas.openxmlformats.org/officeDocument/2006/relationships/image" Target="media/image14.png"/><Relationship Id="rId17" Type="http://schemas.openxmlformats.org/officeDocument/2006/relationships/hyperlink" Target="http://yasojima-global.com/product/meldin/#use" TargetMode="External"/><Relationship Id="rId16" Type="http://schemas.openxmlformats.org/officeDocument/2006/relationships/hyperlink" Target="http://pslc.ws/french/imide.htm" TargetMode="External"/><Relationship Id="rId19" Type="http://schemas.openxmlformats.org/officeDocument/2006/relationships/hyperlink" Target="https://www.professionalplastics.com/professionalplastics/Meldin7000Guide2009-Sec1.pdf" TargetMode="External"/><Relationship Id="rId18" Type="http://schemas.openxmlformats.org/officeDocument/2006/relationships/hyperlink" Target="https://www.seals.saint-gobain.com/produ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