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EA" w:rsidRPr="007F07EA" w:rsidRDefault="007F07EA" w:rsidP="007F07EA">
      <w:pPr>
        <w:shd w:val="clear" w:color="auto" w:fill="FFFFFF"/>
        <w:spacing w:before="720" w:after="285" w:line="240" w:lineRule="auto"/>
        <w:outlineLvl w:val="1"/>
        <w:rPr>
          <w:rFonts w:ascii="Arial" w:eastAsia="Times New Roman" w:hAnsi="Arial" w:cs="Arial"/>
          <w:b/>
          <w:bCs/>
          <w:color w:val="1B65A4"/>
          <w:sz w:val="33"/>
          <w:szCs w:val="33"/>
          <w:lang w:eastAsia="fr-FR"/>
        </w:rPr>
      </w:pPr>
      <w:r w:rsidRPr="007F07EA">
        <w:rPr>
          <w:rFonts w:ascii="Arial" w:eastAsia="Times New Roman" w:hAnsi="Arial" w:cs="Arial"/>
          <w:b/>
          <w:bCs/>
          <w:color w:val="1B65A4"/>
          <w:sz w:val="33"/>
          <w:szCs w:val="33"/>
          <w:lang w:eastAsia="fr-FR"/>
        </w:rPr>
        <w:t>Inventaire physique des stocks : organisation</w:t>
      </w:r>
    </w:p>
    <w:p w:rsidR="007F07EA" w:rsidRPr="007F07EA" w:rsidRDefault="007F07EA" w:rsidP="007F07EA">
      <w:pPr>
        <w:shd w:val="clear" w:color="auto" w:fill="FFFFFF"/>
        <w:spacing w:before="300" w:after="150" w:line="240" w:lineRule="auto"/>
        <w:outlineLvl w:val="2"/>
        <w:rPr>
          <w:rFonts w:ascii="Arial" w:eastAsia="Times New Roman" w:hAnsi="Arial" w:cs="Arial"/>
          <w:color w:val="4C4C4C"/>
          <w:sz w:val="27"/>
          <w:szCs w:val="27"/>
          <w:lang w:eastAsia="fr-FR"/>
        </w:rPr>
      </w:pPr>
      <w:r w:rsidRPr="007F07EA">
        <w:rPr>
          <w:rFonts w:ascii="Arial" w:eastAsia="Times New Roman" w:hAnsi="Arial" w:cs="Arial"/>
          <w:color w:val="4C4C4C"/>
          <w:sz w:val="27"/>
          <w:szCs w:val="27"/>
          <w:lang w:eastAsia="fr-FR"/>
        </w:rPr>
        <w:t>Inventaire physique des stocks : les procédures </w:t>
      </w:r>
    </w:p>
    <w:p w:rsidR="007F07EA" w:rsidRDefault="007F07EA" w:rsidP="007F07EA">
      <w:pPr>
        <w:shd w:val="clear" w:color="auto" w:fill="FFFFFF"/>
        <w:spacing w:after="225" w:line="240" w:lineRule="auto"/>
        <w:jc w:val="both"/>
        <w:rPr>
          <w:rFonts w:ascii="Arial" w:eastAsia="Times New Roman" w:hAnsi="Arial" w:cs="Arial"/>
          <w:color w:val="333333"/>
          <w:sz w:val="21"/>
          <w:szCs w:val="21"/>
          <w:lang w:eastAsia="fr-FR"/>
        </w:rPr>
      </w:pPr>
      <w:r w:rsidRPr="007F07EA">
        <w:rPr>
          <w:rFonts w:ascii="Arial" w:eastAsia="Times New Roman" w:hAnsi="Arial" w:cs="Arial"/>
          <w:color w:val="333333"/>
          <w:sz w:val="21"/>
          <w:szCs w:val="21"/>
          <w:lang w:eastAsia="fr-FR"/>
        </w:rPr>
        <w:t>En tout premier lieu, une </w:t>
      </w:r>
      <w:r w:rsidRPr="007F07EA">
        <w:rPr>
          <w:rFonts w:ascii="Arial" w:eastAsia="Times New Roman" w:hAnsi="Arial" w:cs="Arial"/>
          <w:b/>
          <w:bCs/>
          <w:color w:val="333333"/>
          <w:sz w:val="21"/>
          <w:szCs w:val="21"/>
          <w:lang w:eastAsia="fr-FR"/>
        </w:rPr>
        <w:t>procédure d'inventaire physique des stocks </w:t>
      </w:r>
      <w:r w:rsidRPr="007F07EA">
        <w:rPr>
          <w:rFonts w:ascii="Arial" w:eastAsia="Times New Roman" w:hAnsi="Arial" w:cs="Arial"/>
          <w:color w:val="333333"/>
          <w:sz w:val="21"/>
          <w:szCs w:val="21"/>
          <w:lang w:eastAsia="fr-FR"/>
        </w:rPr>
        <w:t>écrite doit être établie afin d'être communiquée et expliquée aux équipes de comptages. Ces dernières doivent être composées de deux personnes au minimum, l'une compte, l'autre note. Les équipes de comptage doivent être réparties dans les différentes zones de stockage. Elles doivent être en mesure d'identifier clairement les produits. La présence d'un élément externe au magasinage est importante pour que la procédure d'inventaire des stocks soit la plus fiable possible. La supervision de la procédure d'inventaire et le comptage par un expert-comptable ou un commissaire aux comptes peut être rassurante.</w:t>
      </w:r>
    </w:p>
    <w:p w:rsidR="00BD1756" w:rsidRDefault="00BD1756" w:rsidP="007F07EA">
      <w:pPr>
        <w:shd w:val="clear" w:color="auto" w:fill="FFFFFF"/>
        <w:spacing w:after="225" w:line="240" w:lineRule="auto"/>
        <w:jc w:val="both"/>
        <w:rPr>
          <w:rFonts w:ascii="Arial" w:eastAsia="Times New Roman" w:hAnsi="Arial" w:cs="Arial"/>
          <w:color w:val="333333"/>
          <w:sz w:val="21"/>
          <w:szCs w:val="21"/>
          <w:lang w:eastAsia="fr-FR"/>
        </w:rPr>
      </w:pPr>
    </w:p>
    <w:p w:rsidR="00BD1756" w:rsidRPr="007F07EA" w:rsidRDefault="00BD1756" w:rsidP="007F07EA">
      <w:pPr>
        <w:shd w:val="clear" w:color="auto" w:fill="FFFFFF"/>
        <w:spacing w:after="225" w:line="240" w:lineRule="auto"/>
        <w:jc w:val="both"/>
        <w:rPr>
          <w:rFonts w:ascii="Arial" w:eastAsia="Times New Roman" w:hAnsi="Arial" w:cs="Arial"/>
          <w:color w:val="333333"/>
          <w:sz w:val="21"/>
          <w:szCs w:val="21"/>
          <w:lang w:eastAsia="fr-FR"/>
        </w:rPr>
      </w:pPr>
    </w:p>
    <w:p w:rsidR="00BD1756" w:rsidRDefault="00BD1756" w:rsidP="00BD1756">
      <w:pPr>
        <w:pStyle w:val="Titre2"/>
        <w:shd w:val="clear" w:color="auto" w:fill="FFFFFF"/>
        <w:spacing w:before="720" w:beforeAutospacing="0" w:after="285" w:afterAutospacing="0"/>
        <w:rPr>
          <w:rFonts w:ascii="Arial" w:hAnsi="Arial" w:cs="Arial"/>
          <w:color w:val="1B65A4"/>
          <w:sz w:val="33"/>
          <w:szCs w:val="33"/>
        </w:rPr>
      </w:pPr>
      <w:r>
        <w:rPr>
          <w:rFonts w:ascii="Arial" w:hAnsi="Arial" w:cs="Arial"/>
          <w:color w:val="1B65A4"/>
          <w:sz w:val="33"/>
          <w:szCs w:val="33"/>
        </w:rPr>
        <w:t>Inventaire physique des stocks : le déroulement</w:t>
      </w:r>
    </w:p>
    <w:p w:rsidR="00BD1756" w:rsidRDefault="00BD1756" w:rsidP="00BD1756">
      <w:pPr>
        <w:pStyle w:val="Titre3"/>
        <w:shd w:val="clear" w:color="auto" w:fill="FFFFFF"/>
        <w:spacing w:before="300" w:beforeAutospacing="0" w:after="150" w:afterAutospacing="0"/>
        <w:rPr>
          <w:rFonts w:ascii="Arial" w:hAnsi="Arial" w:cs="Arial"/>
          <w:b w:val="0"/>
          <w:bCs w:val="0"/>
          <w:color w:val="4C4C4C"/>
        </w:rPr>
      </w:pPr>
      <w:r>
        <w:rPr>
          <w:rFonts w:ascii="Arial" w:hAnsi="Arial" w:cs="Arial"/>
          <w:b w:val="0"/>
          <w:bCs w:val="0"/>
          <w:color w:val="4C4C4C"/>
        </w:rPr>
        <w:t>Inventaire physique des stocks : les documents </w:t>
      </w:r>
    </w:p>
    <w:p w:rsidR="00BD1756" w:rsidRDefault="00BD1756" w:rsidP="00BD1756">
      <w:pPr>
        <w:pStyle w:val="NormalWeb"/>
        <w:shd w:val="clear" w:color="auto" w:fill="FFFFFF"/>
        <w:spacing w:before="0" w:beforeAutospacing="0" w:after="225" w:afterAutospacing="0"/>
        <w:jc w:val="both"/>
        <w:rPr>
          <w:rFonts w:ascii="Arial" w:hAnsi="Arial" w:cs="Arial"/>
          <w:color w:val="333333"/>
          <w:sz w:val="21"/>
          <w:szCs w:val="21"/>
        </w:rPr>
      </w:pPr>
      <w:r>
        <w:rPr>
          <w:rFonts w:ascii="Arial" w:hAnsi="Arial" w:cs="Arial"/>
          <w:color w:val="333333"/>
          <w:sz w:val="21"/>
          <w:szCs w:val="21"/>
        </w:rPr>
        <w:t>Lors de </w:t>
      </w:r>
      <w:r>
        <w:rPr>
          <w:rStyle w:val="lev"/>
          <w:rFonts w:ascii="Arial" w:hAnsi="Arial" w:cs="Arial"/>
          <w:color w:val="333333"/>
          <w:sz w:val="21"/>
          <w:szCs w:val="21"/>
        </w:rPr>
        <w:t>l'inventaire physique</w:t>
      </w:r>
      <w:r>
        <w:rPr>
          <w:rFonts w:ascii="Arial" w:hAnsi="Arial" w:cs="Arial"/>
          <w:color w:val="333333"/>
          <w:sz w:val="21"/>
          <w:szCs w:val="21"/>
        </w:rPr>
        <w:t>, </w:t>
      </w:r>
      <w:r>
        <w:rPr>
          <w:rStyle w:val="lev"/>
          <w:rFonts w:ascii="Arial" w:hAnsi="Arial" w:cs="Arial"/>
          <w:color w:val="333333"/>
          <w:sz w:val="21"/>
          <w:szCs w:val="21"/>
        </w:rPr>
        <w:t>les stocks </w:t>
      </w:r>
      <w:r>
        <w:rPr>
          <w:rFonts w:ascii="Arial" w:hAnsi="Arial" w:cs="Arial"/>
          <w:color w:val="333333"/>
          <w:sz w:val="21"/>
          <w:szCs w:val="21"/>
        </w:rPr>
        <w:t>relevés doivent être annotés sur des feuilles pré-numérotées au stylo. Elles doivent contenir la localisation de l'article, sa description, son unité de mesure et le nom des personnes effectuant le comptage. Afin d'éviter l'oubli de produits, il est préférable de mettre une démarcation sur chaque produit déjà compté. Un double comptage est nécessaire pour limiter le risque d'erreur. Il doit être effectué de préférence par une équipe de comptage différente du premier.</w:t>
      </w:r>
    </w:p>
    <w:p w:rsidR="00BD1756" w:rsidRDefault="00BD1756" w:rsidP="00BD1756">
      <w:pPr>
        <w:pStyle w:val="Titre3"/>
        <w:shd w:val="clear" w:color="auto" w:fill="FFFFFF"/>
        <w:spacing w:before="300" w:beforeAutospacing="0" w:after="150" w:afterAutospacing="0"/>
        <w:rPr>
          <w:rFonts w:ascii="Arial" w:hAnsi="Arial" w:cs="Arial"/>
          <w:b w:val="0"/>
          <w:bCs w:val="0"/>
          <w:color w:val="4C4C4C"/>
        </w:rPr>
      </w:pPr>
      <w:r>
        <w:rPr>
          <w:rFonts w:ascii="Arial" w:hAnsi="Arial" w:cs="Arial"/>
          <w:b w:val="0"/>
          <w:bCs w:val="0"/>
          <w:color w:val="4C4C4C"/>
        </w:rPr>
        <w:t>Inventaire physique des stocks : consolidation </w:t>
      </w:r>
    </w:p>
    <w:p w:rsidR="00BD1756" w:rsidRDefault="00BD1756" w:rsidP="00BD1756">
      <w:pPr>
        <w:pStyle w:val="NormalWeb"/>
        <w:shd w:val="clear" w:color="auto" w:fill="FFFFFF"/>
        <w:spacing w:before="0" w:beforeAutospacing="0" w:after="225" w:afterAutospacing="0"/>
        <w:jc w:val="both"/>
        <w:rPr>
          <w:rFonts w:ascii="Arial" w:hAnsi="Arial" w:cs="Arial"/>
          <w:color w:val="333333"/>
          <w:sz w:val="21"/>
          <w:szCs w:val="21"/>
        </w:rPr>
      </w:pPr>
      <w:r>
        <w:rPr>
          <w:rFonts w:ascii="Arial" w:hAnsi="Arial" w:cs="Arial"/>
          <w:color w:val="333333"/>
          <w:sz w:val="21"/>
          <w:szCs w:val="21"/>
        </w:rPr>
        <w:t>A la fin de l'inventaire, les feuilles de comptage doivent être transmises au service comptabilité qui les comparera avec l'inventaire permanent, s'il en est tenu un.</w:t>
      </w:r>
    </w:p>
    <w:tbl>
      <w:tblPr>
        <w:tblW w:w="14370" w:type="dxa"/>
        <w:tblCellSpacing w:w="15" w:type="dxa"/>
        <w:tblCellMar>
          <w:top w:w="30" w:type="dxa"/>
          <w:left w:w="30" w:type="dxa"/>
          <w:bottom w:w="30" w:type="dxa"/>
          <w:right w:w="30" w:type="dxa"/>
        </w:tblCellMar>
        <w:tblLook w:val="04A0" w:firstRow="1" w:lastRow="0" w:firstColumn="1" w:lastColumn="0" w:noHBand="0" w:noVBand="1"/>
      </w:tblPr>
      <w:tblGrid>
        <w:gridCol w:w="7185"/>
        <w:gridCol w:w="7185"/>
      </w:tblGrid>
      <w:tr w:rsidR="00447D60" w:rsidRPr="00447D60" w:rsidTr="00447D60">
        <w:trPr>
          <w:tblCellSpacing w:w="15" w:type="dxa"/>
        </w:trPr>
        <w:tc>
          <w:tcPr>
            <w:tcW w:w="0" w:type="auto"/>
            <w:vAlign w:val="center"/>
            <w:hideMark/>
          </w:tcPr>
          <w:p w:rsidR="00447D60" w:rsidRPr="00447D60" w:rsidRDefault="00447D60" w:rsidP="00447D6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447D60" w:rsidRPr="00447D60" w:rsidRDefault="00447D60" w:rsidP="00447D60">
            <w:pPr>
              <w:spacing w:after="0" w:line="240" w:lineRule="auto"/>
              <w:rPr>
                <w:rFonts w:ascii="Times New Roman" w:eastAsia="Times New Roman" w:hAnsi="Times New Roman" w:cs="Times New Roman"/>
                <w:sz w:val="24"/>
                <w:szCs w:val="24"/>
                <w:lang w:eastAsia="fr-FR"/>
              </w:rPr>
            </w:pPr>
          </w:p>
        </w:tc>
      </w:tr>
    </w:tbl>
    <w:p w:rsidR="00447D60" w:rsidRPr="00447D60" w:rsidRDefault="00447D60" w:rsidP="00447D60">
      <w:pPr>
        <w:shd w:val="clear" w:color="auto" w:fill="FFFFFF"/>
        <w:spacing w:after="0"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b/>
          <w:bCs/>
          <w:color w:val="000000"/>
          <w:sz w:val="20"/>
          <w:szCs w:val="20"/>
          <w:lang w:eastAsia="fr-FR"/>
        </w:rPr>
        <w:t> </w:t>
      </w:r>
      <w:r w:rsidRPr="00447D60">
        <w:rPr>
          <w:rFonts w:ascii="Helvetica" w:eastAsia="Times New Roman" w:hAnsi="Helvetica" w:cs="Helvetica"/>
          <w:color w:val="000000"/>
          <w:sz w:val="27"/>
          <w:szCs w:val="27"/>
          <w:lang w:eastAsia="fr-FR"/>
        </w:rPr>
        <w:t> </w:t>
      </w:r>
      <w:r w:rsidRPr="00447D60">
        <w:rPr>
          <w:rFonts w:ascii="Helvetica" w:eastAsia="Times New Roman" w:hAnsi="Helvetica" w:cs="Helvetica"/>
          <w:color w:val="000000"/>
          <w:sz w:val="27"/>
          <w:szCs w:val="27"/>
          <w:lang w:eastAsia="fr-FR"/>
        </w:rPr>
        <w:br/>
      </w:r>
      <w:r w:rsidRPr="00447D60">
        <w:rPr>
          <w:rFonts w:ascii="Helvetica" w:eastAsia="Times New Roman" w:hAnsi="Helvetica" w:cs="Helvetica"/>
          <w:b/>
          <w:bCs/>
          <w:color w:val="000000"/>
          <w:sz w:val="20"/>
          <w:szCs w:val="20"/>
          <w:lang w:eastAsia="fr-FR"/>
        </w:rPr>
        <w:t>B- Exécution des inventaires et gestion des écarts</w:t>
      </w:r>
      <w:r w:rsidRPr="00447D60">
        <w:rPr>
          <w:rFonts w:ascii="Helvetica" w:eastAsia="Times New Roman" w:hAnsi="Helvetica" w:cs="Helvetica"/>
          <w:color w:val="000000"/>
          <w:sz w:val="27"/>
          <w:szCs w:val="27"/>
          <w:lang w:eastAsia="fr-FR"/>
        </w:rPr>
        <w:t> </w:t>
      </w:r>
      <w:r w:rsidRPr="00447D60">
        <w:rPr>
          <w:rFonts w:ascii="Helvetica" w:eastAsia="Times New Roman" w:hAnsi="Helvetica" w:cs="Helvetica"/>
          <w:color w:val="000000"/>
          <w:sz w:val="27"/>
          <w:szCs w:val="27"/>
          <w:lang w:eastAsia="fr-FR"/>
        </w:rPr>
        <w:br/>
      </w:r>
      <w:r w:rsidRPr="00447D60">
        <w:rPr>
          <w:rFonts w:ascii="Helvetica" w:eastAsia="Times New Roman" w:hAnsi="Helvetica" w:cs="Helvetica"/>
          <w:color w:val="000000"/>
          <w:sz w:val="20"/>
          <w:szCs w:val="20"/>
          <w:lang w:eastAsia="fr-FR"/>
        </w:rPr>
        <w:t> </w:t>
      </w:r>
      <w:r w:rsidRPr="00447D60">
        <w:rPr>
          <w:rFonts w:ascii="Helvetica" w:eastAsia="Times New Roman" w:hAnsi="Helvetica" w:cs="Helvetica"/>
          <w:color w:val="000000"/>
          <w:sz w:val="27"/>
          <w:szCs w:val="27"/>
          <w:lang w:eastAsia="fr-FR"/>
        </w:rPr>
        <w:t> </w:t>
      </w:r>
      <w:r w:rsidRPr="00447D60">
        <w:rPr>
          <w:rFonts w:ascii="Helvetica" w:eastAsia="Times New Roman" w:hAnsi="Helvetica" w:cs="Helvetica"/>
          <w:color w:val="000000"/>
          <w:sz w:val="27"/>
          <w:szCs w:val="27"/>
          <w:lang w:eastAsia="fr-FR"/>
        </w:rPr>
        <w:br/>
      </w:r>
      <w:r w:rsidRPr="00447D60">
        <w:rPr>
          <w:rFonts w:ascii="Helvetica" w:eastAsia="Times New Roman" w:hAnsi="Helvetica" w:cs="Helvetica"/>
          <w:color w:val="000000"/>
          <w:sz w:val="20"/>
          <w:szCs w:val="20"/>
          <w:lang w:eastAsia="fr-FR"/>
        </w:rPr>
        <w:t> </w:t>
      </w:r>
      <w:r w:rsidRPr="00447D60">
        <w:rPr>
          <w:rFonts w:ascii="Helvetica" w:eastAsia="Times New Roman" w:hAnsi="Helvetica" w:cs="Helvetica"/>
          <w:color w:val="000000"/>
          <w:sz w:val="27"/>
          <w:szCs w:val="27"/>
          <w:lang w:eastAsia="fr-FR"/>
        </w:rPr>
        <w:t> </w:t>
      </w:r>
      <w:r w:rsidRPr="00447D60">
        <w:rPr>
          <w:rFonts w:ascii="Helvetica" w:eastAsia="Times New Roman" w:hAnsi="Helvetica" w:cs="Helvetica"/>
          <w:color w:val="000000"/>
          <w:sz w:val="27"/>
          <w:szCs w:val="27"/>
          <w:lang w:eastAsia="fr-FR"/>
        </w:rPr>
        <w:br/>
      </w:r>
      <w:r w:rsidRPr="00447D60">
        <w:rPr>
          <w:rFonts w:ascii="Helvetica" w:eastAsia="Times New Roman" w:hAnsi="Helvetica" w:cs="Helvetica"/>
          <w:color w:val="000000"/>
          <w:sz w:val="20"/>
          <w:szCs w:val="20"/>
          <w:lang w:eastAsia="fr-FR"/>
        </w:rPr>
        <w:t>Durant toute la période couvrant le déroulement de l’inventaire, les exigences suivantes sont à suivre :</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Suspension de toute activité de production durant l’inventaire des en-cours et des stocks de produits semi ouvrés ;</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Arrêt de toutes les expéditions ou réceptions dans les magasins de produits finis et de matières premières;</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Marquage  des références comptées ou des emplacements visités. Cette action a pour but d’éviter un double comptage des articles, et de faciliter l’identification de ceux qui n’auraient pas été pris en compte durant l’opération d’inventaire ;</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Numérotation des fiches ou liste de comptage. Les feuilles de comptage ainsi numérotées sont imprimées à l’unité (pas de photocopies) ;</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lastRenderedPageBreak/>
        <w:t xml:space="preserve">Répartition claire des listes par équipe. Il faut surtout éviter que des personnes d’une même équipe ne se </w:t>
      </w:r>
      <w:proofErr w:type="gramStart"/>
      <w:r w:rsidRPr="00447D60">
        <w:rPr>
          <w:rFonts w:ascii="Helvetica" w:eastAsia="Times New Roman" w:hAnsi="Helvetica" w:cs="Helvetica"/>
          <w:color w:val="000000"/>
          <w:sz w:val="20"/>
          <w:szCs w:val="20"/>
          <w:lang w:eastAsia="fr-FR"/>
        </w:rPr>
        <w:t>retrouve</w:t>
      </w:r>
      <w:proofErr w:type="gramEnd"/>
      <w:r w:rsidRPr="00447D60">
        <w:rPr>
          <w:rFonts w:ascii="Helvetica" w:eastAsia="Times New Roman" w:hAnsi="Helvetica" w:cs="Helvetica"/>
          <w:color w:val="000000"/>
          <w:sz w:val="20"/>
          <w:szCs w:val="20"/>
          <w:lang w:eastAsia="fr-FR"/>
        </w:rPr>
        <w:t xml:space="preserve"> en train de compter deux fois les mêmes pièces. D’autre part, il est important de pouvoir identifier la personne qui a </w:t>
      </w:r>
      <w:proofErr w:type="spellStart"/>
      <w:r w:rsidRPr="00447D60">
        <w:rPr>
          <w:rFonts w:ascii="Helvetica" w:eastAsia="Times New Roman" w:hAnsi="Helvetica" w:cs="Helvetica"/>
          <w:color w:val="000000"/>
          <w:sz w:val="20"/>
          <w:szCs w:val="20"/>
          <w:lang w:eastAsia="fr-FR"/>
        </w:rPr>
        <w:t>remplie</w:t>
      </w:r>
      <w:proofErr w:type="spellEnd"/>
      <w:r w:rsidRPr="00447D60">
        <w:rPr>
          <w:rFonts w:ascii="Helvetica" w:eastAsia="Times New Roman" w:hAnsi="Helvetica" w:cs="Helvetica"/>
          <w:color w:val="000000"/>
          <w:sz w:val="20"/>
          <w:szCs w:val="20"/>
          <w:lang w:eastAsia="fr-FR"/>
        </w:rPr>
        <w:t xml:space="preserve"> une liste donnée</w:t>
      </w:r>
      <w:r w:rsidRPr="00447D60">
        <w:rPr>
          <w:rFonts w:ascii="Helvetica" w:eastAsia="Times New Roman" w:hAnsi="Helvetica" w:cs="Helvetica"/>
          <w:color w:val="000000"/>
          <w:sz w:val="20"/>
          <w:szCs w:val="20"/>
          <w:u w:val="single"/>
          <w:lang w:eastAsia="fr-FR"/>
        </w:rPr>
        <w:t>;</w:t>
      </w:r>
    </w:p>
    <w:p w:rsidR="00447D60" w:rsidRPr="00447D60" w:rsidRDefault="00447D60" w:rsidP="00447D60">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Recomptage des références ayant présenté des écarts significatifs avant validation des quantités comptées.</w:t>
      </w:r>
    </w:p>
    <w:p w:rsidR="00447D60" w:rsidRPr="00447D60" w:rsidRDefault="00447D60" w:rsidP="00447D60">
      <w:pPr>
        <w:shd w:val="clear" w:color="auto" w:fill="FFFFFF"/>
        <w:spacing w:after="0" w:line="240" w:lineRule="auto"/>
        <w:jc w:val="both"/>
        <w:rPr>
          <w:rFonts w:ascii="Helvetica" w:eastAsia="Times New Roman" w:hAnsi="Helvetica" w:cs="Helvetica"/>
          <w:color w:val="000000"/>
          <w:sz w:val="27"/>
          <w:szCs w:val="27"/>
          <w:lang w:eastAsia="fr-FR"/>
        </w:rPr>
      </w:pPr>
      <w:r w:rsidRPr="00447D60">
        <w:rPr>
          <w:rFonts w:ascii="Helvetica" w:eastAsia="Times New Roman" w:hAnsi="Helvetica" w:cs="Helvetica"/>
          <w:color w:val="000000"/>
          <w:sz w:val="20"/>
          <w:szCs w:val="20"/>
          <w:lang w:eastAsia="fr-FR"/>
        </w:rPr>
        <w:t> </w:t>
      </w:r>
      <w:r w:rsidRPr="00447D60">
        <w:rPr>
          <w:rFonts w:ascii="Helvetica" w:eastAsia="Times New Roman" w:hAnsi="Helvetica" w:cs="Helvetica"/>
          <w:color w:val="000000"/>
          <w:sz w:val="27"/>
          <w:szCs w:val="27"/>
          <w:lang w:eastAsia="fr-FR"/>
        </w:rPr>
        <w:t> </w:t>
      </w:r>
      <w:r w:rsidRPr="00447D60">
        <w:rPr>
          <w:rFonts w:ascii="Helvetica" w:eastAsia="Times New Roman" w:hAnsi="Helvetica" w:cs="Helvetica"/>
          <w:color w:val="000000"/>
          <w:sz w:val="27"/>
          <w:szCs w:val="27"/>
          <w:lang w:eastAsia="fr-FR"/>
        </w:rPr>
        <w:br/>
      </w:r>
      <w:r w:rsidRPr="00447D60">
        <w:rPr>
          <w:rFonts w:ascii="Helvetica" w:eastAsia="Times New Roman" w:hAnsi="Helvetica" w:cs="Helvetica"/>
          <w:color w:val="000000"/>
          <w:sz w:val="20"/>
          <w:szCs w:val="20"/>
          <w:lang w:eastAsia="fr-FR"/>
        </w:rPr>
        <w:t>Dans un processus d’amélioration de </w:t>
      </w:r>
      <w:hyperlink r:id="rId6" w:history="1">
        <w:r w:rsidRPr="00447D60">
          <w:rPr>
            <w:rFonts w:ascii="Helvetica" w:eastAsia="Times New Roman" w:hAnsi="Helvetica" w:cs="Helvetica"/>
            <w:color w:val="0000FF"/>
            <w:sz w:val="20"/>
            <w:szCs w:val="20"/>
            <w:u w:val="single"/>
            <w:lang w:eastAsia="fr-FR"/>
          </w:rPr>
          <w:t>la gestion des stocks</w:t>
        </w:r>
      </w:hyperlink>
      <w:r w:rsidRPr="00447D60">
        <w:rPr>
          <w:rFonts w:ascii="Helvetica" w:eastAsia="Times New Roman" w:hAnsi="Helvetica" w:cs="Helvetica"/>
          <w:color w:val="000000"/>
          <w:sz w:val="20"/>
          <w:szCs w:val="20"/>
          <w:lang w:eastAsia="fr-FR"/>
        </w:rPr>
        <w:t>, il convient de rechercher les raisons des écarts constatés, et de proposer des solutions adaptées pour éviter un renouvellement de la situation.</w:t>
      </w:r>
    </w:p>
    <w:p w:rsidR="00137064" w:rsidRDefault="008F4246"/>
    <w:tbl>
      <w:tblPr>
        <w:tblW w:w="12960" w:type="dxa"/>
        <w:tblInd w:w="-1417" w:type="dxa"/>
        <w:tblCellMar>
          <w:left w:w="0" w:type="dxa"/>
          <w:right w:w="0" w:type="dxa"/>
        </w:tblCellMar>
        <w:tblLook w:val="0420" w:firstRow="1" w:lastRow="0" w:firstColumn="0" w:lastColumn="0" w:noHBand="0" w:noVBand="1"/>
      </w:tblPr>
      <w:tblGrid>
        <w:gridCol w:w="12960"/>
      </w:tblGrid>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EDEEF0"/>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bookmarkStart w:id="0" w:name="_GoBack"/>
            <w:bookmarkEnd w:id="0"/>
            <w:r w:rsidRPr="00C47973">
              <w:rPr>
                <w:rFonts w:eastAsiaTheme="minorEastAsia" w:hAnsi="Book Antiqua"/>
                <w:b/>
                <w:bCs/>
                <w:color w:val="000000" w:themeColor="dark1"/>
                <w:kern w:val="24"/>
                <w:sz w:val="36"/>
                <w:szCs w:val="36"/>
                <w:u w:val="single"/>
                <w:lang w:eastAsia="fr-FR"/>
              </w:rPr>
              <w:t>Stock minimum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niveau du stock correspondant au d</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lai normal de livraison.</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D8DBDF"/>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de s</w:t>
            </w:r>
            <w:r w:rsidRPr="00C47973">
              <w:rPr>
                <w:rFonts w:eastAsiaTheme="minorEastAsia" w:hAnsi="Book Antiqua"/>
                <w:b/>
                <w:bCs/>
                <w:color w:val="000000" w:themeColor="dark1"/>
                <w:kern w:val="24"/>
                <w:sz w:val="36"/>
                <w:szCs w:val="36"/>
                <w:u w:val="single"/>
                <w:lang w:eastAsia="fr-FR"/>
              </w:rPr>
              <w:t>é</w:t>
            </w:r>
            <w:r w:rsidRPr="00C47973">
              <w:rPr>
                <w:rFonts w:eastAsiaTheme="minorEastAsia" w:hAnsi="Book Antiqua"/>
                <w:b/>
                <w:bCs/>
                <w:color w:val="000000" w:themeColor="dark1"/>
                <w:kern w:val="24"/>
                <w:sz w:val="36"/>
                <w:szCs w:val="36"/>
                <w:u w:val="single"/>
                <w:lang w:eastAsia="fr-FR"/>
              </w:rPr>
              <w:t>curit</w:t>
            </w:r>
            <w:r w:rsidRPr="00C47973">
              <w:rPr>
                <w:rFonts w:eastAsiaTheme="minorEastAsia" w:hAnsi="Book Antiqua"/>
                <w:b/>
                <w:bCs/>
                <w:color w:val="000000" w:themeColor="dark1"/>
                <w:kern w:val="24"/>
                <w:sz w:val="36"/>
                <w:szCs w:val="36"/>
                <w:u w:val="single"/>
                <w:lang w:eastAsia="fr-FR"/>
              </w:rPr>
              <w:t>é</w:t>
            </w:r>
            <w:r w:rsidRPr="00C47973">
              <w:rPr>
                <w:rFonts w:eastAsiaTheme="minorEastAsia" w:hAnsi="Book Antiqua"/>
                <w:b/>
                <w:bCs/>
                <w:color w:val="000000" w:themeColor="dark1"/>
                <w:kern w:val="24"/>
                <w:sz w:val="36"/>
                <w:szCs w:val="36"/>
                <w:u w:val="single"/>
                <w:lang w:eastAsia="fr-FR"/>
              </w:rPr>
              <w:t xml:space="preserve">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suppl</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ment au stock minimum n</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cessaire en cas de retard de livraison ou d'accroissement de la demande.</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EDEEF0"/>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d'alerte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niveau de stock entra</w:t>
            </w:r>
            <w:r w:rsidRPr="00C47973">
              <w:rPr>
                <w:rFonts w:eastAsiaTheme="minorEastAsia" w:hAnsi="Book Antiqua"/>
                <w:color w:val="000000" w:themeColor="dark1"/>
                <w:kern w:val="24"/>
                <w:sz w:val="36"/>
                <w:szCs w:val="36"/>
                <w:lang w:eastAsia="fr-FR"/>
              </w:rPr>
              <w:t>î</w:t>
            </w:r>
            <w:r w:rsidRPr="00C47973">
              <w:rPr>
                <w:rFonts w:eastAsiaTheme="minorEastAsia" w:hAnsi="Book Antiqua"/>
                <w:color w:val="000000" w:themeColor="dark1"/>
                <w:kern w:val="24"/>
                <w:sz w:val="36"/>
                <w:szCs w:val="36"/>
                <w:lang w:eastAsia="fr-FR"/>
              </w:rPr>
              <w:t>nant le d</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clanchement de la commande     </w:t>
            </w:r>
            <w:r w:rsidRPr="00C47973">
              <w:rPr>
                <w:rFonts w:eastAsiaTheme="minorEastAsia" w:hAnsi="Book Antiqua"/>
                <w:b/>
                <w:bCs/>
                <w:color w:val="FF0000"/>
                <w:kern w:val="24"/>
                <w:sz w:val="24"/>
                <w:szCs w:val="24"/>
                <w:lang w:eastAsia="fr-FR"/>
              </w:rPr>
              <w:t>Stock d'alerte = Stock minimum + Stock de s</w:t>
            </w:r>
            <w:r w:rsidRPr="00C47973">
              <w:rPr>
                <w:rFonts w:eastAsiaTheme="minorEastAsia" w:hAnsi="Book Antiqua"/>
                <w:b/>
                <w:bCs/>
                <w:color w:val="FF0000"/>
                <w:kern w:val="24"/>
                <w:sz w:val="24"/>
                <w:szCs w:val="24"/>
                <w:lang w:eastAsia="fr-FR"/>
              </w:rPr>
              <w:t>é</w:t>
            </w:r>
            <w:r w:rsidRPr="00C47973">
              <w:rPr>
                <w:rFonts w:eastAsiaTheme="minorEastAsia" w:hAnsi="Book Antiqua"/>
                <w:b/>
                <w:bCs/>
                <w:color w:val="FF0000"/>
                <w:kern w:val="24"/>
                <w:sz w:val="24"/>
                <w:szCs w:val="24"/>
                <w:lang w:eastAsia="fr-FR"/>
              </w:rPr>
              <w:t>curit</w:t>
            </w:r>
            <w:r w:rsidRPr="00C47973">
              <w:rPr>
                <w:rFonts w:eastAsiaTheme="minorEastAsia" w:hAnsi="Book Antiqua"/>
                <w:b/>
                <w:bCs/>
                <w:color w:val="FF0000"/>
                <w:kern w:val="24"/>
                <w:sz w:val="24"/>
                <w:szCs w:val="24"/>
                <w:lang w:eastAsia="fr-FR"/>
              </w:rPr>
              <w:t>é</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D8DBDF"/>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maximum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limite sup</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rieure </w:t>
            </w:r>
            <w:r w:rsidRPr="00C47973">
              <w:rPr>
                <w:rFonts w:eastAsiaTheme="minorEastAsia" w:hAnsi="Book Antiqua"/>
                <w:color w:val="000000" w:themeColor="dark1"/>
                <w:kern w:val="24"/>
                <w:sz w:val="36"/>
                <w:szCs w:val="36"/>
                <w:lang w:eastAsia="fr-FR"/>
              </w:rPr>
              <w:t>à</w:t>
            </w:r>
            <w:r w:rsidRPr="00C47973">
              <w:rPr>
                <w:rFonts w:eastAsiaTheme="minorEastAsia" w:hAnsi="Book Antiqua"/>
                <w:color w:val="000000" w:themeColor="dark1"/>
                <w:kern w:val="24"/>
                <w:sz w:val="36"/>
                <w:szCs w:val="36"/>
                <w:lang w:eastAsia="fr-FR"/>
              </w:rPr>
              <w:t xml:space="preserve"> ne pas d</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passer.</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EDEEF0"/>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outil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 xml:space="preserve">stock indispensable </w:t>
            </w:r>
            <w:r w:rsidRPr="00C47973">
              <w:rPr>
                <w:rFonts w:eastAsiaTheme="minorEastAsia" w:hAnsi="Book Antiqua"/>
                <w:color w:val="000000" w:themeColor="dark1"/>
                <w:kern w:val="24"/>
                <w:sz w:val="36"/>
                <w:szCs w:val="36"/>
                <w:lang w:eastAsia="fr-FR"/>
              </w:rPr>
              <w:t>à</w:t>
            </w:r>
            <w:r w:rsidRPr="00C47973">
              <w:rPr>
                <w:rFonts w:eastAsiaTheme="minorEastAsia" w:hAnsi="Book Antiqua"/>
                <w:color w:val="000000" w:themeColor="dark1"/>
                <w:kern w:val="24"/>
                <w:sz w:val="36"/>
                <w:szCs w:val="36"/>
                <w:lang w:eastAsia="fr-FR"/>
              </w:rPr>
              <w:t xml:space="preserve"> l'activit</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 commerciale ou industrielle, consid</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r</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 comme immobilis</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D8DBDF"/>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val="en-US" w:eastAsia="fr-FR"/>
              </w:rPr>
            </w:pPr>
            <w:r w:rsidRPr="00C47973">
              <w:rPr>
                <w:rFonts w:eastAsiaTheme="minorEastAsia" w:hAnsi="Book Antiqua"/>
                <w:b/>
                <w:bCs/>
                <w:color w:val="000000" w:themeColor="dark1"/>
                <w:kern w:val="24"/>
                <w:sz w:val="36"/>
                <w:szCs w:val="36"/>
                <w:u w:val="single"/>
                <w:lang w:val="en-US" w:eastAsia="fr-FR"/>
              </w:rPr>
              <w:t xml:space="preserve">Stock </w:t>
            </w:r>
            <w:proofErr w:type="spellStart"/>
            <w:r w:rsidRPr="00C47973">
              <w:rPr>
                <w:rFonts w:eastAsiaTheme="minorEastAsia" w:hAnsi="Book Antiqua"/>
                <w:b/>
                <w:bCs/>
                <w:color w:val="000000" w:themeColor="dark1"/>
                <w:kern w:val="24"/>
                <w:sz w:val="36"/>
                <w:szCs w:val="36"/>
                <w:u w:val="single"/>
                <w:lang w:val="en-US" w:eastAsia="fr-FR"/>
              </w:rPr>
              <w:t>moyen</w:t>
            </w:r>
            <w:proofErr w:type="spellEnd"/>
            <w:r w:rsidRPr="00C47973">
              <w:rPr>
                <w:rFonts w:eastAsiaTheme="minorEastAsia" w:hAnsi="Book Antiqua"/>
                <w:b/>
                <w:bCs/>
                <w:color w:val="000000" w:themeColor="dark1"/>
                <w:kern w:val="24"/>
                <w:sz w:val="36"/>
                <w:szCs w:val="36"/>
                <w:u w:val="single"/>
                <w:lang w:val="en-US" w:eastAsia="fr-FR"/>
              </w:rPr>
              <w:t xml:space="preserve"> :</w:t>
            </w:r>
            <w:r w:rsidRPr="00C47973">
              <w:rPr>
                <w:rFonts w:eastAsiaTheme="minorEastAsia" w:hAnsi="Book Antiqua"/>
                <w:b/>
                <w:bCs/>
                <w:color w:val="000000" w:themeColor="dark1"/>
                <w:kern w:val="24"/>
                <w:sz w:val="36"/>
                <w:szCs w:val="36"/>
                <w:lang w:val="en-US" w:eastAsia="fr-FR"/>
              </w:rPr>
              <w:t> </w:t>
            </w:r>
            <w:r w:rsidRPr="00C47973">
              <w:rPr>
                <w:rFonts w:eastAsiaTheme="minorEastAsia" w:hAnsi="Book Antiqua"/>
                <w:b/>
                <w:bCs/>
                <w:color w:val="FF0000"/>
                <w:kern w:val="24"/>
                <w:sz w:val="36"/>
                <w:szCs w:val="36"/>
                <w:lang w:val="en-US" w:eastAsia="fr-FR"/>
              </w:rPr>
              <w:t>(Stock Initial + Stock Final) / 2</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EDEEF0"/>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th</w:t>
            </w:r>
            <w:r w:rsidRPr="00C47973">
              <w:rPr>
                <w:rFonts w:eastAsiaTheme="minorEastAsia" w:hAnsi="Book Antiqua"/>
                <w:b/>
                <w:bCs/>
                <w:color w:val="000000" w:themeColor="dark1"/>
                <w:kern w:val="24"/>
                <w:sz w:val="36"/>
                <w:szCs w:val="36"/>
                <w:u w:val="single"/>
                <w:lang w:eastAsia="fr-FR"/>
              </w:rPr>
              <w:t>é</w:t>
            </w:r>
            <w:r w:rsidRPr="00C47973">
              <w:rPr>
                <w:rFonts w:eastAsiaTheme="minorEastAsia" w:hAnsi="Book Antiqua"/>
                <w:b/>
                <w:bCs/>
                <w:color w:val="000000" w:themeColor="dark1"/>
                <w:kern w:val="24"/>
                <w:sz w:val="36"/>
                <w:szCs w:val="36"/>
                <w:u w:val="single"/>
                <w:lang w:eastAsia="fr-FR"/>
              </w:rPr>
              <w:t>orique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stock comptable d</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termin</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 d'apr</w:t>
            </w:r>
            <w:r w:rsidRPr="00C47973">
              <w:rPr>
                <w:rFonts w:eastAsiaTheme="minorEastAsia" w:hAnsi="Book Antiqua"/>
                <w:color w:val="000000" w:themeColor="dark1"/>
                <w:kern w:val="24"/>
                <w:sz w:val="36"/>
                <w:szCs w:val="36"/>
                <w:lang w:eastAsia="fr-FR"/>
              </w:rPr>
              <w:t>è</w:t>
            </w:r>
            <w:r w:rsidRPr="00C47973">
              <w:rPr>
                <w:rFonts w:eastAsiaTheme="minorEastAsia" w:hAnsi="Book Antiqua"/>
                <w:color w:val="000000" w:themeColor="dark1"/>
                <w:kern w:val="24"/>
                <w:sz w:val="36"/>
                <w:szCs w:val="36"/>
                <w:lang w:eastAsia="fr-FR"/>
              </w:rPr>
              <w:t>s les mouvements</w:t>
            </w:r>
          </w:p>
          <w:p w:rsidR="00C47973" w:rsidRPr="00C47973" w:rsidRDefault="00C47973" w:rsidP="00C47973">
            <w:pPr>
              <w:spacing w:after="0" w:line="240" w:lineRule="auto"/>
              <w:rPr>
                <w:rFonts w:ascii="Arial" w:eastAsia="Times New Roman" w:hAnsi="Arial" w:cs="Arial"/>
                <w:sz w:val="36"/>
                <w:szCs w:val="36"/>
                <w:lang w:val="en-US" w:eastAsia="fr-FR"/>
              </w:rPr>
            </w:pPr>
            <w:r w:rsidRPr="00C47973">
              <w:rPr>
                <w:rFonts w:eastAsiaTheme="minorEastAsia" w:hAnsi="Book Antiqua"/>
                <w:b/>
                <w:bCs/>
                <w:color w:val="FF0000"/>
                <w:kern w:val="24"/>
                <w:sz w:val="24"/>
                <w:szCs w:val="24"/>
                <w:lang w:val="en-US" w:eastAsia="fr-FR"/>
              </w:rPr>
              <w:t>Stock Initial + Entr</w:t>
            </w:r>
            <w:r w:rsidRPr="00C47973">
              <w:rPr>
                <w:rFonts w:eastAsiaTheme="minorEastAsia" w:hAnsi="Book Antiqua"/>
                <w:b/>
                <w:bCs/>
                <w:color w:val="FF0000"/>
                <w:kern w:val="24"/>
                <w:sz w:val="24"/>
                <w:szCs w:val="24"/>
                <w:lang w:val="en-US" w:eastAsia="fr-FR"/>
              </w:rPr>
              <w:t>é</w:t>
            </w:r>
            <w:r w:rsidRPr="00C47973">
              <w:rPr>
                <w:rFonts w:eastAsiaTheme="minorEastAsia" w:hAnsi="Book Antiqua"/>
                <w:b/>
                <w:bCs/>
                <w:color w:val="FF0000"/>
                <w:kern w:val="24"/>
                <w:sz w:val="24"/>
                <w:szCs w:val="24"/>
                <w:lang w:val="en-US" w:eastAsia="fr-FR"/>
              </w:rPr>
              <w:t>es - Sorties = Stock Final</w:t>
            </w:r>
            <w:r w:rsidRPr="00C47973">
              <w:rPr>
                <w:rFonts w:eastAsiaTheme="minorEastAsia" w:hAnsi="Book Antiqua"/>
                <w:b/>
                <w:bCs/>
                <w:color w:val="000000" w:themeColor="dark1"/>
                <w:kern w:val="24"/>
                <w:sz w:val="24"/>
                <w:szCs w:val="24"/>
                <w:lang w:val="en-US" w:eastAsia="fr-FR"/>
              </w:rPr>
              <w:t> </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D8DBDF"/>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r</w:t>
            </w:r>
            <w:r w:rsidRPr="00C47973">
              <w:rPr>
                <w:rFonts w:eastAsiaTheme="minorEastAsia" w:hAnsi="Book Antiqua"/>
                <w:b/>
                <w:bCs/>
                <w:color w:val="000000" w:themeColor="dark1"/>
                <w:kern w:val="24"/>
                <w:sz w:val="36"/>
                <w:szCs w:val="36"/>
                <w:u w:val="single"/>
                <w:lang w:eastAsia="fr-FR"/>
              </w:rPr>
              <w:t>é</w:t>
            </w:r>
            <w:r w:rsidRPr="00C47973">
              <w:rPr>
                <w:rFonts w:eastAsiaTheme="minorEastAsia" w:hAnsi="Book Antiqua"/>
                <w:b/>
                <w:bCs/>
                <w:color w:val="000000" w:themeColor="dark1"/>
                <w:kern w:val="24"/>
                <w:sz w:val="36"/>
                <w:szCs w:val="36"/>
                <w:u w:val="single"/>
                <w:lang w:eastAsia="fr-FR"/>
              </w:rPr>
              <w:t>el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color w:val="000000" w:themeColor="dark1"/>
                <w:kern w:val="24"/>
                <w:sz w:val="36"/>
                <w:szCs w:val="36"/>
                <w:lang w:eastAsia="fr-FR"/>
              </w:rPr>
              <w:t xml:space="preserve">stock physique </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valu</w:t>
            </w:r>
            <w:r w:rsidRPr="00C47973">
              <w:rPr>
                <w:rFonts w:eastAsiaTheme="minorEastAsia" w:hAnsi="Book Antiqua"/>
                <w:color w:val="000000" w:themeColor="dark1"/>
                <w:kern w:val="24"/>
                <w:sz w:val="36"/>
                <w:szCs w:val="36"/>
                <w:lang w:eastAsia="fr-FR"/>
              </w:rPr>
              <w:t>é</w:t>
            </w:r>
            <w:r w:rsidRPr="00C47973">
              <w:rPr>
                <w:rFonts w:eastAsiaTheme="minorEastAsia" w:hAnsi="Book Antiqua"/>
                <w:color w:val="000000" w:themeColor="dark1"/>
                <w:kern w:val="24"/>
                <w:sz w:val="36"/>
                <w:szCs w:val="36"/>
                <w:lang w:eastAsia="fr-FR"/>
              </w:rPr>
              <w:t xml:space="preserve"> par inventaire.</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EDEEF0"/>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disponible :</w:t>
            </w:r>
            <w:r w:rsidRPr="00C47973">
              <w:rPr>
                <w:rFonts w:eastAsiaTheme="minorEastAsia" w:hAnsi="Book Antiqua"/>
                <w:b/>
                <w:bCs/>
                <w:color w:val="000000" w:themeColor="dark1"/>
                <w:kern w:val="24"/>
                <w:sz w:val="36"/>
                <w:szCs w:val="36"/>
                <w:lang w:eastAsia="fr-FR"/>
              </w:rPr>
              <w:t> </w:t>
            </w:r>
            <w:r w:rsidRPr="00C47973">
              <w:rPr>
                <w:rFonts w:eastAsiaTheme="minorEastAsia" w:hAnsi="Book Antiqua"/>
                <w:b/>
                <w:bCs/>
                <w:color w:val="FF0000"/>
                <w:kern w:val="24"/>
                <w:sz w:val="36"/>
                <w:szCs w:val="36"/>
                <w:lang w:eastAsia="fr-FR"/>
              </w:rPr>
              <w:t>Stock r</w:t>
            </w:r>
            <w:r w:rsidRPr="00C47973">
              <w:rPr>
                <w:rFonts w:eastAsiaTheme="minorEastAsia" w:hAnsi="Book Antiqua"/>
                <w:b/>
                <w:bCs/>
                <w:color w:val="FF0000"/>
                <w:kern w:val="24"/>
                <w:sz w:val="36"/>
                <w:szCs w:val="36"/>
                <w:lang w:eastAsia="fr-FR"/>
              </w:rPr>
              <w:t>é</w:t>
            </w:r>
            <w:r w:rsidRPr="00C47973">
              <w:rPr>
                <w:rFonts w:eastAsiaTheme="minorEastAsia" w:hAnsi="Book Antiqua"/>
                <w:b/>
                <w:bCs/>
                <w:color w:val="FF0000"/>
                <w:kern w:val="24"/>
                <w:sz w:val="36"/>
                <w:szCs w:val="36"/>
                <w:lang w:eastAsia="fr-FR"/>
              </w:rPr>
              <w:t>el - Commandes client re</w:t>
            </w:r>
            <w:r w:rsidRPr="00C47973">
              <w:rPr>
                <w:rFonts w:eastAsiaTheme="minorEastAsia" w:hAnsi="Book Antiqua"/>
                <w:b/>
                <w:bCs/>
                <w:color w:val="FF0000"/>
                <w:kern w:val="24"/>
                <w:sz w:val="36"/>
                <w:szCs w:val="36"/>
                <w:lang w:eastAsia="fr-FR"/>
              </w:rPr>
              <w:t>ç</w:t>
            </w:r>
            <w:r w:rsidRPr="00C47973">
              <w:rPr>
                <w:rFonts w:eastAsiaTheme="minorEastAsia" w:hAnsi="Book Antiqua"/>
                <w:b/>
                <w:bCs/>
                <w:color w:val="FF0000"/>
                <w:kern w:val="24"/>
                <w:sz w:val="36"/>
                <w:szCs w:val="36"/>
                <w:lang w:eastAsia="fr-FR"/>
              </w:rPr>
              <w:t>ues</w:t>
            </w:r>
          </w:p>
        </w:tc>
      </w:tr>
      <w:tr w:rsidR="00C47973" w:rsidRPr="00C47973" w:rsidTr="00C47973">
        <w:trPr>
          <w:trHeight w:val="584"/>
        </w:trPr>
        <w:tc>
          <w:tcPr>
            <w:tcW w:w="12960" w:type="dxa"/>
            <w:tcBorders>
              <w:top w:val="single" w:sz="8" w:space="0" w:color="808DA0"/>
              <w:left w:val="single" w:sz="8" w:space="0" w:color="808DA0"/>
              <w:bottom w:val="single" w:sz="8" w:space="0" w:color="808DA0"/>
              <w:right w:val="single" w:sz="8" w:space="0" w:color="808DA0"/>
            </w:tcBorders>
            <w:shd w:val="clear" w:color="auto" w:fill="D8DBDF"/>
            <w:tcMar>
              <w:top w:w="72" w:type="dxa"/>
              <w:left w:w="144" w:type="dxa"/>
              <w:bottom w:w="72" w:type="dxa"/>
              <w:right w:w="144" w:type="dxa"/>
            </w:tcMar>
            <w:hideMark/>
          </w:tcPr>
          <w:p w:rsidR="00C47973" w:rsidRPr="00C47973" w:rsidRDefault="00C47973" w:rsidP="00C47973">
            <w:pPr>
              <w:spacing w:after="0" w:line="240" w:lineRule="auto"/>
              <w:rPr>
                <w:rFonts w:ascii="Arial" w:eastAsia="Times New Roman" w:hAnsi="Arial" w:cs="Arial"/>
                <w:sz w:val="36"/>
                <w:szCs w:val="36"/>
                <w:lang w:eastAsia="fr-FR"/>
              </w:rPr>
            </w:pPr>
            <w:r w:rsidRPr="00C47973">
              <w:rPr>
                <w:rFonts w:eastAsiaTheme="minorEastAsia" w:hAnsi="Book Antiqua"/>
                <w:b/>
                <w:bCs/>
                <w:color w:val="000000" w:themeColor="dark1"/>
                <w:kern w:val="24"/>
                <w:sz w:val="36"/>
                <w:szCs w:val="36"/>
                <w:u w:val="single"/>
                <w:lang w:eastAsia="fr-FR"/>
              </w:rPr>
              <w:t>Stock virtuel</w:t>
            </w:r>
            <w:r w:rsidRPr="00C47973">
              <w:rPr>
                <w:rFonts w:eastAsiaTheme="minorEastAsia" w:hAnsi="Book Antiqua"/>
                <w:color w:val="000000" w:themeColor="dark1"/>
                <w:kern w:val="24"/>
                <w:sz w:val="36"/>
                <w:szCs w:val="36"/>
                <w:u w:val="single"/>
                <w:lang w:eastAsia="fr-FR"/>
              </w:rPr>
              <w:t> </w:t>
            </w:r>
            <w:r w:rsidRPr="00C47973">
              <w:rPr>
                <w:rFonts w:eastAsiaTheme="minorEastAsia" w:hAnsi="Book Antiqua"/>
                <w:color w:val="000000" w:themeColor="dark1"/>
                <w:kern w:val="24"/>
                <w:sz w:val="36"/>
                <w:szCs w:val="36"/>
                <w:u w:val="single"/>
                <w:lang w:eastAsia="fr-FR"/>
              </w:rPr>
              <w:t>:</w:t>
            </w:r>
            <w:r w:rsidRPr="00C47973">
              <w:rPr>
                <w:rFonts w:eastAsiaTheme="minorEastAsia" w:hAnsi="Book Antiqua"/>
                <w:color w:val="000000" w:themeColor="dark1"/>
                <w:kern w:val="24"/>
                <w:sz w:val="36"/>
                <w:szCs w:val="36"/>
                <w:lang w:eastAsia="fr-FR"/>
              </w:rPr>
              <w:t> </w:t>
            </w:r>
            <w:r w:rsidRPr="00C47973">
              <w:rPr>
                <w:rFonts w:eastAsiaTheme="minorEastAsia" w:hAnsi="Book Antiqua"/>
                <w:b/>
                <w:bCs/>
                <w:color w:val="FF0000"/>
                <w:kern w:val="24"/>
                <w:sz w:val="36"/>
                <w:szCs w:val="36"/>
                <w:lang w:eastAsia="fr-FR"/>
              </w:rPr>
              <w:t>Stock disponible + Commandes en cours aupr</w:t>
            </w:r>
            <w:r w:rsidRPr="00C47973">
              <w:rPr>
                <w:rFonts w:eastAsiaTheme="minorEastAsia" w:hAnsi="Book Antiqua"/>
                <w:b/>
                <w:bCs/>
                <w:color w:val="FF0000"/>
                <w:kern w:val="24"/>
                <w:sz w:val="36"/>
                <w:szCs w:val="36"/>
                <w:lang w:eastAsia="fr-FR"/>
              </w:rPr>
              <w:t>è</w:t>
            </w:r>
            <w:r w:rsidRPr="00C47973">
              <w:rPr>
                <w:rFonts w:eastAsiaTheme="minorEastAsia" w:hAnsi="Book Antiqua"/>
                <w:b/>
                <w:bCs/>
                <w:color w:val="FF0000"/>
                <w:kern w:val="24"/>
                <w:sz w:val="36"/>
                <w:szCs w:val="36"/>
                <w:lang w:eastAsia="fr-FR"/>
              </w:rPr>
              <w:t>s des fournisseurs</w:t>
            </w:r>
          </w:p>
        </w:tc>
      </w:tr>
    </w:tbl>
    <w:p w:rsidR="00C47973" w:rsidRDefault="00C47973"/>
    <w:sectPr w:rsidR="00C47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239"/>
    <w:multiLevelType w:val="multilevel"/>
    <w:tmpl w:val="C4CEC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EA"/>
    <w:rsid w:val="000C2066"/>
    <w:rsid w:val="00447D60"/>
    <w:rsid w:val="005826D9"/>
    <w:rsid w:val="005D0248"/>
    <w:rsid w:val="007F07EA"/>
    <w:rsid w:val="008F4246"/>
    <w:rsid w:val="00BD1756"/>
    <w:rsid w:val="00C47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F07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07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07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07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F07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07EA"/>
    <w:rPr>
      <w:b/>
      <w:bCs/>
    </w:rPr>
  </w:style>
  <w:style w:type="character" w:styleId="Lienhypertexte">
    <w:name w:val="Hyperlink"/>
    <w:basedOn w:val="Policepardfaut"/>
    <w:uiPriority w:val="99"/>
    <w:semiHidden/>
    <w:unhideWhenUsed/>
    <w:rsid w:val="00447D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F07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07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07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07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F07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07EA"/>
    <w:rPr>
      <w:b/>
      <w:bCs/>
    </w:rPr>
  </w:style>
  <w:style w:type="character" w:styleId="Lienhypertexte">
    <w:name w:val="Hyperlink"/>
    <w:basedOn w:val="Policepardfaut"/>
    <w:uiPriority w:val="99"/>
    <w:semiHidden/>
    <w:unhideWhenUsed/>
    <w:rsid w:val="00447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828778">
      <w:bodyDiv w:val="1"/>
      <w:marLeft w:val="0"/>
      <w:marRight w:val="0"/>
      <w:marTop w:val="0"/>
      <w:marBottom w:val="0"/>
      <w:divBdr>
        <w:top w:val="none" w:sz="0" w:space="0" w:color="auto"/>
        <w:left w:val="none" w:sz="0" w:space="0" w:color="auto"/>
        <w:bottom w:val="none" w:sz="0" w:space="0" w:color="auto"/>
        <w:right w:val="none" w:sz="0" w:space="0" w:color="auto"/>
      </w:divBdr>
    </w:div>
    <w:div w:id="1185367028">
      <w:bodyDiv w:val="1"/>
      <w:marLeft w:val="0"/>
      <w:marRight w:val="0"/>
      <w:marTop w:val="0"/>
      <w:marBottom w:val="0"/>
      <w:divBdr>
        <w:top w:val="none" w:sz="0" w:space="0" w:color="auto"/>
        <w:left w:val="none" w:sz="0" w:space="0" w:color="auto"/>
        <w:bottom w:val="none" w:sz="0" w:space="0" w:color="auto"/>
        <w:right w:val="none" w:sz="0" w:space="0" w:color="auto"/>
      </w:divBdr>
    </w:div>
    <w:div w:id="1476920894">
      <w:bodyDiv w:val="1"/>
      <w:marLeft w:val="0"/>
      <w:marRight w:val="0"/>
      <w:marTop w:val="0"/>
      <w:marBottom w:val="0"/>
      <w:divBdr>
        <w:top w:val="none" w:sz="0" w:space="0" w:color="auto"/>
        <w:left w:val="none" w:sz="0" w:space="0" w:color="auto"/>
        <w:bottom w:val="none" w:sz="0" w:space="0" w:color="auto"/>
        <w:right w:val="none" w:sz="0" w:space="0" w:color="auto"/>
      </w:divBdr>
    </w:div>
    <w:div w:id="19237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istiqueconseil.org/Articles/Entrepot-magasin/Gestion-des-stock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598</Words>
  <Characters>3295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Giannota Frederique</dc:creator>
  <cp:lastModifiedBy>Giannota Frederique</cp:lastModifiedBy>
  <cp:revision>2</cp:revision>
  <dcterms:created xsi:type="dcterms:W3CDTF">2018-02-05T14:43:00Z</dcterms:created>
  <dcterms:modified xsi:type="dcterms:W3CDTF">2018-02-06T10:13:00Z</dcterms:modified>
</cp:coreProperties>
</file>