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F2A" w:rsidRDefault="002F5CF4">
      <w:r>
        <w:t>Civil 22 nov.-17</w:t>
      </w:r>
    </w:p>
    <w:p w:rsidR="002F5CF4" w:rsidRDefault="002F5CF4"/>
    <w:p w:rsidR="002F5CF4" w:rsidRPr="002F5CF4" w:rsidRDefault="002F5CF4" w:rsidP="002F5CF4">
      <w:pPr>
        <w:widowControl w:val="0"/>
        <w:numPr>
          <w:ilvl w:val="0"/>
          <w:numId w:val="4"/>
        </w:numPr>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b/>
          <w:color w:val="FF0000"/>
          <w:kern w:val="3"/>
          <w:sz w:val="24"/>
          <w:szCs w:val="24"/>
          <w:u w:val="single"/>
          <w:lang w:eastAsia="zh-CN" w:bidi="hi-IN"/>
        </w:rPr>
        <w:t>L’aveu judiciaire</w:t>
      </w:r>
    </w:p>
    <w:p w:rsidR="002F5CF4" w:rsidRPr="002F5CF4" w:rsidRDefault="002F5CF4" w:rsidP="002F5CF4">
      <w:pPr>
        <w:widowControl w:val="0"/>
        <w:suppressAutoHyphens/>
        <w:autoSpaceDN w:val="0"/>
        <w:spacing w:after="0" w:line="240" w:lineRule="auto"/>
        <w:ind w:left="360"/>
        <w:jc w:val="both"/>
        <w:textAlignment w:val="baseline"/>
        <w:rPr>
          <w:rFonts w:ascii="Times New Roman" w:eastAsia="Arial Unicode MS" w:hAnsi="Times New Roman" w:cs="Arial Unicode MS"/>
          <w:kern w:val="3"/>
          <w:sz w:val="24"/>
          <w:szCs w:val="24"/>
          <w:lang w:eastAsia="zh-CN" w:bidi="hi-IN"/>
        </w:rPr>
      </w:pP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Art 1361 : « Il peut être suppléé à l'écrit par l'aveu judiciaire »</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p>
    <w:p w:rsidR="002F5CF4" w:rsidRPr="002F5CF4" w:rsidRDefault="002F5CF4" w:rsidP="002F5CF4">
      <w:pPr>
        <w:widowControl w:val="0"/>
        <w:numPr>
          <w:ilvl w:val="0"/>
          <w:numId w:val="5"/>
        </w:numPr>
        <w:suppressAutoHyphens/>
        <w:autoSpaceDN w:val="0"/>
        <w:spacing w:after="0" w:line="240" w:lineRule="auto"/>
        <w:jc w:val="both"/>
        <w:textAlignment w:val="baseline"/>
        <w:rPr>
          <w:rFonts w:ascii="Times New Roman" w:eastAsia="Arial Unicode MS" w:hAnsi="Times New Roman" w:cs="Arial Unicode MS"/>
          <w:b/>
          <w:color w:val="00B050"/>
          <w:kern w:val="3"/>
          <w:sz w:val="24"/>
          <w:szCs w:val="24"/>
          <w:u w:val="single"/>
          <w:lang w:eastAsia="zh-CN" w:bidi="hi-IN"/>
        </w:rPr>
      </w:pPr>
      <w:r w:rsidRPr="002F5CF4">
        <w:rPr>
          <w:rFonts w:ascii="Times New Roman" w:eastAsia="Arial Unicode MS" w:hAnsi="Times New Roman" w:cs="Arial Unicode MS"/>
          <w:b/>
          <w:color w:val="00B050"/>
          <w:kern w:val="3"/>
          <w:sz w:val="24"/>
          <w:szCs w:val="24"/>
          <w:u w:val="single"/>
          <w:lang w:eastAsia="zh-CN" w:bidi="hi-IN"/>
        </w:rPr>
        <w:t>Définition de l’aveu</w:t>
      </w:r>
    </w:p>
    <w:p w:rsidR="002F5CF4" w:rsidRPr="002F5CF4" w:rsidRDefault="002F5CF4" w:rsidP="002F5CF4">
      <w:pPr>
        <w:widowControl w:val="0"/>
        <w:suppressAutoHyphens/>
        <w:autoSpaceDN w:val="0"/>
        <w:spacing w:after="0" w:line="240" w:lineRule="auto"/>
        <w:ind w:left="720"/>
        <w:jc w:val="both"/>
        <w:textAlignment w:val="baseline"/>
        <w:rPr>
          <w:rFonts w:ascii="Times New Roman" w:eastAsia="Arial Unicode MS" w:hAnsi="Times New Roman" w:cs="Arial Unicode MS"/>
          <w:kern w:val="3"/>
          <w:sz w:val="24"/>
          <w:szCs w:val="24"/>
          <w:lang w:eastAsia="zh-CN" w:bidi="hi-IN"/>
        </w:rPr>
      </w:pP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shd w:val="clear" w:color="auto" w:fill="FF00FF"/>
          <w:lang w:eastAsia="zh-CN" w:bidi="hi-IN"/>
        </w:rPr>
        <w:t>Art 1383 du CCIV</w:t>
      </w:r>
      <w:r w:rsidRPr="002F5CF4">
        <w:rPr>
          <w:rFonts w:ascii="Times New Roman" w:eastAsia="Arial Unicode MS" w:hAnsi="Times New Roman" w:cs="Arial Unicode MS"/>
          <w:kern w:val="3"/>
          <w:sz w:val="24"/>
          <w:szCs w:val="24"/>
          <w:lang w:eastAsia="zh-CN" w:bidi="hi-IN"/>
        </w:rPr>
        <w:t> : « L'aveu est la déclaration par laquelle une personne reconnaît pour vrai un fait de nature à produire contre elle des conséquences juridiques. »</w:t>
      </w:r>
    </w:p>
    <w:p w:rsidR="002F5CF4" w:rsidRPr="002F5CF4" w:rsidRDefault="002F5CF4" w:rsidP="002F5CF4">
      <w:pPr>
        <w:widowControl w:val="0"/>
        <w:numPr>
          <w:ilvl w:val="0"/>
          <w:numId w:val="2"/>
        </w:numPr>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Reconnaitre vrai un fait qui va entrainer des conséquences juridiques</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Je reconnais avoir acheté ce code civil sans le payer.</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Cet aveu peut être de 2 sortes : « Il peut être judiciaire ou extrajudiciaire. » (Al 2 de l’art 1383)</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Aveu judiciaire -&gt; aveu fait devant le juge.</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Extrajudiciaire -&gt; aveu hors de la présence d’un juge.</w:t>
      </w:r>
    </w:p>
    <w:p w:rsidR="002F5CF4" w:rsidRPr="002F5CF4" w:rsidRDefault="002F5CF4" w:rsidP="002F5CF4">
      <w:pPr>
        <w:widowControl w:val="0"/>
        <w:numPr>
          <w:ilvl w:val="0"/>
          <w:numId w:val="3"/>
        </w:numPr>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L’art 1361 vise l’aveu judiciaire.</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shd w:val="clear" w:color="auto" w:fill="FFFF00"/>
          <w:lang w:eastAsia="zh-CN" w:bidi="hi-IN"/>
        </w:rPr>
        <w:t>« L’aveu est la déclaration que fait la partie devant la justice »</w:t>
      </w:r>
      <w:r w:rsidRPr="002F5CF4">
        <w:rPr>
          <w:rFonts w:ascii="Times New Roman" w:eastAsia="Arial Unicode MS" w:hAnsi="Times New Roman" w:cs="Arial Unicode MS"/>
          <w:kern w:val="3"/>
          <w:sz w:val="24"/>
          <w:szCs w:val="24"/>
          <w:lang w:eastAsia="zh-CN" w:bidi="hi-IN"/>
        </w:rPr>
        <w:t xml:space="preserve"> (art 1383-2 du CCIV)</w:t>
      </w:r>
    </w:p>
    <w:p w:rsidR="002F5CF4" w:rsidRPr="002F5CF4" w:rsidRDefault="002F5CF4" w:rsidP="002F5CF4">
      <w:pPr>
        <w:widowControl w:val="0"/>
        <w:numPr>
          <w:ilvl w:val="0"/>
          <w:numId w:val="5"/>
        </w:numPr>
        <w:suppressAutoHyphens/>
        <w:autoSpaceDN w:val="0"/>
        <w:spacing w:after="0" w:line="240" w:lineRule="auto"/>
        <w:jc w:val="both"/>
        <w:textAlignment w:val="baseline"/>
        <w:rPr>
          <w:rFonts w:ascii="Times New Roman" w:eastAsia="Arial Unicode MS" w:hAnsi="Times New Roman" w:cs="Arial Unicode MS"/>
          <w:b/>
          <w:color w:val="00B050"/>
          <w:kern w:val="3"/>
          <w:sz w:val="24"/>
          <w:szCs w:val="24"/>
          <w:u w:val="single"/>
          <w:lang w:eastAsia="zh-CN" w:bidi="hi-IN"/>
        </w:rPr>
      </w:pPr>
      <w:r w:rsidRPr="002F5CF4">
        <w:rPr>
          <w:rFonts w:ascii="Times New Roman" w:eastAsia="Arial Unicode MS" w:hAnsi="Times New Roman" w:cs="Arial Unicode MS"/>
          <w:b/>
          <w:color w:val="00B050"/>
          <w:kern w:val="3"/>
          <w:sz w:val="24"/>
          <w:szCs w:val="24"/>
          <w:u w:val="single"/>
          <w:lang w:eastAsia="zh-CN" w:bidi="hi-IN"/>
        </w:rPr>
        <w:t>Les conséquences de l’aveu judiciaire</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 xml:space="preserve">2 conséquences essentielles : </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p>
    <w:p w:rsidR="002F5CF4" w:rsidRPr="002F5CF4" w:rsidRDefault="002F5CF4" w:rsidP="002F5CF4">
      <w:pPr>
        <w:widowControl w:val="0"/>
        <w:numPr>
          <w:ilvl w:val="0"/>
          <w:numId w:val="1"/>
        </w:numPr>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shd w:val="clear" w:color="auto" w:fill="FF00FF"/>
          <w:lang w:eastAsia="zh-CN" w:bidi="hi-IN"/>
        </w:rPr>
        <w:t>Al 2 de l’art 1383-2 du CCIV</w:t>
      </w:r>
      <w:r w:rsidRPr="002F5CF4">
        <w:rPr>
          <w:rFonts w:ascii="Times New Roman" w:eastAsia="Arial Unicode MS" w:hAnsi="Times New Roman" w:cs="Arial Unicode MS"/>
          <w:kern w:val="3"/>
          <w:sz w:val="24"/>
          <w:szCs w:val="24"/>
          <w:lang w:eastAsia="zh-CN" w:bidi="hi-IN"/>
        </w:rPr>
        <w:t xml:space="preserve"> -&gt; au terme de cet art : « l’aveu fait foi contre celui qui l’a fait »</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Il a pleinement foi sur le terrain probatoire -&gt; cet aveu va avoir pleine valeur probante, le juge ne pourra que l’utiliser sans l’écarter.</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p>
    <w:p w:rsidR="002F5CF4" w:rsidRPr="002F5CF4" w:rsidRDefault="002F5CF4" w:rsidP="002F5CF4">
      <w:pPr>
        <w:widowControl w:val="0"/>
        <w:numPr>
          <w:ilvl w:val="0"/>
          <w:numId w:val="1"/>
        </w:numPr>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Il est irrévocable (principe)</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b/>
          <w:kern w:val="3"/>
          <w:sz w:val="24"/>
          <w:szCs w:val="24"/>
          <w:lang w:eastAsia="zh-CN" w:bidi="hi-IN"/>
        </w:rPr>
        <w:t>Exception</w:t>
      </w:r>
      <w:r w:rsidRPr="002F5CF4">
        <w:rPr>
          <w:rFonts w:ascii="Times New Roman" w:eastAsia="Arial Unicode MS" w:hAnsi="Times New Roman" w:cs="Arial Unicode MS"/>
          <w:kern w:val="3"/>
          <w:sz w:val="24"/>
          <w:szCs w:val="24"/>
          <w:lang w:eastAsia="zh-CN" w:bidi="hi-IN"/>
        </w:rPr>
        <w:t xml:space="preserve"> : </w:t>
      </w:r>
      <w:r w:rsidRPr="002F5CF4">
        <w:rPr>
          <w:rFonts w:ascii="Times New Roman" w:eastAsia="Arial Unicode MS" w:hAnsi="Times New Roman" w:cs="Arial Unicode MS"/>
          <w:kern w:val="3"/>
          <w:sz w:val="24"/>
          <w:szCs w:val="24"/>
          <w:shd w:val="clear" w:color="auto" w:fill="FF00FF"/>
          <w:lang w:eastAsia="zh-CN" w:bidi="hi-IN"/>
        </w:rPr>
        <w:t>al 4 de l’art 1383-2</w:t>
      </w:r>
      <w:r w:rsidRPr="002F5CF4">
        <w:rPr>
          <w:rFonts w:ascii="Times New Roman" w:eastAsia="Arial Unicode MS" w:hAnsi="Times New Roman" w:cs="Arial Unicode MS"/>
          <w:kern w:val="3"/>
          <w:sz w:val="24"/>
          <w:szCs w:val="24"/>
          <w:lang w:eastAsia="zh-CN" w:bidi="hi-IN"/>
        </w:rPr>
        <w:t xml:space="preserve"> « il est irrévocable sauf en cas d’erreur de fait »</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b/>
          <w:color w:val="FF0000"/>
          <w:kern w:val="3"/>
          <w:sz w:val="24"/>
          <w:szCs w:val="24"/>
          <w:lang w:eastAsia="zh-CN" w:bidi="hi-IN"/>
        </w:rPr>
        <w:t>Paragraphe 2 : au titre de la non application de l’art 1359 al 1</w:t>
      </w:r>
      <w:r w:rsidRPr="002F5CF4">
        <w:rPr>
          <w:rFonts w:ascii="Times New Roman" w:eastAsia="Arial Unicode MS" w:hAnsi="Times New Roman" w:cs="Arial Unicode MS"/>
          <w:b/>
          <w:color w:val="FF0000"/>
          <w:kern w:val="3"/>
          <w:sz w:val="24"/>
          <w:szCs w:val="24"/>
          <w:vertAlign w:val="superscript"/>
          <w:lang w:eastAsia="zh-CN" w:bidi="hi-IN"/>
        </w:rPr>
        <w:t>er</w:t>
      </w:r>
      <w:r w:rsidRPr="002F5CF4">
        <w:rPr>
          <w:rFonts w:ascii="Times New Roman" w:eastAsia="Arial Unicode MS" w:hAnsi="Times New Roman" w:cs="Arial Unicode MS"/>
          <w:b/>
          <w:color w:val="FF0000"/>
          <w:kern w:val="3"/>
          <w:sz w:val="24"/>
          <w:szCs w:val="24"/>
          <w:lang w:eastAsia="zh-CN" w:bidi="hi-IN"/>
        </w:rPr>
        <w:t xml:space="preserve"> </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Au titre = hypothèse où cette fois-ci, l’art 1359 al 1</w:t>
      </w:r>
      <w:r w:rsidRPr="002F5CF4">
        <w:rPr>
          <w:rFonts w:ascii="Times New Roman" w:eastAsia="Arial Unicode MS" w:hAnsi="Times New Roman" w:cs="Arial Unicode MS"/>
          <w:kern w:val="3"/>
          <w:sz w:val="24"/>
          <w:szCs w:val="24"/>
          <w:vertAlign w:val="superscript"/>
          <w:lang w:eastAsia="zh-CN" w:bidi="hi-IN"/>
        </w:rPr>
        <w:t>er</w:t>
      </w:r>
      <w:r w:rsidRPr="002F5CF4">
        <w:rPr>
          <w:rFonts w:ascii="Times New Roman" w:eastAsia="Arial Unicode MS" w:hAnsi="Times New Roman" w:cs="Arial Unicode MS"/>
          <w:kern w:val="3"/>
          <w:sz w:val="24"/>
          <w:szCs w:val="24"/>
          <w:lang w:eastAsia="zh-CN" w:bidi="hi-IN"/>
        </w:rPr>
        <w:t xml:space="preserve"> ne s’applique pas</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Le grand écrit ici, n’est pas obligatoire (pas besoin d’un acte authentique ou d’un acte sous signature privée)</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Les intérêts en jeu &lt; à 1500</w:t>
      </w:r>
      <w:r w:rsidRPr="002F5CF4">
        <w:rPr>
          <w:rFonts w:ascii="Times New Roman" w:eastAsia="Arial Unicode MS" w:hAnsi="Times New Roman" w:cs="Times New Roman"/>
          <w:kern w:val="3"/>
          <w:sz w:val="24"/>
          <w:szCs w:val="24"/>
          <w:vertAlign w:val="superscript"/>
          <w:lang w:eastAsia="zh-CN" w:bidi="hi-IN"/>
        </w:rPr>
        <w:t>€</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Les parties peuvent avoir décider de ne pas appliquer l’art 1359 al 1</w:t>
      </w:r>
      <w:r w:rsidRPr="002F5CF4">
        <w:rPr>
          <w:rFonts w:ascii="Times New Roman" w:eastAsia="Arial Unicode MS" w:hAnsi="Times New Roman" w:cs="Arial Unicode MS"/>
          <w:kern w:val="3"/>
          <w:sz w:val="24"/>
          <w:szCs w:val="24"/>
          <w:vertAlign w:val="superscript"/>
          <w:lang w:eastAsia="zh-CN" w:bidi="hi-IN"/>
        </w:rPr>
        <w:t>er</w:t>
      </w:r>
      <w:r w:rsidRPr="002F5CF4">
        <w:rPr>
          <w:rFonts w:ascii="Times New Roman" w:eastAsia="Arial Unicode MS" w:hAnsi="Times New Roman" w:cs="Arial Unicode MS"/>
          <w:kern w:val="3"/>
          <w:sz w:val="24"/>
          <w:szCs w:val="24"/>
          <w:lang w:eastAsia="zh-CN" w:bidi="hi-IN"/>
        </w:rPr>
        <w:t xml:space="preserve"> (il n’est pas impératif)</w:t>
      </w:r>
    </w:p>
    <w:p w:rsidR="002F5CF4" w:rsidRPr="002F5CF4" w:rsidRDefault="002F5CF4" w:rsidP="002F5CF4">
      <w:pPr>
        <w:widowControl w:val="0"/>
        <w:numPr>
          <w:ilvl w:val="0"/>
          <w:numId w:val="3"/>
        </w:numPr>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Ici, la rigueur de la loi s’estompe parce que l’on fait d’abord un renvoi à l’art 1358 : « Hors les cas où la loi en dispose autrement, la preuve peut être apportée par tout moyen. » (Liberté de la preuve)</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3 catégories de preuves :</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p>
    <w:p w:rsidR="002F5CF4" w:rsidRPr="002F5CF4" w:rsidRDefault="002F5CF4" w:rsidP="002F5CF4">
      <w:pPr>
        <w:widowControl w:val="0"/>
        <w:numPr>
          <w:ilvl w:val="0"/>
          <w:numId w:val="6"/>
        </w:numPr>
        <w:suppressAutoHyphens/>
        <w:autoSpaceDN w:val="0"/>
        <w:spacing w:after="0" w:line="240" w:lineRule="auto"/>
        <w:jc w:val="both"/>
        <w:textAlignment w:val="baseline"/>
        <w:rPr>
          <w:rFonts w:ascii="Times New Roman" w:eastAsia="Arial Unicode MS" w:hAnsi="Times New Roman" w:cs="Arial Unicode MS"/>
          <w:b/>
          <w:color w:val="00B050"/>
          <w:kern w:val="3"/>
          <w:sz w:val="24"/>
          <w:szCs w:val="24"/>
          <w:u w:val="single"/>
          <w:lang w:eastAsia="zh-CN" w:bidi="hi-IN"/>
        </w:rPr>
      </w:pPr>
      <w:r w:rsidRPr="002F5CF4">
        <w:rPr>
          <w:rFonts w:ascii="Times New Roman" w:eastAsia="Arial Unicode MS" w:hAnsi="Times New Roman" w:cs="Arial Unicode MS"/>
          <w:b/>
          <w:color w:val="00B050"/>
          <w:kern w:val="3"/>
          <w:sz w:val="24"/>
          <w:szCs w:val="24"/>
          <w:u w:val="single"/>
          <w:lang w:eastAsia="zh-CN" w:bidi="hi-IN"/>
        </w:rPr>
        <w:t>La preuve par témoins</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b/>
          <w:color w:val="00B050"/>
          <w:kern w:val="3"/>
          <w:sz w:val="24"/>
          <w:szCs w:val="24"/>
          <w:u w:val="single"/>
          <w:lang w:eastAsia="zh-CN" w:bidi="hi-IN"/>
        </w:rPr>
      </w:pP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 xml:space="preserve">Prévu à </w:t>
      </w:r>
      <w:r w:rsidRPr="002F5CF4">
        <w:rPr>
          <w:rFonts w:ascii="Times New Roman" w:eastAsia="Arial Unicode MS" w:hAnsi="Times New Roman" w:cs="Arial Unicode MS"/>
          <w:kern w:val="3"/>
          <w:sz w:val="24"/>
          <w:szCs w:val="24"/>
          <w:shd w:val="clear" w:color="auto" w:fill="FF00FF"/>
          <w:lang w:eastAsia="zh-CN" w:bidi="hi-IN"/>
        </w:rPr>
        <w:t>l’art 1381 du CCIV</w:t>
      </w:r>
      <w:r w:rsidRPr="002F5CF4">
        <w:rPr>
          <w:rFonts w:ascii="Times New Roman" w:eastAsia="Arial Unicode MS" w:hAnsi="Times New Roman" w:cs="Arial Unicode MS"/>
          <w:kern w:val="3"/>
          <w:sz w:val="24"/>
          <w:szCs w:val="24"/>
          <w:lang w:eastAsia="zh-CN" w:bidi="hi-IN"/>
        </w:rPr>
        <w:t> : « La valeur probante des déclarations faites par un tiers dans les conditions du code de procédure civile est laissée à l'appréciation du juge. »</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 xml:space="preserve">2 affirmations : </w:t>
      </w:r>
    </w:p>
    <w:p w:rsidR="002F5CF4" w:rsidRPr="002F5CF4" w:rsidRDefault="002F5CF4" w:rsidP="002F5CF4">
      <w:pPr>
        <w:widowControl w:val="0"/>
        <w:numPr>
          <w:ilvl w:val="0"/>
          <w:numId w:val="1"/>
        </w:numPr>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lastRenderedPageBreak/>
        <w:t>Lorsqu’on parle en matière civile de témoignage, il faut que ces témoignages résultent des déclarations faites selon les règles établies par le code de procédures civiles.</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Découle parfois aussi du code civile (dans le cadre du divorce pour faute, le code civil nous dit que certaines personnes (les descendants) ne peuvent pas témoigner -&gt; le témoignage des enfants n’est pas recevable)</w:t>
      </w:r>
    </w:p>
    <w:p w:rsidR="002F5CF4" w:rsidRPr="002F5CF4" w:rsidRDefault="002F5CF4" w:rsidP="002F5CF4">
      <w:pPr>
        <w:widowControl w:val="0"/>
        <w:numPr>
          <w:ilvl w:val="0"/>
          <w:numId w:val="1"/>
        </w:numPr>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 xml:space="preserve">Ce témoignage est laissé à l’appréciation du juge -&gt; est-ce que cette appréciation est contrôlée ou non par la CCASS ?  (Si Appréciation souveraine des juges du fond -&gt; affirmé par la jurisprudence -&gt; CCASS ne contrôle pas, c’est un pb de fait, la CCASS ne s’intéresse qu’au droit) </w:t>
      </w:r>
    </w:p>
    <w:p w:rsidR="002F5CF4" w:rsidRPr="002F5CF4" w:rsidRDefault="002F5CF4" w:rsidP="002F5CF4">
      <w:pPr>
        <w:widowControl w:val="0"/>
        <w:numPr>
          <w:ilvl w:val="0"/>
          <w:numId w:val="2"/>
        </w:numPr>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L’appréciation en terme de témoignage est une appréciation souveraine des juges du fond. (Décision rendue par CIV.2</w:t>
      </w:r>
      <w:r w:rsidRPr="002F5CF4">
        <w:rPr>
          <w:rFonts w:ascii="Times New Roman" w:eastAsia="Arial Unicode MS" w:hAnsi="Times New Roman" w:cs="Arial Unicode MS"/>
          <w:kern w:val="3"/>
          <w:sz w:val="24"/>
          <w:szCs w:val="24"/>
          <w:vertAlign w:val="superscript"/>
          <w:lang w:eastAsia="zh-CN" w:bidi="hi-IN"/>
        </w:rPr>
        <w:t>ème</w:t>
      </w:r>
      <w:r w:rsidRPr="002F5CF4">
        <w:rPr>
          <w:rFonts w:ascii="Times New Roman" w:eastAsia="Arial Unicode MS" w:hAnsi="Times New Roman" w:cs="Arial Unicode MS"/>
          <w:kern w:val="3"/>
          <w:sz w:val="24"/>
          <w:szCs w:val="24"/>
          <w:lang w:eastAsia="zh-CN" w:bidi="hi-IN"/>
        </w:rPr>
        <w:t xml:space="preserve"> le 18 janv. 1984 -&gt; CCASS : « les juges du fond ont un pv souverain pour apprécier la pertinence des témoignages proposés. »</w:t>
      </w:r>
    </w:p>
    <w:p w:rsidR="002F5CF4" w:rsidRPr="002F5CF4" w:rsidRDefault="002F5CF4" w:rsidP="002F5CF4">
      <w:pPr>
        <w:widowControl w:val="0"/>
        <w:numPr>
          <w:ilvl w:val="0"/>
          <w:numId w:val="2"/>
        </w:numPr>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Jurisprudence de la CCASS que l’appréciation du juge civil en terme de témoignage est une question de fait qui n’entraîne pas de contrôle.</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p>
    <w:p w:rsidR="002F5CF4" w:rsidRPr="002F5CF4" w:rsidRDefault="002F5CF4" w:rsidP="002F5CF4">
      <w:pPr>
        <w:widowControl w:val="0"/>
        <w:numPr>
          <w:ilvl w:val="0"/>
          <w:numId w:val="6"/>
        </w:numPr>
        <w:suppressAutoHyphens/>
        <w:autoSpaceDN w:val="0"/>
        <w:spacing w:after="0" w:line="240" w:lineRule="auto"/>
        <w:jc w:val="both"/>
        <w:textAlignment w:val="baseline"/>
        <w:rPr>
          <w:rFonts w:ascii="Times New Roman" w:eastAsia="Arial Unicode MS" w:hAnsi="Times New Roman" w:cs="Arial Unicode MS"/>
          <w:b/>
          <w:color w:val="00B050"/>
          <w:kern w:val="3"/>
          <w:sz w:val="24"/>
          <w:szCs w:val="24"/>
          <w:u w:val="single"/>
          <w:lang w:eastAsia="zh-CN" w:bidi="hi-IN"/>
        </w:rPr>
      </w:pPr>
      <w:r w:rsidRPr="002F5CF4">
        <w:rPr>
          <w:rFonts w:ascii="Times New Roman" w:eastAsia="Arial Unicode MS" w:hAnsi="Times New Roman" w:cs="Arial Unicode MS"/>
          <w:b/>
          <w:color w:val="00B050"/>
          <w:kern w:val="3"/>
          <w:sz w:val="24"/>
          <w:szCs w:val="24"/>
          <w:u w:val="single"/>
          <w:lang w:eastAsia="zh-CN" w:bidi="hi-IN"/>
        </w:rPr>
        <w:t>La preuve par aveu extrajudiciaire</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b/>
          <w:color w:val="00B050"/>
          <w:kern w:val="3"/>
          <w:sz w:val="24"/>
          <w:szCs w:val="24"/>
          <w:u w:val="single"/>
          <w:lang w:eastAsia="zh-CN" w:bidi="hi-IN"/>
        </w:rPr>
      </w:pP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shd w:val="clear" w:color="auto" w:fill="FF00FF"/>
          <w:lang w:eastAsia="zh-CN" w:bidi="hi-IN"/>
        </w:rPr>
        <w:t>Art 1383-1</w:t>
      </w:r>
      <w:r w:rsidRPr="002F5CF4">
        <w:rPr>
          <w:rFonts w:ascii="Times New Roman" w:eastAsia="Arial Unicode MS" w:hAnsi="Times New Roman" w:cs="Arial Unicode MS"/>
          <w:kern w:val="3"/>
          <w:sz w:val="24"/>
          <w:szCs w:val="24"/>
          <w:lang w:eastAsia="zh-CN" w:bidi="hi-IN"/>
        </w:rPr>
        <w:t> : « L'aveu extrajudiciaire purement verbal n'est reçu que dans les cas où la loi permet la preuve par tout moyen.</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Sa valeur probante est laissée à l'appréciation du juge. »</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Quelle est sa valeur probante ?</w:t>
      </w:r>
    </w:p>
    <w:p w:rsidR="002F5CF4" w:rsidRPr="002F5CF4" w:rsidRDefault="002F5CF4" w:rsidP="002F5CF4">
      <w:pPr>
        <w:widowControl w:val="0"/>
        <w:numPr>
          <w:ilvl w:val="0"/>
          <w:numId w:val="2"/>
        </w:numPr>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N’est possible que dans les cas où la loi permet la preuve par tous moyens</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 Sa valeur probante est laissée à l'appréciation du juge. »</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Il est à relativiser, il est donc laissé à l’appréciation du juge.</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Appréciation souveraine ou non ici ?</w:t>
      </w:r>
    </w:p>
    <w:p w:rsidR="002F5CF4" w:rsidRPr="002F5CF4" w:rsidRDefault="002F5CF4" w:rsidP="002F5CF4">
      <w:pPr>
        <w:widowControl w:val="0"/>
        <w:numPr>
          <w:ilvl w:val="0"/>
          <w:numId w:val="2"/>
        </w:numPr>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 xml:space="preserve">Réponse non pas dans la loi, mais dans son interprétation (jurisprudence) </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CCASS considère que l’aveu extrajudiciaire est une question souveraine des juges du fond</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Décision de la CIV.1</w:t>
      </w:r>
      <w:r w:rsidRPr="002F5CF4">
        <w:rPr>
          <w:rFonts w:ascii="Times New Roman" w:eastAsia="Arial Unicode MS" w:hAnsi="Times New Roman" w:cs="Arial Unicode MS"/>
          <w:kern w:val="3"/>
          <w:sz w:val="24"/>
          <w:szCs w:val="24"/>
          <w:vertAlign w:val="superscript"/>
          <w:lang w:eastAsia="zh-CN" w:bidi="hi-IN"/>
        </w:rPr>
        <w:t>ère</w:t>
      </w:r>
      <w:r w:rsidRPr="002F5CF4">
        <w:rPr>
          <w:rFonts w:ascii="Times New Roman" w:eastAsia="Arial Unicode MS" w:hAnsi="Times New Roman" w:cs="Arial Unicode MS"/>
          <w:kern w:val="3"/>
          <w:sz w:val="24"/>
          <w:szCs w:val="24"/>
          <w:lang w:eastAsia="zh-CN" w:bidi="hi-IN"/>
        </w:rPr>
        <w:t xml:space="preserve"> du 28 oct. 1970 : « les juges du fond apprécient souverainement le degré de confiance qu’il convient d’aborder à une déclaration faite en dehors de leur présence et peuvent s’estimer pleinement convaincu par un aveu extrajudiciaire »</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p>
    <w:p w:rsidR="002F5CF4" w:rsidRPr="002F5CF4" w:rsidRDefault="002F5CF4" w:rsidP="002F5CF4">
      <w:pPr>
        <w:widowControl w:val="0"/>
        <w:numPr>
          <w:ilvl w:val="0"/>
          <w:numId w:val="6"/>
        </w:numPr>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b/>
          <w:color w:val="00B050"/>
          <w:kern w:val="3"/>
          <w:sz w:val="24"/>
          <w:szCs w:val="24"/>
          <w:u w:val="single"/>
          <w:lang w:eastAsia="zh-CN" w:bidi="hi-IN"/>
        </w:rPr>
        <w:t>La preuve par présomption judiciaire</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b/>
          <w:color w:val="00B050"/>
          <w:kern w:val="3"/>
          <w:sz w:val="24"/>
          <w:szCs w:val="24"/>
          <w:u w:val="single"/>
          <w:lang w:eastAsia="zh-CN" w:bidi="hi-IN"/>
        </w:rPr>
      </w:pP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Il s‘agit ici, d’expliquer ce qu’est une présomption judiciaire et ce qu’elles peuvent apporter.</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C’est le dernier niveau de preuve.</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2 types de présomptions :</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shd w:val="clear" w:color="auto" w:fill="FF00FF"/>
          <w:lang w:eastAsia="zh-CN" w:bidi="hi-IN"/>
        </w:rPr>
        <w:t>Art 1354 du CCIV</w:t>
      </w:r>
      <w:r w:rsidRPr="002F5CF4">
        <w:rPr>
          <w:rFonts w:ascii="Times New Roman" w:eastAsia="Arial Unicode MS" w:hAnsi="Times New Roman" w:cs="Arial Unicode MS"/>
          <w:kern w:val="3"/>
          <w:sz w:val="24"/>
          <w:szCs w:val="24"/>
          <w:lang w:eastAsia="zh-CN" w:bidi="hi-IN"/>
        </w:rPr>
        <w:t> </w:t>
      </w:r>
    </w:p>
    <w:p w:rsidR="002F5CF4" w:rsidRPr="002F5CF4" w:rsidRDefault="002F5CF4" w:rsidP="002F5CF4">
      <w:pPr>
        <w:widowControl w:val="0"/>
        <w:numPr>
          <w:ilvl w:val="0"/>
          <w:numId w:val="2"/>
        </w:numPr>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b/>
          <w:kern w:val="3"/>
          <w:sz w:val="24"/>
          <w:szCs w:val="24"/>
          <w:lang w:eastAsia="zh-CN" w:bidi="hi-IN"/>
        </w:rPr>
        <w:t>Présomption légale</w:t>
      </w:r>
      <w:r w:rsidRPr="002F5CF4">
        <w:rPr>
          <w:rFonts w:ascii="Times New Roman" w:eastAsia="Arial Unicode MS" w:hAnsi="Times New Roman" w:cs="Arial Unicode MS"/>
          <w:kern w:val="3"/>
          <w:sz w:val="24"/>
          <w:szCs w:val="24"/>
          <w:lang w:eastAsia="zh-CN" w:bidi="hi-IN"/>
        </w:rPr>
        <w:t xml:space="preserve"> (qui découle de la loi) art 1354 al 1</w:t>
      </w:r>
      <w:r w:rsidRPr="002F5CF4">
        <w:rPr>
          <w:rFonts w:ascii="Times New Roman" w:eastAsia="Arial Unicode MS" w:hAnsi="Times New Roman" w:cs="Arial Unicode MS"/>
          <w:kern w:val="3"/>
          <w:sz w:val="24"/>
          <w:szCs w:val="24"/>
          <w:vertAlign w:val="superscript"/>
          <w:lang w:eastAsia="zh-CN" w:bidi="hi-IN"/>
        </w:rPr>
        <w:t>er</w:t>
      </w:r>
      <w:r w:rsidRPr="002F5CF4">
        <w:rPr>
          <w:rFonts w:ascii="Times New Roman" w:eastAsia="Arial Unicode MS" w:hAnsi="Times New Roman" w:cs="Arial Unicode MS"/>
          <w:kern w:val="3"/>
          <w:sz w:val="24"/>
          <w:szCs w:val="24"/>
          <w:lang w:eastAsia="zh-CN" w:bidi="hi-IN"/>
        </w:rPr>
        <w:t xml:space="preserve"> : « La présomption que la loi attache à certains actes ou à certains faits en les tenant pour certains dispense celui au profit duquel elle existe d'en rapporter la preuve. »</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Al 2 : « Elle est dite simple, lorsque la loi réserve la preuve contraire, et peut alors être renversée par tout moyen de preuve ; (présomption simple -&gt; peut être renversée par tout moyen.)</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 xml:space="preserve">Elle est dite mixte, lorsque la loi limite les moyens par lesquels elle peut être renversée ou l'objet sur lequel elle peut être renversée ; elle est dite irréfragable lorsqu'elle ne peut être renversée. » </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(Présomption irréfragable ne cède devant rien.)</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shd w:val="clear" w:color="auto" w:fill="FF00FF"/>
          <w:lang w:eastAsia="zh-CN" w:bidi="hi-IN"/>
        </w:rPr>
        <w:lastRenderedPageBreak/>
        <w:t>Art 1382 du CCIV</w:t>
      </w:r>
      <w:r w:rsidRPr="002F5CF4">
        <w:rPr>
          <w:rFonts w:ascii="Times New Roman" w:eastAsia="Arial Unicode MS" w:hAnsi="Times New Roman" w:cs="Arial Unicode MS"/>
          <w:kern w:val="3"/>
          <w:sz w:val="24"/>
          <w:szCs w:val="24"/>
          <w:lang w:eastAsia="zh-CN" w:bidi="hi-IN"/>
        </w:rPr>
        <w:t> : « Les présomptions qui ne sont pas établies par la loi, sont laissées à l'appréciation du juge, qui ne doit les admettre que si elles sont graves, précises et concordantes, et dans les cas seulement où la loi admet la preuve par tout moyen. »</w:t>
      </w:r>
    </w:p>
    <w:p w:rsidR="002F5CF4" w:rsidRPr="002F5CF4" w:rsidRDefault="002F5CF4" w:rsidP="002F5CF4">
      <w:pPr>
        <w:widowControl w:val="0"/>
        <w:numPr>
          <w:ilvl w:val="0"/>
          <w:numId w:val="2"/>
        </w:numPr>
        <w:suppressAutoHyphens/>
        <w:autoSpaceDN w:val="0"/>
        <w:spacing w:after="0" w:line="240" w:lineRule="auto"/>
        <w:jc w:val="both"/>
        <w:textAlignment w:val="baseline"/>
        <w:rPr>
          <w:rFonts w:ascii="Times New Roman" w:eastAsia="Arial Unicode MS" w:hAnsi="Times New Roman" w:cs="Arial Unicode MS"/>
          <w:b/>
          <w:kern w:val="3"/>
          <w:sz w:val="24"/>
          <w:szCs w:val="24"/>
          <w:lang w:eastAsia="zh-CN" w:bidi="hi-IN"/>
        </w:rPr>
      </w:pPr>
      <w:r w:rsidRPr="002F5CF4">
        <w:rPr>
          <w:rFonts w:ascii="Times New Roman" w:eastAsia="Arial Unicode MS" w:hAnsi="Times New Roman" w:cs="Arial Unicode MS"/>
          <w:b/>
          <w:kern w:val="3"/>
          <w:sz w:val="24"/>
          <w:szCs w:val="24"/>
          <w:lang w:eastAsia="zh-CN" w:bidi="hi-IN"/>
        </w:rPr>
        <w:t>Présomption judiciaire (relève de l’appréciation du juge et non de la loi)</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Elle existe si : 2 conditions :</w:t>
      </w:r>
    </w:p>
    <w:p w:rsidR="002F5CF4" w:rsidRPr="002F5CF4" w:rsidRDefault="002F5CF4" w:rsidP="002F5CF4">
      <w:pPr>
        <w:widowControl w:val="0"/>
        <w:numPr>
          <w:ilvl w:val="0"/>
          <w:numId w:val="1"/>
        </w:numPr>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 xml:space="preserve">Il faut qu’elle soit grave, précise, concordante </w:t>
      </w:r>
    </w:p>
    <w:p w:rsidR="002F5CF4" w:rsidRPr="002F5CF4" w:rsidRDefault="002F5CF4" w:rsidP="002F5CF4">
      <w:pPr>
        <w:widowControl w:val="0"/>
        <w:numPr>
          <w:ilvl w:val="0"/>
          <w:numId w:val="1"/>
        </w:numPr>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Il faut être dans le cas où la loi admet la preuve par tout moyen</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Ces présomptions sont laissées à l’appréciation du juge</w:t>
      </w:r>
    </w:p>
    <w:p w:rsidR="002F5CF4" w:rsidRPr="002F5CF4" w:rsidRDefault="002F5CF4" w:rsidP="002F5CF4">
      <w:pPr>
        <w:widowControl w:val="0"/>
        <w:numPr>
          <w:ilvl w:val="0"/>
          <w:numId w:val="2"/>
        </w:numPr>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Jurisprudence nous enseigne que les présomptions relèvent de l’appréciation souveraine des juges du fond.</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Décision CIV.1</w:t>
      </w:r>
      <w:r w:rsidRPr="002F5CF4">
        <w:rPr>
          <w:rFonts w:ascii="Times New Roman" w:eastAsia="Arial Unicode MS" w:hAnsi="Times New Roman" w:cs="Arial Unicode MS"/>
          <w:kern w:val="3"/>
          <w:sz w:val="24"/>
          <w:szCs w:val="24"/>
          <w:vertAlign w:val="superscript"/>
          <w:lang w:eastAsia="zh-CN" w:bidi="hi-IN"/>
        </w:rPr>
        <w:t>ère</w:t>
      </w:r>
      <w:r w:rsidRPr="002F5CF4">
        <w:rPr>
          <w:rFonts w:ascii="Times New Roman" w:eastAsia="Arial Unicode MS" w:hAnsi="Times New Roman" w:cs="Arial Unicode MS"/>
          <w:kern w:val="3"/>
          <w:sz w:val="24"/>
          <w:szCs w:val="24"/>
          <w:lang w:eastAsia="zh-CN" w:bidi="hi-IN"/>
        </w:rPr>
        <w:t xml:space="preserve"> du 26 oct. 1982 : « la preuve de la propriété entre époux séparés de biens est régit par l’art 1538 du CCIV, lequel autorise la preuve par tout moyen ; dès lors les juges du fond apprécient souverainement les présomptions qui leurs sont soumis. »</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p>
    <w:p w:rsidR="002F5CF4" w:rsidRPr="002F5CF4" w:rsidRDefault="002F5CF4" w:rsidP="002F5CF4">
      <w:pPr>
        <w:widowControl w:val="0"/>
        <w:suppressAutoHyphens/>
        <w:autoSpaceDN w:val="0"/>
        <w:spacing w:after="0" w:line="240" w:lineRule="auto"/>
        <w:jc w:val="center"/>
        <w:textAlignment w:val="baseline"/>
        <w:rPr>
          <w:rFonts w:ascii="Times New Roman" w:eastAsia="Arial Unicode MS" w:hAnsi="Times New Roman" w:cs="Arial Unicode MS"/>
          <w:color w:val="FF0000"/>
          <w:kern w:val="3"/>
          <w:sz w:val="24"/>
          <w:szCs w:val="24"/>
          <w:lang w:eastAsia="zh-CN" w:bidi="hi-IN"/>
        </w:rPr>
      </w:pPr>
      <w:r w:rsidRPr="002F5CF4">
        <w:rPr>
          <w:rFonts w:ascii="Times New Roman" w:eastAsia="Arial Unicode MS" w:hAnsi="Times New Roman" w:cs="Arial Unicode MS"/>
          <w:color w:val="FF0000"/>
          <w:kern w:val="3"/>
          <w:sz w:val="24"/>
          <w:szCs w:val="24"/>
          <w:lang w:eastAsia="zh-CN" w:bidi="hi-IN"/>
        </w:rPr>
        <w:t>Sous-section 3 : l’adaptation de la preuve écrite aux nouvelles technologies de l’information et de l‘internet</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b/>
          <w:color w:val="FF0000"/>
          <w:kern w:val="3"/>
          <w:sz w:val="24"/>
          <w:szCs w:val="24"/>
          <w:lang w:eastAsia="zh-CN" w:bidi="hi-IN"/>
        </w:rPr>
      </w:pPr>
      <w:r w:rsidRPr="002F5CF4">
        <w:rPr>
          <w:rFonts w:ascii="Times New Roman" w:eastAsia="Arial Unicode MS" w:hAnsi="Times New Roman" w:cs="Arial Unicode MS"/>
          <w:b/>
          <w:color w:val="FF0000"/>
          <w:kern w:val="3"/>
          <w:sz w:val="24"/>
          <w:szCs w:val="24"/>
          <w:lang w:eastAsia="zh-CN" w:bidi="hi-IN"/>
        </w:rPr>
        <w:t>Paragraphe 1 : l’écrit électronique</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Travail sur des textes qui proviennent de la loi du 13 mars 2000 (portée sur l’adaptation du droit de la preuve aux technologies de l’information et relative à la signature électronique)</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Elle fait rentrée les aspects de dématérialisation qui proviennent de l’informatique et d’internet.</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Ordonnances du 10 févr. 2016 a aussi touché les arts de la loi de 2000 (nouvelles numérotations)</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Ecrit électronique = le fait de dissocier l’écrit du support.</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Lorsqu’on parle d’écrit depuis la loi de 2000 on est aussi bien sur écrit papier que sur un écrit sur support électronique.</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p>
    <w:p w:rsidR="002F5CF4" w:rsidRPr="002F5CF4" w:rsidRDefault="002F5CF4" w:rsidP="002F5CF4">
      <w:pPr>
        <w:widowControl w:val="0"/>
        <w:numPr>
          <w:ilvl w:val="0"/>
          <w:numId w:val="3"/>
        </w:numPr>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shd w:val="clear" w:color="auto" w:fill="FF00FF"/>
          <w:lang w:eastAsia="zh-CN" w:bidi="hi-IN"/>
        </w:rPr>
        <w:t>Art 1365 -1366 du CCIV</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 xml:space="preserve"> </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 L'écrit consiste en une suite de lettres, de caractères, de chiffres ou de tous autres signes ou symboles dotés d'une signification intelligible, quel que soit leur support. » (Art 1365)</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p>
    <w:p w:rsidR="002F5CF4" w:rsidRPr="002F5CF4" w:rsidRDefault="002F5CF4" w:rsidP="002F5CF4">
      <w:pPr>
        <w:widowControl w:val="0"/>
        <w:numPr>
          <w:ilvl w:val="0"/>
          <w:numId w:val="2"/>
        </w:numPr>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 xml:space="preserve">Fait un écart entre la civilisation de l’écrit et celle de la dématérialisation </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 L'écrit électronique a la même force probante que l'écrit sur support papier, sous réserve que puisse être dûment identifiée la personne dont il émane et qu'il soit établi et conservé dans des conditions de nature à en garantir l'intégrité. » (Art 1366)</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S’agissant du support électronique il faut que 2 conditions soient remplies :</w:t>
      </w:r>
    </w:p>
    <w:p w:rsidR="002F5CF4" w:rsidRPr="002F5CF4" w:rsidRDefault="002F5CF4" w:rsidP="002F5CF4">
      <w:pPr>
        <w:widowControl w:val="0"/>
        <w:numPr>
          <w:ilvl w:val="0"/>
          <w:numId w:val="1"/>
        </w:numPr>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Il faut que la personne dont émane cette écrit électronique soit identifiée</w:t>
      </w:r>
    </w:p>
    <w:p w:rsidR="002F5CF4" w:rsidRPr="002F5CF4" w:rsidRDefault="002F5CF4" w:rsidP="002F5CF4">
      <w:pPr>
        <w:widowControl w:val="0"/>
        <w:numPr>
          <w:ilvl w:val="0"/>
          <w:numId w:val="1"/>
        </w:numPr>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Il faut que cet écrit électronique soit établi et conservé dans des conditions de nature à en garantir l’intégrité</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 xml:space="preserve">Conséquences liées à cette force probante : </w:t>
      </w:r>
    </w:p>
    <w:p w:rsidR="002F5CF4" w:rsidRPr="002F5CF4" w:rsidRDefault="002F5CF4" w:rsidP="002F5CF4">
      <w:pPr>
        <w:widowControl w:val="0"/>
        <w:numPr>
          <w:ilvl w:val="0"/>
          <w:numId w:val="1"/>
        </w:numPr>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 xml:space="preserve">Dès l’instant où la personne dont elle émane est identifié, et que cet écrit est conservé de sorte à en garantir l’intégrité -&gt; L’écrit à la même force probante </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p>
    <w:p w:rsidR="002F5CF4" w:rsidRPr="002F5CF4" w:rsidRDefault="002F5CF4" w:rsidP="002F5CF4">
      <w:pPr>
        <w:widowControl w:val="0"/>
        <w:numPr>
          <w:ilvl w:val="0"/>
          <w:numId w:val="3"/>
        </w:numPr>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Acte authentique :</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Al 2 de l’art 1369 : « il peut être dressé sur support électronique »</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Avec un renvoi à un décret pour fixer ces conditions</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p>
    <w:p w:rsidR="002F5CF4" w:rsidRPr="002F5CF4" w:rsidRDefault="002F5CF4" w:rsidP="002F5CF4">
      <w:pPr>
        <w:widowControl w:val="0"/>
        <w:numPr>
          <w:ilvl w:val="0"/>
          <w:numId w:val="3"/>
        </w:numPr>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Acte sous signature privée</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Hypothèse particulière de l’art 1375 du CCIV al 4 du CCIV : « L'exigence d'une pluralité d'originaux est réputée satisfaite pour les contrats sous forme électronique lorsque l'acte est établi et conservé conformément aux articles 1366 et 1367, et que le procédé permet à chaque partie de disposer d'un exemplaire sur support durable ou d'y avoir accès. »</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Si un acte est établi où chaque partie à accès à un original alors l’exigence de pluralité d’originaux est valable.</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Paragraphe 2 : la signature électronique</w:t>
      </w:r>
    </w:p>
    <w:p w:rsidR="002F5CF4" w:rsidRPr="002F5CF4" w:rsidRDefault="002F5CF4" w:rsidP="002F5CF4">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Signature électronique = signature tout cour -&gt; lorsque nous avons évoqué l’acte authentique ou sous signature privé, la signature à un rôle essentiel.</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 xml:space="preserve">Le CCIV considère qu’il faut établir une certaine équivalence entre la signature manuscrite et la signature électronique </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shd w:val="clear" w:color="auto" w:fill="FF00FF"/>
          <w:lang w:eastAsia="zh-CN" w:bidi="hi-IN"/>
        </w:rPr>
        <w:t>Art 1367 du CCIV</w:t>
      </w:r>
      <w:r w:rsidRPr="002F5CF4">
        <w:rPr>
          <w:rFonts w:ascii="Times New Roman" w:eastAsia="Arial Unicode MS" w:hAnsi="Times New Roman" w:cs="Arial Unicode MS"/>
          <w:kern w:val="3"/>
          <w:sz w:val="24"/>
          <w:szCs w:val="24"/>
          <w:lang w:eastAsia="zh-CN" w:bidi="hi-IN"/>
        </w:rPr>
        <w:t xml:space="preserve"> : « La signature nécessaire à la perfection d'un acte juridique </w:t>
      </w:r>
      <w:r w:rsidRPr="002F5CF4">
        <w:rPr>
          <w:rFonts w:ascii="Times New Roman" w:eastAsia="Arial Unicode MS" w:hAnsi="Times New Roman" w:cs="Arial Unicode MS"/>
          <w:kern w:val="3"/>
          <w:sz w:val="24"/>
          <w:szCs w:val="24"/>
          <w:shd w:val="clear" w:color="auto" w:fill="FFFF00"/>
          <w:lang w:eastAsia="zh-CN" w:bidi="hi-IN"/>
        </w:rPr>
        <w:t>identifie son auteur</w:t>
      </w:r>
      <w:r w:rsidRPr="002F5CF4">
        <w:rPr>
          <w:rFonts w:ascii="Times New Roman" w:eastAsia="Arial Unicode MS" w:hAnsi="Times New Roman" w:cs="Arial Unicode MS"/>
          <w:kern w:val="3"/>
          <w:sz w:val="24"/>
          <w:szCs w:val="24"/>
          <w:lang w:eastAsia="zh-CN" w:bidi="hi-IN"/>
        </w:rPr>
        <w:t xml:space="preserve">. Elle manifeste son consentement aux obligations qui découlent de cet acte. </w:t>
      </w:r>
      <w:r w:rsidRPr="002F5CF4">
        <w:rPr>
          <w:rFonts w:ascii="Times New Roman" w:eastAsia="Arial Unicode MS" w:hAnsi="Times New Roman" w:cs="Arial Unicode MS"/>
          <w:kern w:val="3"/>
          <w:sz w:val="24"/>
          <w:szCs w:val="24"/>
          <w:shd w:val="clear" w:color="auto" w:fill="FFFF00"/>
          <w:lang w:eastAsia="zh-CN" w:bidi="hi-IN"/>
        </w:rPr>
        <w:t>Quand elle est apposée par un officier public, elle confère l'authenticité à l'acte.</w:t>
      </w:r>
      <w:r w:rsidRPr="002F5CF4">
        <w:rPr>
          <w:rFonts w:ascii="Times New Roman" w:eastAsia="Arial Unicode MS" w:hAnsi="Times New Roman" w:cs="Arial Unicode MS"/>
          <w:kern w:val="3"/>
          <w:sz w:val="24"/>
          <w:szCs w:val="24"/>
          <w:lang w:eastAsia="zh-CN" w:bidi="hi-IN"/>
        </w:rPr>
        <w:t> » (Al 1</w:t>
      </w:r>
      <w:r w:rsidRPr="002F5CF4">
        <w:rPr>
          <w:rFonts w:ascii="Times New Roman" w:eastAsia="Arial Unicode MS" w:hAnsi="Times New Roman" w:cs="Arial Unicode MS"/>
          <w:kern w:val="3"/>
          <w:sz w:val="24"/>
          <w:szCs w:val="24"/>
          <w:vertAlign w:val="superscript"/>
          <w:lang w:eastAsia="zh-CN" w:bidi="hi-IN"/>
        </w:rPr>
        <w:t>er</w:t>
      </w:r>
      <w:r w:rsidRPr="002F5CF4">
        <w:rPr>
          <w:rFonts w:ascii="Times New Roman" w:eastAsia="Arial Unicode MS" w:hAnsi="Times New Roman" w:cs="Arial Unicode MS"/>
          <w:kern w:val="3"/>
          <w:sz w:val="24"/>
          <w:szCs w:val="24"/>
          <w:lang w:eastAsia="zh-CN" w:bidi="hi-IN"/>
        </w:rPr>
        <w:t>)</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b/>
          <w:kern w:val="3"/>
          <w:sz w:val="24"/>
          <w:szCs w:val="24"/>
          <w:lang w:eastAsia="zh-CN" w:bidi="hi-IN"/>
        </w:rPr>
      </w:pP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 </w:t>
      </w:r>
      <w:r w:rsidRPr="002F5CF4">
        <w:rPr>
          <w:rFonts w:ascii="Times New Roman" w:eastAsia="Arial Unicode MS" w:hAnsi="Times New Roman" w:cs="Arial Unicode MS"/>
          <w:kern w:val="3"/>
          <w:sz w:val="24"/>
          <w:szCs w:val="24"/>
          <w:shd w:val="clear" w:color="auto" w:fill="FFFF00"/>
          <w:lang w:eastAsia="zh-CN" w:bidi="hi-IN"/>
        </w:rPr>
        <w:t>Lorsqu'elle est électronique, elle consiste en l'usage d'un procédé fiable d'identification garantissant son lien avec l'acte auquel elle s'attache</w:t>
      </w:r>
      <w:r w:rsidRPr="002F5CF4">
        <w:rPr>
          <w:rFonts w:ascii="Times New Roman" w:eastAsia="Arial Unicode MS" w:hAnsi="Times New Roman" w:cs="Arial Unicode MS"/>
          <w:kern w:val="3"/>
          <w:sz w:val="24"/>
          <w:szCs w:val="24"/>
          <w:lang w:eastAsia="zh-CN" w:bidi="hi-IN"/>
        </w:rPr>
        <w:t>. » (Al 2)</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p>
    <w:p w:rsidR="002F5CF4" w:rsidRPr="002F5CF4" w:rsidRDefault="002F5CF4" w:rsidP="002F5CF4">
      <w:pPr>
        <w:widowControl w:val="0"/>
        <w:numPr>
          <w:ilvl w:val="0"/>
          <w:numId w:val="3"/>
        </w:numPr>
        <w:suppressAutoHyphens/>
        <w:autoSpaceDN w:val="0"/>
        <w:spacing w:after="0" w:line="240" w:lineRule="auto"/>
        <w:jc w:val="both"/>
        <w:textAlignment w:val="baseline"/>
        <w:rPr>
          <w:rFonts w:ascii="Times New Roman" w:eastAsia="Arial Unicode MS" w:hAnsi="Times New Roman" w:cs="Mangal"/>
          <w:kern w:val="3"/>
          <w:sz w:val="24"/>
          <w:szCs w:val="21"/>
          <w:lang w:eastAsia="zh-CN" w:bidi="hi-IN"/>
        </w:rPr>
      </w:pPr>
      <w:r w:rsidRPr="002F5CF4">
        <w:rPr>
          <w:rFonts w:ascii="Times New Roman" w:eastAsia="Arial Unicode MS" w:hAnsi="Times New Roman" w:cs="Mangal"/>
          <w:kern w:val="3"/>
          <w:sz w:val="24"/>
          <w:szCs w:val="21"/>
          <w:lang w:eastAsia="zh-CN" w:bidi="hi-IN"/>
        </w:rPr>
        <w:t>Procédé fiable -&gt; 2 types :</w:t>
      </w:r>
    </w:p>
    <w:p w:rsidR="002F5CF4" w:rsidRPr="002F5CF4" w:rsidRDefault="002F5CF4" w:rsidP="002F5CF4">
      <w:pPr>
        <w:widowControl w:val="0"/>
        <w:numPr>
          <w:ilvl w:val="0"/>
          <w:numId w:val="1"/>
        </w:numPr>
        <w:suppressAutoHyphens/>
        <w:autoSpaceDN w:val="0"/>
        <w:spacing w:after="0" w:line="240" w:lineRule="auto"/>
        <w:jc w:val="both"/>
        <w:textAlignment w:val="baseline"/>
        <w:rPr>
          <w:rFonts w:ascii="Times New Roman" w:eastAsia="Arial Unicode MS" w:hAnsi="Times New Roman" w:cs="Mangal"/>
          <w:b/>
          <w:kern w:val="3"/>
          <w:sz w:val="24"/>
          <w:szCs w:val="21"/>
          <w:lang w:eastAsia="zh-CN" w:bidi="hi-IN"/>
        </w:rPr>
      </w:pPr>
      <w:r w:rsidRPr="002F5CF4">
        <w:rPr>
          <w:rFonts w:ascii="Times New Roman" w:eastAsia="Arial Unicode MS" w:hAnsi="Times New Roman" w:cs="Mangal"/>
          <w:b/>
          <w:kern w:val="3"/>
          <w:sz w:val="24"/>
          <w:szCs w:val="21"/>
          <w:lang w:eastAsia="zh-CN" w:bidi="hi-IN"/>
        </w:rPr>
        <w:t>Fiabilité présumée</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Fin de l’al 2 de l’art 1367 : « La fiabilité de ce procédé est présumée, jusqu'à preuve contraire, lorsque la signature électronique est créée, l'identité du signataire assurée et l'intégrité de l'acte garantie, dans des conditions fixées par décret en Conseil d'Etat »</w:t>
      </w:r>
    </w:p>
    <w:p w:rsidR="002F5CF4" w:rsidRPr="002F5CF4" w:rsidRDefault="002F5CF4" w:rsidP="002F5CF4">
      <w:pPr>
        <w:widowControl w:val="0"/>
        <w:numPr>
          <w:ilvl w:val="0"/>
          <w:numId w:val="2"/>
        </w:numPr>
        <w:suppressAutoHyphens/>
        <w:autoSpaceDN w:val="0"/>
        <w:spacing w:after="0" w:line="240" w:lineRule="auto"/>
        <w:jc w:val="both"/>
        <w:textAlignment w:val="baseline"/>
        <w:rPr>
          <w:rFonts w:ascii="Times New Roman" w:eastAsia="Arial Unicode MS" w:hAnsi="Times New Roman" w:cs="Mangal"/>
          <w:kern w:val="3"/>
          <w:sz w:val="24"/>
          <w:szCs w:val="21"/>
          <w:lang w:eastAsia="zh-CN" w:bidi="hi-IN"/>
        </w:rPr>
      </w:pPr>
      <w:r w:rsidRPr="002F5CF4">
        <w:rPr>
          <w:rFonts w:ascii="Times New Roman" w:eastAsia="Arial Unicode MS" w:hAnsi="Times New Roman" w:cs="Mangal"/>
          <w:kern w:val="3"/>
          <w:sz w:val="24"/>
          <w:szCs w:val="21"/>
          <w:lang w:eastAsia="zh-CN" w:bidi="hi-IN"/>
        </w:rPr>
        <w:t>Présomption prévue par la loi donc elle est légale.  Elle est simple car « jusqu’à preuve contraire » elle n’est pas absolue.</w:t>
      </w:r>
    </w:p>
    <w:p w:rsidR="002F5CF4" w:rsidRPr="002F5CF4" w:rsidRDefault="002F5CF4" w:rsidP="002F5CF4">
      <w:pPr>
        <w:widowControl w:val="0"/>
        <w:suppressAutoHyphens/>
        <w:autoSpaceDN w:val="0"/>
        <w:spacing w:after="0" w:line="240" w:lineRule="auto"/>
        <w:ind w:left="720"/>
        <w:jc w:val="both"/>
        <w:textAlignment w:val="baseline"/>
        <w:rPr>
          <w:rFonts w:ascii="Times New Roman" w:eastAsia="Arial Unicode MS" w:hAnsi="Times New Roman" w:cs="Mangal"/>
          <w:kern w:val="3"/>
          <w:sz w:val="24"/>
          <w:szCs w:val="21"/>
          <w:lang w:eastAsia="zh-CN" w:bidi="hi-IN"/>
        </w:rPr>
      </w:pP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 xml:space="preserve">3 conditions pour la présomption de fiabilité : prévu par le décret du 30 mars 2001 </w:t>
      </w:r>
    </w:p>
    <w:p w:rsidR="002F5CF4" w:rsidRPr="002F5CF4" w:rsidRDefault="002F5CF4" w:rsidP="002F5CF4">
      <w:pPr>
        <w:widowControl w:val="0"/>
        <w:numPr>
          <w:ilvl w:val="0"/>
          <w:numId w:val="7"/>
        </w:numPr>
        <w:suppressAutoHyphens/>
        <w:autoSpaceDN w:val="0"/>
        <w:spacing w:after="0" w:line="240" w:lineRule="auto"/>
        <w:jc w:val="both"/>
        <w:textAlignment w:val="baseline"/>
        <w:rPr>
          <w:rFonts w:ascii="Times New Roman" w:eastAsia="Arial Unicode MS" w:hAnsi="Times New Roman" w:cs="Mangal"/>
          <w:kern w:val="3"/>
          <w:sz w:val="24"/>
          <w:szCs w:val="21"/>
          <w:lang w:eastAsia="zh-CN" w:bidi="hi-IN"/>
        </w:rPr>
      </w:pPr>
      <w:r w:rsidRPr="002F5CF4">
        <w:rPr>
          <w:rFonts w:ascii="Times New Roman" w:eastAsia="Arial Unicode MS" w:hAnsi="Times New Roman" w:cs="Mangal"/>
          <w:kern w:val="3"/>
          <w:sz w:val="24"/>
          <w:szCs w:val="21"/>
          <w:lang w:eastAsia="zh-CN" w:bidi="hi-IN"/>
        </w:rPr>
        <w:t>Elle concerne la signature électronique</w:t>
      </w:r>
    </w:p>
    <w:p w:rsidR="002F5CF4" w:rsidRPr="002F5CF4" w:rsidRDefault="002F5CF4" w:rsidP="002F5CF4">
      <w:pPr>
        <w:widowControl w:val="0"/>
        <w:numPr>
          <w:ilvl w:val="0"/>
          <w:numId w:val="7"/>
        </w:numPr>
        <w:suppressAutoHyphens/>
        <w:autoSpaceDN w:val="0"/>
        <w:spacing w:after="0" w:line="240" w:lineRule="auto"/>
        <w:jc w:val="both"/>
        <w:textAlignment w:val="baseline"/>
        <w:rPr>
          <w:rFonts w:ascii="Times New Roman" w:eastAsia="Arial Unicode MS" w:hAnsi="Times New Roman" w:cs="Mangal"/>
          <w:kern w:val="3"/>
          <w:sz w:val="24"/>
          <w:szCs w:val="21"/>
          <w:lang w:eastAsia="zh-CN" w:bidi="hi-IN"/>
        </w:rPr>
      </w:pPr>
      <w:r w:rsidRPr="002F5CF4">
        <w:rPr>
          <w:rFonts w:ascii="Times New Roman" w:eastAsia="Arial Unicode MS" w:hAnsi="Times New Roman" w:cs="Mangal"/>
          <w:kern w:val="3"/>
          <w:sz w:val="24"/>
          <w:szCs w:val="21"/>
          <w:lang w:eastAsia="zh-CN" w:bidi="hi-IN"/>
        </w:rPr>
        <w:t>Elle concerne l’identité du signataire</w:t>
      </w:r>
    </w:p>
    <w:p w:rsidR="002F5CF4" w:rsidRPr="002F5CF4" w:rsidRDefault="002F5CF4" w:rsidP="002F5CF4">
      <w:pPr>
        <w:widowControl w:val="0"/>
        <w:numPr>
          <w:ilvl w:val="0"/>
          <w:numId w:val="7"/>
        </w:numPr>
        <w:suppressAutoHyphens/>
        <w:autoSpaceDN w:val="0"/>
        <w:spacing w:after="0" w:line="240" w:lineRule="auto"/>
        <w:jc w:val="both"/>
        <w:textAlignment w:val="baseline"/>
        <w:rPr>
          <w:rFonts w:ascii="Times New Roman" w:eastAsia="Arial Unicode MS" w:hAnsi="Times New Roman" w:cs="Mangal"/>
          <w:kern w:val="3"/>
          <w:sz w:val="24"/>
          <w:szCs w:val="21"/>
          <w:lang w:eastAsia="zh-CN" w:bidi="hi-IN"/>
        </w:rPr>
      </w:pPr>
      <w:r w:rsidRPr="002F5CF4">
        <w:rPr>
          <w:rFonts w:ascii="Times New Roman" w:eastAsia="Arial Unicode MS" w:hAnsi="Times New Roman" w:cs="Mangal"/>
          <w:kern w:val="3"/>
          <w:sz w:val="24"/>
          <w:szCs w:val="21"/>
          <w:lang w:eastAsia="zh-CN" w:bidi="hi-IN"/>
        </w:rPr>
        <w:t xml:space="preserve">L’intégrité garanti de l’acte </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p>
    <w:p w:rsidR="002F5CF4" w:rsidRPr="002F5CF4" w:rsidRDefault="002F5CF4" w:rsidP="002F5CF4">
      <w:pPr>
        <w:widowControl w:val="0"/>
        <w:numPr>
          <w:ilvl w:val="0"/>
          <w:numId w:val="1"/>
        </w:numPr>
        <w:suppressAutoHyphens/>
        <w:autoSpaceDN w:val="0"/>
        <w:spacing w:after="0" w:line="240" w:lineRule="auto"/>
        <w:jc w:val="both"/>
        <w:textAlignment w:val="baseline"/>
        <w:rPr>
          <w:rFonts w:ascii="Times New Roman" w:eastAsia="Arial Unicode MS" w:hAnsi="Times New Roman" w:cs="Mangal"/>
          <w:b/>
          <w:kern w:val="3"/>
          <w:sz w:val="24"/>
          <w:szCs w:val="21"/>
          <w:lang w:eastAsia="zh-CN" w:bidi="hi-IN"/>
        </w:rPr>
      </w:pPr>
      <w:r w:rsidRPr="002F5CF4">
        <w:rPr>
          <w:rFonts w:ascii="Times New Roman" w:eastAsia="Arial Unicode MS" w:hAnsi="Times New Roman" w:cs="Mangal"/>
          <w:b/>
          <w:kern w:val="3"/>
          <w:sz w:val="24"/>
          <w:szCs w:val="21"/>
          <w:lang w:eastAsia="zh-CN" w:bidi="hi-IN"/>
        </w:rPr>
        <w:t>Fiabilité à démontrer (pas de fiabilité présumée)</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L’intéresser doit démontrer au juge que c’est fiable.</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Dans le doute de la preuve, la présomption protège le demandeur et est défavorable au défendeur</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 xml:space="preserve">Lorsqu’il n’y a pas de présomption, c’est l’inverse. </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p>
    <w:p w:rsidR="002F5CF4" w:rsidRPr="002F5CF4" w:rsidRDefault="002F5CF4" w:rsidP="002F5CF4">
      <w:pPr>
        <w:widowControl w:val="0"/>
        <w:suppressAutoHyphens/>
        <w:autoSpaceDN w:val="0"/>
        <w:spacing w:after="0" w:line="240" w:lineRule="auto"/>
        <w:jc w:val="center"/>
        <w:textAlignment w:val="baseline"/>
        <w:rPr>
          <w:rFonts w:ascii="Times New Roman" w:eastAsia="Arial Unicode MS" w:hAnsi="Times New Roman" w:cs="Arial Unicode MS"/>
          <w:color w:val="FF0000"/>
          <w:kern w:val="3"/>
          <w:sz w:val="24"/>
          <w:szCs w:val="24"/>
          <w:lang w:eastAsia="zh-CN" w:bidi="hi-IN"/>
        </w:rPr>
      </w:pPr>
      <w:r w:rsidRPr="002F5CF4">
        <w:rPr>
          <w:rFonts w:ascii="Times New Roman" w:eastAsia="Arial Unicode MS" w:hAnsi="Times New Roman" w:cs="Arial Unicode MS"/>
          <w:color w:val="FF0000"/>
          <w:kern w:val="3"/>
          <w:sz w:val="24"/>
          <w:szCs w:val="24"/>
          <w:lang w:eastAsia="zh-CN" w:bidi="hi-IN"/>
        </w:rPr>
        <w:t>Section 2 : la preuve d’un droit subjectif découlant d’un fait juridique</w:t>
      </w:r>
    </w:p>
    <w:p w:rsidR="002F5CF4" w:rsidRPr="002F5CF4" w:rsidRDefault="002F5CF4" w:rsidP="002F5CF4">
      <w:pPr>
        <w:widowControl w:val="0"/>
        <w:suppressAutoHyphens/>
        <w:autoSpaceDN w:val="0"/>
        <w:spacing w:after="0" w:line="240" w:lineRule="auto"/>
        <w:jc w:val="center"/>
        <w:textAlignment w:val="baseline"/>
        <w:rPr>
          <w:rFonts w:ascii="Times New Roman" w:eastAsia="Arial Unicode MS" w:hAnsi="Times New Roman" w:cs="Arial Unicode MS"/>
          <w:color w:val="FF0000"/>
          <w:kern w:val="3"/>
          <w:sz w:val="24"/>
          <w:szCs w:val="24"/>
          <w:lang w:eastAsia="zh-CN" w:bidi="hi-IN"/>
        </w:rPr>
      </w:pP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Art 1358 du CCIV (liberté de preuve)</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t>Or en matière de fait juridique, globalement il n’y a pas de règle générale qui s’applique.</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r w:rsidRPr="002F5CF4">
        <w:rPr>
          <w:rFonts w:ascii="Times New Roman" w:eastAsia="Arial Unicode MS" w:hAnsi="Times New Roman" w:cs="Arial Unicode MS"/>
          <w:kern w:val="3"/>
          <w:sz w:val="24"/>
          <w:szCs w:val="24"/>
          <w:lang w:eastAsia="zh-CN" w:bidi="hi-IN"/>
        </w:rPr>
        <w:lastRenderedPageBreak/>
        <w:t>Règle générale = preuve d’un fait juridique = par tout moyen sauf par exception.</w:t>
      </w: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p>
    <w:p w:rsidR="002F5CF4" w:rsidRPr="002F5CF4" w:rsidRDefault="002F5CF4" w:rsidP="002F5CF4">
      <w:pPr>
        <w:widowControl w:val="0"/>
        <w:suppressAutoHyphens/>
        <w:autoSpaceDN w:val="0"/>
        <w:spacing w:after="0" w:line="240" w:lineRule="auto"/>
        <w:jc w:val="both"/>
        <w:textAlignment w:val="baseline"/>
        <w:rPr>
          <w:rFonts w:ascii="Times New Roman" w:eastAsia="Arial Unicode MS" w:hAnsi="Times New Roman" w:cs="Arial Unicode MS"/>
          <w:kern w:val="3"/>
          <w:sz w:val="24"/>
          <w:szCs w:val="24"/>
          <w:lang w:eastAsia="zh-CN" w:bidi="hi-IN"/>
        </w:rPr>
      </w:pPr>
    </w:p>
    <w:p w:rsidR="002F5CF4" w:rsidRDefault="002F5CF4">
      <w:bookmarkStart w:id="0" w:name="_GoBack"/>
      <w:bookmarkEnd w:id="0"/>
    </w:p>
    <w:sectPr w:rsidR="002F5C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017B"/>
    <w:multiLevelType w:val="multilevel"/>
    <w:tmpl w:val="EB3CF832"/>
    <w:lvl w:ilvl="0">
      <w:start w:val="1"/>
      <w:numFmt w:val="upperLetter"/>
      <w:lvlText w:val="%1)"/>
      <w:lvlJc w:val="left"/>
      <w:pPr>
        <w:ind w:left="720" w:hanging="360"/>
      </w:pPr>
      <w:rPr>
        <w:color w:val="00B05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1F1C8E"/>
    <w:multiLevelType w:val="multilevel"/>
    <w:tmpl w:val="6CB851B6"/>
    <w:lvl w:ilvl="0">
      <w:numFmt w:val="bullet"/>
      <w:lvlText w:val=""/>
      <w:lvlJc w:val="left"/>
      <w:pPr>
        <w:ind w:left="720" w:hanging="360"/>
      </w:pPr>
      <w:rPr>
        <w:rFonts w:ascii="Wingdings" w:eastAsia="Arial Unicode MS" w:hAnsi="Wingdings" w:cs="Arial Unicode M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7621991"/>
    <w:multiLevelType w:val="multilevel"/>
    <w:tmpl w:val="EE92132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05528A"/>
    <w:multiLevelType w:val="multilevel"/>
    <w:tmpl w:val="A0D0C2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754B02"/>
    <w:multiLevelType w:val="multilevel"/>
    <w:tmpl w:val="92D6BC52"/>
    <w:lvl w:ilvl="0">
      <w:numFmt w:val="bullet"/>
      <w:lvlText w:val=""/>
      <w:lvlJc w:val="left"/>
      <w:pPr>
        <w:ind w:left="720" w:hanging="360"/>
      </w:pPr>
      <w:rPr>
        <w:rFonts w:ascii="Wingdings" w:eastAsia="Arial Unicode MS" w:hAnsi="Wingdings" w:cs="Arial Unicode M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CAF36A2"/>
    <w:multiLevelType w:val="multilevel"/>
    <w:tmpl w:val="FD346C20"/>
    <w:lvl w:ilvl="0">
      <w:start w:val="1"/>
      <w:numFmt w:val="upperRoman"/>
      <w:lvlText w:val="%1)"/>
      <w:lvlJc w:val="left"/>
      <w:pPr>
        <w:ind w:left="1080" w:hanging="720"/>
      </w:pPr>
      <w:rPr>
        <w:b/>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0920BAF"/>
    <w:multiLevelType w:val="multilevel"/>
    <w:tmpl w:val="AFBA26E2"/>
    <w:lvl w:ilvl="0">
      <w:numFmt w:val="bullet"/>
      <w:lvlText w:val="-"/>
      <w:lvlJc w:val="left"/>
      <w:pPr>
        <w:ind w:left="720" w:hanging="360"/>
      </w:pPr>
      <w:rPr>
        <w:rFonts w:ascii="Times New Roman" w:eastAsia="Arial Unicode M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1"/>
  </w:num>
  <w:num w:numId="3">
    <w:abstractNumId w:val="4"/>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CF4"/>
    <w:rsid w:val="002F5CF4"/>
    <w:rsid w:val="00FF4F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1BE35"/>
  <w15:chartTrackingRefBased/>
  <w15:docId w15:val="{4CAE4C27-B965-4447-9981-1D0A856AA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1556</Words>
  <Characters>8564</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pollet</dc:creator>
  <cp:keywords/>
  <dc:description/>
  <cp:lastModifiedBy>mathilde pollet</cp:lastModifiedBy>
  <cp:revision>1</cp:revision>
  <dcterms:created xsi:type="dcterms:W3CDTF">2017-11-22T20:21:00Z</dcterms:created>
  <dcterms:modified xsi:type="dcterms:W3CDTF">2017-11-22T20:23:00Z</dcterms:modified>
</cp:coreProperties>
</file>