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E7" w:rsidRDefault="002212ED">
      <w:r>
        <w:t>Nuisances</w:t>
      </w:r>
    </w:p>
    <w:p w:rsidR="002212ED" w:rsidRDefault="002212ED">
      <w:r>
        <w:t xml:space="preserve">Pas de </w:t>
      </w:r>
      <w:r w:rsidR="00F72381">
        <w:t>différence</w:t>
      </w:r>
    </w:p>
    <w:p w:rsidR="002212ED" w:rsidRDefault="002212ED"/>
    <w:p w:rsidR="002212ED" w:rsidRDefault="00F72381">
      <w:r>
        <w:t>Identification</w:t>
      </w:r>
    </w:p>
    <w:p w:rsidR="002212ED" w:rsidRDefault="002212ED" w:rsidP="002212ED">
      <w:pPr>
        <w:ind w:firstLine="708"/>
        <w:jc w:val="both"/>
      </w:pPr>
      <w:r>
        <w:rPr>
          <w:b/>
        </w:rPr>
        <w:t>0.2.1</w:t>
      </w:r>
      <w:r>
        <w:rPr>
          <w:b/>
        </w:rPr>
        <w:tab/>
        <w:t>NUMÉRO D’IDENTIFICATION, DE CHÂSSIS OU DE SÉRIE DU VÉHICULE</w:t>
      </w:r>
    </w:p>
    <w:p w:rsidR="002212ED" w:rsidRDefault="002212ED" w:rsidP="002212ED">
      <w:pPr>
        <w:spacing w:before="120"/>
        <w:jc w:val="both"/>
        <w:rPr>
          <w:szCs w:val="24"/>
        </w:rPr>
      </w:pPr>
      <w:r>
        <w:rPr>
          <w:szCs w:val="24"/>
        </w:rPr>
        <w:t>Le numéro de frappe à froid est relevé sur le véhicule et saisi sur le dispositif informatique portable.</w:t>
      </w:r>
    </w:p>
    <w:p w:rsidR="002212ED" w:rsidRDefault="002212ED" w:rsidP="002212ED">
      <w:pPr>
        <w:jc w:val="both"/>
        <w:rPr>
          <w:szCs w:val="20"/>
        </w:rPr>
      </w:pPr>
    </w:p>
    <w:tbl>
      <w:tblPr>
        <w:tblW w:w="10260" w:type="dxa"/>
        <w:tblInd w:w="-34" w:type="dxa"/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218"/>
        <w:gridCol w:w="4201"/>
        <w:gridCol w:w="3656"/>
        <w:gridCol w:w="1185"/>
      </w:tblGrid>
      <w:tr w:rsidR="002212ED" w:rsidTr="002212ED">
        <w:trPr>
          <w:tblHeader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2212ED" w:rsidRDefault="002212ED">
            <w:pPr>
              <w:widowControl w:val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>
              <w:t>Défaillances</w:t>
            </w:r>
          </w:p>
        </w:tc>
      </w:tr>
      <w:tr w:rsidR="002212ED" w:rsidTr="002212ED">
        <w:trPr>
          <w:tblHeader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2212ED" w:rsidRDefault="002212ED">
            <w:pPr>
              <w:widowControl w:val="0"/>
              <w:jc w:val="center"/>
              <w:rPr>
                <w:rStyle w:val="Marquedecommentaire1"/>
                <w:rFonts w:ascii="Times New Roman" w:eastAsia="SimSun" w:hAnsi="Times New Roman" w:cs="Mangal"/>
                <w:kern w:val="2"/>
                <w:szCs w:val="24"/>
                <w:lang w:bidi="hi-IN"/>
              </w:rPr>
            </w:pPr>
            <w:r>
              <w:t>Code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2212ED" w:rsidRDefault="002212ED">
            <w:pPr>
              <w:widowControl w:val="0"/>
              <w:jc w:val="center"/>
              <w:rPr>
                <w:rStyle w:val="Marquedecommentaire1"/>
                <w:rFonts w:ascii="Times New Roman" w:eastAsia="SimSun" w:hAnsi="Times New Roman" w:cs="Mangal"/>
                <w:kern w:val="2"/>
                <w:szCs w:val="24"/>
                <w:lang w:bidi="hi-IN"/>
              </w:rPr>
            </w:pPr>
            <w:r>
              <w:t>Constat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2212ED" w:rsidRDefault="002212ED">
            <w:pPr>
              <w:widowControl w:val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>
              <w:rPr>
                <w:rStyle w:val="Marquedecommentaire1"/>
                <w:szCs w:val="24"/>
              </w:rPr>
              <w:t>Précisions complémentaires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2212ED" w:rsidRDefault="002212ED">
            <w:pPr>
              <w:widowControl w:val="0"/>
              <w:snapToGrid w:val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>
              <w:t>Niveau</w:t>
            </w:r>
          </w:p>
        </w:tc>
      </w:tr>
      <w:tr w:rsidR="002212ED" w:rsidTr="002212ED">
        <w:trPr>
          <w:tblHeader/>
        </w:trPr>
        <w:tc>
          <w:tcPr>
            <w:tcW w:w="1218" w:type="dxa"/>
            <w:tcBorders>
              <w:top w:val="single" w:sz="4" w:space="0" w:color="000000"/>
              <w:left w:val="single" w:sz="4" w:space="0" w:color="333333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212ED" w:rsidRDefault="002212ED">
            <w:pPr>
              <w:widowControl w:val="0"/>
              <w:snapToGrid w:val="0"/>
              <w:spacing w:before="120"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>
              <w:rPr>
                <w:szCs w:val="24"/>
              </w:rPr>
              <w:t>0.2.1</w:t>
            </w:r>
            <w:proofErr w:type="gramStart"/>
            <w:r>
              <w:rPr>
                <w:szCs w:val="24"/>
              </w:rPr>
              <w:t>.a.2</w:t>
            </w:r>
            <w:proofErr w:type="gramEnd"/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212ED" w:rsidRDefault="002212E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Manquant ou introuvable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212ED" w:rsidRDefault="002212E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Hors véhicules de collection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333333"/>
            </w:tcBorders>
            <w:shd w:val="clear" w:color="auto" w:fill="auto"/>
            <w:hideMark/>
          </w:tcPr>
          <w:p w:rsidR="002212ED" w:rsidRDefault="002212ED">
            <w:pPr>
              <w:widowControl w:val="0"/>
              <w:snapToGrid w:val="0"/>
              <w:spacing w:before="120"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>
              <w:rPr>
                <w:b/>
                <w:color w:val="FF6600"/>
                <w:szCs w:val="24"/>
              </w:rPr>
              <w:t>Majeure</w:t>
            </w:r>
          </w:p>
        </w:tc>
      </w:tr>
      <w:tr w:rsidR="002212ED" w:rsidTr="002212ED">
        <w:trPr>
          <w:tblHeader/>
        </w:trPr>
        <w:tc>
          <w:tcPr>
            <w:tcW w:w="1218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C0C0C0"/>
            </w:tcBorders>
            <w:shd w:val="clear" w:color="auto" w:fill="E0E0E0"/>
            <w:hideMark/>
          </w:tcPr>
          <w:p w:rsidR="002212ED" w:rsidRDefault="002212ED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0.2.1</w:t>
            </w:r>
            <w:proofErr w:type="gramStart"/>
            <w:r>
              <w:rPr>
                <w:szCs w:val="24"/>
              </w:rPr>
              <w:t>.a.4</w:t>
            </w:r>
            <w:proofErr w:type="gramEnd"/>
          </w:p>
        </w:tc>
        <w:tc>
          <w:tcPr>
            <w:tcW w:w="4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hideMark/>
          </w:tcPr>
          <w:p w:rsidR="002212ED" w:rsidRDefault="002212E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Manquant ou introuvable</w:t>
            </w:r>
          </w:p>
        </w:tc>
        <w:tc>
          <w:tcPr>
            <w:tcW w:w="3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hideMark/>
          </w:tcPr>
          <w:p w:rsidR="002212ED" w:rsidRDefault="002212E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Uniquement pour les véhicules de collection</w:t>
            </w:r>
          </w:p>
        </w:tc>
        <w:tc>
          <w:tcPr>
            <w:tcW w:w="1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333333"/>
            </w:tcBorders>
            <w:shd w:val="clear" w:color="auto" w:fill="E0E0E0"/>
            <w:hideMark/>
          </w:tcPr>
          <w:p w:rsidR="002212ED" w:rsidRDefault="002212ED">
            <w:pPr>
              <w:widowControl w:val="0"/>
              <w:snapToGrid w:val="0"/>
              <w:spacing w:before="120" w:after="120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>
              <w:rPr>
                <w:b/>
                <w:szCs w:val="24"/>
              </w:rPr>
              <w:t>Mineure</w:t>
            </w:r>
          </w:p>
        </w:tc>
      </w:tr>
    </w:tbl>
    <w:p w:rsidR="002212ED" w:rsidRDefault="002212ED"/>
    <w:p w:rsidR="002212ED" w:rsidRDefault="002212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754"/>
      </w:tblGrid>
      <w:tr w:rsidR="002212ED" w:rsidTr="002212ED">
        <w:trPr>
          <w:trHeight w:val="426"/>
          <w:tblHeader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12ED" w:rsidRDefault="00221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Exemples de plaques SIV</w:t>
            </w:r>
          </w:p>
        </w:tc>
      </w:tr>
      <w:tr w:rsidR="002212ED" w:rsidTr="002212ED">
        <w:trPr>
          <w:trHeight w:val="1550"/>
          <w:jc w:val="center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ED" w:rsidRDefault="002212ED">
            <w:pPr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b/>
                <w:smallCaps/>
                <w:noProof/>
                <w:lang w:eastAsia="fr-FR"/>
              </w:rPr>
              <w:drawing>
                <wp:inline distT="0" distB="0" distL="0" distR="0">
                  <wp:extent cx="1889760" cy="472440"/>
                  <wp:effectExtent l="0" t="0" r="0" b="3810"/>
                  <wp:docPr id="4" name="Image 4" descr="PLAQUE SIV_collec noire 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QUE SIV_collec noire 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2ED" w:rsidRDefault="002212ED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b/>
                <w:smallCaps/>
              </w:rPr>
              <w:t>Possible en uniquement « collection »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ED" w:rsidRDefault="002212ED">
            <w:pPr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b/>
                <w:smallCaps/>
                <w:noProof/>
                <w:lang w:eastAsia="fr-FR"/>
              </w:rPr>
              <w:drawing>
                <wp:inline distT="0" distB="0" distL="0" distR="0">
                  <wp:extent cx="1341120" cy="739140"/>
                  <wp:effectExtent l="0" t="0" r="0" b="3810"/>
                  <wp:docPr id="3" name="Image 3" descr="PLAQUE SIC_collec noire 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QUE SIC_collec noire 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2ED" w:rsidRDefault="002212ED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b/>
                <w:smallCaps/>
              </w:rPr>
              <w:t>Possible uniquement en « collection »</w:t>
            </w:r>
          </w:p>
        </w:tc>
      </w:tr>
      <w:tr w:rsidR="002212ED" w:rsidTr="002212ED">
        <w:trPr>
          <w:trHeight w:val="1744"/>
          <w:jc w:val="center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ED" w:rsidRDefault="0022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mallCaps/>
                <w:noProof/>
                <w:lang w:eastAsia="fr-FR"/>
              </w:rPr>
              <w:drawing>
                <wp:inline distT="0" distB="0" distL="0" distR="0">
                  <wp:extent cx="2118360" cy="63246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ED" w:rsidRDefault="0022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mallCaps/>
                <w:noProof/>
                <w:lang w:eastAsia="fr-FR"/>
              </w:rPr>
              <w:drawing>
                <wp:inline distT="0" distB="0" distL="0" distR="0">
                  <wp:extent cx="1310640" cy="107442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2ED" w:rsidRDefault="002212ED"/>
    <w:p w:rsidR="002212ED" w:rsidRDefault="002212ED"/>
    <w:p w:rsidR="002212ED" w:rsidRDefault="002212ED">
      <w:r>
        <w:t>Freinage</w:t>
      </w:r>
    </w:p>
    <w:tbl>
      <w:tblPr>
        <w:tblW w:w="1018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81"/>
        <w:gridCol w:w="4021"/>
        <w:gridCol w:w="3976"/>
        <w:gridCol w:w="1110"/>
      </w:tblGrid>
      <w:tr w:rsidR="002212ED" w:rsidTr="002212ED">
        <w:trPr>
          <w:cantSplit/>
        </w:trPr>
        <w:tc>
          <w:tcPr>
            <w:tcW w:w="10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rPr>
                <w:szCs w:val="24"/>
              </w:rPr>
              <w:lastRenderedPageBreak/>
              <w:t>1.1.2</w:t>
            </w:r>
            <w:proofErr w:type="gramStart"/>
            <w:r>
              <w:rPr>
                <w:szCs w:val="24"/>
              </w:rPr>
              <w:t>.c.</w:t>
            </w:r>
            <w:r>
              <w:t>2</w:t>
            </w:r>
            <w:proofErr w:type="gramEnd"/>
          </w:p>
        </w:tc>
        <w:tc>
          <w:tcPr>
            <w:tcW w:w="4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rFonts w:eastAsia="SimSun" w:cs="Mangal"/>
                <w:iCs/>
                <w:kern w:val="2"/>
                <w:sz w:val="24"/>
                <w:szCs w:val="24"/>
                <w:lang w:eastAsia="zh-CN" w:bidi="hi-IN"/>
              </w:rPr>
            </w:pPr>
            <w:r>
              <w:t>Caoutchouc ou dispositif antidérapant de la pédale de frein manquant, mal fixé ou usé</w:t>
            </w:r>
          </w:p>
        </w:tc>
        <w:tc>
          <w:tcPr>
            <w:tcW w:w="39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rFonts w:eastAsia="SimSun" w:cs="Mangal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iCs/>
                <w:szCs w:val="24"/>
                <w:lang w:bidi="hi-IN"/>
              </w:rPr>
              <w:t>Hors véhicules de collection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  <w:szCs w:val="24"/>
              </w:rPr>
              <w:t>Majeure</w:t>
            </w:r>
          </w:p>
        </w:tc>
      </w:tr>
      <w:tr w:rsidR="002212ED" w:rsidTr="002212ED">
        <w:trPr>
          <w:cantSplit/>
        </w:trPr>
        <w:tc>
          <w:tcPr>
            <w:tcW w:w="1080" w:type="dxa"/>
            <w:tcBorders>
              <w:top w:val="single" w:sz="4" w:space="0" w:color="CCCCCC"/>
              <w:left w:val="single" w:sz="4" w:space="0" w:color="333333"/>
              <w:bottom w:val="single" w:sz="4" w:space="0" w:color="333333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rPr>
                <w:szCs w:val="24"/>
              </w:rPr>
              <w:t>1.1.2</w:t>
            </w:r>
            <w:proofErr w:type="gramStart"/>
            <w:r>
              <w:rPr>
                <w:szCs w:val="24"/>
              </w:rPr>
              <w:t>.c.</w:t>
            </w:r>
            <w:r>
              <w:t>4</w:t>
            </w:r>
            <w:proofErr w:type="gramEnd"/>
          </w:p>
        </w:tc>
        <w:tc>
          <w:tcPr>
            <w:tcW w:w="4020" w:type="dxa"/>
            <w:tcBorders>
              <w:top w:val="single" w:sz="4" w:space="0" w:color="CCCCCC"/>
              <w:left w:val="single" w:sz="4" w:space="0" w:color="CCCCCC"/>
              <w:bottom w:val="single" w:sz="4" w:space="0" w:color="333333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rPr>
                <w:rFonts w:eastAsia="SimSun" w:cs="Mangal"/>
                <w:iCs/>
                <w:kern w:val="2"/>
                <w:sz w:val="24"/>
                <w:szCs w:val="24"/>
                <w:lang w:eastAsia="zh-CN" w:bidi="hi-IN"/>
              </w:rPr>
            </w:pPr>
            <w:r>
              <w:t>Caoutchouc ou dispositif antidérapant de la pédale de frein manquant, mal fixé ou usé</w:t>
            </w:r>
          </w:p>
        </w:tc>
        <w:tc>
          <w:tcPr>
            <w:tcW w:w="3975" w:type="dxa"/>
            <w:tcBorders>
              <w:top w:val="single" w:sz="4" w:space="0" w:color="CCCCCC"/>
              <w:left w:val="single" w:sz="4" w:space="0" w:color="CCCCCC"/>
              <w:bottom w:val="single" w:sz="4" w:space="0" w:color="333333"/>
              <w:right w:val="nil"/>
            </w:tcBorders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rFonts w:eastAsia="SimSun" w:cs="Mangal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iCs/>
                <w:szCs w:val="24"/>
                <w:lang w:bidi="hi-IN"/>
              </w:rPr>
              <w:t>Uniquement pour les véhicules de collection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333333"/>
              <w:right w:val="single" w:sz="4" w:space="0" w:color="333333"/>
            </w:tcBorders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b/>
                <w:color w:val="FF6600"/>
                <w:kern w:val="2"/>
                <w:sz w:val="24"/>
                <w:szCs w:val="24"/>
                <w:lang w:eastAsia="zh-CN"/>
              </w:rPr>
            </w:pPr>
            <w:r>
              <w:rPr>
                <w:b/>
              </w:rPr>
              <w:t>Mineure</w:t>
            </w:r>
          </w:p>
        </w:tc>
      </w:tr>
    </w:tbl>
    <w:p w:rsidR="002212ED" w:rsidRDefault="002212ED"/>
    <w:tbl>
      <w:tblPr>
        <w:tblW w:w="1018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281"/>
        <w:gridCol w:w="3821"/>
        <w:gridCol w:w="3916"/>
        <w:gridCol w:w="1170"/>
      </w:tblGrid>
      <w:tr w:rsidR="002212ED" w:rsidTr="002212ED">
        <w:trPr>
          <w:cantSplit/>
        </w:trPr>
        <w:tc>
          <w:tcPr>
            <w:tcW w:w="12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1.1.10</w:t>
            </w:r>
            <w:proofErr w:type="gramStart"/>
            <w:r>
              <w:t>.c.2</w:t>
            </w:r>
            <w:proofErr w:type="gramEnd"/>
          </w:p>
        </w:tc>
        <w:tc>
          <w:tcPr>
            <w:tcW w:w="3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Fixation insuffisante du maître-cylindre, mais frein toujours opérant</w:t>
            </w:r>
          </w:p>
        </w:tc>
        <w:tc>
          <w:tcPr>
            <w:tcW w:w="39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120" w:after="0" w:line="240" w:lineRule="auto"/>
              <w:ind w:left="213" w:hanging="213"/>
              <w:rPr>
                <w:kern w:val="2"/>
                <w:sz w:val="24"/>
                <w:lang w:eastAsia="zh-CN"/>
              </w:rPr>
            </w:pPr>
            <w:r>
              <w:t>Absence, desserrage ou rupture d’au moins un des éléments de fixation du maître-cylindre sur son support</w:t>
            </w:r>
          </w:p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ind w:left="215" w:hanging="215"/>
              <w:rPr>
                <w:b/>
              </w:rPr>
            </w:pPr>
            <w:r>
              <w:t>Maître-cylindre mal fixé</w:t>
            </w:r>
          </w:p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60" w:after="120" w:line="240" w:lineRule="auto"/>
              <w:ind w:left="215" w:hanging="215"/>
              <w:rPr>
                <w:b/>
                <w:kern w:val="2"/>
                <w:sz w:val="24"/>
                <w:lang w:eastAsia="zh-CN"/>
              </w:rPr>
            </w:pPr>
            <w:r>
              <w:t>Hors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FFFFFF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  <w:tr w:rsidR="002212ED" w:rsidTr="002212ED">
        <w:trPr>
          <w:cantSplit/>
        </w:trPr>
        <w:tc>
          <w:tcPr>
            <w:tcW w:w="12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1.1.10</w:t>
            </w:r>
            <w:proofErr w:type="gramStart"/>
            <w:r>
              <w:t>.c.3</w:t>
            </w:r>
            <w:proofErr w:type="gramEnd"/>
          </w:p>
        </w:tc>
        <w:tc>
          <w:tcPr>
            <w:tcW w:w="3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Fixation insuffisante du maître-cylindre</w:t>
            </w:r>
          </w:p>
        </w:tc>
        <w:tc>
          <w:tcPr>
            <w:tcW w:w="39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b/>
                <w:kern w:val="2"/>
                <w:sz w:val="24"/>
                <w:lang w:eastAsia="zh-CN"/>
              </w:rPr>
            </w:pPr>
            <w:r>
              <w:t>Absence totale de fixation, hors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0000"/>
              </w:rPr>
              <w:t>Critique</w:t>
            </w:r>
          </w:p>
        </w:tc>
      </w:tr>
      <w:tr w:rsidR="002212ED" w:rsidTr="002212ED">
        <w:trPr>
          <w:cantSplit/>
        </w:trPr>
        <w:tc>
          <w:tcPr>
            <w:tcW w:w="12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1.1.10</w:t>
            </w:r>
            <w:proofErr w:type="gramStart"/>
            <w:r>
              <w:t>.c.4</w:t>
            </w:r>
            <w:proofErr w:type="gramEnd"/>
          </w:p>
        </w:tc>
        <w:tc>
          <w:tcPr>
            <w:tcW w:w="3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Fixation insuffisante du maître-cylindre</w:t>
            </w:r>
          </w:p>
        </w:tc>
        <w:tc>
          <w:tcPr>
            <w:tcW w:w="39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pacing w:before="120"/>
              <w:rPr>
                <w:kern w:val="2"/>
                <w:sz w:val="24"/>
                <w:lang w:eastAsia="zh-CN"/>
              </w:rPr>
            </w:pPr>
            <w:r>
              <w:t>Uniquement pour les véhicules de collection :</w:t>
            </w:r>
          </w:p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120" w:after="0" w:line="240" w:lineRule="auto"/>
              <w:ind w:left="213" w:hanging="213"/>
            </w:pPr>
            <w:r>
              <w:t>Absence, desserrage ou rupture d’au moins un des éléments de fixation du maître-cylindre sur son support</w:t>
            </w:r>
          </w:p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ind w:left="215" w:hanging="215"/>
            </w:pPr>
            <w:r>
              <w:t>Maître-cylindre mal fixé</w:t>
            </w:r>
          </w:p>
          <w:p w:rsidR="002212ED" w:rsidRDefault="002212ED" w:rsidP="002212ED">
            <w:pPr>
              <w:numPr>
                <w:ilvl w:val="0"/>
                <w:numId w:val="1"/>
              </w:numPr>
              <w:suppressAutoHyphens/>
              <w:spacing w:before="60" w:after="120" w:line="240" w:lineRule="auto"/>
              <w:ind w:left="215" w:hanging="215"/>
              <w:rPr>
                <w:kern w:val="2"/>
                <w:sz w:val="24"/>
                <w:lang w:eastAsia="zh-CN"/>
              </w:rPr>
            </w:pPr>
            <w:r>
              <w:t>Y compris absence totale de fixation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</w:tbl>
    <w:p w:rsidR="002212ED" w:rsidRDefault="002212ED"/>
    <w:tbl>
      <w:tblPr>
        <w:tblW w:w="1018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281"/>
        <w:gridCol w:w="3821"/>
        <w:gridCol w:w="3916"/>
        <w:gridCol w:w="1170"/>
      </w:tblGrid>
      <w:tr w:rsidR="002212ED" w:rsidTr="002212ED">
        <w:trPr>
          <w:cantSplit/>
        </w:trPr>
        <w:tc>
          <w:tcPr>
            <w:tcW w:w="12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1.1.14</w:t>
            </w:r>
            <w:proofErr w:type="gramStart"/>
            <w:r>
              <w:t>.b.3</w:t>
            </w:r>
            <w:proofErr w:type="gramEnd"/>
          </w:p>
        </w:tc>
        <w:tc>
          <w:tcPr>
            <w:tcW w:w="382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Tambours ou disques encrassés par de l’huile, de la graisse, etc. : performances de freinage réduites</w:t>
            </w:r>
          </w:p>
        </w:tc>
        <w:tc>
          <w:tcPr>
            <w:tcW w:w="3915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b/>
                <w:kern w:val="2"/>
                <w:sz w:val="24"/>
                <w:lang w:eastAsia="zh-CN"/>
              </w:rPr>
            </w:pPr>
            <w:r>
              <w:t>Disque, flasque ou tambour encrassé par de l’huile, de la graisse ou autres corps gras sur plus d’une roue, hors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0000"/>
              </w:rPr>
              <w:t>Critique</w:t>
            </w:r>
          </w:p>
        </w:tc>
      </w:tr>
      <w:tr w:rsidR="002212ED" w:rsidTr="002212ED">
        <w:trPr>
          <w:cantSplit/>
        </w:trPr>
        <w:tc>
          <w:tcPr>
            <w:tcW w:w="12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1.1.14</w:t>
            </w:r>
            <w:proofErr w:type="gramStart"/>
            <w:r>
              <w:t>.b.4</w:t>
            </w:r>
            <w:proofErr w:type="gramEnd"/>
          </w:p>
        </w:tc>
        <w:tc>
          <w:tcPr>
            <w:tcW w:w="382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Tambours ou disques encrassés par de l’huile, de la graisse, etc.</w:t>
            </w:r>
          </w:p>
        </w:tc>
        <w:tc>
          <w:tcPr>
            <w:tcW w:w="3915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rPr>
                <w:b/>
                <w:kern w:val="2"/>
                <w:sz w:val="24"/>
                <w:lang w:eastAsia="zh-CN"/>
              </w:rPr>
            </w:pPr>
            <w:r>
              <w:t>Uniquement pour les véhicules de collection : disque, flasque ou tambour encrassé par de l’huile, de la graisse ou autres corps gras sur au moins une roue</w:t>
            </w:r>
          </w:p>
        </w:tc>
        <w:tc>
          <w:tcPr>
            <w:tcW w:w="1170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333333"/>
            </w:tcBorders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b/>
                <w:kern w:val="2"/>
                <w:sz w:val="24"/>
                <w:lang w:eastAsia="zh-CN"/>
              </w:rPr>
            </w:pPr>
            <w:r>
              <w:rPr>
                <w:b/>
              </w:rPr>
              <w:t>Mineure</w:t>
            </w:r>
          </w:p>
        </w:tc>
      </w:tr>
    </w:tbl>
    <w:p w:rsidR="002212ED" w:rsidRDefault="002212ED"/>
    <w:tbl>
      <w:tblPr>
        <w:tblW w:w="1018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281"/>
        <w:gridCol w:w="3821"/>
        <w:gridCol w:w="3916"/>
        <w:gridCol w:w="1170"/>
      </w:tblGrid>
      <w:tr w:rsidR="002212ED" w:rsidTr="00EA1042">
        <w:trPr>
          <w:cantSplit/>
        </w:trPr>
        <w:tc>
          <w:tcPr>
            <w:tcW w:w="10188" w:type="dxa"/>
            <w:gridSpan w:val="4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single" w:sz="4" w:space="0" w:color="333333"/>
            </w:tcBorders>
            <w:shd w:val="clear" w:color="auto" w:fill="D9D9D9"/>
          </w:tcPr>
          <w:p w:rsidR="002212ED" w:rsidRDefault="002212ED" w:rsidP="002212ED">
            <w:pPr>
              <w:widowControl w:val="0"/>
              <w:ind w:firstLine="709"/>
              <w:jc w:val="both"/>
            </w:pPr>
            <w:r>
              <w:rPr>
                <w:b/>
                <w:caps/>
              </w:rPr>
              <w:t xml:space="preserve">cylindres OU ÉTRIERS de freins </w:t>
            </w:r>
          </w:p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b/>
                <w:color w:val="FF6600"/>
              </w:rPr>
            </w:pPr>
          </w:p>
        </w:tc>
      </w:tr>
      <w:tr w:rsidR="002212ED" w:rsidTr="002212ED">
        <w:trPr>
          <w:cantSplit/>
        </w:trPr>
        <w:tc>
          <w:tcPr>
            <w:tcW w:w="1281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1.1.16</w:t>
            </w:r>
            <w:proofErr w:type="gramStart"/>
            <w:r>
              <w:t>.d.2</w:t>
            </w:r>
            <w:proofErr w:type="gramEnd"/>
          </w:p>
        </w:tc>
        <w:tc>
          <w:tcPr>
            <w:tcW w:w="38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Corrosion excessive</w:t>
            </w:r>
          </w:p>
        </w:tc>
        <w:tc>
          <w:tcPr>
            <w:tcW w:w="3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Hors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  <w:tr w:rsidR="002212ED" w:rsidTr="002212ED">
        <w:trPr>
          <w:cantSplit/>
        </w:trPr>
        <w:tc>
          <w:tcPr>
            <w:tcW w:w="1281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lastRenderedPageBreak/>
              <w:t>1.1.16</w:t>
            </w:r>
            <w:proofErr w:type="gramStart"/>
            <w:r>
              <w:t>.d.3</w:t>
            </w:r>
            <w:proofErr w:type="gramEnd"/>
          </w:p>
        </w:tc>
        <w:tc>
          <w:tcPr>
            <w:tcW w:w="38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Corrosion excessive : risque de fissure</w:t>
            </w:r>
          </w:p>
        </w:tc>
        <w:tc>
          <w:tcPr>
            <w:tcW w:w="3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Hors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FFFFFF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0000"/>
              </w:rPr>
              <w:t>Critique</w:t>
            </w:r>
          </w:p>
        </w:tc>
      </w:tr>
      <w:tr w:rsidR="002212ED" w:rsidTr="002212ED">
        <w:trPr>
          <w:cantSplit/>
        </w:trPr>
        <w:tc>
          <w:tcPr>
            <w:tcW w:w="1281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1.1.16</w:t>
            </w:r>
            <w:proofErr w:type="gramStart"/>
            <w:r>
              <w:t>.d.4</w:t>
            </w:r>
            <w:proofErr w:type="gramEnd"/>
          </w:p>
        </w:tc>
        <w:tc>
          <w:tcPr>
            <w:tcW w:w="38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Corrosion excessive</w:t>
            </w:r>
          </w:p>
        </w:tc>
        <w:tc>
          <w:tcPr>
            <w:tcW w:w="3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Uniquement pour les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b/>
                <w:color w:val="FF0000"/>
                <w:kern w:val="2"/>
                <w:sz w:val="24"/>
                <w:lang w:eastAsia="zh-CN"/>
              </w:rPr>
            </w:pPr>
            <w:r>
              <w:rPr>
                <w:b/>
              </w:rPr>
              <w:t>Mineure</w:t>
            </w:r>
          </w:p>
        </w:tc>
      </w:tr>
      <w:tr w:rsidR="002212ED" w:rsidTr="002212ED">
        <w:trPr>
          <w:cantSplit/>
        </w:trPr>
        <w:tc>
          <w:tcPr>
            <w:tcW w:w="1281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1.1.16</w:t>
            </w:r>
            <w:proofErr w:type="gramStart"/>
            <w:r>
              <w:t>.d.5</w:t>
            </w:r>
            <w:proofErr w:type="gramEnd"/>
          </w:p>
        </w:tc>
        <w:tc>
          <w:tcPr>
            <w:tcW w:w="38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Corrosion excessive : risque de fissure</w:t>
            </w:r>
          </w:p>
        </w:tc>
        <w:tc>
          <w:tcPr>
            <w:tcW w:w="3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FFFFFF"/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Uniquement pour les véhicules de collection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FFFFFF"/>
            <w:hideMark/>
          </w:tcPr>
          <w:p w:rsidR="002212ED" w:rsidRDefault="002212ED">
            <w:pPr>
              <w:widowControl w:val="0"/>
              <w:suppressAutoHyphens/>
              <w:snapToGrid w:val="0"/>
              <w:spacing w:before="120" w:after="120"/>
              <w:rPr>
                <w:b/>
                <w:color w:val="FF0000"/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</w:tbl>
    <w:p w:rsidR="002212ED" w:rsidRDefault="002212ED"/>
    <w:p w:rsidR="002212ED" w:rsidRDefault="002212ED">
      <w:r>
        <w:t>Direction</w:t>
      </w:r>
    </w:p>
    <w:p w:rsidR="002212ED" w:rsidRDefault="002212ED">
      <w:r>
        <w:t>Rien</w:t>
      </w:r>
    </w:p>
    <w:p w:rsidR="002212ED" w:rsidRDefault="002212ED"/>
    <w:p w:rsidR="002212ED" w:rsidRDefault="002212ED">
      <w:r>
        <w:t>Visibilité rien</w:t>
      </w:r>
    </w:p>
    <w:p w:rsidR="002212ED" w:rsidRDefault="002212ED"/>
    <w:p w:rsidR="002212ED" w:rsidRDefault="002212ED">
      <w:r>
        <w:t>Eclairage rien</w:t>
      </w:r>
    </w:p>
    <w:p w:rsidR="002212ED" w:rsidRDefault="002212ED"/>
    <w:p w:rsidR="002212ED" w:rsidRDefault="00F72381">
      <w:r>
        <w:t>Liaison</w:t>
      </w:r>
      <w:bookmarkStart w:id="0" w:name="_GoBack"/>
      <w:bookmarkEnd w:id="0"/>
      <w:r w:rsidR="002212ED">
        <w:t xml:space="preserve"> au sol</w:t>
      </w:r>
    </w:p>
    <w:p w:rsidR="002212ED" w:rsidRDefault="002212ED" w:rsidP="002212ED">
      <w:pPr>
        <w:widowControl w:val="0"/>
        <w:ind w:left="708"/>
        <w:rPr>
          <w:b/>
          <w:i/>
        </w:rPr>
      </w:pPr>
      <w:r>
        <w:rPr>
          <w:b/>
          <w:caps/>
        </w:rPr>
        <w:t>5.2.2 JANTE</w:t>
      </w:r>
    </w:p>
    <w:p w:rsidR="002212ED" w:rsidRDefault="002212ED" w:rsidP="002212ED">
      <w:pPr>
        <w:widowControl w:val="0"/>
        <w:ind w:left="708"/>
        <w:rPr>
          <w:b/>
          <w:i/>
        </w:rPr>
      </w:pPr>
    </w:p>
    <w:tbl>
      <w:tblPr>
        <w:tblW w:w="10224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1079"/>
        <w:gridCol w:w="4080"/>
        <w:gridCol w:w="3915"/>
        <w:gridCol w:w="1150"/>
      </w:tblGrid>
      <w:tr w:rsidR="002212ED" w:rsidTr="002212ED">
        <w:trPr>
          <w:cantSplit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  <w:hideMark/>
          </w:tcPr>
          <w:p w:rsidR="002212ED" w:rsidRDefault="002212ED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Défaillances</w:t>
            </w:r>
          </w:p>
        </w:tc>
      </w:tr>
      <w:tr w:rsidR="002212ED" w:rsidTr="002212ED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2212ED" w:rsidRDefault="002212ED">
            <w:pPr>
              <w:suppressAutoHyphens/>
              <w:snapToGrid w:val="0"/>
              <w:jc w:val="center"/>
              <w:rPr>
                <w:rFonts w:eastAsia="SimSun" w:cs="Mangal"/>
                <w:kern w:val="2"/>
                <w:sz w:val="20"/>
                <w:szCs w:val="24"/>
                <w:lang w:eastAsia="zh-CN" w:bidi="hi-IN"/>
              </w:rPr>
            </w:pPr>
            <w:r>
              <w:t>Code</w:t>
            </w: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2212ED" w:rsidRDefault="002212ED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Constat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2212ED" w:rsidRDefault="002212ED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Précisions complémentaires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  <w:hideMark/>
          </w:tcPr>
          <w:p w:rsidR="002212ED" w:rsidRDefault="002212ED">
            <w:pPr>
              <w:widowControl w:val="0"/>
              <w:suppressAutoHyphens/>
              <w:snapToGrid w:val="0"/>
              <w:jc w:val="center"/>
              <w:rPr>
                <w:kern w:val="2"/>
                <w:sz w:val="24"/>
                <w:lang w:eastAsia="zh-CN"/>
              </w:rPr>
            </w:pPr>
            <w:r>
              <w:t>Niveau</w:t>
            </w:r>
          </w:p>
        </w:tc>
      </w:tr>
      <w:tr w:rsidR="002212ED" w:rsidTr="002212ED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333333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5.2.2</w:t>
            </w:r>
            <w:proofErr w:type="gramStart"/>
            <w:r>
              <w:t>.a.3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Fêlure ou défaut de soudure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CCCCCC"/>
              <w:right w:val="nil"/>
            </w:tcBorders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t>Hors véhicules de collection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CCCCCC"/>
              <w:right w:val="single" w:sz="4" w:space="0" w:color="333333"/>
            </w:tcBorders>
            <w:hideMark/>
          </w:tcPr>
          <w:p w:rsidR="002212ED" w:rsidRDefault="002212ED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rPr>
                <w:b/>
                <w:color w:val="FF0000"/>
              </w:rPr>
              <w:t>Critique</w:t>
            </w:r>
          </w:p>
        </w:tc>
      </w:tr>
      <w:tr w:rsidR="002212ED" w:rsidTr="002212ED">
        <w:trPr>
          <w:cantSplit/>
        </w:trPr>
        <w:tc>
          <w:tcPr>
            <w:tcW w:w="10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5.2.2</w:t>
            </w:r>
            <w:proofErr w:type="gramStart"/>
            <w:r>
              <w:t>.a.4</w:t>
            </w:r>
            <w:proofErr w:type="gramEnd"/>
          </w:p>
        </w:tc>
        <w:tc>
          <w:tcPr>
            <w:tcW w:w="408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Fêlure ou défaut de soudure</w:t>
            </w:r>
          </w:p>
        </w:tc>
        <w:tc>
          <w:tcPr>
            <w:tcW w:w="3915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napToGrid w:val="0"/>
              <w:spacing w:before="120" w:after="120"/>
              <w:rPr>
                <w:kern w:val="2"/>
                <w:sz w:val="24"/>
                <w:lang w:eastAsia="zh-CN"/>
              </w:rPr>
            </w:pPr>
            <w:r>
              <w:t>Uniquement pour les véhicules de collection</w:t>
            </w:r>
          </w:p>
        </w:tc>
        <w:tc>
          <w:tcPr>
            <w:tcW w:w="1150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2212ED" w:rsidRDefault="002212ED">
            <w:pPr>
              <w:suppressAutoHyphens/>
              <w:spacing w:before="120" w:after="120"/>
              <w:rPr>
                <w:b/>
                <w:color w:val="FF0000"/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</w:tbl>
    <w:p w:rsidR="002212ED" w:rsidRDefault="002212ED"/>
    <w:p w:rsidR="00F72381" w:rsidRDefault="00F72381"/>
    <w:p w:rsidR="00F72381" w:rsidRDefault="00F72381" w:rsidP="00F72381">
      <w:pPr>
        <w:widowControl w:val="0"/>
        <w:ind w:left="708"/>
        <w:rPr>
          <w:b/>
          <w:caps/>
        </w:rPr>
      </w:pPr>
      <w:r>
        <w:rPr>
          <w:b/>
          <w:caps/>
        </w:rPr>
        <w:t>5.3.5 SUSPENSION PNEUMATIQUE OU OLÉOPNEUMATIQUE</w:t>
      </w:r>
    </w:p>
    <w:p w:rsidR="00F72381" w:rsidRDefault="00F72381" w:rsidP="00F72381">
      <w:pPr>
        <w:widowControl w:val="0"/>
        <w:ind w:left="708"/>
        <w:rPr>
          <w:b/>
          <w:caps/>
        </w:rPr>
      </w:pPr>
    </w:p>
    <w:p w:rsidR="00F72381" w:rsidRDefault="00F72381" w:rsidP="00F72381">
      <w:pPr>
        <w:jc w:val="both"/>
      </w:pPr>
      <w:r>
        <w:rPr>
          <w:i/>
          <w:iCs/>
        </w:rPr>
        <w:t>Le terme suspension pneumatique inclus les suspensions oléopneumatiques. Ce type de suspension peut n’équiper qu’un des essieux.</w:t>
      </w:r>
    </w:p>
    <w:p w:rsidR="00F72381" w:rsidRDefault="00F72381" w:rsidP="00F72381">
      <w:pPr>
        <w:jc w:val="both"/>
      </w:pPr>
    </w:p>
    <w:p w:rsidR="00F72381" w:rsidRDefault="00F72381" w:rsidP="00F72381">
      <w:pPr>
        <w:jc w:val="both"/>
      </w:pPr>
      <w:r>
        <w:lastRenderedPageBreak/>
        <w:t>Pour les véhicules équipés d’une commande permettant de modifier la hauteur de caisse, le contrôleur  actionne, moteur tournant, la commande pour positionner le véhicule :</w:t>
      </w:r>
    </w:p>
    <w:p w:rsidR="00F72381" w:rsidRDefault="00F72381" w:rsidP="00F72381">
      <w:pPr>
        <w:numPr>
          <w:ilvl w:val="0"/>
          <w:numId w:val="2"/>
        </w:numPr>
        <w:suppressAutoHyphens/>
        <w:spacing w:before="120" w:after="0" w:line="240" w:lineRule="auto"/>
        <w:ind w:left="714" w:hanging="357"/>
        <w:jc w:val="both"/>
      </w:pPr>
      <w:r>
        <w:t>dans un premier temps, en position basse ou en position haute ou correspondant à une situation de conduite différente du mode « Normal » (exemples de mode : sport, neige,..),</w:t>
      </w:r>
    </w:p>
    <w:p w:rsidR="00F72381" w:rsidRDefault="00F72381" w:rsidP="00F72381">
      <w:pPr>
        <w:numPr>
          <w:ilvl w:val="0"/>
          <w:numId w:val="2"/>
        </w:numPr>
        <w:suppressAutoHyphens/>
        <w:spacing w:before="120" w:after="0" w:line="240" w:lineRule="auto"/>
        <w:ind w:left="714" w:hanging="357"/>
        <w:jc w:val="both"/>
      </w:pPr>
      <w:r>
        <w:t>dans un second temps, en position route (ou normal).</w:t>
      </w:r>
    </w:p>
    <w:p w:rsidR="00F72381" w:rsidRDefault="00F72381" w:rsidP="00F72381">
      <w:pPr>
        <w:jc w:val="both"/>
        <w:rPr>
          <w:b/>
          <w:i/>
        </w:rPr>
      </w:pPr>
      <w:r>
        <w:t>Le contrôleur, vérifie visuellement pour chaque position l’adéquation position/assiette du véhicule par rapport à la position demandée au niveau de la commande.</w:t>
      </w:r>
    </w:p>
    <w:p w:rsidR="00F72381" w:rsidRDefault="00F72381" w:rsidP="00F72381">
      <w:pPr>
        <w:jc w:val="both"/>
        <w:rPr>
          <w:b/>
          <w:i/>
        </w:rPr>
      </w:pPr>
    </w:p>
    <w:p w:rsidR="00F72381" w:rsidRDefault="00F72381" w:rsidP="00F72381">
      <w:pPr>
        <w:jc w:val="both"/>
        <w:rPr>
          <w:b/>
          <w:i/>
        </w:rPr>
      </w:pPr>
    </w:p>
    <w:p w:rsidR="00F72381" w:rsidRDefault="00F72381" w:rsidP="00F72381">
      <w:pPr>
        <w:jc w:val="both"/>
        <w:rPr>
          <w:b/>
          <w:i/>
        </w:rPr>
      </w:pPr>
    </w:p>
    <w:tbl>
      <w:tblPr>
        <w:tblW w:w="10224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1079"/>
        <w:gridCol w:w="4140"/>
        <w:gridCol w:w="3855"/>
        <w:gridCol w:w="1150"/>
      </w:tblGrid>
      <w:tr w:rsidR="00F72381" w:rsidTr="00F72381">
        <w:trPr>
          <w:cantSplit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  <w:hideMark/>
          </w:tcPr>
          <w:p w:rsidR="00F72381" w:rsidRDefault="00F72381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Défaillances</w:t>
            </w:r>
          </w:p>
        </w:tc>
      </w:tr>
      <w:tr w:rsidR="00F72381" w:rsidTr="00F72381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F72381" w:rsidRDefault="00F72381">
            <w:pPr>
              <w:suppressAutoHyphens/>
              <w:snapToGrid w:val="0"/>
              <w:jc w:val="center"/>
              <w:rPr>
                <w:rFonts w:eastAsia="SimSun" w:cs="Mangal"/>
                <w:kern w:val="2"/>
                <w:sz w:val="20"/>
                <w:szCs w:val="24"/>
                <w:lang w:eastAsia="zh-CN" w:bidi="hi-IN"/>
              </w:rPr>
            </w:pPr>
            <w:r>
              <w:t>Code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F72381" w:rsidRDefault="00F72381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Constat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B2B2"/>
            <w:vAlign w:val="center"/>
            <w:hideMark/>
          </w:tcPr>
          <w:p w:rsidR="00F72381" w:rsidRDefault="00F72381">
            <w:pPr>
              <w:widowControl w:val="0"/>
              <w:suppressAutoHyphens/>
              <w:jc w:val="center"/>
              <w:rPr>
                <w:kern w:val="2"/>
                <w:sz w:val="24"/>
                <w:lang w:eastAsia="zh-CN"/>
              </w:rPr>
            </w:pPr>
            <w:r>
              <w:t>Précisions complémentaires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  <w:hideMark/>
          </w:tcPr>
          <w:p w:rsidR="00F72381" w:rsidRDefault="00F72381">
            <w:pPr>
              <w:widowControl w:val="0"/>
              <w:suppressAutoHyphens/>
              <w:snapToGrid w:val="0"/>
              <w:jc w:val="center"/>
              <w:rPr>
                <w:kern w:val="2"/>
                <w:sz w:val="24"/>
                <w:lang w:eastAsia="zh-CN"/>
              </w:rPr>
            </w:pPr>
            <w:r>
              <w:t>Niveau</w:t>
            </w:r>
          </w:p>
        </w:tc>
      </w:tr>
      <w:tr w:rsidR="00F72381" w:rsidTr="00F72381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333333"/>
              <w:bottom w:val="single" w:sz="4" w:space="0" w:color="CCCCCC"/>
              <w:right w:val="nil"/>
            </w:tcBorders>
            <w:hideMark/>
          </w:tcPr>
          <w:p w:rsidR="00F72381" w:rsidRDefault="00F72381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5.3.5</w:t>
            </w:r>
            <w:proofErr w:type="gramStart"/>
            <w:r>
              <w:t>.a.3</w:t>
            </w:r>
            <w:proofErr w:type="gram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nil"/>
            </w:tcBorders>
            <w:hideMark/>
          </w:tcPr>
          <w:p w:rsidR="00F72381" w:rsidRDefault="00F72381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Système inutilisable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nil"/>
            </w:tcBorders>
            <w:hideMark/>
          </w:tcPr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119" w:hanging="119"/>
              <w:rPr>
                <w:kern w:val="2"/>
                <w:sz w:val="24"/>
                <w:lang w:eastAsia="zh-CN"/>
              </w:rPr>
            </w:pPr>
            <w:r>
              <w:t>Non fonctionnement de la commande, véhicule en position autre que « normal » ou « route »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60" w:after="0" w:line="240" w:lineRule="auto"/>
              <w:ind w:left="119" w:hanging="119"/>
            </w:pPr>
            <w:r>
              <w:t>Non-fonctionnement ou dysfonctionnement de la suspension (y compris les anomalies relatives à l’assiette du véhicule par rapport à la position de la commande)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60" w:after="0" w:line="240" w:lineRule="auto"/>
              <w:ind w:left="119" w:hanging="119"/>
              <w:rPr>
                <w:b/>
              </w:rPr>
            </w:pPr>
            <w:r>
              <w:t>Dispositif d’alerte de dysfonctionnement allumé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60" w:after="120" w:line="240" w:lineRule="auto"/>
              <w:ind w:left="118" w:hanging="118"/>
              <w:rPr>
                <w:b/>
                <w:kern w:val="2"/>
                <w:sz w:val="24"/>
                <w:lang w:eastAsia="zh-CN"/>
              </w:rPr>
            </w:pPr>
            <w:r>
              <w:t>Hors véhicules de collection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333333"/>
            </w:tcBorders>
          </w:tcPr>
          <w:p w:rsidR="00F72381" w:rsidRDefault="00F72381">
            <w:pPr>
              <w:spacing w:before="120" w:after="120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FF0000"/>
              </w:rPr>
              <w:t>Critique</w:t>
            </w:r>
          </w:p>
          <w:p w:rsidR="00F72381" w:rsidRDefault="00F72381">
            <w:pPr>
              <w:widowControl w:val="0"/>
              <w:suppressAutoHyphens/>
              <w:snapToGrid w:val="0"/>
              <w:spacing w:before="120" w:after="120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72381" w:rsidTr="00F72381">
        <w:trPr>
          <w:cantSplit/>
        </w:trPr>
        <w:tc>
          <w:tcPr>
            <w:tcW w:w="1080" w:type="dxa"/>
            <w:tcBorders>
              <w:top w:val="single" w:sz="4" w:space="0" w:color="CCCCCC"/>
              <w:left w:val="single" w:sz="4" w:space="0" w:color="333333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F72381" w:rsidRDefault="00F72381">
            <w:pPr>
              <w:suppressAutoHyphens/>
              <w:spacing w:before="120" w:after="120"/>
              <w:jc w:val="both"/>
              <w:rPr>
                <w:kern w:val="2"/>
                <w:sz w:val="24"/>
                <w:lang w:eastAsia="zh-CN"/>
              </w:rPr>
            </w:pPr>
            <w:r>
              <w:t>5.3.5</w:t>
            </w:r>
            <w:proofErr w:type="gramStart"/>
            <w:r>
              <w:t>.a.4</w:t>
            </w:r>
            <w:proofErr w:type="gramEnd"/>
          </w:p>
        </w:tc>
        <w:tc>
          <w:tcPr>
            <w:tcW w:w="41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F72381" w:rsidRDefault="00F72381">
            <w:pPr>
              <w:suppressAutoHyphens/>
              <w:spacing w:before="120" w:after="120"/>
              <w:rPr>
                <w:kern w:val="2"/>
                <w:sz w:val="24"/>
                <w:lang w:eastAsia="zh-CN"/>
              </w:rPr>
            </w:pPr>
            <w:r>
              <w:t>Système inutilisable</w:t>
            </w:r>
          </w:p>
        </w:tc>
        <w:tc>
          <w:tcPr>
            <w:tcW w:w="3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D9D9D9"/>
            <w:hideMark/>
          </w:tcPr>
          <w:p w:rsidR="00F72381" w:rsidRDefault="00F72381">
            <w:pPr>
              <w:spacing w:before="120"/>
              <w:rPr>
                <w:kern w:val="2"/>
                <w:sz w:val="24"/>
                <w:lang w:eastAsia="zh-CN"/>
              </w:rPr>
            </w:pPr>
            <w:r>
              <w:t>Uniquement pour les véhicules de collection :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119" w:hanging="119"/>
            </w:pPr>
            <w:r>
              <w:t>Non fonctionnement de la commande, véhicule en position autre que « normal » ou « route »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60" w:after="0" w:line="240" w:lineRule="auto"/>
              <w:ind w:left="119" w:hanging="119"/>
            </w:pPr>
            <w:r>
              <w:t>Non-fonctionnement ou dysfonctionnement de la suspension (y compris les anomalies relatives à l’assiette du véhicule par rapport à la position de la commande)</w:t>
            </w:r>
          </w:p>
          <w:p w:rsidR="00F72381" w:rsidRDefault="00F72381" w:rsidP="00F72381">
            <w:pPr>
              <w:numPr>
                <w:ilvl w:val="0"/>
                <w:numId w:val="3"/>
              </w:numPr>
              <w:suppressAutoHyphens/>
              <w:spacing w:before="60" w:after="120" w:line="240" w:lineRule="auto"/>
              <w:ind w:left="118" w:hanging="118"/>
              <w:rPr>
                <w:b/>
                <w:kern w:val="2"/>
                <w:sz w:val="24"/>
                <w:lang w:eastAsia="zh-CN"/>
              </w:rPr>
            </w:pPr>
            <w:r>
              <w:t>Dispositif d’alerte de dysfonctionnement allumé</w:t>
            </w:r>
          </w:p>
        </w:tc>
        <w:tc>
          <w:tcPr>
            <w:tcW w:w="1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333333"/>
            </w:tcBorders>
            <w:shd w:val="clear" w:color="auto" w:fill="D9D9D9"/>
            <w:hideMark/>
          </w:tcPr>
          <w:p w:rsidR="00F72381" w:rsidRDefault="00F72381">
            <w:pPr>
              <w:suppressAutoHyphens/>
              <w:spacing w:before="120" w:after="120"/>
              <w:rPr>
                <w:b/>
                <w:color w:val="FF0000"/>
                <w:kern w:val="2"/>
                <w:sz w:val="24"/>
                <w:lang w:eastAsia="zh-CN"/>
              </w:rPr>
            </w:pPr>
            <w:r>
              <w:rPr>
                <w:b/>
                <w:color w:val="FF6600"/>
              </w:rPr>
              <w:t>Majeure</w:t>
            </w:r>
          </w:p>
        </w:tc>
      </w:tr>
    </w:tbl>
    <w:p w:rsidR="00F72381" w:rsidRDefault="00F72381"/>
    <w:p w:rsidR="00F72381" w:rsidRDefault="00F72381">
      <w:proofErr w:type="spellStart"/>
      <w:r>
        <w:t>Chassis</w:t>
      </w:r>
      <w:proofErr w:type="spellEnd"/>
      <w:r>
        <w:t xml:space="preserve"> </w:t>
      </w:r>
    </w:p>
    <w:p w:rsidR="00F72381" w:rsidRDefault="00F72381">
      <w:r>
        <w:t>Rien</w:t>
      </w:r>
    </w:p>
    <w:p w:rsidR="00F72381" w:rsidRDefault="00F72381">
      <w:r>
        <w:lastRenderedPageBreak/>
        <w:t>Accessoire</w:t>
      </w:r>
    </w:p>
    <w:p w:rsidR="00F72381" w:rsidRDefault="00F72381">
      <w:proofErr w:type="gramStart"/>
      <w:r>
        <w:t>rien</w:t>
      </w:r>
      <w:proofErr w:type="gramEnd"/>
      <w:r>
        <w:t xml:space="preserve"> </w:t>
      </w:r>
    </w:p>
    <w:p w:rsidR="00F72381" w:rsidRDefault="00F72381"/>
    <w:p w:rsidR="00F72381" w:rsidRDefault="00F72381"/>
    <w:sectPr w:rsidR="00F7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FAE"/>
    <w:multiLevelType w:val="multilevel"/>
    <w:tmpl w:val="0CF0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u w:color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7983450"/>
    <w:multiLevelType w:val="hybridMultilevel"/>
    <w:tmpl w:val="5A2E2022"/>
    <w:name w:val="WW8Num52"/>
    <w:lvl w:ilvl="0" w:tplc="D1C4E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u w:color="00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544FA5"/>
    <w:multiLevelType w:val="multilevel"/>
    <w:tmpl w:val="6130E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color w:val="auto"/>
        <w:sz w:val="16"/>
        <w:u w:color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43"/>
    <w:rsid w:val="002212ED"/>
    <w:rsid w:val="00D20143"/>
    <w:rsid w:val="00D546E7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quedecommentaire1">
    <w:name w:val="Marque de commentaire1"/>
    <w:rsid w:val="002212ED"/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quedecommentaire1">
    <w:name w:val="Marque de commentaire1"/>
    <w:rsid w:val="002212ED"/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</cp:lastModifiedBy>
  <cp:revision>2</cp:revision>
  <dcterms:created xsi:type="dcterms:W3CDTF">2017-08-16T12:14:00Z</dcterms:created>
  <dcterms:modified xsi:type="dcterms:W3CDTF">2017-08-16T12:31:00Z</dcterms:modified>
</cp:coreProperties>
</file>