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01" w:rsidRPr="0073160B" w:rsidRDefault="00DC0E01" w:rsidP="00DC0E01">
      <w:pPr>
        <w:pStyle w:val="Commentaire"/>
        <w:bidi/>
        <w:spacing w:after="0"/>
        <w:jc w:val="center"/>
        <w:rPr>
          <w:rFonts w:ascii="Sakkal Majalla" w:hAnsi="Sakkal Majalla" w:cs="Sakkal Majalla"/>
          <w:b/>
          <w:bCs/>
          <w:color w:val="00B050"/>
          <w:sz w:val="52"/>
          <w:szCs w:val="52"/>
          <w:rtl/>
          <w:lang w:bidi="ar-MA"/>
        </w:rPr>
      </w:pPr>
      <w:r w:rsidRPr="0073160B">
        <w:rPr>
          <w:rFonts w:ascii="Sakkal Majalla" w:hAnsi="Sakkal Majalla" w:cs="Sakkal Majalla" w:hint="cs"/>
          <w:b/>
          <w:bCs/>
          <w:color w:val="00B050"/>
          <w:sz w:val="52"/>
          <w:szCs w:val="52"/>
          <w:rtl/>
          <w:lang w:bidi="ar-MA"/>
        </w:rPr>
        <w:t xml:space="preserve">    </w:t>
      </w:r>
      <w:r w:rsidRPr="0073160B">
        <w:rPr>
          <w:rFonts w:ascii="Sakkal Majalla" w:hAnsi="Sakkal Majalla" w:cs="Sakkal Majalla"/>
          <w:b/>
          <w:bCs/>
          <w:noProof/>
          <w:color w:val="E36C0A" w:themeColor="accent6" w:themeShade="BF"/>
          <w:sz w:val="52"/>
          <w:szCs w:val="52"/>
        </w:rPr>
        <w:drawing>
          <wp:inline distT="0" distB="0" distL="0" distR="0">
            <wp:extent cx="2564130" cy="437515"/>
            <wp:effectExtent l="19050" t="0" r="7620" b="0"/>
            <wp:docPr id="2" name="irc_mi" descr="http://www.ashog.com/vb/imgcache/1995.img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shog.com/vb/imgcache/1995.imgcach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01" w:rsidRPr="0073160B" w:rsidRDefault="00DC0E01" w:rsidP="00DC0E01">
      <w:pPr>
        <w:pStyle w:val="Commentaire"/>
        <w:bidi/>
        <w:spacing w:after="0"/>
        <w:jc w:val="center"/>
        <w:rPr>
          <w:rFonts w:ascii="Sakkal Majalla" w:hAnsi="Sakkal Majalla" w:cs="Sakkal Majalla"/>
          <w:b/>
          <w:bCs/>
          <w:color w:val="E36C0A"/>
          <w:sz w:val="22"/>
          <w:szCs w:val="22"/>
          <w:rtl/>
          <w:lang w:bidi="ar-MA"/>
        </w:rPr>
      </w:pPr>
    </w:p>
    <w:p w:rsidR="00DC0E01" w:rsidRPr="0073160B" w:rsidRDefault="00DC0E01" w:rsidP="00DC0E01">
      <w:pPr>
        <w:bidi/>
        <w:spacing w:after="120" w:line="240" w:lineRule="auto"/>
        <w:jc w:val="center"/>
        <w:rPr>
          <w:rFonts w:ascii="Sakkal Majalla" w:hAnsi="Sakkal Majalla" w:cs="Sakkal Majalla"/>
          <w:b/>
          <w:bCs/>
          <w:sz w:val="52"/>
          <w:szCs w:val="52"/>
          <w:lang w:bidi="ar-MA"/>
        </w:rPr>
      </w:pPr>
      <w:proofErr w:type="gramStart"/>
      <w:r w:rsidRPr="0073160B">
        <w:rPr>
          <w:rFonts w:ascii="Sakkal Majalla" w:hAnsi="Sakkal Majalla" w:cs="Sakkal Majalla"/>
          <w:b/>
          <w:bCs/>
          <w:sz w:val="52"/>
          <w:szCs w:val="52"/>
          <w:rtl/>
          <w:lang w:bidi="ar-MA"/>
        </w:rPr>
        <w:t>الفهرس</w:t>
      </w:r>
      <w:proofErr w:type="gramEnd"/>
    </w:p>
    <w:p w:rsidR="00DC0E01" w:rsidRPr="0073160B" w:rsidRDefault="00907F0B" w:rsidP="00DC0E01">
      <w:pPr>
        <w:pStyle w:val="TM1"/>
        <w:rPr>
          <w:rFonts w:eastAsiaTheme="minorEastAsia"/>
          <w:color w:val="auto"/>
          <w:lang w:eastAsia="fr-FR" w:bidi="ar-SA"/>
        </w:rPr>
      </w:pPr>
      <w:r w:rsidRPr="00907F0B">
        <w:rPr>
          <w:color w:val="auto"/>
          <w:sz w:val="52"/>
          <w:szCs w:val="52"/>
          <w:rtl/>
        </w:rPr>
        <w:fldChar w:fldCharType="begin"/>
      </w:r>
      <w:r w:rsidR="00DC0E01" w:rsidRPr="0073160B">
        <w:rPr>
          <w:color w:val="auto"/>
          <w:sz w:val="52"/>
          <w:szCs w:val="52"/>
          <w:rtl/>
        </w:rPr>
        <w:instrText xml:space="preserve"> </w:instrText>
      </w:r>
      <w:r w:rsidR="00DC0E01" w:rsidRPr="0073160B">
        <w:rPr>
          <w:color w:val="auto"/>
          <w:sz w:val="52"/>
          <w:szCs w:val="52"/>
        </w:rPr>
        <w:instrText>TOC</w:instrText>
      </w:r>
      <w:r w:rsidR="00DC0E01" w:rsidRPr="0073160B">
        <w:rPr>
          <w:color w:val="auto"/>
          <w:sz w:val="52"/>
          <w:szCs w:val="52"/>
          <w:rtl/>
        </w:rPr>
        <w:instrText xml:space="preserve"> \</w:instrText>
      </w:r>
      <w:r w:rsidR="00DC0E01" w:rsidRPr="0073160B">
        <w:rPr>
          <w:color w:val="auto"/>
          <w:sz w:val="52"/>
          <w:szCs w:val="52"/>
        </w:rPr>
        <w:instrText>o "1-3" \h \z \u</w:instrText>
      </w:r>
      <w:r w:rsidR="00DC0E01" w:rsidRPr="0073160B">
        <w:rPr>
          <w:color w:val="auto"/>
          <w:sz w:val="52"/>
          <w:szCs w:val="52"/>
          <w:rtl/>
        </w:rPr>
        <w:instrText xml:space="preserve"> </w:instrText>
      </w:r>
      <w:r w:rsidRPr="00907F0B">
        <w:rPr>
          <w:color w:val="auto"/>
          <w:sz w:val="52"/>
          <w:szCs w:val="52"/>
          <w:rtl/>
        </w:rPr>
        <w:fldChar w:fldCharType="separate"/>
      </w:r>
      <w:hyperlink w:anchor="_Toc430259560" w:history="1">
        <w:r w:rsidR="00DC0E01" w:rsidRPr="0073160B">
          <w:rPr>
            <w:rStyle w:val="Lienhypertexte"/>
            <w:rtl/>
          </w:rPr>
          <w:t>مقدمة: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_Toc430259560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3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lang w:eastAsia="fr-FR" w:bidi="ar-SA"/>
        </w:rPr>
      </w:pPr>
      <w:hyperlink w:anchor="_Toc430259561" w:history="1">
        <w:r w:rsidR="00DC0E01" w:rsidRPr="0073160B">
          <w:rPr>
            <w:rStyle w:val="Lienhypertexte"/>
            <w:rtl/>
          </w:rPr>
          <w:t>الباب الأول : تعاريف أساسية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_Toc430259561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6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lang w:eastAsia="fr-FR" w:bidi="ar-SA"/>
        </w:rPr>
      </w:pPr>
      <w:hyperlink w:anchor="_Toc430259562" w:history="1">
        <w:r w:rsidR="00DC0E01" w:rsidRPr="0073160B">
          <w:rPr>
            <w:rStyle w:val="Lienhypertexte"/>
            <w:rtl/>
          </w:rPr>
          <w:t>الباب الثاني</w:t>
        </w:r>
        <w:r w:rsidR="00DC0E01" w:rsidRPr="0073160B">
          <w:rPr>
            <w:rStyle w:val="Lienhypertexte"/>
            <w:rFonts w:hint="cs"/>
            <w:rtl/>
          </w:rPr>
          <w:t xml:space="preserve">: </w:t>
        </w:r>
      </w:hyperlink>
      <w:hyperlink w:anchor="_Toc430259563" w:history="1">
        <w:r w:rsidR="00DC0E01" w:rsidRPr="0073160B">
          <w:rPr>
            <w:rStyle w:val="Lienhypertexte"/>
            <w:rtl/>
          </w:rPr>
          <w:t>الإحصاء عبر التاريخ : تعدادات جزئية، فسجلات ودواوين ودفاتر، فإحصاءات عامة.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_Toc430259563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9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64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1.2. العهد القديم: تعدادات لأغراض عسكرية وضريبية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_Toc430259564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10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65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2.2. الخلافة الإسلامية: إحصاءات أشمل بغرض التجنيد والضرائب ومن أجل توزيع المخصصات المالية على المسلمين والفقراء من أهل الذمة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_Toc430259565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10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66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3.2.  الخلافة العثمانية : تركة ضخمة من الدفاتر تسجل لتاريخ 39 دولة خلال ما يزيد عن قرنين من الزمن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_Toc430259566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12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tabs>
          <w:tab w:val="left" w:pos="9285"/>
        </w:tabs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67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sz w:val="24"/>
          </w:rPr>
          <w:t>4.2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noProof/>
            <w:sz w:val="24"/>
            <w:rtl/>
          </w:rPr>
          <w:t xml:space="preserve">. 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لعصر الحديث: أولى الإحصاءات ذات الطابع العلمي بمعظم دول أوروبا وأمريكا الشمالية ابتداء من القرن الثامن عشر،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_Toc430259567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14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sz w:val="22"/>
          <w:szCs w:val="22"/>
          <w:lang w:eastAsia="fr-FR" w:bidi="ar-SA"/>
        </w:rPr>
      </w:pPr>
      <w:hyperlink w:anchor="_Toc430259568" w:history="1">
        <w:r w:rsidR="00DC0E01" w:rsidRPr="0073160B">
          <w:rPr>
            <w:rStyle w:val="Lienhypertexte"/>
            <w:rtl/>
          </w:rPr>
          <w:t>الباب الثالث</w:t>
        </w:r>
        <w:r w:rsidR="00DC0E01" w:rsidRPr="0073160B">
          <w:rPr>
            <w:rStyle w:val="Lienhypertexte"/>
            <w:rFonts w:hint="cs"/>
            <w:rtl/>
          </w:rPr>
          <w:t>:</w:t>
        </w:r>
        <w:r w:rsidR="00DC0E01" w:rsidRPr="0073160B">
          <w:rPr>
            <w:rFonts w:hint="eastAsia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الإحصاء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التقليدي</w:t>
        </w:r>
        <w:r w:rsidR="00DC0E01" w:rsidRPr="0073160B">
          <w:rPr>
            <w:rStyle w:val="Lienhypertexte"/>
            <w:rtl/>
          </w:rPr>
          <w:t xml:space="preserve">: </w:t>
        </w:r>
        <w:r w:rsidR="00DC0E01" w:rsidRPr="0073160B">
          <w:rPr>
            <w:rStyle w:val="Lienhypertexte"/>
            <w:rFonts w:hint="eastAsia"/>
            <w:rtl/>
          </w:rPr>
          <w:t>نواقص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ومعيقات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وتراجع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متواتر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ابتداء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من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أربعينيات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القرن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العشرين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_Toc430259568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21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70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1.3. الولايات المتحدة، كندا، فرنسا، بلجيكا، سويسرا، هولندا، إيطاليا، ألمانيا، السويد،النرويج، الدنمارك، فنلندا، بولونيا... بعض الدول التي قطعت مع الإحصاء التقليدي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_Toc430259570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22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71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2.3. أسباب التراجع: أكثرها التكلفة والتقادم وإرهاق المستجوبين، وأخطرها المقاطعة والاضطرابات وحالات عدم الاستقرار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_Toc430259571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24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3"/>
        <w:tabs>
          <w:tab w:val="right" w:leader="dot" w:pos="9062"/>
        </w:tabs>
        <w:bidi/>
        <w:rPr>
          <w:rFonts w:ascii="Sakkal Majalla" w:eastAsiaTheme="minorEastAsia" w:hAnsi="Sakkal Majalla" w:cs="Sakkal Majalla"/>
          <w:b/>
          <w:bCs/>
          <w:i w:val="0"/>
          <w:iCs w:val="0"/>
          <w:noProof/>
          <w:sz w:val="22"/>
          <w:szCs w:val="22"/>
          <w:lang w:eastAsia="fr-FR"/>
        </w:rPr>
      </w:pPr>
      <w:hyperlink w:anchor="_Toc430259572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>1.2.3.الأسباب الأكثر شيوعا: على رأسها ارتفاع التكلفة وتقادم البيانات</w:t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instrText xml:space="preserve"> PAGEREF _Toc430259572 \h </w:instrTex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i w:val="0"/>
            <w:iCs w:val="0"/>
            <w:noProof/>
            <w:webHidden/>
            <w:rtl/>
          </w:rPr>
          <w:t>25</w: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3"/>
        <w:tabs>
          <w:tab w:val="right" w:leader="dot" w:pos="9062"/>
        </w:tabs>
        <w:bidi/>
        <w:rPr>
          <w:rFonts w:ascii="Sakkal Majalla" w:eastAsiaTheme="minorEastAsia" w:hAnsi="Sakkal Majalla" w:cs="Sakkal Majalla"/>
          <w:b/>
          <w:bCs/>
          <w:i w:val="0"/>
          <w:iCs w:val="0"/>
          <w:noProof/>
          <w:sz w:val="22"/>
          <w:szCs w:val="22"/>
          <w:lang w:eastAsia="fr-FR"/>
        </w:rPr>
      </w:pPr>
      <w:hyperlink w:anchor="_Toc430259573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2.2.3. الأسباب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الأقوى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تأثيرا: أخطرها المقاطعة و الحروب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و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>الاضطرابات السياسة</w:t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instrText xml:space="preserve"> PAGEREF _Toc430259573 \h </w:instrTex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i w:val="0"/>
            <w:iCs w:val="0"/>
            <w:noProof/>
            <w:webHidden/>
            <w:rtl/>
          </w:rPr>
          <w:t>29</w: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3"/>
        <w:tabs>
          <w:tab w:val="right" w:leader="dot" w:pos="9062"/>
        </w:tabs>
        <w:bidi/>
        <w:rPr>
          <w:rFonts w:ascii="Sakkal Majalla" w:eastAsiaTheme="minorEastAsia" w:hAnsi="Sakkal Majalla" w:cs="Sakkal Majalla"/>
          <w:b/>
          <w:bCs/>
          <w:i w:val="0"/>
          <w:iCs w:val="0"/>
          <w:noProof/>
          <w:sz w:val="22"/>
          <w:szCs w:val="22"/>
          <w:lang w:eastAsia="fr-FR"/>
        </w:rPr>
      </w:pPr>
      <w:hyperlink w:anchor="_Toc430259574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>3.2.3. أسباب إضافية في البلدان النامية : نواقص في التخطيط، عدم مأسسة المناهج والمساطر وغياب التقييم</w:t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instrText xml:space="preserve"> PAGEREF _Toc430259574 \h </w:instrTex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i w:val="0"/>
            <w:iCs w:val="0"/>
            <w:noProof/>
            <w:webHidden/>
            <w:rtl/>
          </w:rPr>
          <w:t>31</w: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sz w:val="22"/>
          <w:szCs w:val="22"/>
          <w:lang w:eastAsia="fr-FR" w:bidi="ar-SA"/>
        </w:rPr>
      </w:pPr>
      <w:hyperlink w:anchor="_Toc430259575" w:history="1">
        <w:r w:rsidR="00DC0E01" w:rsidRPr="0073160B">
          <w:rPr>
            <w:rStyle w:val="Lienhypertexte"/>
            <w:rtl/>
          </w:rPr>
          <w:t>الباب الرابع: بدائل الإحصاء التقليدي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_Toc430259575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33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76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1.4.  الإحصاء باعتماد الاستمارة القصيرة و المفصلة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_Toc430259576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34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77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2.4. الإحصاء باعتماد التعداد التقليدي و المسح الأسري السنوي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_Toc430259577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36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78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3.4.   الإحصاء المتواصل أو الإحصاء الدوار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_Toc430259578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40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79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4.4. الإحصاء القائم على السجلات الإدارية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_Toc430259579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46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80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5.4.  الإحصاء القائم على السجلات الإدارية و الإحصاء التقليدي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_Toc430259580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55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81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6.4.  الإحصاء القائم على السجلات و مسوحات خاصة (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lang w:bidi="ar-MA"/>
          </w:rPr>
          <w:t>Enquêtes ad hoc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)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_Toc430259581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59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82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7.4.  الإحصاء القائم على السجلات و المسوحات القائمة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_Toc430259582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66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lang w:eastAsia="fr-FR" w:bidi="ar-SA"/>
        </w:rPr>
      </w:pPr>
      <w:hyperlink w:anchor="_Toc430259583" w:history="1">
        <w:r w:rsidR="00DC0E01" w:rsidRPr="0073160B">
          <w:rPr>
            <w:rStyle w:val="Lienhypertexte"/>
            <w:rtl/>
          </w:rPr>
          <w:t>الباب الخامس</w:t>
        </w:r>
        <w:r w:rsidR="00DC0E01" w:rsidRPr="0073160B">
          <w:rPr>
            <w:rStyle w:val="Lienhypertexte"/>
            <w:rFonts w:hint="cs"/>
            <w:rtl/>
          </w:rPr>
          <w:t xml:space="preserve">: </w:t>
        </w:r>
      </w:hyperlink>
      <w:hyperlink w:anchor="_Toc430259584" w:history="1">
        <w:r w:rsidR="00DC0E01" w:rsidRPr="0073160B">
          <w:rPr>
            <w:rStyle w:val="Lienhypertexte"/>
            <w:rtl/>
          </w:rPr>
          <w:t>الإحصاء المغربي ونظيره الكندي: التاريخ، الأسس القانونية، المواضيع المستعلم عنها، الأساليب، استغلال ونشر واستعمال وأرشفة النتائج، المراقبة والتقييم.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_Toc430259584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70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85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 xml:space="preserve">1.5. شيء من التاريخ: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noProof/>
            <w:rtl/>
            <w:lang w:bidi="ar-MA"/>
          </w:rPr>
          <w:t xml:space="preserve">ثلاثة 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 xml:space="preserve"> قرون من الإحصاء بكندا وتعدادات جزئية بالمغرب ابتداء من 1921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_Toc430259585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71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86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2.5. الأسس القانونية: بالمغرب قانون الإحصاء العام للسكان لسنة 1971 وبكندا مادتان من القانون الدستوري لعام 1876 و 5 مواد من قانون الإحصاء لسنة 1985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_Toc430259586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75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87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3.5. إعداد الاستمارة : مسلسل طويل من المشاورات والاختبارات والتجارب على مختلف الأصعدة بكندا، ولجن تنسيق مركزية بالمغرب ولا معلومات عن هذه العملية في مواقع الإحصاء العربية.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_Toc430259587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76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88" w:history="1">
        <w:r w:rsidR="00DC0E01" w:rsidRPr="0073160B">
          <w:rPr>
            <w:rStyle w:val="Lienhypertexte"/>
            <w:rFonts w:ascii="Sakkal Majalla" w:eastAsia="Times New Roman" w:hAnsi="Sakkal Majalla" w:cs="Sakkal Majalla"/>
            <w:b/>
            <w:bCs/>
            <w:noProof/>
            <w:rtl/>
            <w:lang w:eastAsia="fr-FR" w:bidi="ar-MA"/>
          </w:rPr>
          <w:t>4.5. الاستمارة عبر الإحصاءات : تطور ومواكبة للمستجدات المجتمعية في كل من المغرب وكندا، مع إصلاحات أعمق و توضيح الغرض من كل سؤال في الحالة الكندية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_Toc430259588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79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89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5.5. تحصيل البيانات: إحصاءات تقليدية صرفة بالمغرب على شاكلة النمط الكندي في ثلاثينيات القرن الماضي مع استثناء فيما يخص إحصاء 1960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_Toc430259589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88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90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6.5.  استغلال النتائج: بكندا كلما ي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noProof/>
            <w:rtl/>
            <w:lang w:bidi="ar-MA"/>
          </w:rPr>
          <w:t>ُ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جمع ي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noProof/>
            <w:rtl/>
            <w:lang w:bidi="ar-MA"/>
          </w:rPr>
          <w:t>ُ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ستغل، وبالمغرب من استغلال عينة من الاستمارات خلال الإحصاءات الأولى إلى الاستغلال الشامل خلال إحصاءي 2004 و2014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_Toc430259590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91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91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7.5.  نشر واستعمال النتائج:  تنوع وغنى وابتكار وفعالية كبرى بكندا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_Toc430259591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94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92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8.5. أرشفة النتائج : أرشيف ضخم لاستمارات ونتائج الإحصاءات منذ إحصاء 1825 بكندا، ووضعية جيدة لأرشيفات الإحصاء بالمغرب ابتداء من إحصاء 1982.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_Toc430259592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98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Style w:val="Lienhypertexte"/>
          <w:lang w:bidi="ar-MA"/>
        </w:rPr>
      </w:pPr>
      <w:hyperlink w:anchor="_Toc430259593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9.5. مراقبة وتقييم الإحصاء:  تقييمات أكثر منهجية ودقة وصرامة وتوثيقا وتفعيلا في كندا</w:t>
        </w:r>
        <w:r w:rsidR="00DC0E01" w:rsidRPr="0073160B">
          <w:rPr>
            <w:rStyle w:val="Lienhypertexte"/>
            <w:webHidden/>
            <w:lang w:bidi="ar-MA"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_Toc430259593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102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sz w:val="22"/>
          <w:szCs w:val="22"/>
          <w:lang w:eastAsia="fr-FR" w:bidi="ar-SA"/>
        </w:rPr>
      </w:pPr>
      <w:hyperlink w:anchor="_Toc430259594" w:history="1">
        <w:r w:rsidR="00DC0E01" w:rsidRPr="0073160B">
          <w:rPr>
            <w:rStyle w:val="Lienhypertexte"/>
            <w:rtl/>
          </w:rPr>
          <w:t>الباب السادس: معيقات الاستمرار في الإحصاء التقليدي بالمغرب و البدائل الممكنة والأمثل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_Toc430259594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118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tabs>
          <w:tab w:val="left" w:pos="8810"/>
        </w:tabs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95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 xml:space="preserve">1.5.عيوب ومعيقات الإحصاء التقليدي بالمغرب: عيوب مشتركة مع أغلب الدول النامية، و أخرى إضافية تهم الترسنة التشريعية  وتزايد أسباب المقاطعة والمجموعات ذات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noProof/>
            <w:rtl/>
            <w:lang w:bidi="ar-MA"/>
          </w:rPr>
          <w:t>ال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صلة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lang w:bidi="ar-MA"/>
          </w:rPr>
          <w:t>………………………………………………………………………………………………………………………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_Toc430259595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119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596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2.6.    بدائل الإحصاء التقليدي في السياق المغربي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_Toc430259596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122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3"/>
        <w:tabs>
          <w:tab w:val="right" w:leader="dot" w:pos="9062"/>
        </w:tabs>
        <w:bidi/>
        <w:rPr>
          <w:rFonts w:ascii="Sakkal Majalla" w:eastAsiaTheme="minorEastAsia" w:hAnsi="Sakkal Majalla" w:cs="Sakkal Majalla"/>
          <w:b/>
          <w:bCs/>
          <w:i w:val="0"/>
          <w:iCs w:val="0"/>
          <w:noProof/>
          <w:sz w:val="22"/>
          <w:szCs w:val="22"/>
          <w:lang w:eastAsia="fr-FR"/>
        </w:rPr>
      </w:pPr>
      <w:hyperlink w:anchor="_Toc430259597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1.2.6.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البدائل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التي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لا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تتناسب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مع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الظروف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و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الخصوصيات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المغربية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 :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خمسة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من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أصل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 xml:space="preserve"> 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i w:val="0"/>
            <w:iCs w:val="0"/>
            <w:noProof/>
            <w:rtl/>
            <w:lang w:bidi="ar-MA"/>
          </w:rPr>
          <w:t>سبعة</w:t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instrText xml:space="preserve"> PAGEREF _Toc430259597 \h </w:instrTex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i w:val="0"/>
            <w:iCs w:val="0"/>
            <w:noProof/>
            <w:webHidden/>
            <w:rtl/>
          </w:rPr>
          <w:t>123</w: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3"/>
        <w:tabs>
          <w:tab w:val="right" w:leader="dot" w:pos="9062"/>
        </w:tabs>
        <w:bidi/>
        <w:rPr>
          <w:rFonts w:ascii="Sakkal Majalla" w:eastAsiaTheme="minorEastAsia" w:hAnsi="Sakkal Majalla" w:cs="Sakkal Majalla"/>
          <w:b/>
          <w:bCs/>
          <w:i w:val="0"/>
          <w:iCs w:val="0"/>
          <w:noProof/>
          <w:sz w:val="22"/>
          <w:szCs w:val="22"/>
          <w:lang w:eastAsia="fr-FR"/>
        </w:rPr>
      </w:pPr>
      <w:hyperlink w:anchor="_Toc430259598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i w:val="0"/>
            <w:iCs w:val="0"/>
            <w:noProof/>
            <w:rtl/>
            <w:lang w:bidi="ar-MA"/>
          </w:rPr>
          <w:t>2.2.6. البدائل الأنجع للحالة المغربية:  الإحصاء القائم على السجلات و مسوحات خاصة في أفق الانتقال إلى  الإحصاء القائم كليا على السجلات .</w:t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instrText xml:space="preserve"> PAGEREF _Toc430259598 \h </w:instrTex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i w:val="0"/>
            <w:iCs w:val="0"/>
            <w:noProof/>
            <w:webHidden/>
            <w:rtl/>
          </w:rPr>
          <w:t>125</w:t>
        </w:r>
        <w:r w:rsidRPr="0073160B">
          <w:rPr>
            <w:rFonts w:ascii="Sakkal Majalla" w:hAnsi="Sakkal Majalla" w:cs="Sakkal Majalla"/>
            <w:b/>
            <w:bCs/>
            <w:i w:val="0"/>
            <w:iCs w:val="0"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sz w:val="22"/>
          <w:szCs w:val="22"/>
          <w:lang w:eastAsia="fr-FR" w:bidi="ar-SA"/>
        </w:rPr>
      </w:pPr>
      <w:hyperlink w:anchor="_Toc430259599" w:history="1">
        <w:r w:rsidR="00DC0E01" w:rsidRPr="0073160B">
          <w:rPr>
            <w:rStyle w:val="Lienhypertexte"/>
            <w:rtl/>
          </w:rPr>
          <w:t>الباب السابع</w:t>
        </w:r>
        <w:r w:rsidR="00DC0E01" w:rsidRPr="0073160B">
          <w:rPr>
            <w:rStyle w:val="Lienhypertexte"/>
            <w:rFonts w:hint="cs"/>
            <w:rtl/>
          </w:rPr>
          <w:t xml:space="preserve">: </w:t>
        </w:r>
        <w:r w:rsidR="00DC0E01" w:rsidRPr="0073160B">
          <w:rPr>
            <w:rStyle w:val="Lienhypertexte"/>
            <w:rFonts w:hint="eastAsia"/>
            <w:rtl/>
          </w:rPr>
          <w:t>الإحصاء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القائم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على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السجلات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بالمغرب</w:t>
        </w:r>
        <w:r w:rsidR="00DC0E01" w:rsidRPr="0073160B">
          <w:rPr>
            <w:rStyle w:val="Lienhypertexte"/>
            <w:rFonts w:hint="cs"/>
            <w:rtl/>
          </w:rPr>
          <w:t>،</w:t>
        </w:r>
        <w:r w:rsidR="00DC0E01" w:rsidRPr="0073160B">
          <w:rPr>
            <w:rStyle w:val="Lienhypertexte"/>
            <w:rtl/>
          </w:rPr>
          <w:t xml:space="preserve">  </w:t>
        </w:r>
        <w:r w:rsidR="00DC0E01" w:rsidRPr="0073160B">
          <w:rPr>
            <w:rStyle w:val="Lienhypertexte"/>
            <w:rFonts w:hint="eastAsia"/>
            <w:rtl/>
          </w:rPr>
          <w:t>شروط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ومنهجية</w:t>
        </w:r>
        <w:r w:rsidR="00DC0E01" w:rsidRPr="0073160B">
          <w:rPr>
            <w:rStyle w:val="Lienhypertexte"/>
            <w:rtl/>
          </w:rPr>
          <w:t xml:space="preserve"> </w:t>
        </w:r>
        <w:r w:rsidR="00DC0E01" w:rsidRPr="0073160B">
          <w:rPr>
            <w:rStyle w:val="Lienhypertexte"/>
            <w:rFonts w:hint="eastAsia"/>
            <w:rtl/>
          </w:rPr>
          <w:t>التطبيق</w:t>
        </w:r>
      </w:hyperlink>
      <w:hyperlink w:anchor="_Toc430259600" w:history="1"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_Toc430259600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127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601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1.7متطلبات الإحصاء القائم على السجلات : أهمها وضع التشريعات وسجلات السكان والمباني والمساكن</w:t>
        </w:r>
        <w:r w:rsidR="00DC0E01" w:rsidRPr="0073160B">
          <w:rPr>
            <w:rStyle w:val="Lienhypertexte"/>
            <w:rFonts w:ascii="Sakkal Majalla" w:hAnsi="Sakkal Majalla" w:cs="Sakkal Majalla" w:hint="cs"/>
            <w:b/>
            <w:bCs/>
            <w:noProof/>
            <w:rtl/>
            <w:lang w:bidi="ar-MA"/>
          </w:rPr>
          <w:t xml:space="preserve"> والمقاولات</w:t>
        </w:r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 xml:space="preserve"> وإرساء شبكة المعطيات الحكومية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_Toc430259601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129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602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2.7.  منهجية تطبيق الإحصاء القائم على السجلات: منهجية من 13 مرحلة، جلها ذات طابع تشريعي وتنسيقي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_Toc430259602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131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2"/>
        <w:rPr>
          <w:rFonts w:ascii="Sakkal Majalla" w:eastAsiaTheme="minorEastAsia" w:hAnsi="Sakkal Majalla" w:cs="Sakkal Majalla"/>
          <w:b/>
          <w:bCs/>
          <w:smallCaps w:val="0"/>
          <w:noProof/>
          <w:sz w:val="22"/>
          <w:szCs w:val="22"/>
          <w:lang w:eastAsia="fr-FR"/>
        </w:rPr>
      </w:pPr>
      <w:hyperlink w:anchor="_Toc430259604" w:history="1">
        <w:r w:rsidR="00DC0E01" w:rsidRPr="0073160B">
          <w:rPr>
            <w:rStyle w:val="Lienhypertexte"/>
            <w:rFonts w:ascii="Sakkal Majalla" w:hAnsi="Sakkal Majalla" w:cs="Sakkal Majalla"/>
            <w:b/>
            <w:bCs/>
            <w:noProof/>
            <w:rtl/>
            <w:lang w:bidi="ar-MA"/>
          </w:rPr>
          <w:t>3.7. منهجية وضع السجل المركزي للسكان: ما يقارب 30 إجراء، ضمنهم تأسيس مجلس وطني للسجل السكاني و خلق قسم سجل  السكان المركزي بمديرية الإحصاء</w:t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tab/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begin"/>
        </w:r>
        <w:r w:rsidR="00DC0E01" w:rsidRPr="0073160B">
          <w:rPr>
            <w:rFonts w:ascii="Sakkal Majalla" w:hAnsi="Sakkal Majalla" w:cs="Sakkal Majalla"/>
            <w:b/>
            <w:bCs/>
            <w:noProof/>
            <w:webHidden/>
          </w:rPr>
          <w:instrText xml:space="preserve"> PAGEREF _Toc430259604 \h </w:instrTex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separate"/>
        </w:r>
        <w:r w:rsidR="00DC0E01">
          <w:rPr>
            <w:rFonts w:ascii="Sakkal Majalla" w:hAnsi="Sakkal Majalla" w:cs="Sakkal Majalla"/>
            <w:b/>
            <w:bCs/>
            <w:noProof/>
            <w:webHidden/>
            <w:rtl/>
          </w:rPr>
          <w:t>132</w:t>
        </w:r>
        <w:r w:rsidRPr="0073160B">
          <w:rPr>
            <w:rFonts w:ascii="Sakkal Majalla" w:hAnsi="Sakkal Majalla" w:cs="Sakkal Majalla"/>
            <w:b/>
            <w:bCs/>
            <w:noProof/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sz w:val="22"/>
          <w:szCs w:val="22"/>
          <w:lang w:eastAsia="fr-FR" w:bidi="ar-SA"/>
        </w:rPr>
      </w:pPr>
      <w:hyperlink w:anchor="_Toc430259605" w:history="1">
        <w:r w:rsidR="00DC0E01" w:rsidRPr="0073160B">
          <w:rPr>
            <w:rStyle w:val="Lienhypertexte"/>
            <w:rtl/>
          </w:rPr>
          <w:t>الخلاصة والتوصيات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_Toc430259605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135</w:t>
        </w:r>
        <w:r w:rsidRPr="0073160B">
          <w:rPr>
            <w:webHidden/>
          </w:rPr>
          <w:fldChar w:fldCharType="end"/>
        </w:r>
      </w:hyperlink>
    </w:p>
    <w:p w:rsidR="00DC0E01" w:rsidRPr="0073160B" w:rsidRDefault="00907F0B" w:rsidP="00DC0E01">
      <w:pPr>
        <w:pStyle w:val="TM1"/>
        <w:rPr>
          <w:rFonts w:eastAsiaTheme="minorEastAsia"/>
          <w:color w:val="auto"/>
          <w:sz w:val="22"/>
          <w:szCs w:val="22"/>
          <w:lang w:eastAsia="fr-FR" w:bidi="ar-SA"/>
        </w:rPr>
      </w:pPr>
      <w:hyperlink w:anchor="_Toc430259606" w:history="1">
        <w:r w:rsidR="00DC0E01" w:rsidRPr="0073160B">
          <w:rPr>
            <w:rStyle w:val="Lienhypertexte"/>
            <w:rtl/>
          </w:rPr>
          <w:t>المراجع الرئيسية</w:t>
        </w:r>
        <w:r w:rsidR="00DC0E01" w:rsidRPr="0073160B">
          <w:rPr>
            <w:webHidden/>
          </w:rPr>
          <w:tab/>
        </w:r>
        <w:r w:rsidRPr="0073160B">
          <w:rPr>
            <w:webHidden/>
          </w:rPr>
          <w:fldChar w:fldCharType="begin"/>
        </w:r>
        <w:r w:rsidR="00DC0E01" w:rsidRPr="0073160B">
          <w:rPr>
            <w:webHidden/>
          </w:rPr>
          <w:instrText xml:space="preserve"> PAGEREF _Toc430259606 \h </w:instrText>
        </w:r>
        <w:r w:rsidRPr="0073160B">
          <w:rPr>
            <w:webHidden/>
          </w:rPr>
        </w:r>
        <w:r w:rsidRPr="0073160B">
          <w:rPr>
            <w:webHidden/>
          </w:rPr>
          <w:fldChar w:fldCharType="separate"/>
        </w:r>
        <w:r w:rsidR="00DC0E01">
          <w:rPr>
            <w:webHidden/>
            <w:rtl/>
          </w:rPr>
          <w:t>140</w:t>
        </w:r>
        <w:r w:rsidRPr="0073160B">
          <w:rPr>
            <w:webHidden/>
          </w:rPr>
          <w:fldChar w:fldCharType="end"/>
        </w:r>
      </w:hyperlink>
    </w:p>
    <w:p w:rsidR="00AD3974" w:rsidRPr="00DC0E01" w:rsidRDefault="00907F0B" w:rsidP="00DC0E01">
      <w:pPr>
        <w:bidi/>
      </w:pPr>
      <w:r w:rsidRPr="0073160B">
        <w:rPr>
          <w:rtl/>
        </w:rPr>
        <w:fldChar w:fldCharType="end"/>
      </w:r>
    </w:p>
    <w:sectPr w:rsidR="00AD3974" w:rsidRPr="00DC0E01" w:rsidSect="00AD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F64C0"/>
    <w:rsid w:val="001F64C0"/>
    <w:rsid w:val="003F582A"/>
    <w:rsid w:val="005F21C1"/>
    <w:rsid w:val="00703851"/>
    <w:rsid w:val="00907F0B"/>
    <w:rsid w:val="00AD3974"/>
    <w:rsid w:val="00B30638"/>
    <w:rsid w:val="00B33FC8"/>
    <w:rsid w:val="00DC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C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F64C0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1F64C0"/>
    <w:pPr>
      <w:spacing w:line="240" w:lineRule="auto"/>
    </w:pPr>
    <w:rPr>
      <w:rFonts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F64C0"/>
    <w:rPr>
      <w:rFonts w:ascii="Calibri" w:eastAsia="Calibri" w:hAnsi="Calibri" w:cs="Times New Roman"/>
      <w:sz w:val="20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F64C0"/>
    <w:pPr>
      <w:tabs>
        <w:tab w:val="right" w:leader="dot" w:pos="9062"/>
      </w:tabs>
      <w:bidi/>
      <w:spacing w:before="120" w:after="0" w:line="240" w:lineRule="auto"/>
    </w:pPr>
    <w:rPr>
      <w:rFonts w:ascii="Sakkal Majalla" w:hAnsi="Sakkal Majalla" w:cs="Sakkal Majalla"/>
      <w:b/>
      <w:bCs/>
      <w:caps/>
      <w:noProof/>
      <w:color w:val="9C2073"/>
      <w:sz w:val="28"/>
      <w:szCs w:val="28"/>
      <w:lang w:bidi="ar-MA"/>
    </w:rPr>
  </w:style>
  <w:style w:type="paragraph" w:styleId="TM2">
    <w:name w:val="toc 2"/>
    <w:basedOn w:val="Normal"/>
    <w:next w:val="Normal"/>
    <w:autoRedefine/>
    <w:uiPriority w:val="39"/>
    <w:unhideWhenUsed/>
    <w:rsid w:val="001F64C0"/>
    <w:pPr>
      <w:tabs>
        <w:tab w:val="right" w:leader="dot" w:pos="9062"/>
      </w:tabs>
      <w:bidi/>
      <w:spacing w:after="0"/>
      <w:ind w:left="283"/>
    </w:pPr>
    <w:rPr>
      <w:rFonts w:asciiTheme="minorHAnsi" w:hAnsiTheme="minorHAnsi" w:cs="Times New Roman"/>
      <w:smallCaps/>
      <w:sz w:val="20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1F64C0"/>
    <w:pPr>
      <w:spacing w:after="0"/>
      <w:ind w:left="440"/>
    </w:pPr>
    <w:rPr>
      <w:rFonts w:asciiTheme="minorHAnsi" w:hAnsiTheme="minorHAnsi" w:cs="Times New Roman"/>
      <w:i/>
      <w:iCs/>
      <w:sz w:val="2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4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5652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Zineb FIHIFD ALLAH</cp:lastModifiedBy>
  <cp:revision>2</cp:revision>
  <cp:lastPrinted>2015-10-16T09:45:00Z</cp:lastPrinted>
  <dcterms:created xsi:type="dcterms:W3CDTF">2017-08-07T09:23:00Z</dcterms:created>
  <dcterms:modified xsi:type="dcterms:W3CDTF">2017-08-07T09:23:00Z</dcterms:modified>
</cp:coreProperties>
</file>