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D99" w:rsidRDefault="001730E1">
      <w:r>
        <w:rPr>
          <w:noProof/>
          <w:lang w:eastAsia="fr-FR"/>
        </w:rPr>
        <w:pict>
          <v:roundrect id="_x0000_s1027" style="position:absolute;margin-left:300.15pt;margin-top:-12.6pt;width:267pt;height:99pt;z-index:251659264" arcsize="10923f" fillcolor="white [3201]" strokecolor="#fabf8f [1945]" strokeweight="1pt">
            <v:fill color2="#fbd4b4 [1305]" focusposition="1" focussize="" focus="100%" type="gradient"/>
            <v:shadow on="t" type="perspective" color="#974706 [1609]" opacity=".5" offset="1pt" offset2="-3pt"/>
            <v:textbox>
              <w:txbxContent>
                <w:p w:rsidR="00563D34" w:rsidRPr="00563D34" w:rsidRDefault="00563D34" w:rsidP="00563D34">
                  <w:pPr>
                    <w:pStyle w:val="Default"/>
                    <w:ind w:right="-20"/>
                    <w:jc w:val="center"/>
                    <w:rPr>
                      <w:rFonts w:asciiTheme="majorBidi" w:hAnsiTheme="majorBidi" w:cstheme="majorBidi"/>
                      <w:b/>
                      <w:bCs/>
                      <w:i/>
                      <w:iCs/>
                      <w:color w:val="auto"/>
                      <w:sz w:val="28"/>
                      <w:szCs w:val="28"/>
                    </w:rPr>
                  </w:pPr>
                  <w:r w:rsidRPr="00563D34">
                    <w:rPr>
                      <w:rFonts w:asciiTheme="majorBidi" w:hAnsiTheme="majorBidi" w:cstheme="majorBidi"/>
                      <w:b/>
                      <w:bCs/>
                      <w:i/>
                      <w:iCs/>
                      <w:color w:val="auto"/>
                      <w:sz w:val="28"/>
                      <w:szCs w:val="28"/>
                    </w:rPr>
                    <w:t>Les objectifs de la didactique</w:t>
                  </w:r>
                </w:p>
                <w:p w:rsidR="00563D34" w:rsidRPr="00563D34" w:rsidRDefault="00563D34" w:rsidP="00563D34">
                  <w:pPr>
                    <w:pStyle w:val="Default"/>
                    <w:rPr>
                      <w:rFonts w:asciiTheme="majorBidi" w:hAnsiTheme="majorBidi" w:cstheme="majorBidi"/>
                      <w:color w:val="auto"/>
                      <w:sz w:val="28"/>
                      <w:szCs w:val="28"/>
                    </w:rPr>
                  </w:pPr>
                  <w:r w:rsidRPr="00563D34">
                    <w:rPr>
                      <w:rFonts w:asciiTheme="majorBidi" w:hAnsiTheme="majorBidi" w:cstheme="majorBidi"/>
                      <w:color w:val="auto"/>
                      <w:sz w:val="32"/>
                      <w:szCs w:val="32"/>
                    </w:rPr>
                    <w:t>*</w:t>
                  </w:r>
                  <w:r w:rsidRPr="00563D34">
                    <w:rPr>
                      <w:rFonts w:asciiTheme="majorBidi" w:hAnsiTheme="majorBidi" w:cstheme="majorBidi"/>
                      <w:color w:val="auto"/>
                      <w:sz w:val="28"/>
                      <w:szCs w:val="28"/>
                    </w:rPr>
                    <w:t>élaborer des outils théoriques</w:t>
                  </w:r>
                </w:p>
                <w:p w:rsidR="00563D34" w:rsidRPr="00563D34" w:rsidRDefault="00563D34" w:rsidP="00563D34">
                  <w:pPr>
                    <w:pStyle w:val="Default"/>
                    <w:rPr>
                      <w:rFonts w:asciiTheme="majorBidi" w:hAnsiTheme="majorBidi" w:cstheme="majorBidi"/>
                      <w:color w:val="auto"/>
                      <w:sz w:val="28"/>
                      <w:szCs w:val="28"/>
                    </w:rPr>
                  </w:pPr>
                  <w:r w:rsidRPr="00563D34">
                    <w:rPr>
                      <w:rFonts w:asciiTheme="majorBidi" w:hAnsiTheme="majorBidi" w:cstheme="majorBidi"/>
                      <w:color w:val="auto"/>
                      <w:sz w:val="28"/>
                      <w:szCs w:val="28"/>
                    </w:rPr>
                    <w:t>*optimiser le processus d’apprentissage</w:t>
                  </w:r>
                </w:p>
                <w:p w:rsidR="00563D34" w:rsidRPr="00563D34" w:rsidRDefault="00563D34" w:rsidP="00563D34">
                  <w:pPr>
                    <w:pStyle w:val="Default"/>
                    <w:rPr>
                      <w:rFonts w:asciiTheme="majorBidi" w:hAnsiTheme="majorBidi" w:cstheme="majorBidi"/>
                      <w:color w:val="auto"/>
                      <w:sz w:val="28"/>
                      <w:szCs w:val="28"/>
                    </w:rPr>
                  </w:pPr>
                  <w:r w:rsidRPr="00563D34">
                    <w:rPr>
                      <w:rFonts w:asciiTheme="majorBidi" w:hAnsiTheme="majorBidi" w:cstheme="majorBidi"/>
                      <w:color w:val="auto"/>
                      <w:sz w:val="28"/>
                      <w:szCs w:val="28"/>
                    </w:rPr>
                    <w:t>*fonder les pratiques pédagogiques</w:t>
                  </w:r>
                </w:p>
                <w:p w:rsidR="00563D34" w:rsidRPr="00563D34" w:rsidRDefault="00563D34" w:rsidP="00563D34"/>
              </w:txbxContent>
            </v:textbox>
          </v:roundrect>
        </w:pict>
      </w:r>
      <w:r>
        <w:rPr>
          <w:noProof/>
          <w:lang w:eastAsia="fr-FR"/>
        </w:rPr>
        <w:pict>
          <v:roundrect id="_x0000_s1028" style="position:absolute;margin-left:-2.1pt;margin-top:166.65pt;width:322.5pt;height:225.75pt;z-index:251660288" arcsize="10923f" fillcolor="white [3201]" strokecolor="#fabf8f [1945]" strokeweight="1pt">
            <v:fill color2="#fbd4b4 [1305]" focusposition="1" focussize="" focus="100%" type="gradient"/>
            <v:shadow on="t" type="perspective" color="#974706 [1609]" opacity=".5" offset="1pt" offset2="-3pt"/>
            <v:textbox>
              <w:txbxContent>
                <w:p w:rsidR="00563D34" w:rsidRDefault="00563D34" w:rsidP="00563D34">
                  <w:r>
                    <w:rPr>
                      <w:noProof/>
                      <w:lang w:eastAsia="fr-FR"/>
                    </w:rPr>
                    <w:drawing>
                      <wp:inline distT="0" distB="0" distL="0" distR="0">
                        <wp:extent cx="3648075" cy="2476500"/>
                        <wp:effectExtent l="19050" t="0" r="9525" b="0"/>
                        <wp:docPr id="3" name="Image 3" descr="Résultat de recherche d'images pour &quot;triangle didactique imag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ésultat de recherche d'images pour &quot;triangle didactique images&quot;"/>
                                <pic:cNvPicPr>
                                  <a:picLocks noChangeAspect="1" noChangeArrowheads="1"/>
                                </pic:cNvPicPr>
                              </pic:nvPicPr>
                              <pic:blipFill>
                                <a:blip r:embed="rId6"/>
                                <a:srcRect/>
                                <a:stretch>
                                  <a:fillRect/>
                                </a:stretch>
                              </pic:blipFill>
                              <pic:spPr bwMode="auto">
                                <a:xfrm>
                                  <a:off x="0" y="0"/>
                                  <a:ext cx="3653113" cy="2479920"/>
                                </a:xfrm>
                                <a:prstGeom prst="rect">
                                  <a:avLst/>
                                </a:prstGeom>
                                <a:noFill/>
                                <a:ln w="9525">
                                  <a:noFill/>
                                  <a:miter lim="800000"/>
                                  <a:headEnd/>
                                  <a:tailEnd/>
                                </a:ln>
                              </pic:spPr>
                            </pic:pic>
                          </a:graphicData>
                        </a:graphic>
                      </wp:inline>
                    </w:drawing>
                  </w:r>
                </w:p>
              </w:txbxContent>
            </v:textbox>
          </v:roundrect>
        </w:pict>
      </w:r>
      <w:r>
        <w:rPr>
          <w:noProof/>
          <w:lang w:eastAsia="fr-FR"/>
        </w:rPr>
        <w:pict>
          <v:roundrect id="_x0000_s1030" style="position:absolute;margin-left:594.15pt;margin-top:.9pt;width:209.25pt;height:184.5pt;z-index:251662336" arcsize="10923f" fillcolor="white [3201]" strokecolor="#fabf8f [1945]" strokeweight="1pt">
            <v:fill color2="#fbd4b4 [1305]" focusposition="1" focussize="" focus="100%" type="gradient"/>
            <v:shadow on="t" type="perspective" color="#974706 [1609]" opacity=".5" offset="1pt" offset2="-3pt"/>
            <v:textbox>
              <w:txbxContent>
                <w:p w:rsidR="00773D99" w:rsidRPr="00773D99" w:rsidRDefault="00773D99" w:rsidP="00773D99">
                  <w:pPr>
                    <w:autoSpaceDE w:val="0"/>
                    <w:autoSpaceDN w:val="0"/>
                    <w:adjustRightInd w:val="0"/>
                    <w:jc w:val="center"/>
                    <w:rPr>
                      <w:rFonts w:ascii="TrebuchetMS-Bold" w:hAnsi="TrebuchetMS-Bold" w:cs="TrebuchetMS-Bold"/>
                      <w:b/>
                      <w:bCs/>
                      <w:i/>
                      <w:iCs/>
                      <w:sz w:val="20"/>
                      <w:szCs w:val="20"/>
                    </w:rPr>
                  </w:pPr>
                  <w:r w:rsidRPr="00773D99">
                    <w:rPr>
                      <w:rFonts w:ascii="TrebuchetMS-Bold" w:hAnsi="TrebuchetMS-Bold" w:cs="TrebuchetMS-Bold"/>
                      <w:b/>
                      <w:bCs/>
                      <w:i/>
                      <w:iCs/>
                      <w:sz w:val="20"/>
                      <w:szCs w:val="20"/>
                    </w:rPr>
                    <w:t>La pédagogie</w:t>
                  </w:r>
                </w:p>
                <w:p w:rsidR="00773D99" w:rsidRPr="00773D99" w:rsidRDefault="00773D99" w:rsidP="00B075CD">
                  <w:pPr>
                    <w:autoSpaceDE w:val="0"/>
                    <w:autoSpaceDN w:val="0"/>
                    <w:adjustRightInd w:val="0"/>
                    <w:rPr>
                      <w:rFonts w:asciiTheme="majorBidi" w:hAnsiTheme="majorBidi" w:cstheme="majorBidi"/>
                      <w:sz w:val="24"/>
                      <w:szCs w:val="24"/>
                    </w:rPr>
                  </w:pPr>
                  <w:r w:rsidRPr="00773D99">
                    <w:rPr>
                      <w:rFonts w:asciiTheme="majorBidi" w:hAnsiTheme="majorBidi" w:cstheme="majorBidi"/>
                      <w:sz w:val="24"/>
                      <w:szCs w:val="24"/>
                    </w:rPr>
                    <w:t>La pédagogie concerne l’ensemble des méthodes et des techniques d’ensei</w:t>
                  </w:r>
                  <w:r>
                    <w:rPr>
                      <w:rFonts w:asciiTheme="majorBidi" w:hAnsiTheme="majorBidi" w:cstheme="majorBidi"/>
                      <w:sz w:val="24"/>
                      <w:szCs w:val="24"/>
                    </w:rPr>
                    <w:t>gnement</w:t>
                  </w:r>
                  <w:r w:rsidR="00B075CD">
                    <w:rPr>
                      <w:rFonts w:asciiTheme="majorBidi" w:hAnsiTheme="majorBidi" w:cstheme="majorBidi"/>
                      <w:sz w:val="24"/>
                      <w:szCs w:val="24"/>
                    </w:rPr>
                    <w:t xml:space="preserve">, </w:t>
                  </w:r>
                  <w:r>
                    <w:rPr>
                      <w:rFonts w:asciiTheme="majorBidi" w:hAnsiTheme="majorBidi" w:cstheme="majorBidi"/>
                      <w:sz w:val="24"/>
                      <w:szCs w:val="24"/>
                    </w:rPr>
                    <w:t xml:space="preserve"> </w:t>
                  </w:r>
                  <w:r w:rsidRPr="00773D99">
                    <w:rPr>
                      <w:rFonts w:asciiTheme="majorBidi" w:hAnsiTheme="majorBidi" w:cstheme="majorBidi"/>
                      <w:sz w:val="24"/>
                      <w:szCs w:val="24"/>
                    </w:rPr>
                    <w:t>destinées à assurer, dans les meilleures conditions possibles, la transmission ou l’</w:t>
                  </w:r>
                  <w:r>
                    <w:rPr>
                      <w:rFonts w:asciiTheme="majorBidi" w:hAnsiTheme="majorBidi" w:cstheme="majorBidi"/>
                      <w:sz w:val="24"/>
                      <w:szCs w:val="24"/>
                    </w:rPr>
                    <w:t xml:space="preserve">appropriation du savoir, en </w:t>
                  </w:r>
                  <w:r w:rsidRPr="00773D99">
                    <w:rPr>
                      <w:rFonts w:asciiTheme="majorBidi" w:hAnsiTheme="majorBidi" w:cstheme="majorBidi"/>
                      <w:sz w:val="24"/>
                      <w:szCs w:val="24"/>
                    </w:rPr>
                    <w:t>fonction des données de la psychologie et de la physiologie enfantine.</w:t>
                  </w:r>
                </w:p>
              </w:txbxContent>
            </v:textbox>
          </v:roundrect>
        </w:pict>
      </w:r>
      <w:r>
        <w:rPr>
          <w:noProof/>
          <w:lang w:eastAsia="fr-FR"/>
        </w:rPr>
        <w:pict>
          <v:roundrect id="_x0000_s1026" style="position:absolute;margin-left:-5.85pt;margin-top:-11.85pt;width:285pt;height:169.5pt;z-index:251658240" arcsize="10923f" fillcolor="white [3201]" strokecolor="#fabf8f [1945]" strokeweight="1pt">
            <v:fill color2="#fbd4b4 [1305]" focusposition="1" focussize="" focus="100%" type="gradient"/>
            <v:shadow on="t" type="perspective" color="#974706 [1609]" opacity=".5" offset="1pt" offset2="-3pt"/>
            <v:textbox>
              <w:txbxContent>
                <w:p w:rsidR="00DD2503" w:rsidRPr="00DD2503" w:rsidRDefault="00DD2503" w:rsidP="00DD2503">
                  <w:pPr>
                    <w:pStyle w:val="Default"/>
                    <w:rPr>
                      <w:color w:val="auto"/>
                      <w:sz w:val="28"/>
                      <w:szCs w:val="28"/>
                    </w:rPr>
                  </w:pPr>
                  <w:r w:rsidRPr="00DD2503">
                    <w:rPr>
                      <w:color w:val="auto"/>
                      <w:sz w:val="28"/>
                      <w:szCs w:val="28"/>
                    </w:rPr>
                    <w:t>«</w:t>
                  </w:r>
                  <w:r w:rsidRPr="00DD2503">
                    <w:rPr>
                      <w:b/>
                      <w:bCs/>
                      <w:i/>
                      <w:iCs/>
                      <w:color w:val="auto"/>
                      <w:sz w:val="28"/>
                      <w:szCs w:val="28"/>
                    </w:rPr>
                    <w:t>La didactique d’une discipline</w:t>
                  </w:r>
                  <w:r w:rsidRPr="00DD2503">
                    <w:rPr>
                      <w:color w:val="auto"/>
                      <w:sz w:val="28"/>
                      <w:szCs w:val="28"/>
                    </w:rPr>
                    <w:t xml:space="preserve"> est la science qui étudie, pour un domaine particulier, les phénomènes d’enseignements, les conditions de la transmission de la «culture»</w:t>
                  </w:r>
                  <w:r>
                    <w:rPr>
                      <w:color w:val="auto"/>
                      <w:sz w:val="28"/>
                      <w:szCs w:val="28"/>
                    </w:rPr>
                    <w:t xml:space="preserve"> </w:t>
                  </w:r>
                  <w:r w:rsidRPr="00DD2503">
                    <w:rPr>
                      <w:color w:val="auto"/>
                      <w:sz w:val="28"/>
                      <w:szCs w:val="28"/>
                    </w:rPr>
                    <w:t>propre à</w:t>
                  </w:r>
                  <w:r>
                    <w:rPr>
                      <w:color w:val="auto"/>
                      <w:sz w:val="28"/>
                      <w:szCs w:val="28"/>
                    </w:rPr>
                    <w:t xml:space="preserve"> </w:t>
                  </w:r>
                  <w:r w:rsidRPr="00DD2503">
                    <w:rPr>
                      <w:color w:val="auto"/>
                      <w:sz w:val="28"/>
                      <w:szCs w:val="28"/>
                    </w:rPr>
                    <w:t>une institution et les conditions de l’acquisition des connaissances par un apprenant.»</w:t>
                  </w:r>
                </w:p>
                <w:p w:rsidR="00DD2503" w:rsidRDefault="00DD2503" w:rsidP="00DD2503">
                  <w:pPr>
                    <w:pStyle w:val="Default"/>
                  </w:pPr>
                </w:p>
                <w:p w:rsidR="00DD2503" w:rsidRPr="00DD2503" w:rsidRDefault="00DD2503" w:rsidP="00DD2503">
                  <w:pPr>
                    <w:pStyle w:val="Default"/>
                    <w:jc w:val="right"/>
                    <w:rPr>
                      <w:b/>
                      <w:bCs/>
                      <w:i/>
                      <w:iCs/>
                      <w:color w:val="auto"/>
                      <w:sz w:val="28"/>
                      <w:szCs w:val="28"/>
                    </w:rPr>
                  </w:pPr>
                  <w:r w:rsidRPr="00DD2503">
                    <w:rPr>
                      <w:b/>
                      <w:bCs/>
                      <w:i/>
                      <w:iCs/>
                      <w:color w:val="auto"/>
                      <w:sz w:val="28"/>
                      <w:szCs w:val="28"/>
                    </w:rPr>
                    <w:t>(</w:t>
                  </w:r>
                  <w:proofErr w:type="spellStart"/>
                  <w:r w:rsidRPr="00DD2503">
                    <w:rPr>
                      <w:b/>
                      <w:bCs/>
                      <w:i/>
                      <w:iCs/>
                      <w:color w:val="auto"/>
                      <w:sz w:val="28"/>
                      <w:szCs w:val="28"/>
                    </w:rPr>
                    <w:t>Johsuaet</w:t>
                  </w:r>
                  <w:proofErr w:type="spellEnd"/>
                  <w:r w:rsidRPr="00DD2503">
                    <w:rPr>
                      <w:b/>
                      <w:bCs/>
                      <w:i/>
                      <w:iCs/>
                      <w:color w:val="auto"/>
                      <w:sz w:val="28"/>
                      <w:szCs w:val="28"/>
                    </w:rPr>
                    <w:t xml:space="preserve"> Dupin, 1989)</w:t>
                  </w:r>
                </w:p>
                <w:p w:rsidR="00DD2503" w:rsidRDefault="00DD2503" w:rsidP="00DD2503"/>
              </w:txbxContent>
            </v:textbox>
          </v:roundrect>
        </w:pict>
      </w:r>
    </w:p>
    <w:p w:rsidR="00773D99" w:rsidRPr="00773D99" w:rsidRDefault="00773D99" w:rsidP="00773D99"/>
    <w:p w:rsidR="00773D99" w:rsidRPr="00773D99" w:rsidRDefault="00773D99" w:rsidP="00773D99"/>
    <w:p w:rsidR="00773D99" w:rsidRPr="00773D99" w:rsidRDefault="00773D99" w:rsidP="00773D99"/>
    <w:p w:rsidR="00773D99" w:rsidRPr="00773D99" w:rsidRDefault="00773D99" w:rsidP="00773D99"/>
    <w:p w:rsidR="00773D99" w:rsidRPr="00773D99" w:rsidRDefault="00773D99" w:rsidP="00773D99"/>
    <w:p w:rsidR="00773D99" w:rsidRPr="00773D99" w:rsidRDefault="00773D99" w:rsidP="00773D99"/>
    <w:p w:rsidR="00773D99" w:rsidRPr="00773D99" w:rsidRDefault="001730E1" w:rsidP="00773D99">
      <w:r>
        <w:rPr>
          <w:noProof/>
          <w:lang w:eastAsia="fr-FR"/>
        </w:rPr>
        <w:pict>
          <v:roundrect id="_x0000_s1029" style="position:absolute;margin-left:326.4pt;margin-top:4.4pt;width:253.5pt;height:266.25pt;z-index:251661312" arcsize="10923f" fillcolor="white [3201]" strokecolor="#fabf8f [1945]" strokeweight="1pt">
            <v:fill color2="#fbd4b4 [1305]" focusposition="1" focussize="" focus="100%" type="gradient"/>
            <v:shadow on="t" type="perspective" color="#974706 [1609]" opacity=".5" offset="1pt" offset2="-3pt"/>
            <v:textbox>
              <w:txbxContent>
                <w:p w:rsidR="00947B7D" w:rsidRPr="00947B7D" w:rsidRDefault="00947B7D" w:rsidP="00947B7D">
                  <w:pPr>
                    <w:autoSpaceDE w:val="0"/>
                    <w:autoSpaceDN w:val="0"/>
                    <w:adjustRightInd w:val="0"/>
                    <w:jc w:val="center"/>
                    <w:rPr>
                      <w:rFonts w:ascii="TrebuchetMS" w:hAnsi="TrebuchetMS" w:cs="TrebuchetMS"/>
                      <w:b/>
                      <w:bCs/>
                      <w:i/>
                      <w:iCs/>
                      <w:sz w:val="20"/>
                      <w:szCs w:val="20"/>
                    </w:rPr>
                  </w:pPr>
                  <w:r w:rsidRPr="00947B7D">
                    <w:rPr>
                      <w:rFonts w:ascii="TrebuchetMS" w:hAnsi="TrebuchetMS" w:cs="TrebuchetMS"/>
                      <w:b/>
                      <w:bCs/>
                      <w:i/>
                      <w:iCs/>
                      <w:sz w:val="20"/>
                      <w:szCs w:val="20"/>
                    </w:rPr>
                    <w:t>La transposition didactique</w:t>
                  </w:r>
                </w:p>
                <w:p w:rsidR="00947B7D" w:rsidRPr="00947B7D" w:rsidRDefault="00947B7D" w:rsidP="00947B7D">
                  <w:pPr>
                    <w:autoSpaceDE w:val="0"/>
                    <w:autoSpaceDN w:val="0"/>
                    <w:adjustRightInd w:val="0"/>
                    <w:rPr>
                      <w:rFonts w:asciiTheme="majorBidi" w:hAnsiTheme="majorBidi" w:cstheme="majorBidi"/>
                      <w:sz w:val="24"/>
                      <w:szCs w:val="24"/>
                    </w:rPr>
                  </w:pPr>
                  <w:r w:rsidRPr="00947B7D">
                    <w:rPr>
                      <w:rFonts w:asciiTheme="majorBidi" w:hAnsiTheme="majorBidi" w:cstheme="majorBidi"/>
                      <w:sz w:val="24"/>
                      <w:szCs w:val="24"/>
                    </w:rPr>
                    <w:t>L'enseignement est le résultat d'un traitement didactique obéissant à des contraintes précises. On distingue le savoir savant (tel qu'il émane de la recherche), et le savoir enseigné (celui que l'observateur rencontre dans les pratiques de classe). La transposition didactique est constituée des « mécanismes généraux permettant le passage d'un objet de savoir à un objet d'enseignement ». C'est donc le processus par lequel le « savoir savant » devient « savoir à enseigner ».</w:t>
                  </w:r>
                </w:p>
                <w:p w:rsidR="00947B7D" w:rsidRPr="00947B7D" w:rsidRDefault="00947B7D" w:rsidP="00947B7D">
                  <w:pPr>
                    <w:autoSpaceDE w:val="0"/>
                    <w:autoSpaceDN w:val="0"/>
                    <w:adjustRightInd w:val="0"/>
                    <w:rPr>
                      <w:rFonts w:asciiTheme="majorBidi" w:hAnsiTheme="majorBidi" w:cstheme="majorBidi"/>
                      <w:sz w:val="24"/>
                      <w:szCs w:val="24"/>
                    </w:rPr>
                  </w:pPr>
                  <w:r w:rsidRPr="00947B7D">
                    <w:rPr>
                      <w:rFonts w:asciiTheme="majorBidi" w:hAnsiTheme="majorBidi" w:cstheme="majorBidi"/>
                      <w:sz w:val="24"/>
                      <w:szCs w:val="24"/>
                    </w:rPr>
                    <w:t>La transposition didactique est une véritable construction où le savoir subit un traitement didactique qui permet le passage d'un objet de savoir à un objet d'enseignement.</w:t>
                  </w:r>
                </w:p>
              </w:txbxContent>
            </v:textbox>
          </v:roundrect>
        </w:pict>
      </w:r>
    </w:p>
    <w:p w:rsidR="00773D99" w:rsidRPr="00773D99" w:rsidRDefault="00773D99" w:rsidP="00773D99"/>
    <w:p w:rsidR="00773D99" w:rsidRPr="00773D99" w:rsidRDefault="00773D99" w:rsidP="00773D99"/>
    <w:p w:rsidR="00773D99" w:rsidRPr="00773D99" w:rsidRDefault="00773D99" w:rsidP="00773D99"/>
    <w:p w:rsidR="00773D99" w:rsidRPr="00773D99" w:rsidRDefault="00773D99" w:rsidP="00773D99"/>
    <w:p w:rsidR="00773D99" w:rsidRPr="00773D99" w:rsidRDefault="00773D99" w:rsidP="00773D99"/>
    <w:p w:rsidR="00773D99" w:rsidRPr="00773D99" w:rsidRDefault="00773D99" w:rsidP="00773D99"/>
    <w:p w:rsidR="00773D99" w:rsidRPr="00773D99" w:rsidRDefault="00773D99" w:rsidP="00773D99"/>
    <w:p w:rsidR="00773D99" w:rsidRPr="00773D99" w:rsidRDefault="00773D99" w:rsidP="00773D99"/>
    <w:p w:rsidR="00773D99" w:rsidRDefault="00773D99" w:rsidP="00773D99">
      <w:pPr>
        <w:autoSpaceDE w:val="0"/>
        <w:autoSpaceDN w:val="0"/>
        <w:adjustRightInd w:val="0"/>
      </w:pPr>
    </w:p>
    <w:p w:rsidR="00773D99" w:rsidRDefault="00773D99" w:rsidP="00773D99">
      <w:pPr>
        <w:autoSpaceDE w:val="0"/>
        <w:autoSpaceDN w:val="0"/>
        <w:adjustRightInd w:val="0"/>
      </w:pPr>
    </w:p>
    <w:p w:rsidR="00773D99" w:rsidRDefault="00773D99" w:rsidP="00773D99">
      <w:pPr>
        <w:autoSpaceDE w:val="0"/>
        <w:autoSpaceDN w:val="0"/>
        <w:adjustRightInd w:val="0"/>
      </w:pPr>
    </w:p>
    <w:p w:rsidR="00773D99" w:rsidRDefault="00773D99" w:rsidP="00773D99">
      <w:pPr>
        <w:autoSpaceDE w:val="0"/>
        <w:autoSpaceDN w:val="0"/>
        <w:adjustRightInd w:val="0"/>
      </w:pPr>
    </w:p>
    <w:p w:rsidR="00773D99" w:rsidRDefault="00773D99" w:rsidP="00773D99">
      <w:pPr>
        <w:autoSpaceDE w:val="0"/>
        <w:autoSpaceDN w:val="0"/>
        <w:adjustRightInd w:val="0"/>
      </w:pPr>
    </w:p>
    <w:p w:rsidR="00773D99" w:rsidRDefault="00773D99" w:rsidP="00773D99">
      <w:pPr>
        <w:autoSpaceDE w:val="0"/>
        <w:autoSpaceDN w:val="0"/>
        <w:adjustRightInd w:val="0"/>
      </w:pPr>
    </w:p>
    <w:p w:rsidR="00773D99" w:rsidRDefault="00773D99" w:rsidP="00773D99">
      <w:pPr>
        <w:autoSpaceDE w:val="0"/>
        <w:autoSpaceDN w:val="0"/>
        <w:adjustRightInd w:val="0"/>
      </w:pPr>
    </w:p>
    <w:p w:rsidR="00773D99" w:rsidRDefault="00773D99" w:rsidP="00773D99">
      <w:pPr>
        <w:autoSpaceDE w:val="0"/>
        <w:autoSpaceDN w:val="0"/>
        <w:adjustRightInd w:val="0"/>
      </w:pPr>
    </w:p>
    <w:p w:rsidR="00773D99" w:rsidRDefault="00773D99" w:rsidP="00773D99">
      <w:pPr>
        <w:autoSpaceDE w:val="0"/>
        <w:autoSpaceDN w:val="0"/>
        <w:adjustRightInd w:val="0"/>
      </w:pPr>
    </w:p>
    <w:p w:rsidR="00773D99" w:rsidRDefault="00773D99" w:rsidP="00773D99">
      <w:pPr>
        <w:autoSpaceDE w:val="0"/>
        <w:autoSpaceDN w:val="0"/>
        <w:adjustRightInd w:val="0"/>
      </w:pPr>
    </w:p>
    <w:p w:rsidR="00773D99" w:rsidRDefault="00773D99" w:rsidP="00773D99">
      <w:pPr>
        <w:autoSpaceDE w:val="0"/>
        <w:autoSpaceDN w:val="0"/>
        <w:adjustRightInd w:val="0"/>
      </w:pPr>
    </w:p>
    <w:p w:rsidR="00773D99" w:rsidRDefault="00773D99" w:rsidP="00773D99">
      <w:pPr>
        <w:autoSpaceDE w:val="0"/>
        <w:autoSpaceDN w:val="0"/>
        <w:adjustRightInd w:val="0"/>
      </w:pPr>
    </w:p>
    <w:p w:rsidR="00773D99" w:rsidRPr="00773D99" w:rsidRDefault="001730E1" w:rsidP="00773D99">
      <w:pPr>
        <w:autoSpaceDE w:val="0"/>
        <w:autoSpaceDN w:val="0"/>
        <w:adjustRightInd w:val="0"/>
        <w:rPr>
          <w:rFonts w:ascii="TrebuchetMS-Bold" w:hAnsi="TrebuchetMS-Bold" w:cs="TrebuchetMS-Bold"/>
          <w:b/>
          <w:bCs/>
          <w:sz w:val="20"/>
          <w:szCs w:val="20"/>
        </w:rPr>
      </w:pPr>
      <w:r w:rsidRPr="001730E1">
        <w:rPr>
          <w:noProof/>
          <w:lang w:eastAsia="fr-FR"/>
        </w:rPr>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31" type="#_x0000_t15" style="position:absolute;margin-left:-11.85pt;margin-top:67.4pt;width:327pt;height:30pt;z-index:251663360" fillcolor="white [3201]" strokecolor="#fabf8f [1945]" strokeweight="1pt">
            <v:fill color2="#fbd4b4 [1305]" focusposition="1" focussize="" focus="100%" type="gradient"/>
            <v:shadow on="t" type="perspective" color="#974706 [1609]" opacity=".5" offset="1pt" offset2="-3pt"/>
            <v:textbox>
              <w:txbxContent>
                <w:p w:rsidR="00773D99" w:rsidRPr="00773D99" w:rsidRDefault="00773D99" w:rsidP="00773D99">
                  <w:pPr>
                    <w:autoSpaceDE w:val="0"/>
                    <w:autoSpaceDN w:val="0"/>
                    <w:adjustRightInd w:val="0"/>
                    <w:rPr>
                      <w:rFonts w:asciiTheme="majorBidi" w:hAnsiTheme="majorBidi" w:cstheme="majorBidi"/>
                      <w:b/>
                      <w:bCs/>
                      <w:sz w:val="24"/>
                      <w:szCs w:val="24"/>
                    </w:rPr>
                  </w:pPr>
                  <w:r w:rsidRPr="00773D99">
                    <w:rPr>
                      <w:rFonts w:asciiTheme="majorBidi" w:hAnsiTheme="majorBidi" w:cstheme="majorBidi"/>
                      <w:sz w:val="24"/>
                      <w:szCs w:val="24"/>
                    </w:rPr>
                    <w:t xml:space="preserve">· </w:t>
                  </w:r>
                  <w:r w:rsidRPr="00773D99">
                    <w:rPr>
                      <w:rFonts w:asciiTheme="majorBidi" w:hAnsiTheme="majorBidi" w:cstheme="majorBidi"/>
                      <w:b/>
                      <w:bCs/>
                      <w:sz w:val="24"/>
                      <w:szCs w:val="24"/>
                    </w:rPr>
                    <w:t>Le t</w:t>
                  </w:r>
                  <w:r>
                    <w:rPr>
                      <w:rFonts w:asciiTheme="majorBidi" w:hAnsiTheme="majorBidi" w:cstheme="majorBidi"/>
                      <w:b/>
                      <w:bCs/>
                      <w:sz w:val="24"/>
                      <w:szCs w:val="24"/>
                    </w:rPr>
                    <w:t xml:space="preserve">riangle pédagogique de Philippe </w:t>
                  </w:r>
                  <w:proofErr w:type="spellStart"/>
                  <w:r w:rsidRPr="00773D99">
                    <w:rPr>
                      <w:rFonts w:asciiTheme="majorBidi" w:hAnsiTheme="majorBidi" w:cstheme="majorBidi"/>
                      <w:b/>
                      <w:bCs/>
                      <w:sz w:val="24"/>
                      <w:szCs w:val="24"/>
                    </w:rPr>
                    <w:t>Meirieu</w:t>
                  </w:r>
                  <w:proofErr w:type="spellEnd"/>
                </w:p>
              </w:txbxContent>
            </v:textbox>
          </v:shape>
        </w:pict>
      </w:r>
      <w:r w:rsidR="00773D99">
        <w:rPr>
          <w:noProof/>
          <w:lang w:eastAsia="fr-FR"/>
        </w:rPr>
        <w:t xml:space="preserve">                                                                                                                                                            </w:t>
      </w:r>
      <w:r w:rsidR="00773D99">
        <w:rPr>
          <w:noProof/>
          <w:lang w:eastAsia="fr-FR"/>
        </w:rPr>
        <w:drawing>
          <wp:inline distT="0" distB="0" distL="0" distR="0">
            <wp:extent cx="4676775" cy="1857375"/>
            <wp:effectExtent l="19050" t="0" r="9525" b="0"/>
            <wp:docPr id="5"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srcRect/>
                    <a:stretch>
                      <a:fillRect/>
                    </a:stretch>
                  </pic:blipFill>
                  <pic:spPr bwMode="auto">
                    <a:xfrm>
                      <a:off x="0" y="0"/>
                      <a:ext cx="4676775" cy="1857375"/>
                    </a:xfrm>
                    <a:prstGeom prst="rect">
                      <a:avLst/>
                    </a:prstGeom>
                    <a:noFill/>
                    <a:ln w="9525">
                      <a:noFill/>
                      <a:miter lim="800000"/>
                      <a:headEnd/>
                      <a:tailEnd/>
                    </a:ln>
                  </pic:spPr>
                </pic:pic>
              </a:graphicData>
            </a:graphic>
          </wp:inline>
        </w:drawing>
      </w:r>
    </w:p>
    <w:p w:rsidR="00773D99" w:rsidRPr="00773D99" w:rsidRDefault="00773D99" w:rsidP="00773D99"/>
    <w:p w:rsidR="0012743F" w:rsidRDefault="0012743F" w:rsidP="00773D99">
      <w:pPr>
        <w:sectPr w:rsidR="0012743F" w:rsidSect="00DD2503">
          <w:pgSz w:w="16838" w:h="11906" w:orient="landscape"/>
          <w:pgMar w:top="567" w:right="567" w:bottom="567" w:left="567" w:header="709" w:footer="709" w:gutter="0"/>
          <w:cols w:space="708"/>
          <w:docGrid w:linePitch="360"/>
        </w:sectPr>
      </w:pPr>
    </w:p>
    <w:p w:rsidR="0012743F" w:rsidRDefault="0012743F" w:rsidP="0012743F">
      <w:pPr>
        <w:pBdr>
          <w:top w:val="double" w:sz="4" w:space="1" w:color="auto"/>
          <w:left w:val="double" w:sz="4" w:space="4" w:color="auto"/>
          <w:bottom w:val="single" w:sz="18" w:space="1" w:color="auto"/>
          <w:right w:val="single" w:sz="18" w:space="4" w:color="auto"/>
        </w:pBdr>
        <w:jc w:val="center"/>
        <w:rPr>
          <w:rFonts w:ascii="Arial" w:hAnsi="Arial" w:cs="Arial"/>
          <w:b/>
          <w:bCs/>
          <w:sz w:val="36"/>
          <w:szCs w:val="36"/>
        </w:rPr>
      </w:pPr>
      <w:r>
        <w:rPr>
          <w:rFonts w:ascii="Arial" w:hAnsi="Arial" w:cs="Arial"/>
          <w:b/>
          <w:bCs/>
          <w:sz w:val="36"/>
          <w:szCs w:val="36"/>
        </w:rPr>
        <w:lastRenderedPageBreak/>
        <w:t>Didactique et pédagogie</w:t>
      </w:r>
    </w:p>
    <w:p w:rsidR="0012743F" w:rsidRDefault="0012743F" w:rsidP="0012743F"/>
    <w:p w:rsidR="0012743F" w:rsidRDefault="0012743F" w:rsidP="0012743F"/>
    <w:p w:rsidR="0012743F" w:rsidRPr="001C3187" w:rsidRDefault="0012743F" w:rsidP="0012743F">
      <w:pPr>
        <w:jc w:val="center"/>
        <w:rPr>
          <w:b/>
          <w:bCs/>
        </w:rPr>
      </w:pPr>
      <w:r w:rsidRPr="001C3187">
        <w:rPr>
          <w:b/>
          <w:bCs/>
        </w:rPr>
        <w:t>Différence entre didactique et pédagogie :</w:t>
      </w:r>
    </w:p>
    <w:p w:rsidR="0012743F" w:rsidRDefault="0012743F" w:rsidP="0012743F">
      <w:pPr>
        <w:jc w:val="both"/>
      </w:pPr>
    </w:p>
    <w:p w:rsidR="0012743F" w:rsidRDefault="0012743F" w:rsidP="0012743F">
      <w:pPr>
        <w:ind w:firstLine="708"/>
        <w:jc w:val="both"/>
      </w:pPr>
      <w:r>
        <w:t>La didactique est attachée aux contenus disciplinaires et à leur processus d’apprentissage alors que la pédagogie donne un style d’enseignement sur le terrain.</w:t>
      </w:r>
    </w:p>
    <w:p w:rsidR="0012743F" w:rsidRDefault="0012743F" w:rsidP="0012743F">
      <w:pPr>
        <w:jc w:val="both"/>
      </w:pPr>
      <w:r>
        <w:t>La didactique est fortement ancrée dans sa discipline, la pédagogie traverse les disciplines par des méthodes, des actions et des attitudes. Celles-ci renvoient à l’image de l’enseignant dans sa classe.</w:t>
      </w:r>
    </w:p>
    <w:p w:rsidR="0012743F" w:rsidRDefault="0012743F" w:rsidP="0012743F">
      <w:pPr>
        <w:ind w:firstLine="708"/>
        <w:jc w:val="both"/>
      </w:pPr>
      <w:r>
        <w:t>La didactique est une réflexion sur la transmission des savoirs, alors que la pédagogie est orientée vers les pratiques d’élèves en classe. Cette dernière s’attache au fonctionnement de la classe dans son ensemble, pas seulement aux savoirs. Elle s’intéresse aussi aux modes de relations entre les individus, à l’environnement et aux conditions de travail dans le processus d’apprentissage. Elle s’adapte aux multiples évènements pouvant survenir dans une classe.</w:t>
      </w:r>
    </w:p>
    <w:p w:rsidR="0012743F" w:rsidRDefault="0012743F" w:rsidP="0012743F">
      <w:pPr>
        <w:jc w:val="both"/>
      </w:pPr>
    </w:p>
    <w:p w:rsidR="0012743F" w:rsidRDefault="0012743F" w:rsidP="0012743F">
      <w:pPr>
        <w:jc w:val="both"/>
      </w:pPr>
    </w:p>
    <w:p w:rsidR="0012743F" w:rsidRDefault="0012743F" w:rsidP="0012743F">
      <w:pPr>
        <w:ind w:firstLine="708"/>
        <w:jc w:val="both"/>
      </w:pPr>
      <w:r>
        <w:t>Le pédagogue prendra dans un premier temps la place du didacticien pour analyser la nature des contenus de sa discipline et identifier le public.</w:t>
      </w:r>
    </w:p>
    <w:p w:rsidR="0012743F" w:rsidRDefault="0012743F" w:rsidP="0012743F">
      <w:pPr>
        <w:ind w:firstLine="708"/>
        <w:jc w:val="both"/>
      </w:pPr>
      <w:r>
        <w:t>Le choix d’exercices et d’applications associés seront décidés dans un second temps. Le style pédagogique sera corrélé à la personnalité de l’enseignant.</w:t>
      </w:r>
    </w:p>
    <w:p w:rsidR="0012743F" w:rsidRDefault="0012743F" w:rsidP="0012743F">
      <w:pPr>
        <w:jc w:val="both"/>
      </w:pPr>
    </w:p>
    <w:p w:rsidR="0012743F" w:rsidRDefault="0012743F" w:rsidP="0012743F">
      <w:pPr>
        <w:jc w:val="both"/>
      </w:pPr>
      <w:r>
        <w:t>Le didacticien se demandera :</w:t>
      </w:r>
    </w:p>
    <w:p w:rsidR="0012743F" w:rsidRDefault="0012743F" w:rsidP="0012743F">
      <w:pPr>
        <w:numPr>
          <w:ilvl w:val="0"/>
          <w:numId w:val="1"/>
        </w:numPr>
        <w:jc w:val="both"/>
      </w:pPr>
      <w:r>
        <w:t>quelles sont les connaissances à faire passer ?</w:t>
      </w:r>
    </w:p>
    <w:p w:rsidR="0012743F" w:rsidRDefault="0012743F" w:rsidP="0012743F">
      <w:pPr>
        <w:numPr>
          <w:ilvl w:val="0"/>
          <w:numId w:val="1"/>
        </w:numPr>
        <w:jc w:val="both"/>
      </w:pPr>
      <w:r>
        <w:t xml:space="preserve">comment les élèves vont-ils les intégrer ? </w:t>
      </w:r>
    </w:p>
    <w:p w:rsidR="0012743F" w:rsidRDefault="0012743F" w:rsidP="0012743F">
      <w:pPr>
        <w:numPr>
          <w:ilvl w:val="0"/>
          <w:numId w:val="1"/>
        </w:numPr>
        <w:jc w:val="both"/>
      </w:pPr>
      <w:r>
        <w:t>quel est le processus d’apprentissage à mettre en œuvre ?</w:t>
      </w:r>
    </w:p>
    <w:p w:rsidR="0012743F" w:rsidRDefault="0012743F" w:rsidP="0012743F">
      <w:pPr>
        <w:jc w:val="both"/>
      </w:pPr>
      <w:r>
        <w:t xml:space="preserve">Il se concentre sur sa discipline, il s’interroge sur les concepts à intégrer dans le niveau de formation requis et apprécie la cohérence entre les savoirs et leur progression. </w:t>
      </w:r>
    </w:p>
    <w:p w:rsidR="0012743F" w:rsidRDefault="0012743F" w:rsidP="0012743F">
      <w:pPr>
        <w:jc w:val="both"/>
      </w:pPr>
    </w:p>
    <w:p w:rsidR="0012743F" w:rsidRDefault="0012743F" w:rsidP="0012743F">
      <w:pPr>
        <w:jc w:val="both"/>
      </w:pPr>
      <w:r>
        <w:t>Le pédagogue se dira :</w:t>
      </w:r>
    </w:p>
    <w:p w:rsidR="0012743F" w:rsidRDefault="0012743F" w:rsidP="0012743F">
      <w:pPr>
        <w:numPr>
          <w:ilvl w:val="0"/>
          <w:numId w:val="1"/>
        </w:numPr>
        <w:jc w:val="both"/>
      </w:pPr>
      <w:r>
        <w:t>quelle organisation mettre en place ?</w:t>
      </w:r>
    </w:p>
    <w:p w:rsidR="0012743F" w:rsidRDefault="0012743F" w:rsidP="0012743F">
      <w:pPr>
        <w:numPr>
          <w:ilvl w:val="0"/>
          <w:numId w:val="1"/>
        </w:numPr>
        <w:jc w:val="both"/>
      </w:pPr>
      <w:r>
        <w:t xml:space="preserve">quelle transmission des savoirs dans le cadre de la classe ? </w:t>
      </w:r>
    </w:p>
    <w:p w:rsidR="0012743F" w:rsidRDefault="0012743F" w:rsidP="0012743F">
      <w:pPr>
        <w:numPr>
          <w:ilvl w:val="0"/>
          <w:numId w:val="1"/>
        </w:numPr>
        <w:jc w:val="both"/>
      </w:pPr>
      <w:r>
        <w:t>quel enchaînement dans les applications ?</w:t>
      </w:r>
    </w:p>
    <w:p w:rsidR="0012743F" w:rsidRDefault="0012743F" w:rsidP="0012743F">
      <w:pPr>
        <w:jc w:val="both"/>
      </w:pPr>
      <w:r>
        <w:t xml:space="preserve">Il cherche avant tout à répondre aux questions posées par les difficultés d’apprentissage observées sur le terrain. C’est un praticien dont la source est l’action et l’expérimentation. </w:t>
      </w:r>
    </w:p>
    <w:p w:rsidR="0012743F" w:rsidRDefault="0012743F" w:rsidP="0012743F">
      <w:pPr>
        <w:jc w:val="both"/>
      </w:pPr>
    </w:p>
    <w:p w:rsidR="0012743F" w:rsidRDefault="0012743F" w:rsidP="0012743F">
      <w:pPr>
        <w:ind w:firstLine="708"/>
        <w:jc w:val="both"/>
      </w:pPr>
      <w:r>
        <w:t xml:space="preserve">Ces deux disciplines sont donc complémentaires. </w:t>
      </w:r>
    </w:p>
    <w:p w:rsidR="00773D99" w:rsidRDefault="00773D99" w:rsidP="00773D99"/>
    <w:p w:rsidR="0012743F" w:rsidRDefault="0012743F" w:rsidP="00773D99"/>
    <w:p w:rsidR="0012743F" w:rsidRDefault="0012743F" w:rsidP="00773D99"/>
    <w:p w:rsidR="0012743F" w:rsidRDefault="0012743F" w:rsidP="00773D99"/>
    <w:p w:rsidR="0012743F" w:rsidRDefault="0012743F" w:rsidP="00773D99"/>
    <w:p w:rsidR="0012743F" w:rsidRDefault="0012743F" w:rsidP="00773D99"/>
    <w:p w:rsidR="0012743F" w:rsidRDefault="0012743F" w:rsidP="00773D99"/>
    <w:p w:rsidR="0012743F" w:rsidRDefault="0012743F" w:rsidP="00773D99"/>
    <w:p w:rsidR="0012743F" w:rsidRDefault="0012743F" w:rsidP="00773D99"/>
    <w:p w:rsidR="0012743F" w:rsidRDefault="0012743F" w:rsidP="00773D99"/>
    <w:p w:rsidR="0012743F" w:rsidRDefault="0012743F" w:rsidP="00773D99"/>
    <w:p w:rsidR="0012743F" w:rsidRDefault="0012743F" w:rsidP="00773D99"/>
    <w:p w:rsidR="0012743F" w:rsidRDefault="0012743F" w:rsidP="00773D99"/>
    <w:p w:rsidR="0012743F" w:rsidRDefault="0012743F" w:rsidP="00773D99"/>
    <w:p w:rsidR="0012743F" w:rsidRDefault="0012743F" w:rsidP="00773D99"/>
    <w:p w:rsidR="0012743F" w:rsidRDefault="0012743F" w:rsidP="00773D99"/>
    <w:p w:rsidR="0012743F" w:rsidRDefault="0012743F" w:rsidP="00773D99"/>
    <w:p w:rsidR="0012743F" w:rsidRDefault="0012743F" w:rsidP="00773D99"/>
    <w:p w:rsidR="0012743F" w:rsidRDefault="0012743F" w:rsidP="00773D99"/>
    <w:p w:rsidR="0012743F" w:rsidRDefault="0012743F" w:rsidP="00773D99"/>
    <w:p w:rsidR="0012743F" w:rsidRDefault="0012743F" w:rsidP="00773D99"/>
    <w:p w:rsidR="0012743F" w:rsidRDefault="0012743F" w:rsidP="0012743F"/>
    <w:p w:rsidR="0012743F" w:rsidRPr="00E56BFF" w:rsidRDefault="0012743F" w:rsidP="0012743F">
      <w:pPr>
        <w:jc w:val="center"/>
        <w:rPr>
          <w:lang w:val="fr-CA"/>
        </w:rPr>
      </w:pPr>
      <w:r w:rsidRPr="00E56BFF">
        <w:rPr>
          <w:b/>
          <w:lang w:val="fr-CA"/>
        </w:rPr>
        <w:lastRenderedPageBreak/>
        <w:t>L’approche par compétences qu’est-ce que cela change ?</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24"/>
        <w:gridCol w:w="5157"/>
      </w:tblGrid>
      <w:tr w:rsidR="0012743F" w:rsidRPr="00453CCB" w:rsidTr="0012743F">
        <w:tc>
          <w:tcPr>
            <w:tcW w:w="5724" w:type="dxa"/>
            <w:tcBorders>
              <w:bottom w:val="single" w:sz="4" w:space="0" w:color="auto"/>
            </w:tcBorders>
          </w:tcPr>
          <w:p w:rsidR="0012743F" w:rsidRPr="00453CCB" w:rsidRDefault="0012743F" w:rsidP="00DE1B5B">
            <w:pPr>
              <w:jc w:val="center"/>
              <w:rPr>
                <w:b/>
                <w:lang w:val="fr-CA"/>
              </w:rPr>
            </w:pPr>
            <w:r w:rsidRPr="00453CCB">
              <w:rPr>
                <w:b/>
                <w:lang w:val="fr-CA"/>
              </w:rPr>
              <w:t>Approche centrée sur l’acquisition de compétences</w:t>
            </w:r>
          </w:p>
        </w:tc>
        <w:tc>
          <w:tcPr>
            <w:tcW w:w="5157" w:type="dxa"/>
            <w:tcBorders>
              <w:bottom w:val="single" w:sz="4" w:space="0" w:color="auto"/>
            </w:tcBorders>
          </w:tcPr>
          <w:p w:rsidR="0012743F" w:rsidRPr="00453CCB" w:rsidRDefault="0012743F" w:rsidP="00DE1B5B">
            <w:pPr>
              <w:rPr>
                <w:b/>
                <w:lang w:val="fr-CA"/>
              </w:rPr>
            </w:pPr>
            <w:r w:rsidRPr="00453CCB">
              <w:rPr>
                <w:b/>
                <w:lang w:val="fr-CA"/>
              </w:rPr>
              <w:t>Approche centrée sur l’acquisition de contenus</w:t>
            </w:r>
          </w:p>
        </w:tc>
      </w:tr>
      <w:tr w:rsidR="0012743F" w:rsidRPr="00453CCB" w:rsidTr="0012743F">
        <w:tc>
          <w:tcPr>
            <w:tcW w:w="10881" w:type="dxa"/>
            <w:gridSpan w:val="2"/>
            <w:shd w:val="clear" w:color="auto" w:fill="D9D9D9"/>
          </w:tcPr>
          <w:p w:rsidR="0012743F" w:rsidRPr="00453CCB" w:rsidRDefault="0012743F" w:rsidP="00DE1B5B">
            <w:pPr>
              <w:jc w:val="center"/>
              <w:rPr>
                <w:b/>
                <w:lang w:val="fr-CA"/>
              </w:rPr>
            </w:pPr>
            <w:r w:rsidRPr="0012743F">
              <w:rPr>
                <w:b/>
                <w:sz w:val="20"/>
                <w:szCs w:val="20"/>
                <w:lang w:val="fr-CA"/>
              </w:rPr>
              <w:t>Au niveau du programme d’études</w:t>
            </w:r>
          </w:p>
        </w:tc>
      </w:tr>
      <w:tr w:rsidR="0012743F" w:rsidRPr="00453CCB" w:rsidTr="0012743F">
        <w:trPr>
          <w:trHeight w:val="1575"/>
        </w:trPr>
        <w:tc>
          <w:tcPr>
            <w:tcW w:w="5724" w:type="dxa"/>
            <w:tcBorders>
              <w:bottom w:val="single" w:sz="4" w:space="0" w:color="auto"/>
            </w:tcBorders>
          </w:tcPr>
          <w:p w:rsidR="0012743F" w:rsidRPr="00453CCB" w:rsidRDefault="0012743F" w:rsidP="00DE1B5B">
            <w:pPr>
              <w:rPr>
                <w:lang w:val="fr-CA"/>
              </w:rPr>
            </w:pPr>
            <w:r w:rsidRPr="00453CCB">
              <w:rPr>
                <w:lang w:val="fr-CA"/>
              </w:rPr>
              <w:t>Le choix des cours et des contenus essentiels est fait en fonction des compétences à acquérir.</w:t>
            </w:r>
          </w:p>
          <w:p w:rsidR="0012743F" w:rsidRPr="00453CCB" w:rsidRDefault="0012743F" w:rsidP="00DE1B5B">
            <w:pPr>
              <w:rPr>
                <w:lang w:val="fr-CA"/>
              </w:rPr>
            </w:pPr>
            <w:r w:rsidRPr="00453CCB">
              <w:rPr>
                <w:lang w:val="fr-CA"/>
              </w:rPr>
              <w:t>Les situations professionnelles servent de base au choix des contenus.</w:t>
            </w:r>
          </w:p>
          <w:p w:rsidR="0012743F" w:rsidRPr="00453CCB" w:rsidRDefault="0012743F" w:rsidP="00DE1B5B">
            <w:pPr>
              <w:rPr>
                <w:lang w:val="fr-CA"/>
              </w:rPr>
            </w:pPr>
            <w:r w:rsidRPr="00453CCB">
              <w:rPr>
                <w:lang w:val="fr-CA"/>
              </w:rPr>
              <w:t>L’accent est placé sur l’acquisition de compétences précises chez les étudiants.</w:t>
            </w:r>
          </w:p>
        </w:tc>
        <w:tc>
          <w:tcPr>
            <w:tcW w:w="5157" w:type="dxa"/>
            <w:tcBorders>
              <w:bottom w:val="single" w:sz="4" w:space="0" w:color="auto"/>
            </w:tcBorders>
          </w:tcPr>
          <w:p w:rsidR="0012743F" w:rsidRPr="00453CCB" w:rsidRDefault="0012743F" w:rsidP="00DE1B5B">
            <w:pPr>
              <w:rPr>
                <w:lang w:val="fr-CA"/>
              </w:rPr>
            </w:pPr>
            <w:r w:rsidRPr="00453CCB">
              <w:rPr>
                <w:lang w:val="fr-CA"/>
              </w:rPr>
              <w:t>Le choix des cours contenus et des  cours est fait en fonction des disciplines.</w:t>
            </w:r>
          </w:p>
          <w:p w:rsidR="0012743F" w:rsidRPr="00453CCB" w:rsidRDefault="0012743F" w:rsidP="00DE1B5B">
            <w:pPr>
              <w:rPr>
                <w:lang w:val="fr-CA"/>
              </w:rPr>
            </w:pPr>
            <w:r w:rsidRPr="00453CCB">
              <w:rPr>
                <w:lang w:val="fr-CA"/>
              </w:rPr>
              <w:t>Les savoirs disciplinaires servent uniquement au choix de contenus.</w:t>
            </w:r>
          </w:p>
          <w:p w:rsidR="0012743F" w:rsidRPr="00453CCB" w:rsidRDefault="0012743F" w:rsidP="00DE1B5B">
            <w:pPr>
              <w:rPr>
                <w:lang w:val="fr-CA"/>
              </w:rPr>
            </w:pPr>
            <w:r w:rsidRPr="00453CCB">
              <w:rPr>
                <w:lang w:val="fr-CA"/>
              </w:rPr>
              <w:t>Accent est placé sur l’acquisition de savoirs disciplinaires.</w:t>
            </w:r>
          </w:p>
        </w:tc>
      </w:tr>
      <w:tr w:rsidR="0012743F" w:rsidRPr="00453CCB" w:rsidTr="0012743F">
        <w:tc>
          <w:tcPr>
            <w:tcW w:w="10881" w:type="dxa"/>
            <w:gridSpan w:val="2"/>
            <w:shd w:val="clear" w:color="auto" w:fill="D9D9D9"/>
          </w:tcPr>
          <w:p w:rsidR="0012743F" w:rsidRPr="00453CCB" w:rsidRDefault="0012743F" w:rsidP="00DE1B5B">
            <w:pPr>
              <w:jc w:val="center"/>
              <w:rPr>
                <w:b/>
                <w:lang w:val="fr-CA"/>
              </w:rPr>
            </w:pPr>
            <w:r w:rsidRPr="0012743F">
              <w:rPr>
                <w:b/>
                <w:sz w:val="20"/>
                <w:szCs w:val="20"/>
                <w:lang w:val="fr-CA"/>
              </w:rPr>
              <w:t>Au niveau du rôle de l’enseignant</w:t>
            </w:r>
          </w:p>
        </w:tc>
      </w:tr>
      <w:tr w:rsidR="0012743F" w:rsidRPr="00453CCB" w:rsidTr="0012743F">
        <w:tc>
          <w:tcPr>
            <w:tcW w:w="5724" w:type="dxa"/>
            <w:tcBorders>
              <w:bottom w:val="single" w:sz="4" w:space="0" w:color="auto"/>
            </w:tcBorders>
          </w:tcPr>
          <w:p w:rsidR="0012743F" w:rsidRPr="0012743F" w:rsidRDefault="0012743F" w:rsidP="00DE1B5B">
            <w:pPr>
              <w:rPr>
                <w:sz w:val="20"/>
                <w:szCs w:val="20"/>
                <w:lang w:val="fr-CA"/>
              </w:rPr>
            </w:pPr>
            <w:r w:rsidRPr="0012743F">
              <w:rPr>
                <w:sz w:val="20"/>
                <w:szCs w:val="20"/>
                <w:lang w:val="fr-CA"/>
              </w:rPr>
              <w:t>L’enseignant est un facilitateur des apprentissages centré sur :</w:t>
            </w:r>
          </w:p>
          <w:p w:rsidR="0012743F" w:rsidRPr="00453CCB" w:rsidRDefault="0012743F" w:rsidP="0012743F">
            <w:pPr>
              <w:numPr>
                <w:ilvl w:val="0"/>
                <w:numId w:val="2"/>
              </w:numPr>
              <w:rPr>
                <w:lang w:val="fr-CA"/>
              </w:rPr>
            </w:pPr>
            <w:r w:rsidRPr="00453CCB">
              <w:rPr>
                <w:lang w:val="fr-CA"/>
              </w:rPr>
              <w:t>le processus d’apprentissage</w:t>
            </w:r>
          </w:p>
          <w:p w:rsidR="0012743F" w:rsidRPr="00453CCB" w:rsidRDefault="0012743F" w:rsidP="0012743F">
            <w:pPr>
              <w:numPr>
                <w:ilvl w:val="0"/>
                <w:numId w:val="2"/>
              </w:numPr>
              <w:rPr>
                <w:lang w:val="fr-CA"/>
              </w:rPr>
            </w:pPr>
            <w:r w:rsidRPr="00453CCB">
              <w:rPr>
                <w:lang w:val="fr-CA"/>
              </w:rPr>
              <w:t>la planification des contenus en fonction de la compétence à acquérir</w:t>
            </w:r>
          </w:p>
          <w:p w:rsidR="0012743F" w:rsidRPr="00453CCB" w:rsidRDefault="0012743F" w:rsidP="0012743F">
            <w:pPr>
              <w:numPr>
                <w:ilvl w:val="0"/>
                <w:numId w:val="2"/>
              </w:numPr>
              <w:rPr>
                <w:lang w:val="fr-CA"/>
              </w:rPr>
            </w:pPr>
            <w:r w:rsidRPr="00453CCB">
              <w:rPr>
                <w:lang w:val="fr-CA"/>
              </w:rPr>
              <w:t>l’organisation d’un environnement qui facilite l’apprentissage</w:t>
            </w:r>
          </w:p>
          <w:p w:rsidR="0012743F" w:rsidRPr="00453CCB" w:rsidRDefault="0012743F" w:rsidP="0012743F">
            <w:pPr>
              <w:numPr>
                <w:ilvl w:val="0"/>
                <w:numId w:val="2"/>
              </w:numPr>
              <w:rPr>
                <w:lang w:val="fr-CA"/>
              </w:rPr>
            </w:pPr>
            <w:r w:rsidRPr="00453CCB">
              <w:rPr>
                <w:lang w:val="fr-CA"/>
              </w:rPr>
              <w:t>l’évaluation de l’atteinte de la compétence</w:t>
            </w:r>
          </w:p>
        </w:tc>
        <w:tc>
          <w:tcPr>
            <w:tcW w:w="5157" w:type="dxa"/>
            <w:tcBorders>
              <w:bottom w:val="single" w:sz="4" w:space="0" w:color="auto"/>
            </w:tcBorders>
          </w:tcPr>
          <w:p w:rsidR="0012743F" w:rsidRPr="00453CCB" w:rsidRDefault="0012743F" w:rsidP="0012743F">
            <w:pPr>
              <w:rPr>
                <w:lang w:val="fr-CA"/>
              </w:rPr>
            </w:pPr>
            <w:r w:rsidRPr="00453CCB">
              <w:rPr>
                <w:lang w:val="fr-CA"/>
              </w:rPr>
              <w:t xml:space="preserve">L’enseignant est un </w:t>
            </w:r>
            <w:r>
              <w:rPr>
                <w:lang w:val="fr-CA"/>
              </w:rPr>
              <w:t>expert de contenus centré sur :</w:t>
            </w:r>
          </w:p>
          <w:p w:rsidR="0012743F" w:rsidRPr="00453CCB" w:rsidRDefault="0012743F" w:rsidP="0012743F">
            <w:pPr>
              <w:numPr>
                <w:ilvl w:val="0"/>
                <w:numId w:val="3"/>
              </w:numPr>
              <w:rPr>
                <w:lang w:val="fr-CA"/>
              </w:rPr>
            </w:pPr>
            <w:r w:rsidRPr="00453CCB">
              <w:rPr>
                <w:lang w:val="fr-CA"/>
              </w:rPr>
              <w:t>la couverture des contenus</w:t>
            </w:r>
          </w:p>
          <w:p w:rsidR="0012743F" w:rsidRPr="00453CCB" w:rsidRDefault="0012743F" w:rsidP="0012743F">
            <w:pPr>
              <w:numPr>
                <w:ilvl w:val="0"/>
                <w:numId w:val="3"/>
              </w:numPr>
              <w:rPr>
                <w:lang w:val="fr-CA"/>
              </w:rPr>
            </w:pPr>
            <w:r w:rsidRPr="00453CCB">
              <w:rPr>
                <w:lang w:val="fr-CA"/>
              </w:rPr>
              <w:t xml:space="preserve">la planification des cours en fonction de l’acquisition des  contenus </w:t>
            </w:r>
          </w:p>
          <w:p w:rsidR="0012743F" w:rsidRPr="00453CCB" w:rsidRDefault="0012743F" w:rsidP="0012743F">
            <w:pPr>
              <w:numPr>
                <w:ilvl w:val="0"/>
                <w:numId w:val="3"/>
              </w:numPr>
              <w:rPr>
                <w:lang w:val="fr-CA"/>
              </w:rPr>
            </w:pPr>
            <w:r w:rsidRPr="00453CCB">
              <w:rPr>
                <w:lang w:val="fr-CA"/>
              </w:rPr>
              <w:t>l’organisation de l’enseignement</w:t>
            </w:r>
          </w:p>
          <w:p w:rsidR="0012743F" w:rsidRPr="00453CCB" w:rsidRDefault="0012743F" w:rsidP="0012743F">
            <w:pPr>
              <w:numPr>
                <w:ilvl w:val="0"/>
                <w:numId w:val="3"/>
              </w:numPr>
              <w:rPr>
                <w:lang w:val="fr-CA"/>
              </w:rPr>
            </w:pPr>
            <w:r w:rsidRPr="00453CCB">
              <w:rPr>
                <w:lang w:val="fr-CA"/>
              </w:rPr>
              <w:t>l’évaluation de connaissances</w:t>
            </w:r>
          </w:p>
        </w:tc>
      </w:tr>
      <w:tr w:rsidR="0012743F" w:rsidRPr="00453CCB" w:rsidTr="0012743F">
        <w:tc>
          <w:tcPr>
            <w:tcW w:w="10881" w:type="dxa"/>
            <w:gridSpan w:val="2"/>
            <w:shd w:val="clear" w:color="auto" w:fill="D9D9D9"/>
          </w:tcPr>
          <w:p w:rsidR="0012743F" w:rsidRPr="00453CCB" w:rsidRDefault="0012743F" w:rsidP="00DE1B5B">
            <w:pPr>
              <w:jc w:val="center"/>
              <w:rPr>
                <w:b/>
                <w:lang w:val="fr-CA"/>
              </w:rPr>
            </w:pPr>
            <w:r w:rsidRPr="0012743F">
              <w:rPr>
                <w:b/>
                <w:sz w:val="20"/>
                <w:szCs w:val="20"/>
                <w:lang w:val="fr-CA"/>
              </w:rPr>
              <w:t>Au niveau du rôle des étudiants</w:t>
            </w:r>
          </w:p>
        </w:tc>
      </w:tr>
      <w:tr w:rsidR="0012743F" w:rsidRPr="00453CCB" w:rsidTr="0012743F">
        <w:trPr>
          <w:trHeight w:val="1351"/>
        </w:trPr>
        <w:tc>
          <w:tcPr>
            <w:tcW w:w="5724" w:type="dxa"/>
            <w:tcBorders>
              <w:bottom w:val="single" w:sz="4" w:space="0" w:color="auto"/>
            </w:tcBorders>
          </w:tcPr>
          <w:p w:rsidR="0012743F" w:rsidRPr="00453CCB" w:rsidRDefault="0012743F" w:rsidP="00DE1B5B">
            <w:pPr>
              <w:rPr>
                <w:lang w:val="fr-CA"/>
              </w:rPr>
            </w:pPr>
            <w:r w:rsidRPr="00453CCB">
              <w:rPr>
                <w:lang w:val="fr-CA"/>
              </w:rPr>
              <w:t>L’étudiant vu comme :</w:t>
            </w:r>
          </w:p>
          <w:p w:rsidR="0012743F" w:rsidRPr="00453CCB" w:rsidRDefault="0012743F" w:rsidP="0012743F">
            <w:pPr>
              <w:numPr>
                <w:ilvl w:val="0"/>
                <w:numId w:val="6"/>
              </w:numPr>
              <w:rPr>
                <w:lang w:val="fr-CA"/>
              </w:rPr>
            </w:pPr>
            <w:r w:rsidRPr="00453CCB">
              <w:rPr>
                <w:lang w:val="fr-CA"/>
              </w:rPr>
              <w:t>ayant des connaissances et expériences antérieures qui ont une influence sur l’apprentissage.</w:t>
            </w:r>
          </w:p>
          <w:p w:rsidR="0012743F" w:rsidRPr="00453CCB" w:rsidRDefault="0012743F" w:rsidP="0012743F">
            <w:pPr>
              <w:numPr>
                <w:ilvl w:val="0"/>
                <w:numId w:val="4"/>
              </w:numPr>
              <w:rPr>
                <w:lang w:val="fr-CA"/>
              </w:rPr>
            </w:pPr>
            <w:r w:rsidRPr="00453CCB">
              <w:rPr>
                <w:lang w:val="fr-CA"/>
              </w:rPr>
              <w:t>étant actif dans l’apprentissage.</w:t>
            </w:r>
          </w:p>
          <w:p w:rsidR="0012743F" w:rsidRPr="00453CCB" w:rsidRDefault="0012743F" w:rsidP="0012743F">
            <w:pPr>
              <w:numPr>
                <w:ilvl w:val="0"/>
                <w:numId w:val="4"/>
              </w:numPr>
              <w:rPr>
                <w:lang w:val="fr-CA"/>
              </w:rPr>
            </w:pPr>
            <w:r w:rsidRPr="00453CCB">
              <w:rPr>
                <w:lang w:val="fr-CA"/>
              </w:rPr>
              <w:t>Il est responsable de la prise en charge de son apprentissage.</w:t>
            </w:r>
          </w:p>
        </w:tc>
        <w:tc>
          <w:tcPr>
            <w:tcW w:w="5157" w:type="dxa"/>
            <w:tcBorders>
              <w:bottom w:val="single" w:sz="4" w:space="0" w:color="auto"/>
            </w:tcBorders>
          </w:tcPr>
          <w:p w:rsidR="0012743F" w:rsidRPr="00453CCB" w:rsidRDefault="0012743F" w:rsidP="00DE1B5B">
            <w:pPr>
              <w:rPr>
                <w:lang w:val="fr-CA"/>
              </w:rPr>
            </w:pPr>
          </w:p>
          <w:p w:rsidR="0012743F" w:rsidRPr="00453CCB" w:rsidRDefault="0012743F" w:rsidP="0012743F">
            <w:pPr>
              <w:numPr>
                <w:ilvl w:val="0"/>
                <w:numId w:val="5"/>
              </w:numPr>
              <w:rPr>
                <w:lang w:val="fr-CA"/>
              </w:rPr>
            </w:pPr>
            <w:r w:rsidRPr="00453CCB">
              <w:rPr>
                <w:lang w:val="fr-CA"/>
              </w:rPr>
              <w:t>Les connaissances et expériences antérieures de l’étudiant ne sont pas prises en compte dans l’apprentissage.</w:t>
            </w:r>
          </w:p>
          <w:p w:rsidR="0012743F" w:rsidRPr="00453CCB" w:rsidRDefault="0012743F" w:rsidP="0012743F">
            <w:pPr>
              <w:numPr>
                <w:ilvl w:val="0"/>
                <w:numId w:val="5"/>
              </w:numPr>
              <w:rPr>
                <w:lang w:val="fr-CA"/>
              </w:rPr>
            </w:pPr>
            <w:r w:rsidRPr="00453CCB">
              <w:rPr>
                <w:lang w:val="fr-CA"/>
              </w:rPr>
              <w:t>L’étudiant est plutôt passif, à l’écoute.</w:t>
            </w:r>
          </w:p>
          <w:p w:rsidR="0012743F" w:rsidRPr="0012743F" w:rsidRDefault="0012743F" w:rsidP="0012743F">
            <w:pPr>
              <w:numPr>
                <w:ilvl w:val="0"/>
                <w:numId w:val="5"/>
              </w:numPr>
              <w:rPr>
                <w:lang w:val="fr-CA"/>
              </w:rPr>
            </w:pPr>
            <w:r w:rsidRPr="00453CCB">
              <w:rPr>
                <w:lang w:val="fr-CA"/>
              </w:rPr>
              <w:t>L’étudiant dépend de l’enseignant pour son apprentissage.</w:t>
            </w:r>
          </w:p>
        </w:tc>
      </w:tr>
    </w:tbl>
    <w:p w:rsidR="0012743F" w:rsidRPr="0012743F" w:rsidRDefault="0012743F" w:rsidP="0012743F">
      <w:pPr>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94"/>
        <w:gridCol w:w="5494"/>
      </w:tblGrid>
      <w:tr w:rsidR="0012743F" w:rsidRPr="00453CCB" w:rsidTr="00DE1B5B">
        <w:tc>
          <w:tcPr>
            <w:tcW w:w="11307" w:type="dxa"/>
            <w:gridSpan w:val="2"/>
            <w:shd w:val="clear" w:color="auto" w:fill="D9D9D9"/>
          </w:tcPr>
          <w:p w:rsidR="0012743F" w:rsidRPr="00453CCB" w:rsidRDefault="0012743F" w:rsidP="00DE1B5B">
            <w:pPr>
              <w:jc w:val="center"/>
              <w:rPr>
                <w:b/>
                <w:lang w:val="fr-CA"/>
              </w:rPr>
            </w:pPr>
            <w:r w:rsidRPr="0012743F">
              <w:rPr>
                <w:b/>
                <w:sz w:val="20"/>
                <w:szCs w:val="20"/>
                <w:lang w:val="fr-CA"/>
              </w:rPr>
              <w:t>Au niveau de l’évaluation des apprentissages</w:t>
            </w:r>
          </w:p>
        </w:tc>
      </w:tr>
      <w:tr w:rsidR="0012743F" w:rsidRPr="00453CCB" w:rsidTr="00DE1B5B">
        <w:tc>
          <w:tcPr>
            <w:tcW w:w="5653" w:type="dxa"/>
            <w:tcBorders>
              <w:bottom w:val="single" w:sz="4" w:space="0" w:color="auto"/>
            </w:tcBorders>
          </w:tcPr>
          <w:p w:rsidR="0012743F" w:rsidRPr="00453CCB" w:rsidRDefault="0012743F" w:rsidP="0012743F">
            <w:pPr>
              <w:numPr>
                <w:ilvl w:val="0"/>
                <w:numId w:val="7"/>
              </w:numPr>
              <w:rPr>
                <w:lang w:val="fr-CA"/>
              </w:rPr>
            </w:pPr>
            <w:r w:rsidRPr="00453CCB">
              <w:rPr>
                <w:lang w:val="fr-CA"/>
              </w:rPr>
              <w:t>Évaluation centrée sur de l’atteinte des compétences se basant sur des performances et des comportements attendus.</w:t>
            </w:r>
          </w:p>
          <w:p w:rsidR="0012743F" w:rsidRPr="00453CCB" w:rsidRDefault="0012743F" w:rsidP="0012743F">
            <w:pPr>
              <w:numPr>
                <w:ilvl w:val="0"/>
                <w:numId w:val="7"/>
              </w:numPr>
              <w:rPr>
                <w:lang w:val="fr-CA"/>
              </w:rPr>
            </w:pPr>
            <w:r w:rsidRPr="00453CCB">
              <w:rPr>
                <w:lang w:val="fr-CA"/>
              </w:rPr>
              <w:t>Recours fréquent à l’évaluation formative pour soutenir l’acquisition des compétences.</w:t>
            </w:r>
          </w:p>
          <w:p w:rsidR="0012743F" w:rsidRPr="00453CCB" w:rsidRDefault="0012743F" w:rsidP="0012743F">
            <w:pPr>
              <w:numPr>
                <w:ilvl w:val="0"/>
                <w:numId w:val="7"/>
              </w:numPr>
              <w:rPr>
                <w:lang w:val="fr-CA"/>
              </w:rPr>
            </w:pPr>
            <w:r w:rsidRPr="00453CCB">
              <w:rPr>
                <w:lang w:val="fr-CA"/>
              </w:rPr>
              <w:t xml:space="preserve">L’évaluation fait partie de l’apprentissage. </w:t>
            </w:r>
          </w:p>
        </w:tc>
        <w:tc>
          <w:tcPr>
            <w:tcW w:w="5654" w:type="dxa"/>
            <w:tcBorders>
              <w:bottom w:val="single" w:sz="4" w:space="0" w:color="auto"/>
            </w:tcBorders>
          </w:tcPr>
          <w:p w:rsidR="0012743F" w:rsidRPr="00453CCB" w:rsidRDefault="0012743F" w:rsidP="0012743F">
            <w:pPr>
              <w:numPr>
                <w:ilvl w:val="0"/>
                <w:numId w:val="7"/>
              </w:numPr>
              <w:rPr>
                <w:lang w:val="fr-CA"/>
              </w:rPr>
            </w:pPr>
            <w:r w:rsidRPr="00453CCB">
              <w:rPr>
                <w:lang w:val="fr-CA"/>
              </w:rPr>
              <w:t>Évaluation centrée sur l’acquisition de connaissances.</w:t>
            </w:r>
          </w:p>
          <w:p w:rsidR="0012743F" w:rsidRPr="00453CCB" w:rsidRDefault="0012743F" w:rsidP="0012743F">
            <w:pPr>
              <w:numPr>
                <w:ilvl w:val="0"/>
                <w:numId w:val="7"/>
              </w:numPr>
              <w:rPr>
                <w:lang w:val="fr-CA"/>
              </w:rPr>
            </w:pPr>
            <w:r w:rsidRPr="00453CCB">
              <w:rPr>
                <w:lang w:val="fr-CA"/>
              </w:rPr>
              <w:t>Peu ou pas de recours à l’évaluation formative.</w:t>
            </w:r>
          </w:p>
          <w:p w:rsidR="0012743F" w:rsidRPr="00453CCB" w:rsidRDefault="0012743F" w:rsidP="0012743F">
            <w:pPr>
              <w:numPr>
                <w:ilvl w:val="0"/>
                <w:numId w:val="7"/>
              </w:numPr>
              <w:rPr>
                <w:lang w:val="fr-CA"/>
              </w:rPr>
            </w:pPr>
            <w:r w:rsidRPr="00453CCB">
              <w:rPr>
                <w:lang w:val="fr-CA"/>
              </w:rPr>
              <w:t>L’évaluation se fait à la fin de l’apprentissage et dans une visée de classement.</w:t>
            </w:r>
          </w:p>
        </w:tc>
      </w:tr>
      <w:tr w:rsidR="0012743F" w:rsidRPr="00453CCB" w:rsidTr="00DE1B5B">
        <w:tc>
          <w:tcPr>
            <w:tcW w:w="11307" w:type="dxa"/>
            <w:gridSpan w:val="2"/>
            <w:shd w:val="clear" w:color="auto" w:fill="D9D9D9"/>
          </w:tcPr>
          <w:p w:rsidR="0012743F" w:rsidRPr="00453CCB" w:rsidRDefault="0012743F" w:rsidP="00DE1B5B">
            <w:pPr>
              <w:jc w:val="center"/>
              <w:rPr>
                <w:b/>
                <w:lang w:val="fr-CA"/>
              </w:rPr>
            </w:pPr>
            <w:r w:rsidRPr="0012743F">
              <w:rPr>
                <w:b/>
                <w:sz w:val="20"/>
                <w:szCs w:val="20"/>
                <w:lang w:val="fr-CA"/>
              </w:rPr>
              <w:t>Au niveau de l’apprentissage</w:t>
            </w:r>
          </w:p>
        </w:tc>
      </w:tr>
      <w:tr w:rsidR="0012743F" w:rsidRPr="00453CCB" w:rsidTr="00DE1B5B">
        <w:tc>
          <w:tcPr>
            <w:tcW w:w="5653" w:type="dxa"/>
          </w:tcPr>
          <w:p w:rsidR="0012743F" w:rsidRPr="00453CCB" w:rsidRDefault="0012743F" w:rsidP="0012743F">
            <w:pPr>
              <w:numPr>
                <w:ilvl w:val="0"/>
                <w:numId w:val="8"/>
              </w:numPr>
              <w:rPr>
                <w:lang w:val="fr-CA"/>
              </w:rPr>
            </w:pPr>
            <w:r w:rsidRPr="00453CCB">
              <w:rPr>
                <w:lang w:val="fr-CA"/>
              </w:rPr>
              <w:t>Le savoir se construit au fur et à mesure de l’acquisition de la compétence.</w:t>
            </w:r>
          </w:p>
          <w:p w:rsidR="0012743F" w:rsidRPr="00453CCB" w:rsidRDefault="0012743F" w:rsidP="0012743F">
            <w:pPr>
              <w:numPr>
                <w:ilvl w:val="0"/>
                <w:numId w:val="8"/>
              </w:numPr>
              <w:rPr>
                <w:lang w:val="fr-CA"/>
              </w:rPr>
            </w:pPr>
            <w:r w:rsidRPr="00453CCB">
              <w:rPr>
                <w:lang w:val="fr-CA"/>
              </w:rPr>
              <w:t>La compétence s’acquiert globalement et non de façon morcelée. On place les étudiants dans des contextes où la compétence sera démontrée, moins complexes au début et plus complexes en fin d’acquisition de la compétence.</w:t>
            </w:r>
          </w:p>
          <w:p w:rsidR="0012743F" w:rsidRPr="00453CCB" w:rsidRDefault="0012743F" w:rsidP="0012743F">
            <w:pPr>
              <w:numPr>
                <w:ilvl w:val="0"/>
                <w:numId w:val="8"/>
              </w:numPr>
              <w:rPr>
                <w:lang w:val="fr-CA"/>
              </w:rPr>
            </w:pPr>
            <w:r w:rsidRPr="00453CCB">
              <w:rPr>
                <w:lang w:val="fr-CA"/>
              </w:rPr>
              <w:t>Le savoir est intimement associé à la compétence et au contexte de la mise en œuvre de la compétence, ce qui lui donne un sens pour l’apprentissage.</w:t>
            </w:r>
          </w:p>
          <w:p w:rsidR="0012743F" w:rsidRPr="00453CCB" w:rsidRDefault="0012743F" w:rsidP="0012743F">
            <w:pPr>
              <w:numPr>
                <w:ilvl w:val="0"/>
                <w:numId w:val="8"/>
              </w:numPr>
              <w:rPr>
                <w:lang w:val="fr-CA"/>
              </w:rPr>
            </w:pPr>
            <w:r w:rsidRPr="00453CCB">
              <w:rPr>
                <w:lang w:val="fr-CA"/>
              </w:rPr>
              <w:t>La compétence est vue comme un système et n’existe pas en dehors des contextes dans lesquels elle est mobilisée.</w:t>
            </w:r>
          </w:p>
          <w:p w:rsidR="0012743F" w:rsidRPr="00453CCB" w:rsidRDefault="0012743F" w:rsidP="0012743F">
            <w:pPr>
              <w:numPr>
                <w:ilvl w:val="0"/>
                <w:numId w:val="4"/>
              </w:numPr>
              <w:rPr>
                <w:lang w:val="fr-CA"/>
              </w:rPr>
            </w:pPr>
            <w:r w:rsidRPr="00453CCB">
              <w:rPr>
                <w:lang w:val="fr-CA"/>
              </w:rPr>
              <w:t>L’application et le transfert des apprentissages commencent dans la classe.</w:t>
            </w:r>
          </w:p>
          <w:p w:rsidR="0012743F" w:rsidRPr="00453CCB" w:rsidRDefault="0012743F" w:rsidP="0012743F">
            <w:pPr>
              <w:numPr>
                <w:ilvl w:val="0"/>
                <w:numId w:val="4"/>
              </w:numPr>
              <w:rPr>
                <w:lang w:val="fr-CA"/>
              </w:rPr>
            </w:pPr>
            <w:r w:rsidRPr="00453CCB">
              <w:rPr>
                <w:lang w:val="fr-CA"/>
              </w:rPr>
              <w:t>L’acquisition de la compétence se fait suite à plusieurs applications à des contextes différents.</w:t>
            </w:r>
          </w:p>
          <w:p w:rsidR="0012743F" w:rsidRPr="00453CCB" w:rsidRDefault="0012743F" w:rsidP="0012743F">
            <w:pPr>
              <w:numPr>
                <w:ilvl w:val="0"/>
                <w:numId w:val="4"/>
              </w:numPr>
              <w:rPr>
                <w:lang w:val="fr-CA"/>
              </w:rPr>
            </w:pPr>
            <w:r w:rsidRPr="00453CCB">
              <w:rPr>
                <w:lang w:val="fr-CA"/>
              </w:rPr>
              <w:t>On place les étudiants dans des situations le plus authentiques possible pour faire acquérir la compétence. Il a à négocier avec ces connaissances et les données de la situation pour démontrer la compétence.</w:t>
            </w:r>
          </w:p>
        </w:tc>
        <w:tc>
          <w:tcPr>
            <w:tcW w:w="5654" w:type="dxa"/>
          </w:tcPr>
          <w:p w:rsidR="0012743F" w:rsidRPr="00453CCB" w:rsidRDefault="0012743F" w:rsidP="0012743F">
            <w:pPr>
              <w:numPr>
                <w:ilvl w:val="0"/>
                <w:numId w:val="8"/>
              </w:numPr>
              <w:rPr>
                <w:lang w:val="fr-CA"/>
              </w:rPr>
            </w:pPr>
            <w:r w:rsidRPr="00453CCB">
              <w:rPr>
                <w:lang w:val="fr-CA"/>
              </w:rPr>
              <w:t>L’acquisition de connaissances est préalable au développement de la compétence.</w:t>
            </w:r>
          </w:p>
          <w:p w:rsidR="0012743F" w:rsidRPr="00453CCB" w:rsidRDefault="0012743F" w:rsidP="0012743F">
            <w:pPr>
              <w:numPr>
                <w:ilvl w:val="0"/>
                <w:numId w:val="8"/>
              </w:numPr>
              <w:rPr>
                <w:lang w:val="fr-CA"/>
              </w:rPr>
            </w:pPr>
            <w:r w:rsidRPr="00453CCB">
              <w:rPr>
                <w:lang w:val="fr-CA"/>
              </w:rPr>
              <w:t>L’acquisition des savoirs est morcelée et procède du savoir simple au savoir complexe.</w:t>
            </w:r>
          </w:p>
          <w:p w:rsidR="0012743F" w:rsidRPr="00453CCB" w:rsidRDefault="0012743F" w:rsidP="0012743F">
            <w:pPr>
              <w:numPr>
                <w:ilvl w:val="0"/>
                <w:numId w:val="8"/>
              </w:numPr>
              <w:rPr>
                <w:lang w:val="fr-CA"/>
              </w:rPr>
            </w:pPr>
            <w:r w:rsidRPr="00453CCB">
              <w:rPr>
                <w:lang w:val="fr-CA"/>
              </w:rPr>
              <w:t>Les savoirs sont présentés comme s’ils existaient en dehors de tout contexte. Ils ont souvent peu de sens pour les élèves.</w:t>
            </w:r>
          </w:p>
          <w:p w:rsidR="0012743F" w:rsidRPr="00453CCB" w:rsidRDefault="0012743F" w:rsidP="0012743F">
            <w:pPr>
              <w:numPr>
                <w:ilvl w:val="0"/>
                <w:numId w:val="8"/>
              </w:numPr>
              <w:rPr>
                <w:lang w:val="fr-CA"/>
              </w:rPr>
            </w:pPr>
            <w:r w:rsidRPr="00453CCB">
              <w:rPr>
                <w:lang w:val="fr-CA"/>
              </w:rPr>
              <w:t>Un étudiant peut parler théoriquement d’un sujet à l’examen, mais cela ne garantit pas sa capacité d’utiliser ses connaissances pour agir dans une situation ou un problème à résoudre.</w:t>
            </w:r>
          </w:p>
          <w:p w:rsidR="0012743F" w:rsidRPr="00453CCB" w:rsidRDefault="0012743F" w:rsidP="0012743F">
            <w:pPr>
              <w:numPr>
                <w:ilvl w:val="0"/>
                <w:numId w:val="8"/>
              </w:numPr>
              <w:rPr>
                <w:lang w:val="fr-CA"/>
              </w:rPr>
            </w:pPr>
            <w:r w:rsidRPr="00453CCB">
              <w:rPr>
                <w:lang w:val="fr-CA"/>
              </w:rPr>
              <w:t>L’application et le transfert des apprentissages sont remis à plus tard.</w:t>
            </w:r>
          </w:p>
          <w:p w:rsidR="0012743F" w:rsidRPr="00453CCB" w:rsidRDefault="0012743F" w:rsidP="0012743F">
            <w:pPr>
              <w:numPr>
                <w:ilvl w:val="0"/>
                <w:numId w:val="8"/>
              </w:numPr>
              <w:rPr>
                <w:lang w:val="fr-CA"/>
              </w:rPr>
            </w:pPr>
            <w:r w:rsidRPr="00453CCB">
              <w:rPr>
                <w:lang w:val="fr-CA"/>
              </w:rPr>
              <w:t>La compétence est considérée comme l’association par l’étudiant de plusieurs connaissances dans des situations.</w:t>
            </w:r>
          </w:p>
          <w:p w:rsidR="0012743F" w:rsidRPr="00453CCB" w:rsidRDefault="0012743F" w:rsidP="0012743F">
            <w:pPr>
              <w:numPr>
                <w:ilvl w:val="0"/>
                <w:numId w:val="8"/>
              </w:numPr>
              <w:rPr>
                <w:lang w:val="fr-CA"/>
              </w:rPr>
            </w:pPr>
            <w:r w:rsidRPr="00453CCB">
              <w:rPr>
                <w:lang w:val="fr-CA"/>
              </w:rPr>
              <w:t xml:space="preserve">Les savoirs sont </w:t>
            </w:r>
            <w:proofErr w:type="spellStart"/>
            <w:r w:rsidRPr="00453CCB">
              <w:rPr>
                <w:lang w:val="fr-CA"/>
              </w:rPr>
              <w:t>décontextualisés</w:t>
            </w:r>
            <w:proofErr w:type="spellEnd"/>
            <w:r w:rsidRPr="00453CCB">
              <w:rPr>
                <w:lang w:val="fr-CA"/>
              </w:rPr>
              <w:t xml:space="preserve"> et acquis soit par mémorisation ou à l’aide d’exercices simples de rappel des connaissances telles qu’elles ont été enseignées. Il n’y a pas de traitement des connaissances par l’étudiant.</w:t>
            </w:r>
          </w:p>
        </w:tc>
      </w:tr>
    </w:tbl>
    <w:p w:rsidR="0012743F" w:rsidRPr="00E56BFF" w:rsidRDefault="0012743F" w:rsidP="0012743F">
      <w:pPr>
        <w:rPr>
          <w:lang w:val="fr-CA"/>
        </w:rPr>
      </w:pPr>
    </w:p>
    <w:p w:rsidR="0012743F" w:rsidRPr="00E56BFF" w:rsidRDefault="0012743F" w:rsidP="0012743F">
      <w:pPr>
        <w:rPr>
          <w:lang w:val="fr-CA"/>
        </w:rPr>
      </w:pPr>
      <w:r w:rsidRPr="00E56BFF">
        <w:rPr>
          <w:lang w:val="fr-CA"/>
        </w:rPr>
        <w:t>Références : Tardif, Jacques</w:t>
      </w:r>
    </w:p>
    <w:p w:rsidR="0012743F" w:rsidRDefault="0012743F" w:rsidP="0012743F">
      <w:pPr>
        <w:jc w:val="center"/>
        <w:rPr>
          <w:lang w:val="fr-CA"/>
        </w:rPr>
        <w:sectPr w:rsidR="0012743F" w:rsidSect="0012743F">
          <w:pgSz w:w="11906" w:h="16838"/>
          <w:pgMar w:top="567" w:right="567" w:bottom="567" w:left="567" w:header="709" w:footer="709" w:gutter="0"/>
          <w:cols w:space="708"/>
          <w:docGrid w:linePitch="360"/>
        </w:sectPr>
      </w:pPr>
    </w:p>
    <w:p w:rsidR="0012743F" w:rsidRDefault="0012743F" w:rsidP="0012743F">
      <w:r>
        <w:rPr>
          <w:noProof/>
          <w:lang w:eastAsia="fr-FR"/>
        </w:rPr>
        <w:lastRenderedPageBreak/>
        <w:pict>
          <v:roundrect id="_x0000_s1034" style="position:absolute;margin-left:288.15pt;margin-top:1.65pt;width:393.75pt;height:191.25pt;z-index:251666432" arcsize="10923f" fillcolor="white [3201]" strokecolor="#fabf8f [1945]" strokeweight="1pt">
            <v:fill color2="#fbd4b4 [1305]" focusposition="1" focussize="" focus="100%" type="gradient"/>
            <v:shadow on="t" type="perspective" color="#974706 [1609]" opacity=".5" offset="1pt" offset2="-3pt"/>
            <v:textbox>
              <w:txbxContent>
                <w:p w:rsidR="0012743F" w:rsidRPr="008A16ED" w:rsidRDefault="0012743F" w:rsidP="0012743F">
                  <w:pPr>
                    <w:autoSpaceDE w:val="0"/>
                    <w:autoSpaceDN w:val="0"/>
                    <w:adjustRightInd w:val="0"/>
                    <w:jc w:val="center"/>
                    <w:rPr>
                      <w:rFonts w:ascii="Calibri" w:hAnsi="Calibri" w:cs="Calibri"/>
                      <w:b/>
                      <w:bCs/>
                      <w:i/>
                      <w:iCs/>
                      <w:sz w:val="24"/>
                      <w:szCs w:val="24"/>
                    </w:rPr>
                  </w:pPr>
                  <w:r w:rsidRPr="008A16ED">
                    <w:rPr>
                      <w:rFonts w:ascii="Calibri" w:hAnsi="Calibri" w:cs="Calibri"/>
                      <w:b/>
                      <w:bCs/>
                      <w:i/>
                      <w:iCs/>
                      <w:sz w:val="24"/>
                      <w:szCs w:val="24"/>
                    </w:rPr>
                    <w:t>Trois points forts à retenir des définitions.</w:t>
                  </w:r>
                </w:p>
                <w:p w:rsidR="0012743F" w:rsidRDefault="0012743F" w:rsidP="0012743F">
                  <w:pPr>
                    <w:autoSpaceDE w:val="0"/>
                    <w:autoSpaceDN w:val="0"/>
                    <w:adjustRightInd w:val="0"/>
                    <w:rPr>
                      <w:rFonts w:ascii="Calibri" w:hAnsi="Calibri" w:cs="Calibri"/>
                      <w:sz w:val="23"/>
                      <w:szCs w:val="23"/>
                    </w:rPr>
                  </w:pPr>
                  <w:r w:rsidRPr="008A16ED">
                    <w:rPr>
                      <w:rFonts w:ascii="Calibri" w:hAnsi="Calibri" w:cs="Calibri"/>
                      <w:b/>
                      <w:bCs/>
                      <w:sz w:val="23"/>
                      <w:szCs w:val="23"/>
                    </w:rPr>
                    <w:t>*</w:t>
                  </w:r>
                  <w:r>
                    <w:rPr>
                      <w:rFonts w:ascii="Calibri" w:hAnsi="Calibri" w:cs="Calibri"/>
                      <w:b/>
                      <w:bCs/>
                      <w:sz w:val="23"/>
                      <w:szCs w:val="23"/>
                    </w:rPr>
                    <w:t xml:space="preserve"> </w:t>
                  </w:r>
                  <w:r>
                    <w:rPr>
                      <w:rFonts w:ascii="Calibri" w:hAnsi="Calibri" w:cs="Calibri"/>
                      <w:sz w:val="23"/>
                      <w:szCs w:val="23"/>
                    </w:rPr>
                    <w:t>Une compétence consiste en la mobilisation d’un ensemble de ressources diversifiées internes (connaissances, capacités, habiletés) et externes (documents, outils, personnes) renvoyant à la complexité de la tache et au caractère global et transversal de la compétence.</w:t>
                  </w:r>
                </w:p>
                <w:p w:rsidR="0012743F" w:rsidRDefault="0012743F" w:rsidP="0012743F">
                  <w:pPr>
                    <w:autoSpaceDE w:val="0"/>
                    <w:autoSpaceDN w:val="0"/>
                    <w:adjustRightInd w:val="0"/>
                    <w:rPr>
                      <w:rFonts w:ascii="Calibri" w:hAnsi="Calibri" w:cs="Calibri"/>
                      <w:sz w:val="23"/>
                      <w:szCs w:val="23"/>
                    </w:rPr>
                  </w:pPr>
                  <w:r>
                    <w:rPr>
                      <w:rFonts w:ascii="Calibri" w:hAnsi="Calibri" w:cs="Calibri"/>
                      <w:sz w:val="23"/>
                      <w:szCs w:val="23"/>
                    </w:rPr>
                    <w:t>* Les compétences s’exercent dans des situations contextualités mais diversifiées qui impliquent un processus d’adaptation (et non de reproduction de mécanismes) et de transfert d’une situation à l’autre.</w:t>
                  </w:r>
                </w:p>
                <w:p w:rsidR="0012743F" w:rsidRDefault="0012743F" w:rsidP="0012743F">
                  <w:pPr>
                    <w:autoSpaceDE w:val="0"/>
                    <w:autoSpaceDN w:val="0"/>
                    <w:adjustRightInd w:val="0"/>
                    <w:rPr>
                      <w:rFonts w:ascii="Calibri" w:hAnsi="Calibri" w:cs="Calibri"/>
                      <w:sz w:val="23"/>
                      <w:szCs w:val="23"/>
                    </w:rPr>
                  </w:pPr>
                  <w:r>
                    <w:rPr>
                      <w:rFonts w:ascii="Calibri" w:hAnsi="Calibri" w:cs="Calibri"/>
                      <w:sz w:val="23"/>
                      <w:szCs w:val="23"/>
                    </w:rPr>
                    <w:t xml:space="preserve">* Une compétence est opérationnelle dans un cadre </w:t>
                  </w:r>
                  <w:proofErr w:type="spellStart"/>
                  <w:r>
                    <w:rPr>
                      <w:rFonts w:ascii="Calibri" w:hAnsi="Calibri" w:cs="Calibri"/>
                      <w:sz w:val="23"/>
                      <w:szCs w:val="23"/>
                    </w:rPr>
                    <w:t>curriculaire</w:t>
                  </w:r>
                  <w:proofErr w:type="spellEnd"/>
                  <w:r>
                    <w:rPr>
                      <w:rFonts w:ascii="Calibri" w:hAnsi="Calibri" w:cs="Calibri"/>
                      <w:sz w:val="23"/>
                      <w:szCs w:val="23"/>
                    </w:rPr>
                    <w:t xml:space="preserve"> précis (structure, horaire, programme, pratiques pédagogiques et didactiques, matériels) ce qui donne toute son importance a la situation d’apprentissage dans chacune des disciplines impliquées.</w:t>
                  </w:r>
                </w:p>
                <w:p w:rsidR="0012743F" w:rsidRDefault="0012743F" w:rsidP="0012743F"/>
              </w:txbxContent>
            </v:textbox>
          </v:roundrect>
        </w:pict>
      </w:r>
      <w:r>
        <w:rPr>
          <w:noProof/>
          <w:lang w:eastAsia="fr-FR"/>
        </w:rPr>
        <w:pict>
          <v:roundrect id="_x0000_s1033" style="position:absolute;margin-left:6.9pt;margin-top:-4.35pt;width:252pt;height:537.75pt;z-index:251665408" arcsize="10923f" fillcolor="white [3201]" strokecolor="#fabf8f [1945]" strokeweight="1pt">
            <v:fill color2="#fbd4b4 [1305]" focusposition="1" focussize="" focus="100%" type="gradient"/>
            <v:shadow on="t" color="#974706 [1609]" opacity=".5" offset="-6pt,-6pt"/>
            <v:textbox style="mso-next-textbox:#_x0000_s1033">
              <w:txbxContent>
                <w:p w:rsidR="0012743F" w:rsidRDefault="0012743F" w:rsidP="0012743F">
                  <w:pPr>
                    <w:autoSpaceDE w:val="0"/>
                    <w:autoSpaceDN w:val="0"/>
                    <w:adjustRightInd w:val="0"/>
                    <w:rPr>
                      <w:rFonts w:ascii="Calibri-Bold" w:hAnsi="Calibri-Bold" w:cs="Calibri-Bold"/>
                      <w:b/>
                      <w:bCs/>
                      <w:sz w:val="26"/>
                      <w:szCs w:val="26"/>
                    </w:rPr>
                  </w:pPr>
                  <w:r>
                    <w:rPr>
                      <w:rFonts w:ascii="Calibri-Bold" w:hAnsi="Calibri-Bold" w:cs="Calibri-Bold"/>
                      <w:b/>
                      <w:bCs/>
                      <w:sz w:val="26"/>
                      <w:szCs w:val="26"/>
                    </w:rPr>
                    <w:t>La notion de compétence</w:t>
                  </w:r>
                </w:p>
                <w:p w:rsidR="0012743F" w:rsidRDefault="0012743F" w:rsidP="0012743F">
                  <w:pPr>
                    <w:autoSpaceDE w:val="0"/>
                    <w:autoSpaceDN w:val="0"/>
                    <w:adjustRightInd w:val="0"/>
                    <w:rPr>
                      <w:rFonts w:ascii="Calibri" w:hAnsi="Calibri" w:cs="Calibri"/>
                      <w:sz w:val="23"/>
                      <w:szCs w:val="23"/>
                    </w:rPr>
                  </w:pPr>
                  <w:r>
                    <w:rPr>
                      <w:rFonts w:ascii="Calibri" w:hAnsi="Calibri" w:cs="Calibri"/>
                      <w:sz w:val="23"/>
                      <w:szCs w:val="23"/>
                    </w:rPr>
                    <w:t xml:space="preserve">Le terme de compétence est polysémique et peut prendre, selon les disciplines, des acceptions différentes. Afin de clarifier cette notion de compétence, on peut faire référence </w:t>
                  </w:r>
                  <w:proofErr w:type="gramStart"/>
                  <w:r>
                    <w:rPr>
                      <w:rFonts w:ascii="Calibri" w:hAnsi="Calibri" w:cs="Calibri"/>
                      <w:sz w:val="23"/>
                      <w:szCs w:val="23"/>
                    </w:rPr>
                    <w:t>a</w:t>
                  </w:r>
                  <w:proofErr w:type="gramEnd"/>
                  <w:r>
                    <w:rPr>
                      <w:rFonts w:ascii="Calibri" w:hAnsi="Calibri" w:cs="Calibri"/>
                      <w:sz w:val="23"/>
                      <w:szCs w:val="23"/>
                    </w:rPr>
                    <w:t xml:space="preserve"> des définitions de quelques auteurs :</w:t>
                  </w:r>
                </w:p>
                <w:p w:rsidR="0012743F" w:rsidRDefault="0012743F" w:rsidP="0012743F">
                  <w:pPr>
                    <w:autoSpaceDE w:val="0"/>
                    <w:autoSpaceDN w:val="0"/>
                    <w:adjustRightInd w:val="0"/>
                    <w:rPr>
                      <w:rFonts w:ascii="Calibri" w:hAnsi="Calibri" w:cs="Calibri"/>
                      <w:sz w:val="23"/>
                      <w:szCs w:val="23"/>
                    </w:rPr>
                  </w:pPr>
                  <w:r>
                    <w:rPr>
                      <w:rFonts w:ascii="OpenSymbol" w:hAnsi="OpenSymbol" w:cs="OpenSymbol"/>
                      <w:sz w:val="23"/>
                      <w:szCs w:val="23"/>
                    </w:rPr>
                    <w:t xml:space="preserve">– </w:t>
                  </w:r>
                  <w:r>
                    <w:rPr>
                      <w:rFonts w:ascii="Calibri" w:hAnsi="Calibri" w:cs="Calibri"/>
                      <w:sz w:val="23"/>
                      <w:szCs w:val="23"/>
                    </w:rPr>
                    <w:t xml:space="preserve">Savoir </w:t>
                  </w:r>
                  <w:proofErr w:type="gramStart"/>
                  <w:r>
                    <w:rPr>
                      <w:rFonts w:ascii="Calibri" w:hAnsi="Calibri" w:cs="Calibri"/>
                      <w:sz w:val="23"/>
                      <w:szCs w:val="23"/>
                    </w:rPr>
                    <w:t>identifié</w:t>
                  </w:r>
                  <w:proofErr w:type="gramEnd"/>
                  <w:r>
                    <w:rPr>
                      <w:rFonts w:ascii="Calibri" w:hAnsi="Calibri" w:cs="Calibri"/>
                      <w:sz w:val="23"/>
                      <w:szCs w:val="23"/>
                    </w:rPr>
                    <w:t>, mettant en jeu une ou des capacités dans un champ notionnel ou disciplinaire déterminé. Plus précisément, on peut nommer compétence la capacité d’associer une classe de problèmes précisément identifiée avec un programme de traitement déterminé (Philippe</w:t>
                  </w:r>
                </w:p>
                <w:p w:rsidR="0012743F" w:rsidRDefault="0012743F" w:rsidP="0012743F">
                  <w:pPr>
                    <w:autoSpaceDE w:val="0"/>
                    <w:autoSpaceDN w:val="0"/>
                    <w:adjustRightInd w:val="0"/>
                    <w:rPr>
                      <w:rFonts w:ascii="Calibri" w:hAnsi="Calibri" w:cs="Calibri"/>
                      <w:sz w:val="23"/>
                      <w:szCs w:val="23"/>
                    </w:rPr>
                  </w:pPr>
                  <w:r>
                    <w:rPr>
                      <w:rFonts w:ascii="Calibri" w:hAnsi="Calibri" w:cs="Calibri"/>
                      <w:sz w:val="23"/>
                      <w:szCs w:val="23"/>
                    </w:rPr>
                    <w:t>MERIEU – 1989)</w:t>
                  </w:r>
                </w:p>
                <w:p w:rsidR="0012743F" w:rsidRDefault="0012743F" w:rsidP="0012743F">
                  <w:pPr>
                    <w:autoSpaceDE w:val="0"/>
                    <w:autoSpaceDN w:val="0"/>
                    <w:adjustRightInd w:val="0"/>
                    <w:rPr>
                      <w:rFonts w:ascii="Calibri" w:hAnsi="Calibri" w:cs="Calibri"/>
                      <w:sz w:val="23"/>
                      <w:szCs w:val="23"/>
                    </w:rPr>
                  </w:pPr>
                  <w:r>
                    <w:rPr>
                      <w:rFonts w:ascii="OpenSymbol" w:hAnsi="OpenSymbol" w:cs="OpenSymbol"/>
                      <w:sz w:val="24"/>
                      <w:szCs w:val="24"/>
                    </w:rPr>
                    <w:t xml:space="preserve">– </w:t>
                  </w:r>
                  <w:r>
                    <w:rPr>
                      <w:rFonts w:ascii="Calibri" w:hAnsi="Calibri" w:cs="Calibri"/>
                      <w:sz w:val="23"/>
                      <w:szCs w:val="23"/>
                    </w:rPr>
                    <w:t xml:space="preserve">La compétence est de l’ordre du </w:t>
                  </w:r>
                  <w:proofErr w:type="spellStart"/>
                  <w:r>
                    <w:rPr>
                      <w:rFonts w:ascii="Calibri" w:hAnsi="Calibri" w:cs="Calibri"/>
                      <w:sz w:val="23"/>
                      <w:szCs w:val="23"/>
                    </w:rPr>
                    <w:t>savoir‐mobiliser</w:t>
                  </w:r>
                  <w:proofErr w:type="spellEnd"/>
                  <w:r>
                    <w:rPr>
                      <w:rFonts w:ascii="Calibri" w:hAnsi="Calibri" w:cs="Calibri"/>
                      <w:sz w:val="23"/>
                      <w:szCs w:val="23"/>
                    </w:rPr>
                    <w:t xml:space="preserve"> (Guy le </w:t>
                  </w:r>
                  <w:proofErr w:type="spellStart"/>
                  <w:r>
                    <w:rPr>
                      <w:rFonts w:ascii="Calibri" w:hAnsi="Calibri" w:cs="Calibri"/>
                      <w:sz w:val="23"/>
                      <w:szCs w:val="23"/>
                    </w:rPr>
                    <w:t>Boterf</w:t>
                  </w:r>
                  <w:proofErr w:type="spellEnd"/>
                  <w:r>
                    <w:rPr>
                      <w:rFonts w:ascii="Calibri" w:hAnsi="Calibri" w:cs="Calibri"/>
                      <w:sz w:val="23"/>
                      <w:szCs w:val="23"/>
                    </w:rPr>
                    <w:t xml:space="preserve"> – 1994)</w:t>
                  </w:r>
                </w:p>
                <w:p w:rsidR="0012743F" w:rsidRDefault="0012743F" w:rsidP="0012743F">
                  <w:pPr>
                    <w:autoSpaceDE w:val="0"/>
                    <w:autoSpaceDN w:val="0"/>
                    <w:adjustRightInd w:val="0"/>
                    <w:rPr>
                      <w:rFonts w:ascii="Calibri" w:hAnsi="Calibri" w:cs="Calibri"/>
                      <w:sz w:val="23"/>
                      <w:szCs w:val="23"/>
                    </w:rPr>
                  </w:pPr>
                  <w:r>
                    <w:rPr>
                      <w:rFonts w:ascii="OpenSymbol" w:hAnsi="OpenSymbol" w:cs="OpenSymbol"/>
                      <w:sz w:val="23"/>
                      <w:szCs w:val="23"/>
                    </w:rPr>
                    <w:t xml:space="preserve">– </w:t>
                  </w:r>
                  <w:r>
                    <w:rPr>
                      <w:rFonts w:ascii="Calibri" w:hAnsi="Calibri" w:cs="Calibri"/>
                      <w:sz w:val="23"/>
                      <w:szCs w:val="23"/>
                    </w:rPr>
                    <w:t>Une compétence permet de faire face a une situation complexe, de construire une réponse adapte sans la puiser dans un répertoire de réponses préprogrammées (Philippe PERRENOUD–1999)</w:t>
                  </w:r>
                </w:p>
                <w:p w:rsidR="0012743F" w:rsidRDefault="0012743F" w:rsidP="0012743F">
                  <w:pPr>
                    <w:autoSpaceDE w:val="0"/>
                    <w:autoSpaceDN w:val="0"/>
                    <w:adjustRightInd w:val="0"/>
                    <w:rPr>
                      <w:rFonts w:ascii="Calibri" w:hAnsi="Calibri" w:cs="Calibri"/>
                      <w:sz w:val="23"/>
                      <w:szCs w:val="23"/>
                    </w:rPr>
                  </w:pPr>
                  <w:r>
                    <w:rPr>
                      <w:rFonts w:ascii="OpenSymbol" w:hAnsi="OpenSymbol" w:cs="OpenSymbol"/>
                      <w:sz w:val="23"/>
                      <w:szCs w:val="23"/>
                    </w:rPr>
                    <w:t xml:space="preserve">– </w:t>
                  </w:r>
                  <w:r>
                    <w:rPr>
                      <w:rFonts w:ascii="Calibri" w:hAnsi="Calibri" w:cs="Calibri"/>
                      <w:sz w:val="23"/>
                      <w:szCs w:val="23"/>
                    </w:rPr>
                    <w:t>Une compétence est un savoir agir complexe prenant appui sur la mobilisation et la combinaison efficaces d’une variété de ressources internes et externes a l’intérieur d’une famille de situations (Jacques Tardif – Canada)</w:t>
                  </w:r>
                </w:p>
                <w:p w:rsidR="0012743F" w:rsidRPr="00282B5B" w:rsidRDefault="0012743F" w:rsidP="0012743F">
                  <w:pPr>
                    <w:autoSpaceDE w:val="0"/>
                    <w:autoSpaceDN w:val="0"/>
                    <w:adjustRightInd w:val="0"/>
                    <w:rPr>
                      <w:rFonts w:ascii="Calibri" w:hAnsi="Calibri" w:cs="Calibri"/>
                      <w:sz w:val="23"/>
                      <w:szCs w:val="23"/>
                    </w:rPr>
                  </w:pPr>
                  <w:r>
                    <w:rPr>
                      <w:rFonts w:ascii="OpenSymbol" w:hAnsi="OpenSymbol" w:cs="OpenSymbol"/>
                      <w:sz w:val="23"/>
                      <w:szCs w:val="23"/>
                    </w:rPr>
                    <w:t xml:space="preserve">– </w:t>
                  </w:r>
                  <w:r>
                    <w:rPr>
                      <w:rFonts w:ascii="Calibri" w:hAnsi="Calibri" w:cs="Calibri"/>
                      <w:sz w:val="23"/>
                      <w:szCs w:val="23"/>
                    </w:rPr>
                    <w:t>Une compétence est un ensemble intègre et fonctionnel de savoirs, savoir faire, savoir être et savoir devenir qui permettront, face a une catégorie de situations, de s’adapter, de résoudre des problèmes et de réaliser des projets (Marc Romainville – Belgique).</w:t>
                  </w:r>
                </w:p>
              </w:txbxContent>
            </v:textbox>
          </v:roundrect>
        </w:pict>
      </w:r>
    </w:p>
    <w:p w:rsidR="0012743F" w:rsidRPr="00BF4D5A" w:rsidRDefault="0012743F" w:rsidP="0012743F"/>
    <w:p w:rsidR="0012743F" w:rsidRPr="00BF4D5A" w:rsidRDefault="0012743F" w:rsidP="0012743F"/>
    <w:p w:rsidR="0012743F" w:rsidRPr="00BF4D5A" w:rsidRDefault="0012743F" w:rsidP="0012743F"/>
    <w:p w:rsidR="0012743F" w:rsidRPr="00BF4D5A" w:rsidRDefault="0012743F" w:rsidP="0012743F"/>
    <w:p w:rsidR="0012743F" w:rsidRPr="00BF4D5A" w:rsidRDefault="0012743F" w:rsidP="0012743F"/>
    <w:p w:rsidR="0012743F" w:rsidRPr="00BF4D5A" w:rsidRDefault="0012743F" w:rsidP="0012743F"/>
    <w:p w:rsidR="0012743F" w:rsidRPr="00BF4D5A" w:rsidRDefault="0012743F" w:rsidP="0012743F"/>
    <w:p w:rsidR="0012743F" w:rsidRPr="00BF4D5A" w:rsidRDefault="0012743F" w:rsidP="0012743F"/>
    <w:p w:rsidR="0012743F" w:rsidRPr="00BF4D5A" w:rsidRDefault="0012743F" w:rsidP="0012743F"/>
    <w:p w:rsidR="0012743F" w:rsidRPr="00BF4D5A" w:rsidRDefault="0012743F" w:rsidP="0012743F"/>
    <w:p w:rsidR="0012743F" w:rsidRPr="00BF4D5A" w:rsidRDefault="0012743F" w:rsidP="0012743F"/>
    <w:p w:rsidR="0012743F" w:rsidRPr="00BF4D5A" w:rsidRDefault="0012743F" w:rsidP="0012743F"/>
    <w:p w:rsidR="0012743F" w:rsidRPr="00BF4D5A" w:rsidRDefault="0012743F" w:rsidP="0012743F"/>
    <w:p w:rsidR="0012743F" w:rsidRPr="00BF4D5A" w:rsidRDefault="0012743F" w:rsidP="0012743F"/>
    <w:p w:rsidR="0012743F" w:rsidRDefault="0012743F" w:rsidP="0012743F">
      <w:r>
        <w:rPr>
          <w:noProof/>
          <w:lang w:eastAsia="fr-FR"/>
        </w:rPr>
        <w:pict>
          <v:roundrect id="_x0000_s1035" style="position:absolute;margin-left:279.9pt;margin-top:2.75pt;width:498pt;height:329.25pt;z-index:251667456" arcsize="10923f" fillcolor="white [3201]" strokecolor="#fabf8f [1945]" strokeweight="1pt">
            <v:fill color2="#fbd4b4 [1305]" focusposition="1" focussize="" focus="100%" type="gradient"/>
            <v:shadow on="t" color="#974706 [1609]" opacity=".5" offset="-6pt,-6pt"/>
            <v:textbox>
              <w:txbxContent>
                <w:p w:rsidR="0012743F" w:rsidRDefault="0012743F" w:rsidP="0012743F">
                  <w:pPr>
                    <w:jc w:val="center"/>
                    <w:rPr>
                      <w:b/>
                      <w:bCs/>
                      <w:i/>
                      <w:iCs/>
                      <w:lang w:val="fr-CA"/>
                    </w:rPr>
                  </w:pPr>
                  <w:r w:rsidRPr="00BF4D5A">
                    <w:rPr>
                      <w:b/>
                      <w:bCs/>
                      <w:i/>
                      <w:iCs/>
                      <w:lang w:val="fr-CA"/>
                    </w:rPr>
                    <w:t>La situation-problème</w:t>
                  </w:r>
                  <w:r>
                    <w:rPr>
                      <w:b/>
                      <w:bCs/>
                      <w:i/>
                      <w:iCs/>
                      <w:lang w:val="fr-CA"/>
                    </w:rPr>
                    <w:t xml:space="preserve"> d’apprentissage.</w:t>
                  </w:r>
                </w:p>
                <w:p w:rsidR="0012743F" w:rsidRPr="00BF4D5A" w:rsidRDefault="0012743F" w:rsidP="0012743F">
                  <w:pPr>
                    <w:numPr>
                      <w:ilvl w:val="0"/>
                      <w:numId w:val="9"/>
                    </w:numPr>
                  </w:pPr>
                  <w:r w:rsidRPr="00BF4D5A">
                    <w:rPr>
                      <w:lang w:val="fr-CA"/>
                    </w:rPr>
                    <w:t xml:space="preserve">La situation-problème est une situation d'apprentissage. </w:t>
                  </w:r>
                </w:p>
                <w:p w:rsidR="0012743F" w:rsidRPr="00BF4D5A" w:rsidRDefault="0012743F" w:rsidP="0012743F">
                  <w:pPr>
                    <w:numPr>
                      <w:ilvl w:val="0"/>
                      <w:numId w:val="9"/>
                    </w:numPr>
                  </w:pPr>
                  <w:r w:rsidRPr="00BF4D5A">
                    <w:rPr>
                      <w:lang w:val="fr-CA"/>
                    </w:rPr>
                    <w:t xml:space="preserve">C'est un moyen d'apprentissage et non le résultat. </w:t>
                  </w:r>
                </w:p>
                <w:p w:rsidR="0012743F" w:rsidRPr="00BF4D5A" w:rsidRDefault="0012743F" w:rsidP="0012743F">
                  <w:pPr>
                    <w:numPr>
                      <w:ilvl w:val="0"/>
                      <w:numId w:val="9"/>
                    </w:numPr>
                  </w:pPr>
                  <w:r w:rsidRPr="00BF4D5A">
                    <w:rPr>
                      <w:lang w:val="fr-CA"/>
                    </w:rPr>
                    <w:t>C'est une stratégie d'enseignement qui favorise l'engagement des élèves.</w:t>
                  </w:r>
                </w:p>
                <w:p w:rsidR="0012743F" w:rsidRPr="00BF4D5A" w:rsidRDefault="0012743F" w:rsidP="0012743F">
                  <w:pPr>
                    <w:numPr>
                      <w:ilvl w:val="0"/>
                      <w:numId w:val="9"/>
                    </w:numPr>
                  </w:pPr>
                  <w:r w:rsidRPr="00BF4D5A">
                    <w:rPr>
                      <w:lang w:val="fr-CA"/>
                    </w:rPr>
                    <w:t>Elle permet la construction des savoirs.</w:t>
                  </w:r>
                </w:p>
                <w:p w:rsidR="0012743F" w:rsidRPr="00BF4D5A" w:rsidRDefault="0012743F" w:rsidP="0012743F">
                  <w:pPr>
                    <w:ind w:left="360"/>
                    <w:rPr>
                      <w:b/>
                      <w:bCs/>
                      <w:i/>
                      <w:iCs/>
                    </w:rPr>
                  </w:pPr>
                  <w:r w:rsidRPr="00BF4D5A">
                    <w:rPr>
                      <w:b/>
                      <w:bCs/>
                      <w:i/>
                      <w:iCs/>
                      <w:lang w:val="fr-CA"/>
                    </w:rPr>
                    <w:t xml:space="preserve">La situation-problème, c'est une tâche: </w:t>
                  </w:r>
                </w:p>
                <w:p w:rsidR="0012743F" w:rsidRPr="00BF4D5A" w:rsidRDefault="0012743F" w:rsidP="0012743F">
                  <w:pPr>
                    <w:numPr>
                      <w:ilvl w:val="0"/>
                      <w:numId w:val="10"/>
                    </w:numPr>
                  </w:pPr>
                  <w:r w:rsidRPr="00BF4D5A">
                    <w:rPr>
                      <w:b/>
                      <w:bCs/>
                      <w:lang w:val="fr-CA"/>
                    </w:rPr>
                    <w:t>Globale: contexte, but, plusieurs actions et procédures, décomposables en parties.</w:t>
                  </w:r>
                </w:p>
                <w:p w:rsidR="0012743F" w:rsidRPr="00BF4D5A" w:rsidRDefault="0012743F" w:rsidP="0012743F">
                  <w:pPr>
                    <w:numPr>
                      <w:ilvl w:val="0"/>
                      <w:numId w:val="10"/>
                    </w:numPr>
                  </w:pPr>
                  <w:r w:rsidRPr="00BF4D5A">
                    <w:rPr>
                      <w:b/>
                      <w:bCs/>
                      <w:lang w:val="fr-CA"/>
                    </w:rPr>
                    <w:t>Complexe</w:t>
                  </w:r>
                  <w:proofErr w:type="gramStart"/>
                  <w:r w:rsidRPr="00BF4D5A">
                    <w:rPr>
                      <w:b/>
                      <w:bCs/>
                      <w:lang w:val="fr-CA"/>
                    </w:rPr>
                    <w:t>:  fait</w:t>
                  </w:r>
                  <w:proofErr w:type="gramEnd"/>
                  <w:r w:rsidRPr="00BF4D5A">
                    <w:rPr>
                      <w:b/>
                      <w:bCs/>
                      <w:lang w:val="fr-CA"/>
                    </w:rPr>
                    <w:t xml:space="preserve"> appel à plusieurs types de connaissances,  CONFLIT COGNITIF, défi à la portée de l’élève, très structurée.</w:t>
                  </w:r>
                </w:p>
                <w:p w:rsidR="0012743F" w:rsidRPr="00BF4D5A" w:rsidRDefault="0012743F" w:rsidP="0012743F">
                  <w:pPr>
                    <w:numPr>
                      <w:ilvl w:val="0"/>
                      <w:numId w:val="10"/>
                    </w:numPr>
                  </w:pPr>
                  <w:r w:rsidRPr="00BF4D5A">
                    <w:rPr>
                      <w:b/>
                      <w:bCs/>
                      <w:lang w:val="fr-CA"/>
                    </w:rPr>
                    <w:t>Signifiante</w:t>
                  </w:r>
                  <w:proofErr w:type="gramStart"/>
                  <w:r w:rsidRPr="00BF4D5A">
                    <w:rPr>
                      <w:b/>
                      <w:bCs/>
                      <w:lang w:val="fr-CA"/>
                    </w:rPr>
                    <w:t xml:space="preserve">:  </w:t>
                  </w:r>
                  <w:r>
                    <w:rPr>
                      <w:b/>
                      <w:bCs/>
                      <w:lang w:val="fr-CA"/>
                    </w:rPr>
                    <w:t>à</w:t>
                  </w:r>
                  <w:proofErr w:type="gramEnd"/>
                  <w:r>
                    <w:rPr>
                      <w:b/>
                      <w:bCs/>
                      <w:lang w:val="fr-CA"/>
                    </w:rPr>
                    <w:t xml:space="preserve"> un </w:t>
                  </w:r>
                  <w:r w:rsidRPr="00BF4D5A">
                    <w:rPr>
                      <w:b/>
                      <w:bCs/>
                      <w:lang w:val="fr-CA"/>
                    </w:rPr>
                    <w:t>sens pour l’élève, concrète</w:t>
                  </w:r>
                </w:p>
                <w:p w:rsidR="0012743F" w:rsidRPr="00BF4D5A" w:rsidRDefault="0012743F" w:rsidP="0012743F">
                  <w:pPr>
                    <w:pStyle w:val="Paragraphedeliste"/>
                    <w:numPr>
                      <w:ilvl w:val="0"/>
                      <w:numId w:val="10"/>
                    </w:numPr>
                    <w:rPr>
                      <w:rFonts w:ascii="Verdana" w:eastAsia="Times New Roman" w:hAnsi="Verdana" w:cs="Times New Roman"/>
                      <w:i/>
                      <w:iCs/>
                      <w:color w:val="000000"/>
                      <w:sz w:val="20"/>
                      <w:szCs w:val="20"/>
                      <w:lang w:eastAsia="fr-FR"/>
                    </w:rPr>
                  </w:pPr>
                  <w:r w:rsidRPr="00BF4D5A">
                    <w:rPr>
                      <w:rFonts w:ascii="Century Gothic" w:eastAsia="Times New Roman" w:hAnsi="Century Gothic" w:cs="Times New Roman"/>
                      <w:b/>
                      <w:bCs/>
                      <w:i/>
                      <w:iCs/>
                      <w:color w:val="000000"/>
                      <w:sz w:val="20"/>
                      <w:szCs w:val="20"/>
                      <w:lang w:eastAsia="fr-FR"/>
                    </w:rPr>
                    <w:t xml:space="preserve">SITUATION D’INTÉGRATION </w:t>
                  </w:r>
                </w:p>
                <w:p w:rsidR="0012743F" w:rsidRPr="00BF4D5A" w:rsidRDefault="0012743F" w:rsidP="0012743F">
                  <w:pPr>
                    <w:pStyle w:val="Paragraphedeliste"/>
                    <w:numPr>
                      <w:ilvl w:val="0"/>
                      <w:numId w:val="10"/>
                    </w:numPr>
                    <w:rPr>
                      <w:rFonts w:ascii="Verdana" w:eastAsia="Times New Roman" w:hAnsi="Verdana" w:cs="Times New Roman"/>
                      <w:color w:val="000000"/>
                      <w:sz w:val="20"/>
                      <w:szCs w:val="20"/>
                      <w:lang w:eastAsia="fr-FR"/>
                    </w:rPr>
                  </w:pPr>
                  <w:r w:rsidRPr="00BF4D5A">
                    <w:rPr>
                      <w:rFonts w:ascii="Century Gothic" w:eastAsia="Times New Roman" w:hAnsi="Century Gothic" w:cs="Times New Roman"/>
                      <w:color w:val="000000"/>
                      <w:sz w:val="20"/>
                      <w:szCs w:val="20"/>
                      <w:lang w:eastAsia="fr-FR"/>
                    </w:rPr>
                    <w:t>Elle permet à l’apprenant soit d’apprendre à intégrer ses acquis soit d’évaluer son niveau de maîtrise de la compétence.</w:t>
                  </w:r>
                </w:p>
                <w:p w:rsidR="0012743F" w:rsidRPr="00BF4D5A" w:rsidRDefault="0012743F" w:rsidP="0012743F">
                  <w:pPr>
                    <w:pStyle w:val="Paragraphedeliste"/>
                    <w:numPr>
                      <w:ilvl w:val="0"/>
                      <w:numId w:val="10"/>
                    </w:numPr>
                    <w:rPr>
                      <w:rFonts w:ascii="Verdana" w:eastAsia="Times New Roman" w:hAnsi="Verdana" w:cs="Times New Roman"/>
                      <w:color w:val="000000"/>
                      <w:sz w:val="20"/>
                      <w:szCs w:val="20"/>
                      <w:lang w:eastAsia="fr-FR"/>
                    </w:rPr>
                  </w:pPr>
                  <w:r w:rsidRPr="00BF4D5A">
                    <w:rPr>
                      <w:rFonts w:ascii="Century Gothic" w:eastAsia="Times New Roman" w:hAnsi="Century Gothic" w:cs="Times New Roman"/>
                      <w:color w:val="000000"/>
                      <w:sz w:val="20"/>
                      <w:szCs w:val="20"/>
                      <w:lang w:eastAsia="fr-FR"/>
                    </w:rPr>
                    <w:t>La situation d’intégration ou la situation problème cible doit répondre aux caractéristiques suivantes :</w:t>
                  </w:r>
                </w:p>
                <w:p w:rsidR="0012743F" w:rsidRPr="00BF4D5A" w:rsidRDefault="0012743F" w:rsidP="0012743F">
                  <w:pPr>
                    <w:pStyle w:val="Paragraphedeliste"/>
                    <w:numPr>
                      <w:ilvl w:val="0"/>
                      <w:numId w:val="10"/>
                    </w:numPr>
                    <w:rPr>
                      <w:rFonts w:ascii="Verdana" w:eastAsia="Times New Roman" w:hAnsi="Verdana" w:cs="Times New Roman"/>
                      <w:color w:val="000000"/>
                      <w:sz w:val="20"/>
                      <w:szCs w:val="20"/>
                      <w:lang w:eastAsia="fr-FR"/>
                    </w:rPr>
                  </w:pPr>
                  <w:r w:rsidRPr="00BF4D5A">
                    <w:rPr>
                      <w:rFonts w:ascii="Wingdings" w:eastAsia="Times New Roman" w:hAnsi="Wingdings" w:cs="Times New Roman"/>
                      <w:color w:val="000000"/>
                      <w:sz w:val="20"/>
                      <w:szCs w:val="20"/>
                      <w:lang w:eastAsia="fr-FR"/>
                    </w:rPr>
                    <w:t></w:t>
                  </w:r>
                  <w:r w:rsidRPr="00BF4D5A">
                    <w:rPr>
                      <w:rFonts w:ascii="Times New Roman" w:eastAsia="Times New Roman" w:hAnsi="Times New Roman" w:cs="Times New Roman"/>
                      <w:color w:val="000000"/>
                      <w:sz w:val="14"/>
                      <w:szCs w:val="14"/>
                      <w:lang w:eastAsia="fr-FR"/>
                    </w:rPr>
                    <w:t> </w:t>
                  </w:r>
                  <w:r w:rsidRPr="00BF4D5A">
                    <w:rPr>
                      <w:rFonts w:ascii="Times New Roman" w:eastAsia="Times New Roman" w:hAnsi="Times New Roman" w:cs="Times New Roman"/>
                      <w:color w:val="000000"/>
                      <w:sz w:val="14"/>
                      <w:lang w:eastAsia="fr-FR"/>
                    </w:rPr>
                    <w:t> </w:t>
                  </w:r>
                  <w:r w:rsidRPr="00BF4D5A">
                    <w:rPr>
                      <w:rFonts w:ascii="Century Gothic" w:eastAsia="Times New Roman" w:hAnsi="Century Gothic" w:cs="Times New Roman"/>
                      <w:color w:val="000000"/>
                      <w:sz w:val="20"/>
                      <w:szCs w:val="20"/>
                      <w:lang w:eastAsia="fr-FR"/>
                    </w:rPr>
                    <w:t>Situation complexe comprenant de l’information essentielle mais aussi parasite et mettant en jeu les apprentissages antérieurs;</w:t>
                  </w:r>
                </w:p>
                <w:p w:rsidR="0012743F" w:rsidRPr="00BF4D5A" w:rsidRDefault="0012743F" w:rsidP="0012743F">
                  <w:pPr>
                    <w:pStyle w:val="Paragraphedeliste"/>
                    <w:numPr>
                      <w:ilvl w:val="0"/>
                      <w:numId w:val="10"/>
                    </w:numPr>
                    <w:rPr>
                      <w:rFonts w:ascii="Verdana" w:eastAsia="Times New Roman" w:hAnsi="Verdana" w:cs="Times New Roman"/>
                      <w:color w:val="000000"/>
                      <w:sz w:val="20"/>
                      <w:szCs w:val="20"/>
                      <w:lang w:eastAsia="fr-FR"/>
                    </w:rPr>
                  </w:pPr>
                  <w:r w:rsidRPr="00BF4D5A">
                    <w:rPr>
                      <w:rFonts w:ascii="Wingdings" w:eastAsia="Times New Roman" w:hAnsi="Wingdings" w:cs="Times New Roman"/>
                      <w:color w:val="000000"/>
                      <w:sz w:val="20"/>
                      <w:szCs w:val="20"/>
                      <w:lang w:eastAsia="fr-FR"/>
                    </w:rPr>
                    <w:t></w:t>
                  </w:r>
                  <w:r w:rsidRPr="00BF4D5A">
                    <w:rPr>
                      <w:rFonts w:ascii="Times New Roman" w:eastAsia="Times New Roman" w:hAnsi="Times New Roman" w:cs="Times New Roman"/>
                      <w:color w:val="000000"/>
                      <w:sz w:val="14"/>
                      <w:szCs w:val="14"/>
                      <w:lang w:eastAsia="fr-FR"/>
                    </w:rPr>
                    <w:t> </w:t>
                  </w:r>
                  <w:r w:rsidRPr="00BF4D5A">
                    <w:rPr>
                      <w:rFonts w:ascii="Times New Roman" w:eastAsia="Times New Roman" w:hAnsi="Times New Roman" w:cs="Times New Roman"/>
                      <w:color w:val="000000"/>
                      <w:sz w:val="14"/>
                      <w:lang w:eastAsia="fr-FR"/>
                    </w:rPr>
                    <w:t> </w:t>
                  </w:r>
                  <w:r w:rsidRPr="00BF4D5A">
                    <w:rPr>
                      <w:rFonts w:ascii="Century Gothic" w:eastAsia="Times New Roman" w:hAnsi="Century Gothic" w:cs="Times New Roman"/>
                      <w:color w:val="000000"/>
                      <w:sz w:val="20"/>
                      <w:szCs w:val="20"/>
                      <w:lang w:eastAsia="fr-FR"/>
                    </w:rPr>
                    <w:t>Situation nécessitant l’intégration de savoirs, de savoir faire et de savoir être et non leur juxtaposition;</w:t>
                  </w:r>
                </w:p>
                <w:p w:rsidR="0012743F" w:rsidRPr="00BF4D5A" w:rsidRDefault="0012743F" w:rsidP="0012743F">
                  <w:pPr>
                    <w:pStyle w:val="Paragraphedeliste"/>
                    <w:numPr>
                      <w:ilvl w:val="0"/>
                      <w:numId w:val="10"/>
                    </w:numPr>
                    <w:rPr>
                      <w:rFonts w:ascii="Verdana" w:eastAsia="Times New Roman" w:hAnsi="Verdana" w:cs="Times New Roman"/>
                      <w:color w:val="000000"/>
                      <w:sz w:val="20"/>
                      <w:szCs w:val="20"/>
                      <w:lang w:eastAsia="fr-FR"/>
                    </w:rPr>
                  </w:pPr>
                  <w:r w:rsidRPr="00BF4D5A">
                    <w:rPr>
                      <w:rFonts w:ascii="Wingdings" w:eastAsia="Times New Roman" w:hAnsi="Wingdings" w:cs="Times New Roman"/>
                      <w:color w:val="000000"/>
                      <w:sz w:val="20"/>
                      <w:szCs w:val="20"/>
                      <w:lang w:eastAsia="fr-FR"/>
                    </w:rPr>
                    <w:t></w:t>
                  </w:r>
                  <w:r w:rsidRPr="00BF4D5A">
                    <w:rPr>
                      <w:rFonts w:ascii="Times New Roman" w:eastAsia="Times New Roman" w:hAnsi="Times New Roman" w:cs="Times New Roman"/>
                      <w:color w:val="000000"/>
                      <w:sz w:val="14"/>
                      <w:szCs w:val="14"/>
                      <w:lang w:eastAsia="fr-FR"/>
                    </w:rPr>
                    <w:t> </w:t>
                  </w:r>
                  <w:r w:rsidRPr="00BF4D5A">
                    <w:rPr>
                      <w:rFonts w:ascii="Times New Roman" w:eastAsia="Times New Roman" w:hAnsi="Times New Roman" w:cs="Times New Roman"/>
                      <w:color w:val="000000"/>
                      <w:sz w:val="14"/>
                      <w:lang w:eastAsia="fr-FR"/>
                    </w:rPr>
                    <w:t> </w:t>
                  </w:r>
                  <w:r w:rsidRPr="00BF4D5A">
                    <w:rPr>
                      <w:rFonts w:ascii="Century Gothic" w:eastAsia="Times New Roman" w:hAnsi="Century Gothic" w:cs="Times New Roman"/>
                      <w:color w:val="000000"/>
                      <w:sz w:val="20"/>
                      <w:szCs w:val="20"/>
                      <w:lang w:eastAsia="fr-FR"/>
                    </w:rPr>
                    <w:t>Situation évaluable</w:t>
                  </w:r>
                </w:p>
                <w:p w:rsidR="0012743F" w:rsidRPr="00BF4D5A" w:rsidRDefault="0012743F" w:rsidP="0012743F">
                  <w:pPr>
                    <w:pStyle w:val="Paragraphedeliste"/>
                    <w:numPr>
                      <w:ilvl w:val="0"/>
                      <w:numId w:val="10"/>
                    </w:numPr>
                    <w:rPr>
                      <w:rFonts w:ascii="Verdana" w:eastAsia="Times New Roman" w:hAnsi="Verdana" w:cs="Times New Roman"/>
                      <w:color w:val="000000"/>
                      <w:sz w:val="20"/>
                      <w:szCs w:val="20"/>
                      <w:lang w:eastAsia="fr-FR"/>
                    </w:rPr>
                  </w:pPr>
                  <w:r w:rsidRPr="00BF4D5A">
                    <w:rPr>
                      <w:rFonts w:ascii="Wingdings" w:eastAsia="Times New Roman" w:hAnsi="Wingdings" w:cs="Times New Roman"/>
                      <w:color w:val="000000"/>
                      <w:sz w:val="20"/>
                      <w:szCs w:val="20"/>
                      <w:lang w:eastAsia="fr-FR"/>
                    </w:rPr>
                    <w:t></w:t>
                  </w:r>
                  <w:r w:rsidRPr="00BF4D5A">
                    <w:rPr>
                      <w:rFonts w:ascii="Times New Roman" w:eastAsia="Times New Roman" w:hAnsi="Times New Roman" w:cs="Times New Roman"/>
                      <w:color w:val="000000"/>
                      <w:sz w:val="14"/>
                      <w:szCs w:val="14"/>
                      <w:lang w:eastAsia="fr-FR"/>
                    </w:rPr>
                    <w:t> </w:t>
                  </w:r>
                  <w:r w:rsidRPr="00BF4D5A">
                    <w:rPr>
                      <w:rFonts w:ascii="Times New Roman" w:eastAsia="Times New Roman" w:hAnsi="Times New Roman" w:cs="Times New Roman"/>
                      <w:color w:val="000000"/>
                      <w:sz w:val="14"/>
                      <w:lang w:eastAsia="fr-FR"/>
                    </w:rPr>
                    <w:t> </w:t>
                  </w:r>
                  <w:r w:rsidRPr="00BF4D5A">
                    <w:rPr>
                      <w:rFonts w:ascii="Century Gothic" w:eastAsia="Times New Roman" w:hAnsi="Century Gothic" w:cs="Times New Roman"/>
                      <w:color w:val="000000"/>
                      <w:sz w:val="20"/>
                      <w:szCs w:val="20"/>
                      <w:lang w:eastAsia="fr-FR"/>
                    </w:rPr>
                    <w:t>Situation significative pour l’élève ;</w:t>
                  </w:r>
                </w:p>
                <w:p w:rsidR="0012743F" w:rsidRPr="00BF4D5A" w:rsidRDefault="0012743F" w:rsidP="0012743F">
                  <w:pPr>
                    <w:pStyle w:val="Paragraphedeliste"/>
                    <w:numPr>
                      <w:ilvl w:val="0"/>
                      <w:numId w:val="10"/>
                    </w:numPr>
                    <w:rPr>
                      <w:rFonts w:ascii="Verdana" w:eastAsia="Times New Roman" w:hAnsi="Verdana" w:cs="Times New Roman"/>
                      <w:color w:val="000000"/>
                      <w:sz w:val="20"/>
                      <w:szCs w:val="20"/>
                      <w:lang w:eastAsia="fr-FR"/>
                    </w:rPr>
                  </w:pPr>
                  <w:r w:rsidRPr="00BF4D5A">
                    <w:rPr>
                      <w:rFonts w:ascii="Wingdings" w:eastAsia="Times New Roman" w:hAnsi="Wingdings" w:cs="Times New Roman"/>
                      <w:color w:val="000000"/>
                      <w:sz w:val="20"/>
                      <w:szCs w:val="20"/>
                      <w:lang w:eastAsia="fr-FR"/>
                    </w:rPr>
                    <w:t></w:t>
                  </w:r>
                  <w:r w:rsidRPr="00BF4D5A">
                    <w:rPr>
                      <w:rFonts w:ascii="Times New Roman" w:eastAsia="Times New Roman" w:hAnsi="Times New Roman" w:cs="Times New Roman"/>
                      <w:color w:val="000000"/>
                      <w:sz w:val="14"/>
                      <w:szCs w:val="14"/>
                      <w:lang w:eastAsia="fr-FR"/>
                    </w:rPr>
                    <w:t> </w:t>
                  </w:r>
                  <w:r w:rsidRPr="00BF4D5A">
                    <w:rPr>
                      <w:rFonts w:ascii="Times New Roman" w:eastAsia="Times New Roman" w:hAnsi="Times New Roman" w:cs="Times New Roman"/>
                      <w:color w:val="000000"/>
                      <w:sz w:val="14"/>
                      <w:lang w:eastAsia="fr-FR"/>
                    </w:rPr>
                    <w:t> </w:t>
                  </w:r>
                  <w:r w:rsidRPr="00BF4D5A">
                    <w:rPr>
                      <w:rFonts w:ascii="Century Gothic" w:eastAsia="Times New Roman" w:hAnsi="Century Gothic" w:cs="Times New Roman"/>
                      <w:color w:val="000000"/>
                      <w:sz w:val="20"/>
                      <w:szCs w:val="20"/>
                      <w:lang w:eastAsia="fr-FR"/>
                    </w:rPr>
                    <w:t>Situation de l’ordre du palier ou de la compétence</w:t>
                  </w:r>
                </w:p>
                <w:p w:rsidR="0012743F" w:rsidRPr="00BF4D5A" w:rsidRDefault="0012743F" w:rsidP="0012743F"/>
              </w:txbxContent>
            </v:textbox>
          </v:roundrect>
        </w:pict>
      </w:r>
    </w:p>
    <w:p w:rsidR="0012743F" w:rsidRPr="00BF4D5A" w:rsidRDefault="0012743F" w:rsidP="0012743F">
      <w:pPr>
        <w:tabs>
          <w:tab w:val="left" w:pos="5850"/>
        </w:tabs>
      </w:pPr>
      <w:r>
        <w:tab/>
      </w:r>
    </w:p>
    <w:p w:rsidR="0012743F" w:rsidRPr="00E56BFF" w:rsidRDefault="0012743F" w:rsidP="0012743F">
      <w:pPr>
        <w:jc w:val="center"/>
        <w:rPr>
          <w:lang w:val="fr-CA"/>
        </w:rPr>
      </w:pPr>
    </w:p>
    <w:p w:rsidR="0012743F" w:rsidRPr="00E56BFF" w:rsidRDefault="0012743F" w:rsidP="0012743F">
      <w:pPr>
        <w:jc w:val="center"/>
        <w:rPr>
          <w:lang w:val="fr-CA"/>
        </w:rPr>
      </w:pPr>
    </w:p>
    <w:p w:rsidR="0012743F" w:rsidRPr="00773D99" w:rsidRDefault="0012743F" w:rsidP="00773D99"/>
    <w:p w:rsidR="00773D99" w:rsidRPr="00773D99" w:rsidRDefault="00773D99" w:rsidP="00773D99"/>
    <w:p w:rsidR="00773D99" w:rsidRDefault="00773D99" w:rsidP="00773D99"/>
    <w:p w:rsidR="001C7976" w:rsidRPr="00773D99" w:rsidRDefault="00773D99" w:rsidP="00773D99">
      <w:pPr>
        <w:tabs>
          <w:tab w:val="left" w:pos="12645"/>
        </w:tabs>
      </w:pPr>
      <w:r>
        <w:tab/>
      </w:r>
    </w:p>
    <w:sectPr w:rsidR="001C7976" w:rsidRPr="00773D99" w:rsidSect="0012743F">
      <w:pgSz w:w="16838" w:h="11906" w:orient="landscape"/>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MS-Bold">
    <w:panose1 w:val="00000000000000000000"/>
    <w:charset w:val="00"/>
    <w:family w:val="swiss"/>
    <w:notTrueType/>
    <w:pitch w:val="default"/>
    <w:sig w:usb0="00000003" w:usb1="00000000" w:usb2="00000000" w:usb3="00000000" w:csb0="00000001" w:csb1="00000000"/>
  </w:font>
  <w:font w:name="TrebuchetMS">
    <w:panose1 w:val="00000000000000000000"/>
    <w:charset w:val="00"/>
    <w:family w:val="swiss"/>
    <w:notTrueType/>
    <w:pitch w:val="default"/>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OpenSymbol">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F2C5B"/>
    <w:multiLevelType w:val="hybridMultilevel"/>
    <w:tmpl w:val="A0BCCF4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11464B3C"/>
    <w:multiLevelType w:val="hybridMultilevel"/>
    <w:tmpl w:val="2FDEE68A"/>
    <w:lvl w:ilvl="0" w:tplc="DA9C2A90">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1EE449FE"/>
    <w:multiLevelType w:val="hybridMultilevel"/>
    <w:tmpl w:val="ACBC4DE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3D644FE"/>
    <w:multiLevelType w:val="hybridMultilevel"/>
    <w:tmpl w:val="EA9287CA"/>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382932D2"/>
    <w:multiLevelType w:val="hybridMultilevel"/>
    <w:tmpl w:val="DDA49252"/>
    <w:lvl w:ilvl="0" w:tplc="C7EEB42A">
      <w:start w:val="1"/>
      <w:numFmt w:val="bullet"/>
      <w:lvlText w:val=""/>
      <w:lvlJc w:val="left"/>
      <w:pPr>
        <w:tabs>
          <w:tab w:val="num" w:pos="720"/>
        </w:tabs>
        <w:ind w:left="720" w:hanging="360"/>
      </w:pPr>
      <w:rPr>
        <w:rFonts w:ascii="Wingdings" w:hAnsi="Wingdings" w:hint="default"/>
      </w:rPr>
    </w:lvl>
    <w:lvl w:ilvl="1" w:tplc="519C3F32" w:tentative="1">
      <w:start w:val="1"/>
      <w:numFmt w:val="bullet"/>
      <w:lvlText w:val=""/>
      <w:lvlJc w:val="left"/>
      <w:pPr>
        <w:tabs>
          <w:tab w:val="num" w:pos="1440"/>
        </w:tabs>
        <w:ind w:left="1440" w:hanging="360"/>
      </w:pPr>
      <w:rPr>
        <w:rFonts w:ascii="Wingdings" w:hAnsi="Wingdings" w:hint="default"/>
      </w:rPr>
    </w:lvl>
    <w:lvl w:ilvl="2" w:tplc="C7FA4276" w:tentative="1">
      <w:start w:val="1"/>
      <w:numFmt w:val="bullet"/>
      <w:lvlText w:val=""/>
      <w:lvlJc w:val="left"/>
      <w:pPr>
        <w:tabs>
          <w:tab w:val="num" w:pos="2160"/>
        </w:tabs>
        <w:ind w:left="2160" w:hanging="360"/>
      </w:pPr>
      <w:rPr>
        <w:rFonts w:ascii="Wingdings" w:hAnsi="Wingdings" w:hint="default"/>
      </w:rPr>
    </w:lvl>
    <w:lvl w:ilvl="3" w:tplc="20942D56" w:tentative="1">
      <w:start w:val="1"/>
      <w:numFmt w:val="bullet"/>
      <w:lvlText w:val=""/>
      <w:lvlJc w:val="left"/>
      <w:pPr>
        <w:tabs>
          <w:tab w:val="num" w:pos="2880"/>
        </w:tabs>
        <w:ind w:left="2880" w:hanging="360"/>
      </w:pPr>
      <w:rPr>
        <w:rFonts w:ascii="Wingdings" w:hAnsi="Wingdings" w:hint="default"/>
      </w:rPr>
    </w:lvl>
    <w:lvl w:ilvl="4" w:tplc="C0B0ADAA" w:tentative="1">
      <w:start w:val="1"/>
      <w:numFmt w:val="bullet"/>
      <w:lvlText w:val=""/>
      <w:lvlJc w:val="left"/>
      <w:pPr>
        <w:tabs>
          <w:tab w:val="num" w:pos="3600"/>
        </w:tabs>
        <w:ind w:left="3600" w:hanging="360"/>
      </w:pPr>
      <w:rPr>
        <w:rFonts w:ascii="Wingdings" w:hAnsi="Wingdings" w:hint="default"/>
      </w:rPr>
    </w:lvl>
    <w:lvl w:ilvl="5" w:tplc="F13C1750" w:tentative="1">
      <w:start w:val="1"/>
      <w:numFmt w:val="bullet"/>
      <w:lvlText w:val=""/>
      <w:lvlJc w:val="left"/>
      <w:pPr>
        <w:tabs>
          <w:tab w:val="num" w:pos="4320"/>
        </w:tabs>
        <w:ind w:left="4320" w:hanging="360"/>
      </w:pPr>
      <w:rPr>
        <w:rFonts w:ascii="Wingdings" w:hAnsi="Wingdings" w:hint="default"/>
      </w:rPr>
    </w:lvl>
    <w:lvl w:ilvl="6" w:tplc="977ACFE0" w:tentative="1">
      <w:start w:val="1"/>
      <w:numFmt w:val="bullet"/>
      <w:lvlText w:val=""/>
      <w:lvlJc w:val="left"/>
      <w:pPr>
        <w:tabs>
          <w:tab w:val="num" w:pos="5040"/>
        </w:tabs>
        <w:ind w:left="5040" w:hanging="360"/>
      </w:pPr>
      <w:rPr>
        <w:rFonts w:ascii="Wingdings" w:hAnsi="Wingdings" w:hint="default"/>
      </w:rPr>
    </w:lvl>
    <w:lvl w:ilvl="7" w:tplc="4BEE3B86" w:tentative="1">
      <w:start w:val="1"/>
      <w:numFmt w:val="bullet"/>
      <w:lvlText w:val=""/>
      <w:lvlJc w:val="left"/>
      <w:pPr>
        <w:tabs>
          <w:tab w:val="num" w:pos="5760"/>
        </w:tabs>
        <w:ind w:left="5760" w:hanging="360"/>
      </w:pPr>
      <w:rPr>
        <w:rFonts w:ascii="Wingdings" w:hAnsi="Wingdings" w:hint="default"/>
      </w:rPr>
    </w:lvl>
    <w:lvl w:ilvl="8" w:tplc="07022D8A" w:tentative="1">
      <w:start w:val="1"/>
      <w:numFmt w:val="bullet"/>
      <w:lvlText w:val=""/>
      <w:lvlJc w:val="left"/>
      <w:pPr>
        <w:tabs>
          <w:tab w:val="num" w:pos="6480"/>
        </w:tabs>
        <w:ind w:left="6480" w:hanging="360"/>
      </w:pPr>
      <w:rPr>
        <w:rFonts w:ascii="Wingdings" w:hAnsi="Wingdings" w:hint="default"/>
      </w:rPr>
    </w:lvl>
  </w:abstractNum>
  <w:abstractNum w:abstractNumId="5">
    <w:nsid w:val="39DA31E6"/>
    <w:multiLevelType w:val="hybridMultilevel"/>
    <w:tmpl w:val="E1A871A4"/>
    <w:lvl w:ilvl="0" w:tplc="05EEE0CC">
      <w:start w:val="1"/>
      <w:numFmt w:val="bullet"/>
      <w:lvlText w:val=""/>
      <w:lvlJc w:val="left"/>
      <w:pPr>
        <w:tabs>
          <w:tab w:val="num" w:pos="720"/>
        </w:tabs>
        <w:ind w:left="720" w:hanging="360"/>
      </w:pPr>
      <w:rPr>
        <w:rFonts w:ascii="Wingdings" w:hAnsi="Wingdings" w:hint="default"/>
      </w:rPr>
    </w:lvl>
    <w:lvl w:ilvl="1" w:tplc="869CA466" w:tentative="1">
      <w:start w:val="1"/>
      <w:numFmt w:val="bullet"/>
      <w:lvlText w:val=""/>
      <w:lvlJc w:val="left"/>
      <w:pPr>
        <w:tabs>
          <w:tab w:val="num" w:pos="1440"/>
        </w:tabs>
        <w:ind w:left="1440" w:hanging="360"/>
      </w:pPr>
      <w:rPr>
        <w:rFonts w:ascii="Wingdings" w:hAnsi="Wingdings" w:hint="default"/>
      </w:rPr>
    </w:lvl>
    <w:lvl w:ilvl="2" w:tplc="8DE88D0C" w:tentative="1">
      <w:start w:val="1"/>
      <w:numFmt w:val="bullet"/>
      <w:lvlText w:val=""/>
      <w:lvlJc w:val="left"/>
      <w:pPr>
        <w:tabs>
          <w:tab w:val="num" w:pos="2160"/>
        </w:tabs>
        <w:ind w:left="2160" w:hanging="360"/>
      </w:pPr>
      <w:rPr>
        <w:rFonts w:ascii="Wingdings" w:hAnsi="Wingdings" w:hint="default"/>
      </w:rPr>
    </w:lvl>
    <w:lvl w:ilvl="3" w:tplc="7F265EAC" w:tentative="1">
      <w:start w:val="1"/>
      <w:numFmt w:val="bullet"/>
      <w:lvlText w:val=""/>
      <w:lvlJc w:val="left"/>
      <w:pPr>
        <w:tabs>
          <w:tab w:val="num" w:pos="2880"/>
        </w:tabs>
        <w:ind w:left="2880" w:hanging="360"/>
      </w:pPr>
      <w:rPr>
        <w:rFonts w:ascii="Wingdings" w:hAnsi="Wingdings" w:hint="default"/>
      </w:rPr>
    </w:lvl>
    <w:lvl w:ilvl="4" w:tplc="4F165AAE" w:tentative="1">
      <w:start w:val="1"/>
      <w:numFmt w:val="bullet"/>
      <w:lvlText w:val=""/>
      <w:lvlJc w:val="left"/>
      <w:pPr>
        <w:tabs>
          <w:tab w:val="num" w:pos="3600"/>
        </w:tabs>
        <w:ind w:left="3600" w:hanging="360"/>
      </w:pPr>
      <w:rPr>
        <w:rFonts w:ascii="Wingdings" w:hAnsi="Wingdings" w:hint="default"/>
      </w:rPr>
    </w:lvl>
    <w:lvl w:ilvl="5" w:tplc="517684B4" w:tentative="1">
      <w:start w:val="1"/>
      <w:numFmt w:val="bullet"/>
      <w:lvlText w:val=""/>
      <w:lvlJc w:val="left"/>
      <w:pPr>
        <w:tabs>
          <w:tab w:val="num" w:pos="4320"/>
        </w:tabs>
        <w:ind w:left="4320" w:hanging="360"/>
      </w:pPr>
      <w:rPr>
        <w:rFonts w:ascii="Wingdings" w:hAnsi="Wingdings" w:hint="default"/>
      </w:rPr>
    </w:lvl>
    <w:lvl w:ilvl="6" w:tplc="86ECA2B0" w:tentative="1">
      <w:start w:val="1"/>
      <w:numFmt w:val="bullet"/>
      <w:lvlText w:val=""/>
      <w:lvlJc w:val="left"/>
      <w:pPr>
        <w:tabs>
          <w:tab w:val="num" w:pos="5040"/>
        </w:tabs>
        <w:ind w:left="5040" w:hanging="360"/>
      </w:pPr>
      <w:rPr>
        <w:rFonts w:ascii="Wingdings" w:hAnsi="Wingdings" w:hint="default"/>
      </w:rPr>
    </w:lvl>
    <w:lvl w:ilvl="7" w:tplc="AEB02EF8" w:tentative="1">
      <w:start w:val="1"/>
      <w:numFmt w:val="bullet"/>
      <w:lvlText w:val=""/>
      <w:lvlJc w:val="left"/>
      <w:pPr>
        <w:tabs>
          <w:tab w:val="num" w:pos="5760"/>
        </w:tabs>
        <w:ind w:left="5760" w:hanging="360"/>
      </w:pPr>
      <w:rPr>
        <w:rFonts w:ascii="Wingdings" w:hAnsi="Wingdings" w:hint="default"/>
      </w:rPr>
    </w:lvl>
    <w:lvl w:ilvl="8" w:tplc="3D02CF30" w:tentative="1">
      <w:start w:val="1"/>
      <w:numFmt w:val="bullet"/>
      <w:lvlText w:val=""/>
      <w:lvlJc w:val="left"/>
      <w:pPr>
        <w:tabs>
          <w:tab w:val="num" w:pos="6480"/>
        </w:tabs>
        <w:ind w:left="6480" w:hanging="360"/>
      </w:pPr>
      <w:rPr>
        <w:rFonts w:ascii="Wingdings" w:hAnsi="Wingdings" w:hint="default"/>
      </w:rPr>
    </w:lvl>
  </w:abstractNum>
  <w:abstractNum w:abstractNumId="6">
    <w:nsid w:val="40943123"/>
    <w:multiLevelType w:val="hybridMultilevel"/>
    <w:tmpl w:val="A9AE267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5E6D5884"/>
    <w:multiLevelType w:val="hybridMultilevel"/>
    <w:tmpl w:val="F85C8B5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610B2AFC"/>
    <w:multiLevelType w:val="hybridMultilevel"/>
    <w:tmpl w:val="C3F07F5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6C973586"/>
    <w:multiLevelType w:val="hybridMultilevel"/>
    <w:tmpl w:val="FD3EDED8"/>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9"/>
  </w:num>
  <w:num w:numId="4">
    <w:abstractNumId w:val="2"/>
  </w:num>
  <w:num w:numId="5">
    <w:abstractNumId w:val="6"/>
  </w:num>
  <w:num w:numId="6">
    <w:abstractNumId w:val="0"/>
  </w:num>
  <w:num w:numId="7">
    <w:abstractNumId w:val="8"/>
  </w:num>
  <w:num w:numId="8">
    <w:abstractNumId w:val="7"/>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DD2503"/>
    <w:rsid w:val="0012743F"/>
    <w:rsid w:val="001730E1"/>
    <w:rsid w:val="001817DA"/>
    <w:rsid w:val="004A7653"/>
    <w:rsid w:val="005172B0"/>
    <w:rsid w:val="00520443"/>
    <w:rsid w:val="00563D34"/>
    <w:rsid w:val="0057257F"/>
    <w:rsid w:val="00587587"/>
    <w:rsid w:val="00614FF6"/>
    <w:rsid w:val="006D2942"/>
    <w:rsid w:val="00773D99"/>
    <w:rsid w:val="00791F4B"/>
    <w:rsid w:val="00947B7D"/>
    <w:rsid w:val="00A13917"/>
    <w:rsid w:val="00A71534"/>
    <w:rsid w:val="00B075CD"/>
    <w:rsid w:val="00BB236C"/>
    <w:rsid w:val="00CE442A"/>
    <w:rsid w:val="00D12993"/>
    <w:rsid w:val="00DD250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2B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DD2503"/>
    <w:pPr>
      <w:autoSpaceDE w:val="0"/>
      <w:autoSpaceDN w:val="0"/>
      <w:adjustRightInd w:val="0"/>
    </w:pPr>
    <w:rPr>
      <w:rFonts w:ascii="Times New Roman" w:hAnsi="Times New Roman" w:cs="Times New Roman"/>
      <w:color w:val="000000"/>
      <w:sz w:val="24"/>
      <w:szCs w:val="24"/>
    </w:rPr>
  </w:style>
  <w:style w:type="paragraph" w:styleId="Textedebulles">
    <w:name w:val="Balloon Text"/>
    <w:basedOn w:val="Normal"/>
    <w:link w:val="TextedebullesCar"/>
    <w:uiPriority w:val="99"/>
    <w:semiHidden/>
    <w:unhideWhenUsed/>
    <w:rsid w:val="00563D34"/>
    <w:rPr>
      <w:rFonts w:ascii="Tahoma" w:hAnsi="Tahoma" w:cs="Tahoma"/>
      <w:sz w:val="16"/>
      <w:szCs w:val="16"/>
    </w:rPr>
  </w:style>
  <w:style w:type="character" w:customStyle="1" w:styleId="TextedebullesCar">
    <w:name w:val="Texte de bulles Car"/>
    <w:basedOn w:val="Policepardfaut"/>
    <w:link w:val="Textedebulles"/>
    <w:uiPriority w:val="99"/>
    <w:semiHidden/>
    <w:rsid w:val="00563D34"/>
    <w:rPr>
      <w:rFonts w:ascii="Tahoma" w:hAnsi="Tahoma" w:cs="Tahoma"/>
      <w:sz w:val="16"/>
      <w:szCs w:val="16"/>
    </w:rPr>
  </w:style>
  <w:style w:type="paragraph" w:styleId="Paragraphedeliste">
    <w:name w:val="List Paragraph"/>
    <w:basedOn w:val="Normal"/>
    <w:uiPriority w:val="34"/>
    <w:qFormat/>
    <w:rsid w:val="0012743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B19A0-B608-4875-AEC8-EEA14961E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952</Words>
  <Characters>5240</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بكوش ميلود</dc:creator>
  <cp:lastModifiedBy>بكوش ميلود</cp:lastModifiedBy>
  <cp:revision>2</cp:revision>
  <dcterms:created xsi:type="dcterms:W3CDTF">2016-10-22T14:07:00Z</dcterms:created>
  <dcterms:modified xsi:type="dcterms:W3CDTF">2016-10-22T14:07:00Z</dcterms:modified>
</cp:coreProperties>
</file>