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A4D" w:rsidRPr="000925F2" w:rsidRDefault="000925F2" w:rsidP="000925F2">
      <w:pPr>
        <w:jc w:val="center"/>
        <w:rPr>
          <w:rFonts w:ascii="Comic Sans MS" w:hAnsi="Comic Sans MS"/>
          <w:b/>
          <w:sz w:val="20"/>
          <w:szCs w:val="20"/>
        </w:rPr>
      </w:pPr>
      <w:r w:rsidRPr="000925F2">
        <w:rPr>
          <w:rFonts w:ascii="Comic Sans MS" w:hAnsi="Comic Sans MS"/>
          <w:b/>
          <w:sz w:val="20"/>
          <w:szCs w:val="20"/>
        </w:rPr>
        <w:t>FR </w:t>
      </w:r>
      <w:r>
        <w:rPr>
          <w:rFonts w:ascii="Comic Sans MS" w:hAnsi="Comic Sans MS"/>
          <w:b/>
          <w:sz w:val="20"/>
          <w:szCs w:val="20"/>
        </w:rPr>
        <w:t xml:space="preserve">géographie </w:t>
      </w:r>
      <w:r w:rsidRPr="000925F2">
        <w:rPr>
          <w:rFonts w:ascii="Comic Sans MS" w:hAnsi="Comic Sans MS"/>
          <w:b/>
          <w:sz w:val="20"/>
          <w:szCs w:val="20"/>
        </w:rPr>
        <w:t xml:space="preserve">: </w:t>
      </w:r>
      <w:r w:rsidR="0095323F">
        <w:rPr>
          <w:rFonts w:ascii="Comic Sans MS" w:hAnsi="Comic Sans MS"/>
          <w:b/>
          <w:sz w:val="20"/>
          <w:szCs w:val="20"/>
        </w:rPr>
        <w:t>Les dynamiques des périphéries</w:t>
      </w:r>
    </w:p>
    <w:p w:rsidR="000925F2" w:rsidRPr="000925F2" w:rsidRDefault="000925F2" w:rsidP="00D67302">
      <w:pPr>
        <w:pBdr>
          <w:bottom w:val="single" w:sz="4" w:space="1" w:color="auto"/>
        </w:pBdr>
        <w:rPr>
          <w:rFonts w:ascii="Comic Sans MS" w:hAnsi="Comic Sans MS"/>
          <w:i/>
          <w:sz w:val="20"/>
          <w:szCs w:val="20"/>
        </w:rPr>
      </w:pPr>
      <w:r w:rsidRPr="000925F2">
        <w:rPr>
          <w:rFonts w:ascii="Comic Sans MS" w:hAnsi="Comic Sans MS"/>
          <w:i/>
          <w:sz w:val="20"/>
          <w:szCs w:val="20"/>
        </w:rPr>
        <w:t xml:space="preserve">Problématique : </w:t>
      </w:r>
      <w:r w:rsidR="0095323F">
        <w:rPr>
          <w:rFonts w:ascii="Comic Sans MS" w:hAnsi="Comic Sans MS"/>
          <w:i/>
          <w:sz w:val="20"/>
          <w:szCs w:val="20"/>
        </w:rPr>
        <w:t xml:space="preserve">Comment s’individualisent ces périphéries et comment s’intègrent-elles dans la mondialisation ? </w:t>
      </w:r>
    </w:p>
    <w:p w:rsidR="000925F2" w:rsidRDefault="000925F2">
      <w:pPr>
        <w:rPr>
          <w:rFonts w:ascii="Comic Sans MS" w:hAnsi="Comic Sans MS"/>
          <w:b/>
          <w:sz w:val="20"/>
          <w:szCs w:val="20"/>
          <w:u w:val="single"/>
        </w:rPr>
      </w:pPr>
      <w:r w:rsidRPr="000925F2">
        <w:rPr>
          <w:rFonts w:ascii="Comic Sans MS" w:hAnsi="Comic Sans MS"/>
          <w:b/>
          <w:sz w:val="20"/>
          <w:szCs w:val="20"/>
          <w:u w:val="single"/>
        </w:rPr>
        <w:t>Notions :</w:t>
      </w:r>
    </w:p>
    <w:p w:rsidR="0095323F" w:rsidRPr="0095323F" w:rsidRDefault="0095323F">
      <w:pPr>
        <w:rPr>
          <w:rFonts w:ascii="Comic Sans MS" w:hAnsi="Comic Sans MS"/>
          <w:sz w:val="20"/>
          <w:szCs w:val="20"/>
        </w:rPr>
      </w:pPr>
      <w:r w:rsidRPr="0095323F">
        <w:rPr>
          <w:rFonts w:ascii="Comic Sans MS" w:hAnsi="Comic Sans MS"/>
          <w:sz w:val="20"/>
          <w:szCs w:val="20"/>
        </w:rPr>
        <w:t xml:space="preserve">Diaspora : </w:t>
      </w:r>
      <w:r>
        <w:rPr>
          <w:rFonts w:ascii="Comic Sans MS" w:hAnsi="Comic Sans MS"/>
          <w:sz w:val="20"/>
          <w:szCs w:val="20"/>
        </w:rPr>
        <w:t xml:space="preserve">Ensemble des ressortissants d’un Etat dispersé à l’étranger. </w:t>
      </w:r>
    </w:p>
    <w:p w:rsidR="0095323F" w:rsidRDefault="0095323F">
      <w:pPr>
        <w:rPr>
          <w:rFonts w:ascii="Comic Sans MS" w:hAnsi="Comic Sans MS"/>
          <w:sz w:val="20"/>
          <w:szCs w:val="20"/>
        </w:rPr>
      </w:pPr>
      <w:r>
        <w:rPr>
          <w:rFonts w:ascii="Comic Sans MS" w:hAnsi="Comic Sans MS"/>
          <w:sz w:val="20"/>
          <w:szCs w:val="20"/>
        </w:rPr>
        <w:t>NPI : Nouveau Pays Industriel. Etats d’Asie qui a connu un grand décollage industriel dans les années 1960.</w:t>
      </w:r>
    </w:p>
    <w:p w:rsidR="000925F2" w:rsidRDefault="000925F2">
      <w:pPr>
        <w:rPr>
          <w:rFonts w:ascii="Comic Sans MS" w:hAnsi="Comic Sans MS"/>
          <w:sz w:val="20"/>
          <w:szCs w:val="20"/>
        </w:rPr>
      </w:pPr>
      <w:r>
        <w:rPr>
          <w:rFonts w:ascii="Comic Sans MS" w:hAnsi="Comic Sans MS"/>
          <w:sz w:val="20"/>
          <w:szCs w:val="20"/>
        </w:rPr>
        <w:t xml:space="preserve">Réponse à la problématique : </w:t>
      </w:r>
    </w:p>
    <w:p w:rsidR="000925F2" w:rsidRDefault="000925F2">
      <w:pPr>
        <w:rPr>
          <w:rFonts w:ascii="Comic Sans MS" w:hAnsi="Comic Sans MS"/>
          <w:sz w:val="20"/>
          <w:szCs w:val="20"/>
        </w:rPr>
      </w:pPr>
      <w:r>
        <w:rPr>
          <w:rFonts w:ascii="Comic Sans MS" w:hAnsi="Comic Sans MS"/>
          <w:sz w:val="20"/>
          <w:szCs w:val="20"/>
        </w:rPr>
        <w:t xml:space="preserve">I – </w:t>
      </w:r>
      <w:r w:rsidR="0095323F">
        <w:rPr>
          <w:rFonts w:ascii="Comic Sans MS" w:hAnsi="Comic Sans MS"/>
          <w:sz w:val="20"/>
          <w:szCs w:val="20"/>
        </w:rPr>
        <w:t>La diversité des périphéries</w:t>
      </w:r>
    </w:p>
    <w:p w:rsidR="0095323F" w:rsidRDefault="0095323F" w:rsidP="0095323F">
      <w:pPr>
        <w:pStyle w:val="Paragraphedeliste"/>
        <w:numPr>
          <w:ilvl w:val="0"/>
          <w:numId w:val="2"/>
        </w:numPr>
        <w:rPr>
          <w:rFonts w:ascii="Comic Sans MS" w:hAnsi="Comic Sans MS"/>
          <w:sz w:val="20"/>
          <w:szCs w:val="20"/>
        </w:rPr>
      </w:pPr>
      <w:r>
        <w:rPr>
          <w:rFonts w:ascii="Comic Sans MS" w:hAnsi="Comic Sans MS"/>
          <w:sz w:val="20"/>
          <w:szCs w:val="20"/>
        </w:rPr>
        <w:t xml:space="preserve">Les SUDS : ils se différencient par la démographie, le poids de leurs activités économiques et leur développement social comme le montre l’IDH : </w:t>
      </w:r>
    </w:p>
    <w:p w:rsidR="0095323F" w:rsidRDefault="0095323F" w:rsidP="0095323F">
      <w:pPr>
        <w:pStyle w:val="Paragraphedeliste"/>
        <w:rPr>
          <w:rFonts w:ascii="Comic Sans MS" w:hAnsi="Comic Sans MS"/>
          <w:sz w:val="20"/>
          <w:szCs w:val="20"/>
        </w:rPr>
      </w:pPr>
      <w:r>
        <w:rPr>
          <w:rFonts w:ascii="Comic Sans MS" w:hAnsi="Comic Sans MS"/>
          <w:sz w:val="20"/>
          <w:szCs w:val="20"/>
        </w:rPr>
        <w:t>Brésil : 0,774 = 79</w:t>
      </w:r>
      <w:r>
        <w:rPr>
          <w:rFonts w:ascii="Comic Sans MS" w:hAnsi="Comic Sans MS"/>
          <w:sz w:val="20"/>
          <w:szCs w:val="20"/>
          <w:vertAlign w:val="superscript"/>
        </w:rPr>
        <w:t>è</w:t>
      </w:r>
      <w:r>
        <w:rPr>
          <w:rFonts w:ascii="Comic Sans MS" w:hAnsi="Comic Sans MS"/>
          <w:sz w:val="20"/>
          <w:szCs w:val="20"/>
        </w:rPr>
        <w:t xml:space="preserve"> rang mondial</w:t>
      </w:r>
    </w:p>
    <w:p w:rsidR="0095323F" w:rsidRDefault="0095323F" w:rsidP="0095323F">
      <w:pPr>
        <w:pStyle w:val="Paragraphedeliste"/>
        <w:rPr>
          <w:rFonts w:ascii="Comic Sans MS" w:hAnsi="Comic Sans MS"/>
          <w:sz w:val="20"/>
          <w:szCs w:val="20"/>
        </w:rPr>
      </w:pPr>
      <w:r>
        <w:rPr>
          <w:rFonts w:ascii="Comic Sans MS" w:hAnsi="Comic Sans MS"/>
          <w:sz w:val="20"/>
          <w:szCs w:val="20"/>
        </w:rPr>
        <w:t>Ethiopie : 0,435 = 173</w:t>
      </w:r>
      <w:r>
        <w:rPr>
          <w:rFonts w:ascii="Comic Sans MS" w:hAnsi="Comic Sans MS"/>
          <w:sz w:val="20"/>
          <w:szCs w:val="20"/>
          <w:vertAlign w:val="superscript"/>
        </w:rPr>
        <w:t>è</w:t>
      </w:r>
      <w:r>
        <w:rPr>
          <w:rFonts w:ascii="Comic Sans MS" w:hAnsi="Comic Sans MS"/>
          <w:sz w:val="20"/>
          <w:szCs w:val="20"/>
        </w:rPr>
        <w:t xml:space="preserve"> rang mondial</w:t>
      </w:r>
    </w:p>
    <w:p w:rsidR="0095323F" w:rsidRDefault="0095323F" w:rsidP="0095323F">
      <w:pPr>
        <w:pStyle w:val="Paragraphedeliste"/>
        <w:numPr>
          <w:ilvl w:val="0"/>
          <w:numId w:val="2"/>
        </w:numPr>
        <w:rPr>
          <w:rFonts w:ascii="Comic Sans MS" w:hAnsi="Comic Sans MS"/>
          <w:sz w:val="20"/>
          <w:szCs w:val="20"/>
        </w:rPr>
      </w:pPr>
      <w:r>
        <w:rPr>
          <w:rFonts w:ascii="Comic Sans MS" w:hAnsi="Comic Sans MS"/>
          <w:sz w:val="20"/>
          <w:szCs w:val="20"/>
        </w:rPr>
        <w:t xml:space="preserve">2 grands groupes : </w:t>
      </w:r>
    </w:p>
    <w:p w:rsidR="0095323F" w:rsidRDefault="0095323F" w:rsidP="0095323F">
      <w:pPr>
        <w:pStyle w:val="Paragraphedeliste"/>
        <w:numPr>
          <w:ilvl w:val="0"/>
          <w:numId w:val="3"/>
        </w:numPr>
        <w:rPr>
          <w:rFonts w:ascii="Comic Sans MS" w:hAnsi="Comic Sans MS"/>
          <w:sz w:val="20"/>
          <w:szCs w:val="20"/>
        </w:rPr>
      </w:pPr>
      <w:r>
        <w:rPr>
          <w:rFonts w:ascii="Comic Sans MS" w:hAnsi="Comic Sans MS"/>
          <w:sz w:val="20"/>
          <w:szCs w:val="20"/>
        </w:rPr>
        <w:t>Périphéries dynamiques ou pays Emergents dont ceux qu’on identifie sous le terme BRICS ont un énorme potentiel de développement grâce à leur démographie (1,4 Milliards de chinois ; 1,2 Milliards d’indiens). Les NPI</w:t>
      </w:r>
      <w:r w:rsidR="00700B4B">
        <w:rPr>
          <w:rFonts w:ascii="Comic Sans MS" w:hAnsi="Comic Sans MS"/>
          <w:sz w:val="20"/>
          <w:szCs w:val="20"/>
        </w:rPr>
        <w:t xml:space="preserve"> (Indonésie, Vietnam), les Jaguars d’Amérique latine  (Mexique) ou les PRP (Pays rentiers du Pétrole) en Arabie Saoudite. </w:t>
      </w:r>
    </w:p>
    <w:p w:rsidR="00700B4B" w:rsidRDefault="00700B4B" w:rsidP="0095323F">
      <w:pPr>
        <w:pStyle w:val="Paragraphedeliste"/>
        <w:numPr>
          <w:ilvl w:val="0"/>
          <w:numId w:val="3"/>
        </w:numPr>
        <w:rPr>
          <w:rFonts w:ascii="Comic Sans MS" w:hAnsi="Comic Sans MS"/>
          <w:sz w:val="20"/>
          <w:szCs w:val="20"/>
        </w:rPr>
      </w:pPr>
      <w:r>
        <w:rPr>
          <w:rFonts w:ascii="Comic Sans MS" w:hAnsi="Comic Sans MS"/>
          <w:sz w:val="20"/>
          <w:szCs w:val="20"/>
        </w:rPr>
        <w:t xml:space="preserve">Des périphéries en difficulté : les 49 PMA (Pays les Moins Avancés sont principalement situés en Afrique. </w:t>
      </w:r>
    </w:p>
    <w:p w:rsidR="00700B4B" w:rsidRDefault="00700B4B" w:rsidP="00700B4B">
      <w:pPr>
        <w:pStyle w:val="Paragraphedeliste"/>
        <w:numPr>
          <w:ilvl w:val="0"/>
          <w:numId w:val="2"/>
        </w:numPr>
        <w:rPr>
          <w:rFonts w:ascii="Comic Sans MS" w:hAnsi="Comic Sans MS"/>
          <w:sz w:val="20"/>
          <w:szCs w:val="20"/>
        </w:rPr>
      </w:pPr>
      <w:r>
        <w:rPr>
          <w:rFonts w:ascii="Comic Sans MS" w:hAnsi="Comic Sans MS"/>
          <w:sz w:val="20"/>
          <w:szCs w:val="20"/>
        </w:rPr>
        <w:t xml:space="preserve">Toutes ces périphéries ont fait d’énormes progrès ces 30 dernières années. Leur PIB croît et il est bien supérieur à celui des Pays du Nord depuis 2010. </w:t>
      </w:r>
    </w:p>
    <w:p w:rsidR="00700B4B" w:rsidRDefault="00700B4B" w:rsidP="00700B4B">
      <w:pPr>
        <w:pStyle w:val="Paragraphedeliste"/>
        <w:rPr>
          <w:rFonts w:ascii="Comic Sans MS" w:hAnsi="Comic Sans MS"/>
          <w:sz w:val="20"/>
          <w:szCs w:val="20"/>
        </w:rPr>
      </w:pPr>
      <w:r>
        <w:rPr>
          <w:rFonts w:ascii="Comic Sans MS" w:hAnsi="Comic Sans MS"/>
          <w:sz w:val="20"/>
          <w:szCs w:val="20"/>
        </w:rPr>
        <w:t xml:space="preserve">MAIS des difficultés demeurent dans leur développement et leur économie, la corruption (Amérique latine), la criminalité (Mexique) pourrissent leur situation au niveau mondial. </w:t>
      </w:r>
    </w:p>
    <w:p w:rsidR="00700B4B" w:rsidRDefault="00700B4B" w:rsidP="00700B4B">
      <w:pPr>
        <w:pStyle w:val="Paragraphedeliste"/>
        <w:numPr>
          <w:ilvl w:val="0"/>
          <w:numId w:val="2"/>
        </w:numPr>
        <w:rPr>
          <w:rFonts w:ascii="Comic Sans MS" w:hAnsi="Comic Sans MS"/>
          <w:sz w:val="20"/>
          <w:szCs w:val="20"/>
        </w:rPr>
      </w:pPr>
      <w:r>
        <w:rPr>
          <w:rFonts w:ascii="Comic Sans MS" w:hAnsi="Comic Sans MS"/>
          <w:sz w:val="20"/>
          <w:szCs w:val="20"/>
        </w:rPr>
        <w:t>Elles s’intègrent inégalement dans le monde :</w:t>
      </w:r>
    </w:p>
    <w:p w:rsidR="00700B4B" w:rsidRDefault="00700B4B" w:rsidP="00700B4B">
      <w:pPr>
        <w:ind w:left="708"/>
        <w:rPr>
          <w:rFonts w:ascii="Comic Sans MS" w:hAnsi="Comic Sans MS"/>
          <w:sz w:val="20"/>
          <w:szCs w:val="20"/>
        </w:rPr>
      </w:pPr>
      <w:r>
        <w:rPr>
          <w:rFonts w:ascii="Comic Sans MS" w:hAnsi="Comic Sans MS"/>
          <w:sz w:val="20"/>
          <w:szCs w:val="20"/>
        </w:rPr>
        <w:t xml:space="preserve">Développement des relations entre les Pays du Nord et les Pays du Sud alors que les PMA ne s’intègrent pas dans la mondialisation aussi facilement. On peut prendre le cas du Sénégal (Situation de la leçon) : sa croissance économique n’absorbe pas le gain de population et le retard de développement est flagrant (manque d’équipements, pauvreté, </w:t>
      </w:r>
      <w:proofErr w:type="spellStart"/>
      <w:r>
        <w:rPr>
          <w:rFonts w:ascii="Comic Sans MS" w:hAnsi="Comic Sans MS"/>
          <w:sz w:val="20"/>
          <w:szCs w:val="20"/>
        </w:rPr>
        <w:t>etc</w:t>
      </w:r>
      <w:proofErr w:type="spellEnd"/>
      <w:r>
        <w:rPr>
          <w:rFonts w:ascii="Comic Sans MS" w:hAnsi="Comic Sans MS"/>
          <w:sz w:val="20"/>
          <w:szCs w:val="20"/>
        </w:rPr>
        <w:t xml:space="preserve">). Certains secteurs accusent une tradition étouffante pour l’économie (culture vivrière) et les ruraux se dirigent dorénavant vers les villes. </w:t>
      </w:r>
    </w:p>
    <w:p w:rsidR="00700B4B" w:rsidRDefault="00700B4B" w:rsidP="00700B4B">
      <w:pPr>
        <w:ind w:left="708"/>
        <w:rPr>
          <w:rFonts w:ascii="Comic Sans MS" w:hAnsi="Comic Sans MS"/>
          <w:sz w:val="20"/>
          <w:szCs w:val="20"/>
        </w:rPr>
      </w:pPr>
      <w:r>
        <w:rPr>
          <w:rFonts w:ascii="Comic Sans MS" w:hAnsi="Comic Sans MS"/>
          <w:sz w:val="20"/>
          <w:szCs w:val="20"/>
        </w:rPr>
        <w:t xml:space="preserve">En revanche certains pays comme le Sénégal </w:t>
      </w:r>
      <w:proofErr w:type="gramStart"/>
      <w:r>
        <w:rPr>
          <w:rFonts w:ascii="Comic Sans MS" w:hAnsi="Comic Sans MS"/>
          <w:sz w:val="20"/>
          <w:szCs w:val="20"/>
        </w:rPr>
        <w:t>montre</w:t>
      </w:r>
      <w:proofErr w:type="gramEnd"/>
      <w:r>
        <w:rPr>
          <w:rFonts w:ascii="Comic Sans MS" w:hAnsi="Comic Sans MS"/>
          <w:sz w:val="20"/>
          <w:szCs w:val="20"/>
        </w:rPr>
        <w:t xml:space="preserve"> un dynamique des villes comme Dakar grâce à son tourisme. Il faut relativiser sa situation car elle bénéficie des aides internationales. </w:t>
      </w:r>
    </w:p>
    <w:p w:rsidR="00700B4B" w:rsidRDefault="00700B4B" w:rsidP="00700B4B">
      <w:pPr>
        <w:ind w:left="708"/>
        <w:rPr>
          <w:rFonts w:ascii="Comic Sans MS" w:hAnsi="Comic Sans MS"/>
          <w:sz w:val="20"/>
          <w:szCs w:val="20"/>
        </w:rPr>
      </w:pPr>
    </w:p>
    <w:p w:rsidR="00700B4B" w:rsidRDefault="00700B4B" w:rsidP="00700B4B">
      <w:pPr>
        <w:rPr>
          <w:rFonts w:ascii="Comic Sans MS" w:hAnsi="Comic Sans MS"/>
          <w:sz w:val="20"/>
          <w:szCs w:val="20"/>
        </w:rPr>
      </w:pPr>
      <w:r>
        <w:rPr>
          <w:rFonts w:ascii="Comic Sans MS" w:hAnsi="Comic Sans MS"/>
          <w:sz w:val="20"/>
          <w:szCs w:val="20"/>
        </w:rPr>
        <w:lastRenderedPageBreak/>
        <w:t>II – Des dynamiques inégales </w:t>
      </w:r>
    </w:p>
    <w:p w:rsidR="00700B4B" w:rsidRDefault="00586C24" w:rsidP="00700B4B">
      <w:pPr>
        <w:pStyle w:val="Paragraphedeliste"/>
        <w:numPr>
          <w:ilvl w:val="0"/>
          <w:numId w:val="2"/>
        </w:numPr>
        <w:rPr>
          <w:rFonts w:ascii="Comic Sans MS" w:hAnsi="Comic Sans MS"/>
          <w:sz w:val="20"/>
          <w:szCs w:val="20"/>
        </w:rPr>
      </w:pPr>
      <w:r>
        <w:rPr>
          <w:rFonts w:ascii="Comic Sans MS" w:hAnsi="Comic Sans MS"/>
          <w:sz w:val="20"/>
          <w:szCs w:val="20"/>
        </w:rPr>
        <w:t xml:space="preserve">Des pays émergents à l’économie diversifiée : La main d’œuvre, les ressources (minerais, </w:t>
      </w:r>
      <w:proofErr w:type="spellStart"/>
      <w:r>
        <w:rPr>
          <w:rFonts w:ascii="Comic Sans MS" w:hAnsi="Comic Sans MS"/>
          <w:sz w:val="20"/>
          <w:szCs w:val="20"/>
        </w:rPr>
        <w:t>etc</w:t>
      </w:r>
      <w:proofErr w:type="spellEnd"/>
      <w:r>
        <w:rPr>
          <w:rFonts w:ascii="Comic Sans MS" w:hAnsi="Comic Sans MS"/>
          <w:sz w:val="20"/>
          <w:szCs w:val="20"/>
        </w:rPr>
        <w:t xml:space="preserve">), les IDE et le dynamisme des diasporas sont des avantages locaux.  Ils améliorent leurs infrastructures et s’orientent vers l’industrie de pointe, les services. Ils s’intègrent dans la mondialisation et tentent de peser un poids dans les relations internationales. </w:t>
      </w:r>
    </w:p>
    <w:p w:rsidR="00586C24" w:rsidRDefault="00586C24" w:rsidP="00700B4B">
      <w:pPr>
        <w:pStyle w:val="Paragraphedeliste"/>
        <w:numPr>
          <w:ilvl w:val="0"/>
          <w:numId w:val="2"/>
        </w:numPr>
        <w:rPr>
          <w:rFonts w:ascii="Comic Sans MS" w:hAnsi="Comic Sans MS"/>
          <w:sz w:val="20"/>
          <w:szCs w:val="20"/>
        </w:rPr>
      </w:pPr>
      <w:r>
        <w:rPr>
          <w:rFonts w:ascii="Comic Sans MS" w:hAnsi="Comic Sans MS"/>
          <w:sz w:val="20"/>
          <w:szCs w:val="20"/>
        </w:rPr>
        <w:t xml:space="preserve">Ces périphéries émergentes connaissent des inégalités socio-spatiales : le niveau de vie et meilleur et la classe moyenne se développe, mais le nombre des grandes fortunes se multiplie alors qu’une partie des populations reste en-dessous du seuil de pauvreté. </w:t>
      </w:r>
    </w:p>
    <w:p w:rsidR="00586C24" w:rsidRDefault="00586C24" w:rsidP="00586C24">
      <w:pPr>
        <w:pStyle w:val="Paragraphedeliste"/>
        <w:numPr>
          <w:ilvl w:val="0"/>
          <w:numId w:val="2"/>
        </w:numPr>
        <w:rPr>
          <w:rFonts w:ascii="Comic Sans MS" w:hAnsi="Comic Sans MS"/>
          <w:sz w:val="20"/>
          <w:szCs w:val="20"/>
        </w:rPr>
      </w:pPr>
      <w:r>
        <w:rPr>
          <w:rFonts w:ascii="Comic Sans MS" w:hAnsi="Comic Sans MS"/>
          <w:sz w:val="20"/>
          <w:szCs w:val="20"/>
        </w:rPr>
        <w:t>Les PMA ont des difficultés économiques et sociales : l’agriculture est ralentie par le manque de moyens mécaniques. Les secteurs favorables à ces pays sont l’extraction minière, l’agriculture de plantation, l’agroalimentaire. MAIS, ils appartiennent souvent à des FTN étrangères. Elles s’intègrent mal dans la mondialisation, commercent peu avec l’étranger et ont besoin des aides internationales (ONG, ONU). La faim, les maladies font que ces pays n’arrivent pas à avancer.</w:t>
      </w:r>
    </w:p>
    <w:p w:rsidR="00586C24" w:rsidRDefault="00586C24" w:rsidP="00586C24">
      <w:pPr>
        <w:pStyle w:val="Paragraphedeliste"/>
        <w:numPr>
          <w:ilvl w:val="0"/>
          <w:numId w:val="2"/>
        </w:numPr>
        <w:rPr>
          <w:rFonts w:ascii="Comic Sans MS" w:hAnsi="Comic Sans MS"/>
          <w:sz w:val="20"/>
          <w:szCs w:val="20"/>
        </w:rPr>
      </w:pPr>
      <w:r>
        <w:rPr>
          <w:rFonts w:ascii="Comic Sans MS" w:hAnsi="Comic Sans MS"/>
          <w:sz w:val="20"/>
          <w:szCs w:val="20"/>
        </w:rPr>
        <w:t xml:space="preserve">Mais, certaines initiatives locales permettent à quelques PMA de se transformer. Le tourisme et l’industrie peuvent aider à une meilleure dynamique. </w:t>
      </w:r>
    </w:p>
    <w:p w:rsidR="00D67302" w:rsidRDefault="00D67302" w:rsidP="00D67302">
      <w:pPr>
        <w:rPr>
          <w:rFonts w:ascii="Comic Sans MS" w:hAnsi="Comic Sans MS"/>
          <w:sz w:val="20"/>
          <w:szCs w:val="20"/>
        </w:rPr>
      </w:pPr>
      <w:r>
        <w:rPr>
          <w:rFonts w:ascii="Comic Sans MS" w:hAnsi="Comic Sans MS"/>
          <w:sz w:val="20"/>
          <w:szCs w:val="20"/>
        </w:rPr>
        <w:t xml:space="preserve">CARTE : </w:t>
      </w:r>
      <w:r w:rsidR="00586C24">
        <w:rPr>
          <w:rFonts w:ascii="Comic Sans MS" w:hAnsi="Comic Sans MS"/>
          <w:sz w:val="20"/>
          <w:szCs w:val="20"/>
        </w:rPr>
        <w:t xml:space="preserve">Des périphéries inégalement intégrées dans la mondialisation. </w:t>
      </w:r>
      <w:bookmarkStart w:id="0" w:name="_GoBack"/>
      <w:bookmarkEnd w:id="0"/>
    </w:p>
    <w:p w:rsidR="00586C24" w:rsidRDefault="00586C24" w:rsidP="00D67302">
      <w:pPr>
        <w:rPr>
          <w:rFonts w:ascii="Comic Sans MS" w:hAnsi="Comic Sans MS"/>
          <w:sz w:val="20"/>
          <w:szCs w:val="20"/>
        </w:rPr>
      </w:pPr>
      <w:r>
        <w:rPr>
          <w:noProof/>
          <w:lang w:eastAsia="fr-FR"/>
        </w:rPr>
        <w:drawing>
          <wp:inline distT="0" distB="0" distL="0" distR="0">
            <wp:extent cx="5400675" cy="3533676"/>
            <wp:effectExtent l="0" t="0" r="0" b="0"/>
            <wp:docPr id="4" name="Image 4"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Afficher l'image d'orig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98889" cy="3532508"/>
                    </a:xfrm>
                    <a:prstGeom prst="rect">
                      <a:avLst/>
                    </a:prstGeom>
                    <a:noFill/>
                    <a:ln>
                      <a:noFill/>
                    </a:ln>
                  </pic:spPr>
                </pic:pic>
              </a:graphicData>
            </a:graphic>
          </wp:inline>
        </w:drawing>
      </w:r>
    </w:p>
    <w:p w:rsidR="000925F2" w:rsidRPr="000925F2" w:rsidRDefault="00D67302">
      <w:pPr>
        <w:rPr>
          <w:rFonts w:ascii="Comic Sans MS" w:hAnsi="Comic Sans MS"/>
          <w:sz w:val="20"/>
          <w:szCs w:val="20"/>
        </w:rPr>
      </w:pPr>
      <w:r>
        <w:rPr>
          <w:noProof/>
          <w:lang w:eastAsia="fr-FR"/>
        </w:rPr>
        <mc:AlternateContent>
          <mc:Choice Requires="wps">
            <w:drawing>
              <wp:anchor distT="0" distB="0" distL="114300" distR="114300" simplePos="0" relativeHeight="251660288" behindDoc="0" locked="0" layoutInCell="1" allowOverlap="1">
                <wp:simplePos x="0" y="0"/>
                <wp:positionH relativeFrom="column">
                  <wp:posOffset>-109221</wp:posOffset>
                </wp:positionH>
                <wp:positionV relativeFrom="paragraph">
                  <wp:posOffset>2630805</wp:posOffset>
                </wp:positionV>
                <wp:extent cx="4657725" cy="295275"/>
                <wp:effectExtent l="0" t="0" r="9525" b="9525"/>
                <wp:wrapNone/>
                <wp:docPr id="3" name="Rectangle 3"/>
                <wp:cNvGraphicFramePr/>
                <a:graphic xmlns:a="http://schemas.openxmlformats.org/drawingml/2006/main">
                  <a:graphicData uri="http://schemas.microsoft.com/office/word/2010/wordprocessingShape">
                    <wps:wsp>
                      <wps:cNvSpPr/>
                      <wps:spPr>
                        <a:xfrm>
                          <a:off x="0" y="0"/>
                          <a:ext cx="4657725" cy="2952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8.6pt;margin-top:207.15pt;width:366.7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" fillcolor="white [3212]" stroked="f" strokeweight="2pt"/>
            </w:pict>
          </mc:Fallback>
        </mc:AlternateContent>
      </w:r>
      <w:r>
        <w:rPr>
          <w:noProof/>
          <w:lang w:eastAsia="fr-FR"/>
        </w:rPr>
        <mc:AlternateContent>
          <mc:Choice Requires="wps">
            <w:drawing>
              <wp:anchor distT="0" distB="0" distL="114300" distR="114300" simplePos="0" relativeHeight="251659264" behindDoc="0" locked="0" layoutInCell="1" allowOverlap="1">
                <wp:simplePos x="0" y="0"/>
                <wp:positionH relativeFrom="column">
                  <wp:posOffset>-4445</wp:posOffset>
                </wp:positionH>
                <wp:positionV relativeFrom="paragraph">
                  <wp:posOffset>2649855</wp:posOffset>
                </wp:positionV>
                <wp:extent cx="2800350" cy="276225"/>
                <wp:effectExtent l="0" t="0" r="0" b="0"/>
                <wp:wrapNone/>
                <wp:docPr id="2" name="Rectangle 2"/>
                <wp:cNvGraphicFramePr/>
                <a:graphic xmlns:a="http://schemas.openxmlformats.org/drawingml/2006/main">
                  <a:graphicData uri="http://schemas.microsoft.com/office/word/2010/wordprocessingShape">
                    <wps:wsp>
                      <wps:cNvSpPr/>
                      <wps:spPr>
                        <a:xfrm>
                          <a:off x="0" y="0"/>
                          <a:ext cx="2800350" cy="2762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margin-left:-.35pt;margin-top:208.65pt;width:220.5pt;height:21.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" filled="f" stroked="f" strokeweight="2pt"/>
            </w:pict>
          </mc:Fallback>
        </mc:AlternateContent>
      </w:r>
    </w:p>
    <w:sectPr w:rsidR="000925F2" w:rsidRPr="000925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10139"/>
    <w:multiLevelType w:val="hybridMultilevel"/>
    <w:tmpl w:val="EC7846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6AD668B3"/>
    <w:multiLevelType w:val="hybridMultilevel"/>
    <w:tmpl w:val="DE48ED12"/>
    <w:lvl w:ilvl="0" w:tplc="C2CE0940">
      <w:numFmt w:val="bullet"/>
      <w:lvlText w:val="-"/>
      <w:lvlJc w:val="left"/>
      <w:pPr>
        <w:ind w:left="1080" w:hanging="360"/>
      </w:pPr>
      <w:rPr>
        <w:rFonts w:ascii="Comic Sans MS" w:eastAsiaTheme="minorHAnsi" w:hAnsi="Comic Sans MS"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6FFF5AAE"/>
    <w:multiLevelType w:val="hybridMultilevel"/>
    <w:tmpl w:val="2F4831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5F2"/>
    <w:rsid w:val="000925F2"/>
    <w:rsid w:val="00217416"/>
    <w:rsid w:val="00586C24"/>
    <w:rsid w:val="00700B4B"/>
    <w:rsid w:val="00753A4D"/>
    <w:rsid w:val="0095323F"/>
    <w:rsid w:val="00D40FAD"/>
    <w:rsid w:val="00D673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40FAD"/>
    <w:pPr>
      <w:ind w:left="720"/>
      <w:contextualSpacing/>
    </w:pPr>
  </w:style>
  <w:style w:type="paragraph" w:styleId="Textedebulles">
    <w:name w:val="Balloon Text"/>
    <w:basedOn w:val="Normal"/>
    <w:link w:val="TextedebullesCar"/>
    <w:uiPriority w:val="99"/>
    <w:semiHidden/>
    <w:unhideWhenUsed/>
    <w:rsid w:val="00D6730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673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40FAD"/>
    <w:pPr>
      <w:ind w:left="720"/>
      <w:contextualSpacing/>
    </w:pPr>
  </w:style>
  <w:style w:type="paragraph" w:styleId="Textedebulles">
    <w:name w:val="Balloon Text"/>
    <w:basedOn w:val="Normal"/>
    <w:link w:val="TextedebullesCar"/>
    <w:uiPriority w:val="99"/>
    <w:semiHidden/>
    <w:unhideWhenUsed/>
    <w:rsid w:val="00D6730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673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92B157-004F-4BC2-9A66-21DEB2502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539</Words>
  <Characters>2969</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Nolnol</dc:creator>
  <cp:lastModifiedBy>Nolnol</cp:lastModifiedBy>
  <cp:revision>2</cp:revision>
  <dcterms:created xsi:type="dcterms:W3CDTF">2016-06-06T14:47:00Z</dcterms:created>
  <dcterms:modified xsi:type="dcterms:W3CDTF">2016-06-06T14:47:00Z</dcterms:modified>
</cp:coreProperties>
</file>