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4D" w:rsidRPr="000925F2" w:rsidRDefault="000925F2" w:rsidP="000925F2">
      <w:pPr>
        <w:jc w:val="center"/>
        <w:rPr>
          <w:rFonts w:ascii="Comic Sans MS" w:hAnsi="Comic Sans MS"/>
          <w:b/>
          <w:sz w:val="20"/>
          <w:szCs w:val="20"/>
        </w:rPr>
      </w:pPr>
      <w:bookmarkStart w:id="0" w:name="_GoBack"/>
      <w:bookmarkEnd w:id="0"/>
      <w:r w:rsidRPr="000925F2">
        <w:rPr>
          <w:rFonts w:ascii="Comic Sans MS" w:hAnsi="Comic Sans MS"/>
          <w:b/>
          <w:sz w:val="20"/>
          <w:szCs w:val="20"/>
        </w:rPr>
        <w:t>FR </w:t>
      </w:r>
      <w:r>
        <w:rPr>
          <w:rFonts w:ascii="Comic Sans MS" w:hAnsi="Comic Sans MS"/>
          <w:b/>
          <w:sz w:val="20"/>
          <w:szCs w:val="20"/>
        </w:rPr>
        <w:t xml:space="preserve">géographie </w:t>
      </w:r>
      <w:r w:rsidRPr="000925F2">
        <w:rPr>
          <w:rFonts w:ascii="Comic Sans MS" w:hAnsi="Comic Sans MS"/>
          <w:b/>
          <w:sz w:val="20"/>
          <w:szCs w:val="20"/>
        </w:rPr>
        <w:t>: Pôles et aires de puissance</w:t>
      </w:r>
    </w:p>
    <w:p w:rsidR="000925F2" w:rsidRPr="000925F2" w:rsidRDefault="000925F2" w:rsidP="00D67302">
      <w:pPr>
        <w:pBdr>
          <w:bottom w:val="single" w:sz="4" w:space="1" w:color="auto"/>
        </w:pBdr>
        <w:rPr>
          <w:rFonts w:ascii="Comic Sans MS" w:hAnsi="Comic Sans MS"/>
          <w:i/>
          <w:sz w:val="20"/>
          <w:szCs w:val="20"/>
        </w:rPr>
      </w:pPr>
      <w:r w:rsidRPr="000925F2">
        <w:rPr>
          <w:rFonts w:ascii="Comic Sans MS" w:hAnsi="Comic Sans MS"/>
          <w:i/>
          <w:sz w:val="20"/>
          <w:szCs w:val="20"/>
        </w:rPr>
        <w:t xml:space="preserve">Problématique : Quels sont ces pôles et aires de puissance ? Quels sont leur rôle et organisation ? </w:t>
      </w:r>
    </w:p>
    <w:p w:rsidR="000925F2" w:rsidRPr="000925F2" w:rsidRDefault="000925F2">
      <w:pPr>
        <w:rPr>
          <w:rFonts w:ascii="Comic Sans MS" w:hAnsi="Comic Sans MS"/>
          <w:b/>
          <w:sz w:val="20"/>
          <w:szCs w:val="20"/>
          <w:u w:val="single"/>
        </w:rPr>
      </w:pPr>
      <w:r w:rsidRPr="000925F2">
        <w:rPr>
          <w:rFonts w:ascii="Comic Sans MS" w:hAnsi="Comic Sans MS"/>
          <w:b/>
          <w:sz w:val="20"/>
          <w:szCs w:val="20"/>
          <w:u w:val="single"/>
        </w:rPr>
        <w:t>Notions :</w:t>
      </w:r>
    </w:p>
    <w:p w:rsidR="000925F2" w:rsidRPr="000925F2" w:rsidRDefault="000925F2" w:rsidP="000925F2">
      <w:pPr>
        <w:rPr>
          <w:rFonts w:ascii="Comic Sans MS" w:hAnsi="Comic Sans MS"/>
          <w:sz w:val="20"/>
          <w:szCs w:val="20"/>
        </w:rPr>
      </w:pPr>
      <w:r w:rsidRPr="000925F2">
        <w:rPr>
          <w:rFonts w:ascii="Comic Sans MS" w:hAnsi="Comic Sans MS"/>
          <w:sz w:val="20"/>
          <w:szCs w:val="20"/>
        </w:rPr>
        <w:t>Aire de puissance : espace géographique composé d’états ou de régions où se concentrent des pouvoirs de dé</w:t>
      </w:r>
    </w:p>
    <w:p w:rsidR="000925F2" w:rsidRPr="000925F2" w:rsidRDefault="000925F2" w:rsidP="000925F2">
      <w:pPr>
        <w:rPr>
          <w:rFonts w:ascii="Comic Sans MS" w:hAnsi="Comic Sans MS"/>
          <w:sz w:val="20"/>
          <w:szCs w:val="20"/>
        </w:rPr>
      </w:pPr>
      <w:r w:rsidRPr="000925F2">
        <w:rPr>
          <w:rFonts w:ascii="Comic Sans MS" w:hAnsi="Comic Sans MS"/>
          <w:sz w:val="20"/>
          <w:szCs w:val="20"/>
        </w:rPr>
        <w:t xml:space="preserve">G 20 : Groupe constitué par les 20 états les plus puissants. </w:t>
      </w:r>
    </w:p>
    <w:p w:rsidR="000925F2" w:rsidRPr="000925F2" w:rsidRDefault="000925F2" w:rsidP="000925F2">
      <w:pPr>
        <w:rPr>
          <w:rFonts w:ascii="Comic Sans MS" w:hAnsi="Comic Sans MS"/>
          <w:sz w:val="20"/>
          <w:szCs w:val="20"/>
        </w:rPr>
      </w:pPr>
      <w:r w:rsidRPr="000925F2">
        <w:rPr>
          <w:rFonts w:ascii="Comic Sans MS" w:hAnsi="Comic Sans MS"/>
          <w:sz w:val="20"/>
          <w:szCs w:val="20"/>
        </w:rPr>
        <w:t xml:space="preserve">Interface : zone de contact entre des espaces de différentes natures (maritimes ou terrestres, aériens, </w:t>
      </w:r>
      <w:proofErr w:type="spellStart"/>
      <w:r w:rsidRPr="000925F2">
        <w:rPr>
          <w:rFonts w:ascii="Comic Sans MS" w:hAnsi="Comic Sans MS"/>
          <w:sz w:val="20"/>
          <w:szCs w:val="20"/>
        </w:rPr>
        <w:t>etc</w:t>
      </w:r>
      <w:proofErr w:type="spellEnd"/>
      <w:r w:rsidRPr="000925F2">
        <w:rPr>
          <w:rFonts w:ascii="Comic Sans MS" w:hAnsi="Comic Sans MS"/>
          <w:sz w:val="20"/>
          <w:szCs w:val="20"/>
        </w:rPr>
        <w:t>)</w:t>
      </w:r>
    </w:p>
    <w:p w:rsidR="000925F2" w:rsidRPr="000925F2" w:rsidRDefault="000925F2">
      <w:pPr>
        <w:rPr>
          <w:rFonts w:ascii="Comic Sans MS" w:hAnsi="Comic Sans MS"/>
          <w:sz w:val="20"/>
          <w:szCs w:val="20"/>
        </w:rPr>
      </w:pPr>
      <w:r w:rsidRPr="000925F2">
        <w:rPr>
          <w:rFonts w:ascii="Comic Sans MS" w:hAnsi="Comic Sans MS"/>
          <w:sz w:val="20"/>
          <w:szCs w:val="20"/>
        </w:rPr>
        <w:t>Pôle de puissance : centre exerçant à plusieurs échelles une attraction sur un espace donné et autour duquel s’organisent les activités, flux et échanges.</w:t>
      </w:r>
    </w:p>
    <w:p w:rsidR="000925F2" w:rsidRPr="000925F2" w:rsidRDefault="000925F2">
      <w:pPr>
        <w:rPr>
          <w:rFonts w:ascii="Comic Sans MS" w:hAnsi="Comic Sans MS"/>
          <w:sz w:val="20"/>
          <w:szCs w:val="20"/>
        </w:rPr>
      </w:pPr>
      <w:r w:rsidRPr="000925F2">
        <w:rPr>
          <w:rFonts w:ascii="Comic Sans MS" w:hAnsi="Comic Sans MS"/>
          <w:sz w:val="20"/>
          <w:szCs w:val="20"/>
        </w:rPr>
        <w:t xml:space="preserve">Métropole : ville dans laquelle se concentrent des fonctions importantes qui lui donnent un </w:t>
      </w:r>
      <w:proofErr w:type="gramStart"/>
      <w:r w:rsidRPr="000925F2">
        <w:rPr>
          <w:rFonts w:ascii="Comic Sans MS" w:hAnsi="Comic Sans MS"/>
          <w:sz w:val="20"/>
          <w:szCs w:val="20"/>
        </w:rPr>
        <w:t>pouvoir</w:t>
      </w:r>
      <w:proofErr w:type="gramEnd"/>
      <w:r w:rsidRPr="000925F2">
        <w:rPr>
          <w:rFonts w:ascii="Comic Sans MS" w:hAnsi="Comic Sans MS"/>
          <w:sz w:val="20"/>
          <w:szCs w:val="20"/>
        </w:rPr>
        <w:t xml:space="preserve"> de commandement (décisions). </w:t>
      </w:r>
    </w:p>
    <w:p w:rsidR="000925F2" w:rsidRPr="000925F2" w:rsidRDefault="000925F2">
      <w:pPr>
        <w:rPr>
          <w:rFonts w:ascii="Comic Sans MS" w:hAnsi="Comic Sans MS"/>
          <w:sz w:val="20"/>
          <w:szCs w:val="20"/>
        </w:rPr>
      </w:pPr>
      <w:r w:rsidRPr="000925F2">
        <w:rPr>
          <w:rFonts w:ascii="Comic Sans MS" w:hAnsi="Comic Sans MS"/>
          <w:sz w:val="20"/>
          <w:szCs w:val="20"/>
        </w:rPr>
        <w:t xml:space="preserve">Ville-monde ; grande ville dont le rayonnement mondial résidé dans ses activités de haut niveau, dirigeant des réseaux relationnels entre les personnes physiques et les personnes morales (entreprises telles les FTN) de rang mondial. </w:t>
      </w:r>
    </w:p>
    <w:p w:rsidR="000925F2" w:rsidRDefault="000925F2">
      <w:pPr>
        <w:rPr>
          <w:rFonts w:ascii="Comic Sans MS" w:hAnsi="Comic Sans MS"/>
          <w:sz w:val="20"/>
          <w:szCs w:val="20"/>
        </w:rPr>
      </w:pPr>
      <w:r>
        <w:rPr>
          <w:rFonts w:ascii="Comic Sans MS" w:hAnsi="Comic Sans MS"/>
          <w:sz w:val="20"/>
          <w:szCs w:val="20"/>
        </w:rPr>
        <w:t xml:space="preserve">Réponse à la problématique : </w:t>
      </w:r>
    </w:p>
    <w:p w:rsidR="000925F2" w:rsidRDefault="000925F2">
      <w:pPr>
        <w:rPr>
          <w:rFonts w:ascii="Comic Sans MS" w:hAnsi="Comic Sans MS"/>
          <w:sz w:val="20"/>
          <w:szCs w:val="20"/>
        </w:rPr>
      </w:pPr>
      <w:r>
        <w:rPr>
          <w:rFonts w:ascii="Comic Sans MS" w:hAnsi="Comic Sans MS"/>
          <w:sz w:val="20"/>
          <w:szCs w:val="20"/>
        </w:rPr>
        <w:t>I – Les différents espaces de la puissance</w:t>
      </w:r>
    </w:p>
    <w:p w:rsidR="000925F2" w:rsidRPr="00D40FAD" w:rsidRDefault="000925F2" w:rsidP="00D40FAD">
      <w:pPr>
        <w:pStyle w:val="Paragraphedeliste"/>
        <w:numPr>
          <w:ilvl w:val="0"/>
          <w:numId w:val="1"/>
        </w:numPr>
        <w:rPr>
          <w:rFonts w:ascii="Comic Sans MS" w:hAnsi="Comic Sans MS"/>
          <w:sz w:val="20"/>
          <w:szCs w:val="20"/>
        </w:rPr>
      </w:pPr>
      <w:r w:rsidRPr="00D40FAD">
        <w:rPr>
          <w:rFonts w:ascii="Comic Sans MS" w:hAnsi="Comic Sans MS"/>
          <w:sz w:val="20"/>
          <w:szCs w:val="20"/>
        </w:rPr>
        <w:t>Les aires de puissances dessinent un anneau autour de la Terre. Elles représentent 20% de la population mondiale, 75% de la production industrielle</w:t>
      </w:r>
      <w:r w:rsidR="00D40FAD" w:rsidRPr="00D40FAD">
        <w:rPr>
          <w:rFonts w:ascii="Comic Sans MS" w:hAnsi="Comic Sans MS"/>
          <w:sz w:val="20"/>
          <w:szCs w:val="20"/>
        </w:rPr>
        <w:t xml:space="preserve">, 75% d’exportations, 80% des IDE (Investissements directs étrangers), 85% des dépenses consacrées à la recherche (et développement). </w:t>
      </w:r>
    </w:p>
    <w:p w:rsidR="00D40FAD" w:rsidRDefault="00D40FAD">
      <w:pPr>
        <w:rPr>
          <w:rFonts w:ascii="Comic Sans MS" w:hAnsi="Comic Sans MS"/>
          <w:sz w:val="20"/>
          <w:szCs w:val="20"/>
        </w:rPr>
      </w:pPr>
      <w:r>
        <w:rPr>
          <w:rFonts w:ascii="Comic Sans MS" w:hAnsi="Comic Sans MS"/>
          <w:sz w:val="20"/>
          <w:szCs w:val="20"/>
        </w:rPr>
        <w:t xml:space="preserve">U.S.A = seule aire de puissance complète (politique, économique, diplomatique, militaire et culturelle), c’est pourquoi elle joue un rôle planétaire dans tous ces domaines. </w:t>
      </w:r>
    </w:p>
    <w:p w:rsidR="00D40FAD" w:rsidRDefault="00D40FAD">
      <w:pPr>
        <w:rPr>
          <w:rFonts w:ascii="Comic Sans MS" w:hAnsi="Comic Sans MS"/>
          <w:sz w:val="20"/>
          <w:szCs w:val="20"/>
        </w:rPr>
      </w:pPr>
      <w:r>
        <w:rPr>
          <w:rFonts w:ascii="Comic Sans MS" w:hAnsi="Comic Sans MS"/>
          <w:sz w:val="20"/>
          <w:szCs w:val="20"/>
        </w:rPr>
        <w:t xml:space="preserve">Union Européenne = aire de puissance incomplète, morcelée sans unité politique. </w:t>
      </w:r>
    </w:p>
    <w:p w:rsidR="00D40FAD" w:rsidRDefault="00D40FAD">
      <w:pPr>
        <w:rPr>
          <w:rFonts w:ascii="Comic Sans MS" w:hAnsi="Comic Sans MS"/>
          <w:sz w:val="20"/>
          <w:szCs w:val="20"/>
        </w:rPr>
      </w:pPr>
      <w:r>
        <w:rPr>
          <w:rFonts w:ascii="Comic Sans MS" w:hAnsi="Comic Sans MS"/>
          <w:sz w:val="20"/>
          <w:szCs w:val="20"/>
        </w:rPr>
        <w:t xml:space="preserve">Japon= pas d’influence politique ou militaire. </w:t>
      </w:r>
    </w:p>
    <w:p w:rsidR="00D40FAD" w:rsidRPr="00D40FAD" w:rsidRDefault="00D40FAD" w:rsidP="00D40FAD">
      <w:pPr>
        <w:pStyle w:val="Paragraphedeliste"/>
        <w:numPr>
          <w:ilvl w:val="0"/>
          <w:numId w:val="1"/>
        </w:numPr>
        <w:rPr>
          <w:rFonts w:ascii="Comic Sans MS" w:hAnsi="Comic Sans MS"/>
          <w:sz w:val="20"/>
          <w:szCs w:val="20"/>
        </w:rPr>
      </w:pPr>
      <w:r w:rsidRPr="00D40FAD">
        <w:rPr>
          <w:rFonts w:ascii="Comic Sans MS" w:hAnsi="Comic Sans MS"/>
          <w:sz w:val="20"/>
          <w:szCs w:val="20"/>
        </w:rPr>
        <w:t xml:space="preserve">Seules certaines régions de ces aires ont un poids mondial : </w:t>
      </w:r>
    </w:p>
    <w:p w:rsidR="00D40FAD" w:rsidRPr="000925F2" w:rsidRDefault="00D40FAD">
      <w:pPr>
        <w:rPr>
          <w:rFonts w:ascii="Comic Sans MS" w:hAnsi="Comic Sans MS"/>
          <w:sz w:val="20"/>
          <w:szCs w:val="20"/>
        </w:rPr>
      </w:pPr>
      <w:r>
        <w:rPr>
          <w:rFonts w:ascii="Comic Sans MS" w:hAnsi="Comic Sans MS"/>
          <w:sz w:val="20"/>
          <w:szCs w:val="20"/>
        </w:rPr>
        <w:t>U.S.A : Nord-Est, Californie</w:t>
      </w:r>
    </w:p>
    <w:p w:rsidR="000925F2" w:rsidRDefault="00D40FAD" w:rsidP="00D40FAD">
      <w:pPr>
        <w:rPr>
          <w:rFonts w:ascii="Comic Sans MS" w:hAnsi="Comic Sans MS"/>
          <w:sz w:val="20"/>
          <w:szCs w:val="20"/>
        </w:rPr>
      </w:pPr>
      <w:r>
        <w:rPr>
          <w:rFonts w:ascii="Comic Sans MS" w:hAnsi="Comic Sans MS"/>
          <w:sz w:val="20"/>
          <w:szCs w:val="20"/>
        </w:rPr>
        <w:t>Europe : dorsale européenne (Londres, Berlin, Milan)</w:t>
      </w:r>
    </w:p>
    <w:p w:rsidR="00D40FAD" w:rsidRDefault="00D40FAD" w:rsidP="00D40FAD">
      <w:pPr>
        <w:rPr>
          <w:rFonts w:ascii="Comic Sans MS" w:hAnsi="Comic Sans MS"/>
          <w:sz w:val="20"/>
          <w:szCs w:val="20"/>
        </w:rPr>
      </w:pPr>
      <w:r>
        <w:rPr>
          <w:rFonts w:ascii="Comic Sans MS" w:hAnsi="Comic Sans MS"/>
          <w:sz w:val="20"/>
          <w:szCs w:val="20"/>
        </w:rPr>
        <w:t>Asie : façade chinoise et japonaise</w:t>
      </w:r>
    </w:p>
    <w:p w:rsidR="00D40FAD" w:rsidRPr="00D40FAD" w:rsidRDefault="00D40FAD" w:rsidP="00D40FAD">
      <w:pPr>
        <w:pStyle w:val="Paragraphedeliste"/>
        <w:numPr>
          <w:ilvl w:val="0"/>
          <w:numId w:val="1"/>
        </w:numPr>
        <w:rPr>
          <w:rFonts w:ascii="Comic Sans MS" w:hAnsi="Comic Sans MS"/>
          <w:sz w:val="20"/>
          <w:szCs w:val="20"/>
        </w:rPr>
      </w:pPr>
      <w:r w:rsidRPr="00D40FAD">
        <w:rPr>
          <w:rFonts w:ascii="Comic Sans MS" w:hAnsi="Comic Sans MS"/>
          <w:sz w:val="20"/>
          <w:szCs w:val="20"/>
        </w:rPr>
        <w:lastRenderedPageBreak/>
        <w:t>Elles sont toutes situées sur des interfaces (</w:t>
      </w:r>
      <w:proofErr w:type="spellStart"/>
      <w:r w:rsidRPr="00D40FAD">
        <w:rPr>
          <w:rFonts w:ascii="Comic Sans MS" w:hAnsi="Comic Sans MS"/>
          <w:sz w:val="20"/>
          <w:szCs w:val="20"/>
        </w:rPr>
        <w:t>cf</w:t>
      </w:r>
      <w:proofErr w:type="spellEnd"/>
      <w:r w:rsidRPr="00D40FAD">
        <w:rPr>
          <w:rFonts w:ascii="Comic Sans MS" w:hAnsi="Comic Sans MS"/>
          <w:sz w:val="20"/>
          <w:szCs w:val="20"/>
        </w:rPr>
        <w:t xml:space="preserve"> </w:t>
      </w:r>
      <w:proofErr w:type="spellStart"/>
      <w:r w:rsidRPr="00D40FAD">
        <w:rPr>
          <w:rFonts w:ascii="Comic Sans MS" w:hAnsi="Comic Sans MS"/>
          <w:sz w:val="20"/>
          <w:szCs w:val="20"/>
        </w:rPr>
        <w:t>def</w:t>
      </w:r>
      <w:proofErr w:type="spellEnd"/>
      <w:r w:rsidRPr="00D40FAD">
        <w:rPr>
          <w:rFonts w:ascii="Comic Sans MS" w:hAnsi="Comic Sans MS"/>
          <w:sz w:val="20"/>
          <w:szCs w:val="20"/>
        </w:rPr>
        <w:t xml:space="preserve">). Des HUB permettent une bonne circulation des personnes et marchandises, constituant ainsi des réseaux. </w:t>
      </w:r>
    </w:p>
    <w:p w:rsidR="00D40FAD" w:rsidRDefault="00D40FAD" w:rsidP="00D40FAD">
      <w:pPr>
        <w:rPr>
          <w:rFonts w:ascii="Comic Sans MS" w:hAnsi="Comic Sans MS"/>
          <w:sz w:val="20"/>
          <w:szCs w:val="20"/>
        </w:rPr>
      </w:pPr>
      <w:r>
        <w:rPr>
          <w:rFonts w:ascii="Comic Sans MS" w:hAnsi="Comic Sans MS"/>
          <w:sz w:val="20"/>
          <w:szCs w:val="20"/>
        </w:rPr>
        <w:t>II – Les aspects de la puissance</w:t>
      </w:r>
    </w:p>
    <w:p w:rsidR="00D40FAD" w:rsidRDefault="00D40FAD" w:rsidP="00D40FAD">
      <w:pPr>
        <w:pStyle w:val="Paragraphedeliste"/>
        <w:numPr>
          <w:ilvl w:val="0"/>
          <w:numId w:val="1"/>
        </w:numPr>
        <w:rPr>
          <w:rFonts w:ascii="Comic Sans MS" w:hAnsi="Comic Sans MS"/>
          <w:sz w:val="20"/>
          <w:szCs w:val="20"/>
        </w:rPr>
      </w:pPr>
      <w:r>
        <w:rPr>
          <w:rFonts w:ascii="Comic Sans MS" w:hAnsi="Comic Sans MS"/>
          <w:sz w:val="20"/>
          <w:szCs w:val="20"/>
        </w:rPr>
        <w:t>Les activités sont stratégiques ou de haut-niveau. Ils concentrent :</w:t>
      </w:r>
    </w:p>
    <w:p w:rsidR="00D40FAD" w:rsidRDefault="00D40FAD" w:rsidP="00D40FAD">
      <w:pPr>
        <w:rPr>
          <w:rFonts w:ascii="Comic Sans MS" w:hAnsi="Comic Sans MS"/>
          <w:sz w:val="20"/>
          <w:szCs w:val="20"/>
        </w:rPr>
      </w:pPr>
      <w:r>
        <w:rPr>
          <w:rFonts w:ascii="Comic Sans MS" w:hAnsi="Comic Sans MS"/>
          <w:sz w:val="20"/>
          <w:szCs w:val="20"/>
        </w:rPr>
        <w:t>Les sièges sociaux des FTN (gouvernance économique), la gouvernance financière (bourses, Banque Mondiale, FMI), la gouvernance diplomatique (ONU à NY) et militaire. Parmi ces activités on compte la création artistique</w:t>
      </w:r>
      <w:r w:rsidR="00D67302">
        <w:rPr>
          <w:rFonts w:ascii="Comic Sans MS" w:hAnsi="Comic Sans MS"/>
          <w:sz w:val="20"/>
          <w:szCs w:val="20"/>
        </w:rPr>
        <w:t xml:space="preserve"> et intellectuelle, </w:t>
      </w:r>
      <w:r>
        <w:rPr>
          <w:rFonts w:ascii="Comic Sans MS" w:hAnsi="Comic Sans MS"/>
          <w:sz w:val="20"/>
          <w:szCs w:val="20"/>
        </w:rPr>
        <w:t>la recherche pour le développement (</w:t>
      </w:r>
      <w:r w:rsidR="00D67302">
        <w:rPr>
          <w:rFonts w:ascii="Comic Sans MS" w:hAnsi="Comic Sans MS"/>
          <w:sz w:val="20"/>
          <w:szCs w:val="20"/>
        </w:rPr>
        <w:t xml:space="preserve">Service que l’on trouve dans toutes les grandes firmes Transnationales). </w:t>
      </w:r>
    </w:p>
    <w:p w:rsidR="00D67302" w:rsidRDefault="00D67302" w:rsidP="00D40FAD">
      <w:pPr>
        <w:rPr>
          <w:rFonts w:ascii="Comic Sans MS" w:hAnsi="Comic Sans MS"/>
          <w:sz w:val="20"/>
          <w:szCs w:val="20"/>
        </w:rPr>
      </w:pPr>
      <w:r>
        <w:rPr>
          <w:rFonts w:ascii="Comic Sans MS" w:hAnsi="Comic Sans MS"/>
          <w:sz w:val="20"/>
          <w:szCs w:val="20"/>
        </w:rPr>
        <w:t>Les produits high-tech sont nombreux (Aéronautique à Toulouse, armement, informatique). Ces pôles de puissance échangent marchandises, capitaux (grâce à la logistique)</w:t>
      </w:r>
    </w:p>
    <w:p w:rsidR="00D67302" w:rsidRDefault="00D67302" w:rsidP="00D67302">
      <w:pPr>
        <w:pStyle w:val="Paragraphedeliste"/>
        <w:numPr>
          <w:ilvl w:val="0"/>
          <w:numId w:val="1"/>
        </w:numPr>
        <w:rPr>
          <w:rFonts w:ascii="Comic Sans MS" w:hAnsi="Comic Sans MS"/>
          <w:sz w:val="20"/>
          <w:szCs w:val="20"/>
        </w:rPr>
      </w:pPr>
      <w:r>
        <w:rPr>
          <w:rFonts w:ascii="Comic Sans MS" w:hAnsi="Comic Sans MS"/>
          <w:sz w:val="20"/>
          <w:szCs w:val="20"/>
        </w:rPr>
        <w:t>Richesses et développement.</w:t>
      </w:r>
    </w:p>
    <w:p w:rsidR="00D67302" w:rsidRDefault="00D67302" w:rsidP="00D67302">
      <w:pPr>
        <w:rPr>
          <w:rFonts w:ascii="Comic Sans MS" w:hAnsi="Comic Sans MS"/>
          <w:sz w:val="20"/>
          <w:szCs w:val="20"/>
        </w:rPr>
      </w:pPr>
      <w:r>
        <w:rPr>
          <w:rFonts w:ascii="Comic Sans MS" w:hAnsi="Comic Sans MS"/>
          <w:sz w:val="20"/>
          <w:szCs w:val="20"/>
        </w:rPr>
        <w:t xml:space="preserve">Ils boostent les périphéries par leur transfert de main d’œuvre, leurs investissements, la délocalisation de certaines entreprises (division internationale du travail). </w:t>
      </w:r>
    </w:p>
    <w:p w:rsidR="00D67302" w:rsidRDefault="00D67302" w:rsidP="00D67302">
      <w:pPr>
        <w:pStyle w:val="Paragraphedeliste"/>
        <w:numPr>
          <w:ilvl w:val="0"/>
          <w:numId w:val="1"/>
        </w:numPr>
        <w:rPr>
          <w:rFonts w:ascii="Comic Sans MS" w:hAnsi="Comic Sans MS"/>
          <w:sz w:val="20"/>
          <w:szCs w:val="20"/>
        </w:rPr>
      </w:pPr>
      <w:r>
        <w:rPr>
          <w:rFonts w:ascii="Comic Sans MS" w:hAnsi="Comic Sans MS"/>
          <w:sz w:val="20"/>
          <w:szCs w:val="20"/>
        </w:rPr>
        <w:t xml:space="preserve">Mais, ils connaissent certaines difficultés : </w:t>
      </w:r>
    </w:p>
    <w:p w:rsidR="00D67302" w:rsidRDefault="00D67302" w:rsidP="00D67302">
      <w:pPr>
        <w:rPr>
          <w:rFonts w:ascii="Comic Sans MS" w:hAnsi="Comic Sans MS"/>
          <w:sz w:val="20"/>
          <w:szCs w:val="20"/>
        </w:rPr>
      </w:pPr>
      <w:r>
        <w:rPr>
          <w:rFonts w:ascii="Comic Sans MS" w:hAnsi="Comic Sans MS"/>
          <w:sz w:val="20"/>
          <w:szCs w:val="20"/>
        </w:rPr>
        <w:t>Vieillissement des populations, coûts de production élevés, nouvelle pauvreté. De cette dernière naissent de nouveaux pôles de puissance comme en Asie et au Moyen Orient ou encore en Amérique du Sud.</w:t>
      </w:r>
    </w:p>
    <w:p w:rsidR="00D67302" w:rsidRDefault="00D67302" w:rsidP="00D67302">
      <w:pPr>
        <w:rPr>
          <w:rFonts w:ascii="Comic Sans MS" w:hAnsi="Comic Sans MS"/>
          <w:sz w:val="20"/>
          <w:szCs w:val="20"/>
        </w:rPr>
      </w:pPr>
      <w:r>
        <w:rPr>
          <w:rFonts w:ascii="Comic Sans MS" w:hAnsi="Comic Sans MS"/>
          <w:sz w:val="20"/>
          <w:szCs w:val="20"/>
        </w:rPr>
        <w:t xml:space="preserve">On est parti du G7 pour le G8 alors qu’actuellement on compte 20 grandes puissances dans le monde. </w:t>
      </w:r>
    </w:p>
    <w:p w:rsidR="00D67302" w:rsidRDefault="00D67302" w:rsidP="00D67302">
      <w:pPr>
        <w:rPr>
          <w:rFonts w:ascii="Comic Sans MS" w:hAnsi="Comic Sans MS"/>
          <w:sz w:val="20"/>
          <w:szCs w:val="20"/>
        </w:rPr>
      </w:pPr>
      <w:r>
        <w:rPr>
          <w:rFonts w:ascii="Comic Sans MS" w:hAnsi="Comic Sans MS"/>
          <w:sz w:val="20"/>
          <w:szCs w:val="20"/>
        </w:rPr>
        <w:t>CARTE : Pôles et aires de puissance dans le monde</w:t>
      </w:r>
    </w:p>
    <w:p w:rsidR="000925F2" w:rsidRPr="000925F2" w:rsidRDefault="00D67302">
      <w:pPr>
        <w:rPr>
          <w:rFonts w:ascii="Comic Sans MS" w:hAnsi="Comic Sans MS"/>
          <w:sz w:val="20"/>
          <w:szCs w:val="20"/>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-109221</wp:posOffset>
                </wp:positionH>
                <wp:positionV relativeFrom="paragraph">
                  <wp:posOffset>2630805</wp:posOffset>
                </wp:positionV>
                <wp:extent cx="4657725" cy="295275"/>
                <wp:effectExtent l="0" t="0" r="9525" b="9525"/>
                <wp:wrapNone/>
                <wp:docPr id="3" name="Rectangle 3"/>
                <wp:cNvGraphicFramePr/>
                <a:graphic xmlns:a="http://schemas.openxmlformats.org/drawingml/2006/main">
                  <a:graphicData uri="http://schemas.microsoft.com/office/word/2010/wordprocessingShape">
                    <wps:wsp>
                      <wps:cNvSpPr/>
                      <wps:spPr>
                        <a:xfrm>
                          <a:off x="0" y="0"/>
                          <a:ext cx="465772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6pt;margin-top:207.15pt;width:366.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" fillcolor="white [3212]" stroked="f" strokeweight="2pt"/>
            </w:pict>
          </mc:Fallback>
        </mc:AlternateContent>
      </w: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2649855</wp:posOffset>
                </wp:positionV>
                <wp:extent cx="2800350" cy="276225"/>
                <wp:effectExtent l="0" t="0" r="0" b="0"/>
                <wp:wrapNone/>
                <wp:docPr id="2" name="Rectangle 2"/>
                <wp:cNvGraphicFramePr/>
                <a:graphic xmlns:a="http://schemas.openxmlformats.org/drawingml/2006/main">
                  <a:graphicData uri="http://schemas.microsoft.com/office/word/2010/wordprocessingShape">
                    <wps:wsp>
                      <wps:cNvSpPr/>
                      <wps:spPr>
                        <a:xfrm>
                          <a:off x="0" y="0"/>
                          <a:ext cx="280035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35pt;margin-top:208.65pt;width:220.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" filled="f" stroked="f" strokeweight="2pt"/>
            </w:pict>
          </mc:Fallback>
        </mc:AlternateContent>
      </w:r>
      <w:r>
        <w:rPr>
          <w:noProof/>
          <w:lang w:eastAsia="fr-FR"/>
        </w:rPr>
        <w:drawing>
          <wp:inline distT="0" distB="0" distL="0" distR="0">
            <wp:extent cx="4557183" cy="2819757"/>
            <wp:effectExtent l="0" t="0" r="0" b="0"/>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9864" cy="2821416"/>
                    </a:xfrm>
                    <a:prstGeom prst="rect">
                      <a:avLst/>
                    </a:prstGeom>
                    <a:noFill/>
                    <a:ln>
                      <a:noFill/>
                    </a:ln>
                  </pic:spPr>
                </pic:pic>
              </a:graphicData>
            </a:graphic>
          </wp:inline>
        </w:drawing>
      </w:r>
    </w:p>
    <w:sectPr w:rsidR="000925F2" w:rsidRPr="00092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F5AAE"/>
    <w:multiLevelType w:val="hybridMultilevel"/>
    <w:tmpl w:val="2F48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F2"/>
    <w:rsid w:val="000925F2"/>
    <w:rsid w:val="00217416"/>
    <w:rsid w:val="00753A4D"/>
    <w:rsid w:val="00D40FAD"/>
    <w:rsid w:val="00D67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FAD"/>
    <w:pPr>
      <w:ind w:left="720"/>
      <w:contextualSpacing/>
    </w:pPr>
  </w:style>
  <w:style w:type="paragraph" w:styleId="Textedebulles">
    <w:name w:val="Balloon Text"/>
    <w:basedOn w:val="Normal"/>
    <w:link w:val="TextedebullesCar"/>
    <w:uiPriority w:val="99"/>
    <w:semiHidden/>
    <w:unhideWhenUsed/>
    <w:rsid w:val="00D67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FAD"/>
    <w:pPr>
      <w:ind w:left="720"/>
      <w:contextualSpacing/>
    </w:pPr>
  </w:style>
  <w:style w:type="paragraph" w:styleId="Textedebulles">
    <w:name w:val="Balloon Text"/>
    <w:basedOn w:val="Normal"/>
    <w:link w:val="TextedebullesCar"/>
    <w:uiPriority w:val="99"/>
    <w:semiHidden/>
    <w:unhideWhenUsed/>
    <w:rsid w:val="00D673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Nolnol</dc:creator>
  <cp:lastModifiedBy>Nolnol</cp:lastModifiedBy>
  <cp:revision>2</cp:revision>
  <dcterms:created xsi:type="dcterms:W3CDTF">2016-06-06T14:18:00Z</dcterms:created>
  <dcterms:modified xsi:type="dcterms:W3CDTF">2016-06-06T14:18:00Z</dcterms:modified>
</cp:coreProperties>
</file>