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sz w:val="28"/>
          <w:szCs w:val="28"/>
          <w:u w:val="single"/>
        </w:rPr>
      </w:pPr>
      <w:r>
        <w:rPr>
          <w:rFonts w:cs="Arial" w:ascii="Arial" w:hAnsi="Arial"/>
          <w:sz w:val="28"/>
          <w:szCs w:val="28"/>
          <w:u w:val="single"/>
        </w:rPr>
        <w:t>Texte Jobert –la consécration républicaine du néo-libéralisme</w:t>
      </w:r>
    </w:p>
    <w:p>
      <w:pPr>
        <w:pStyle w:val="Normal"/>
        <w:jc w:val="center"/>
        <w:rPr>
          <w:rFonts w:ascii="Arial" w:hAnsi="Arial" w:cs="Arial"/>
          <w:sz w:val="28"/>
          <w:szCs w:val="28"/>
          <w:u w:val="single"/>
        </w:rPr>
      </w:pPr>
      <w:r>
        <w:rPr>
          <w:rFonts w:cs="Arial" w:ascii="Arial" w:hAnsi="Arial"/>
          <w:sz w:val="28"/>
          <w:szCs w:val="28"/>
          <w:u w:val="single"/>
        </w:rPr>
      </w:r>
    </w:p>
    <w:p>
      <w:pPr>
        <w:pStyle w:val="Normal"/>
        <w:rPr>
          <w:rFonts w:ascii="Cambria" w:hAnsi="Cambria"/>
          <w:sz w:val="24"/>
          <w:szCs w:val="24"/>
        </w:rPr>
      </w:pPr>
      <w:r>
        <w:rPr>
          <w:rFonts w:ascii="Cambria" w:hAnsi="Cambria"/>
          <w:sz w:val="24"/>
          <w:szCs w:val="24"/>
        </w:rPr>
        <w:t>Les années 70 marquent un tournant en termes de politiques économiques en Europe, le cas français ne fait pas exception. Alors que la planification à la française était un modèle attractif à la fin de la seconde guerre mondiale, 20 après le système ne fait plus recette. Il va donc y avoir un débat pour savoir quel est le meilleur modèle à adopter.</w:t>
      </w:r>
    </w:p>
    <w:p>
      <w:pPr>
        <w:pStyle w:val="Normal"/>
        <w:rPr>
          <w:rFonts w:ascii="Cambria" w:hAnsi="Cambria"/>
          <w:sz w:val="24"/>
          <w:szCs w:val="24"/>
        </w:rPr>
      </w:pPr>
      <w:r>
        <w:rPr>
          <w:rFonts w:ascii="Cambria" w:hAnsi="Cambria"/>
          <w:b/>
          <w:sz w:val="24"/>
          <w:szCs w:val="24"/>
        </w:rPr>
        <w:t>Hypothèse</w:t>
      </w:r>
      <w:r>
        <w:rPr>
          <w:rFonts w:ascii="Cambria" w:hAnsi="Cambria"/>
          <w:sz w:val="24"/>
          <w:szCs w:val="24"/>
        </w:rPr>
        <w:t> : l’évolution intellectuelle vers le néo-libéralisme va être le stade ultime d’une « grande invasion » par l’élite de la haute fonction publique des centres de pouvoir économique. Une élite qui veut fonder sa légitimité en réinterprétant la solidarité Républicaine, notamment au profit des idées néo-libérales.</w:t>
      </w:r>
    </w:p>
    <w:p>
      <w:pPr>
        <w:pStyle w:val="Normal"/>
        <w:rPr>
          <w:rFonts w:ascii="Cambria" w:hAnsi="Cambria"/>
          <w:sz w:val="24"/>
          <w:szCs w:val="24"/>
        </w:rPr>
      </w:pPr>
      <w:r>
        <w:rPr>
          <w:rFonts w:ascii="Cambria" w:hAnsi="Cambria"/>
          <w:sz w:val="24"/>
          <w:szCs w:val="24"/>
        </w:rPr>
        <w:t>1981= échec de la relance sous les socialistes &gt; renforce l’idée d’un changement (liée à l’affaiblissement du paradigme keynésien) &gt; 1983 rigueur comme « modernisation » sous couvert d’intégration européenne (réponse à l’essoufflement keynésien)</w:t>
      </w:r>
    </w:p>
    <w:p>
      <w:pPr>
        <w:pStyle w:val="Normal"/>
        <w:rPr>
          <w:rFonts w:ascii="Cambria" w:hAnsi="Cambria"/>
          <w:sz w:val="24"/>
          <w:szCs w:val="24"/>
        </w:rPr>
      </w:pPr>
      <w:r>
        <w:rPr>
          <w:rFonts w:ascii="Cambria" w:hAnsi="Cambria"/>
          <w:sz w:val="24"/>
          <w:szCs w:val="24"/>
        </w:rPr>
        <w:t>Conception doctrinaire : évolution du champ intellectuel français dans les années 1970-80, avec notamment le retrait des « planistes »(en faveur des plans quinquennaux, cqfd) au profit des économistes (Minc, Aron), influences anglo-saxones, critiques théorico-pratiques de l’État-providence.</w:t>
      </w:r>
    </w:p>
    <w:p>
      <w:pPr>
        <w:pStyle w:val="Spip"/>
        <w:shd w:val="clear" w:color="auto" w:fill="FFFFFF"/>
        <w:spacing w:lineRule="atLeast" w:line="302" w:beforeAutospacing="0" w:before="0" w:afterAutospacing="0" w:after="225"/>
        <w:rPr>
          <w:rFonts w:ascii="Cambria" w:hAnsi="Cambria" w:cs="Arial"/>
          <w:color w:val="000000"/>
          <w:sz w:val="24"/>
          <w:szCs w:val="24"/>
        </w:rPr>
      </w:pPr>
      <w:r>
        <w:rPr>
          <w:rFonts w:ascii="Cambria" w:hAnsi="Cambria"/>
          <w:sz w:val="24"/>
          <w:szCs w:val="24"/>
        </w:rPr>
        <w:t xml:space="preserve">Exemple de Pierre Rosanvallon &gt; Etat en triple-crise &gt; moins d’Etat pour s’adapter au </w:t>
      </w:r>
      <w:r>
        <w:rPr>
          <w:rFonts w:ascii="Cambria" w:hAnsi="Cambria"/>
          <w:color w:val="000000"/>
          <w:sz w:val="24"/>
          <w:szCs w:val="24"/>
        </w:rPr>
        <w:t xml:space="preserve">marché = </w:t>
      </w:r>
      <w:r>
        <w:rPr>
          <w:rFonts w:cs="Arial" w:ascii="Cambria" w:hAnsi="Cambria"/>
          <w:color w:val="000000"/>
          <w:sz w:val="24"/>
          <w:szCs w:val="24"/>
        </w:rPr>
        <w:t>En 1981, Pierre Rosanvallon (</w:t>
      </w:r>
      <w:r>
        <w:rPr>
          <w:rFonts w:cs="Arial" w:ascii="Cambria" w:hAnsi="Cambria"/>
          <w:i/>
          <w:iCs/>
          <w:color w:val="000000"/>
          <w:sz w:val="24"/>
          <w:szCs w:val="24"/>
        </w:rPr>
        <w:t>La crise de l’État providence</w:t>
      </w:r>
      <w:r>
        <w:rPr>
          <w:rFonts w:cs="Arial" w:ascii="Cambria" w:hAnsi="Cambria"/>
          <w:color w:val="000000"/>
          <w:sz w:val="24"/>
          <w:szCs w:val="24"/>
        </w:rPr>
        <w:t>) met en avant, pour la France, le constat d’une triple crise :</w:t>
      </w:r>
    </w:p>
    <w:p>
      <w:pPr>
        <w:pStyle w:val="Normal"/>
        <w:numPr>
          <w:ilvl w:val="0"/>
          <w:numId w:val="1"/>
        </w:numPr>
        <w:shd w:val="clear" w:color="auto" w:fill="FFFFFF"/>
        <w:spacing w:lineRule="atLeast" w:line="302" w:beforeAutospacing="1" w:afterAutospacing="1"/>
        <w:ind w:left="0" w:hanging="360"/>
        <w:rPr>
          <w:rFonts w:ascii="Cambria" w:hAnsi="Cambria" w:eastAsia="Times New Roman" w:cs="Arial"/>
          <w:color w:val="000000"/>
          <w:sz w:val="24"/>
          <w:szCs w:val="24"/>
          <w:lang w:eastAsia="fr-FR"/>
        </w:rPr>
      </w:pPr>
      <w:r>
        <w:rPr>
          <w:rFonts w:eastAsia="Times New Roman" w:cs="Arial" w:ascii="Cambria" w:hAnsi="Cambria"/>
          <w:color w:val="000000"/>
          <w:sz w:val="24"/>
          <w:szCs w:val="24"/>
          <w:lang w:eastAsia="fr-FR"/>
        </w:rPr>
        <w:t>une crise financière : la fin de la forte croissance des Trente Glorieuses (1945-1973) remet en cause le mode de financement de la Sécurité sociale en surenchérissant le coût du travail. Dans le même temps, la prise en charge sociale et économique des victimes de la récession accroît les dépenses ;</w:t>
      </w:r>
    </w:p>
    <w:p>
      <w:pPr>
        <w:pStyle w:val="Normal"/>
        <w:numPr>
          <w:ilvl w:val="0"/>
          <w:numId w:val="1"/>
        </w:numPr>
        <w:shd w:val="clear" w:color="auto" w:fill="FFFFFF"/>
        <w:spacing w:lineRule="atLeast" w:line="302" w:beforeAutospacing="1" w:afterAutospacing="1"/>
        <w:ind w:left="0" w:hanging="360"/>
        <w:rPr>
          <w:rFonts w:ascii="Cambria" w:hAnsi="Cambria" w:eastAsia="Times New Roman" w:cs="Arial"/>
          <w:color w:val="000000"/>
          <w:sz w:val="24"/>
          <w:szCs w:val="24"/>
          <w:lang w:eastAsia="fr-FR"/>
        </w:rPr>
      </w:pPr>
      <w:r>
        <w:rPr>
          <w:rFonts w:eastAsia="Times New Roman" w:cs="Arial" w:ascii="Cambria" w:hAnsi="Cambria"/>
          <w:color w:val="000000"/>
          <w:sz w:val="24"/>
          <w:szCs w:val="24"/>
          <w:lang w:eastAsia="fr-FR"/>
        </w:rPr>
        <w:t>une crise d’efficacité : l’État ne parvient pas à résoudre le chômage et la mobilité sociale diminue ;</w:t>
      </w:r>
    </w:p>
    <w:p>
      <w:pPr>
        <w:pStyle w:val="Normal"/>
        <w:numPr>
          <w:ilvl w:val="0"/>
          <w:numId w:val="1"/>
        </w:numPr>
        <w:shd w:val="clear" w:color="auto" w:fill="FFFFFF"/>
        <w:spacing w:lineRule="atLeast" w:line="302" w:beforeAutospacing="1" w:afterAutospacing="1"/>
        <w:ind w:left="0" w:hanging="360"/>
        <w:rPr>
          <w:rFonts w:ascii="Cambria" w:hAnsi="Cambria" w:eastAsia="Times New Roman" w:cs="Arial"/>
          <w:color w:val="000000"/>
          <w:sz w:val="24"/>
          <w:szCs w:val="24"/>
          <w:lang w:eastAsia="fr-FR"/>
        </w:rPr>
      </w:pPr>
      <w:r>
        <w:rPr>
          <w:rFonts w:eastAsia="Times New Roman" w:cs="Arial" w:ascii="Cambria" w:hAnsi="Cambria"/>
          <w:color w:val="000000"/>
          <w:sz w:val="24"/>
          <w:szCs w:val="24"/>
          <w:lang w:eastAsia="fr-FR"/>
        </w:rPr>
        <w:t>une crise de légitimité : l’opacité des dépenses publiques suscite des questions quant à l’utilisation des fruits de la solidarité nationale. Par ailleurs, les mesures mises en place sont perçues moins comme des avantages que comme un frein à la relance économique.</w:t>
      </w:r>
    </w:p>
    <w:p>
      <w:pPr>
        <w:pStyle w:val="Normal"/>
        <w:rPr>
          <w:rFonts w:ascii="Cambria" w:hAnsi="Cambria"/>
          <w:sz w:val="24"/>
          <w:szCs w:val="24"/>
        </w:rPr>
      </w:pPr>
      <w:r>
        <w:rPr>
          <w:rFonts w:ascii="Cambria" w:hAnsi="Cambria"/>
          <w:sz w:val="24"/>
          <w:szCs w:val="24"/>
        </w:rPr>
      </w:r>
    </w:p>
    <w:p>
      <w:pPr>
        <w:pStyle w:val="Normal"/>
        <w:rPr>
          <w:rFonts w:ascii="Cambria" w:hAnsi="Cambria"/>
          <w:sz w:val="24"/>
          <w:szCs w:val="24"/>
        </w:rPr>
      </w:pPr>
      <w:r>
        <w:rPr>
          <w:rFonts w:ascii="Cambria" w:hAnsi="Cambria"/>
          <w:sz w:val="24"/>
          <w:szCs w:val="24"/>
        </w:rPr>
        <w:t>Recomposition et diffusion des idées néo-libérales à gauche et à droite. Rôle des élites, évolution du discours, rôle expertise. Vers une synthèse républicaine (État-providence non abandonné, Etat régulateur…).</w:t>
      </w:r>
    </w:p>
    <w:p>
      <w:pPr>
        <w:pStyle w:val="Normal"/>
        <w:rPr>
          <w:rFonts w:ascii="Cambria" w:hAnsi="Cambria"/>
          <w:sz w:val="24"/>
          <w:szCs w:val="24"/>
        </w:rPr>
      </w:pPr>
      <w:r>
        <w:rPr>
          <w:rFonts w:ascii="Cambria" w:hAnsi="Cambria"/>
          <w:sz w:val="24"/>
          <w:szCs w:val="24"/>
        </w:rPr>
        <w:t>Révision de l’élite politico-admin (rôle élites cf. SCHONFILD). Expertise des économistes néo-libéraux  et subordination universitaire (filtrage, proximité avec Bercy, construction, stats, formation), en parallèle, dispersion de l’influence du Commissariat au Plan + affaiblissement syndical (faible contrepoids).</w:t>
      </w:r>
    </w:p>
    <w:p>
      <w:pPr>
        <w:pStyle w:val="Normal"/>
        <w:rPr>
          <w:rFonts w:ascii="Cambria" w:hAnsi="Cambria"/>
          <w:sz w:val="24"/>
          <w:szCs w:val="24"/>
        </w:rPr>
      </w:pPr>
      <w:r>
        <w:rPr>
          <w:rFonts w:ascii="Cambria" w:hAnsi="Cambria"/>
          <w:sz w:val="24"/>
          <w:szCs w:val="24"/>
        </w:rPr>
        <w:t>Influence des Hauts Fonctionnaires, des économistes et énarques convertis (Ex Milleron, Mallinvaud), après la gauche au pouvoir et la prise de conscience du tournant (peur du FMI et échec recettes Keyn en 1982). Levier de l’UE comme substitut pour réformer l’État-providence, réconciliation avec les entreprises. Droite républicaine= récupération d’un discours pro-interventionniste début des années 80 contre la gauche puis avec Juppé Premier Ministre RPR, retour au libéralisme pour se différencier de l’extrême-droite.</w:t>
      </w:r>
    </w:p>
    <w:p>
      <w:pPr>
        <w:pStyle w:val="Normal"/>
        <w:rPr>
          <w:rFonts w:ascii="Cambria" w:hAnsi="Cambria"/>
          <w:sz w:val="24"/>
          <w:szCs w:val="24"/>
        </w:rPr>
      </w:pPr>
      <w:r>
        <w:rPr>
          <w:rFonts w:ascii="Cambria" w:hAnsi="Cambria"/>
          <w:sz w:val="24"/>
          <w:szCs w:val="24"/>
        </w:rPr>
        <w:t xml:space="preserve">Retrait de l’administration économique.  Évolution du discours : on parle désormais de </w:t>
      </w:r>
      <w:bookmarkStart w:id="0" w:name="_GoBack"/>
      <w:bookmarkEnd w:id="0"/>
      <w:r>
        <w:rPr>
          <w:rFonts w:ascii="Cambria" w:hAnsi="Cambria"/>
          <w:sz w:val="24"/>
          <w:szCs w:val="24"/>
        </w:rPr>
        <w:t>Public Choice, compétitivité, convaincre d’avancer vers le marché, coïncidence entre prescriptions et orientations de la politique de gauche.  Recul relatif de l’expertise sociale face à l’expertise et aux Ministères Budget-Finances-Eco. Exemple du RMI= maîtrise technique et contrôle contrainte budgétaire confiés à Bercy. Néanmoins pas question de se passer de l’État-providence (de part l’importance que l’opinion lui accorde) mais plutôt l’adapter. Vers la synthèse républicaine (État-providence et néo-libéralisme). Une mission sociale assumée mais conditionné au marché, tout en amortissant les limites du marché. D’une politique sociale universaliste à celle des solidarités (pauvretés= complexification des dispositifs)</w:t>
      </w:r>
    </w:p>
    <w:p>
      <w:pPr>
        <w:pStyle w:val="Normal"/>
        <w:widowControl/>
        <w:bidi w:val="0"/>
        <w:spacing w:lineRule="auto" w:line="276" w:before="0" w:after="200"/>
        <w:jc w:val="left"/>
        <w:rPr/>
      </w:pPr>
      <w:r>
        <w:rPr>
          <w:rFonts w:ascii="Cambria" w:hAnsi="Cambria"/>
          <w:sz w:val="24"/>
          <w:szCs w:val="24"/>
        </w:rPr>
        <w:t>Conclusion: Un néo-libéralisme républicain, légitimation par l’Europe, adhésion de l’élite gestionnaire (économistes d’Etat et Ministères Eco-Fi-Budg)= réforme progressive, conquête élite, discours homogénéisé par l’expertise.</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sz w:val="22"/>
      <w:szCs w:val="22"/>
      <w:lang w:eastAsia="en-US" w:val="fr-FR" w:bidi="ar-SA"/>
    </w:rPr>
  </w:style>
  <w:style w:type="character" w:styleId="DefaultParagraphFont" w:default="1">
    <w:name w:val="Default Paragraph Font"/>
    <w:uiPriority w:val="1"/>
    <w:semiHidden/>
    <w:unhideWhenUsed/>
    <w:qFormat/>
    <w:rPr/>
  </w:style>
  <w:style w:type="character" w:styleId="ListLabel1">
    <w:name w:val="ListLabel 1"/>
    <w:qFormat/>
    <w:rPr>
      <w:rFonts w:ascii="Cambria" w:hAnsi="Cambria"/>
      <w:sz w:val="24"/>
    </w:rPr>
  </w:style>
  <w:style w:type="paragraph" w:styleId="Heading">
    <w:name w:val="Heading"/>
    <w:basedOn w:val="Normal"/>
    <w:next w:val="TextBody"/>
    <w:qFormat/>
    <w:pPr>
      <w:keepNext/>
      <w:spacing w:before="240" w:after="120"/>
    </w:pPr>
    <w:rPr>
      <w:rFonts w:ascii="Liberation Sans" w:hAnsi="Liberation Sans" w:eastAsia="AR PL SungtiL GB"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pip" w:customStyle="1">
    <w:name w:val="spip"/>
    <w:basedOn w:val="Normal"/>
    <w:qFormat/>
    <w:rsid w:val="00a97f40"/>
    <w:pPr>
      <w:spacing w:lineRule="auto" w:line="240" w:beforeAutospacing="1" w:afterAutospacing="1"/>
    </w:pPr>
    <w:rPr>
      <w:rFonts w:ascii="Times" w:hAnsi="Times"/>
      <w:sz w:val="20"/>
      <w:szCs w:val="20"/>
      <w:lang w:eastAsia="fr-FR"/>
    </w:rPr>
  </w:style>
  <w:style w:type="numbering" w:styleId="NoList" w:default="1">
    <w:name w:val="No List"/>
    <w:uiPriority w:val="99"/>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LibreOffice/4.4.7.2$Linux_X86_64 LibreOffice_project/f3153a8b245191196a4b6b9abd1d0da16eead600</Application>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2016-04-07T22:00:00Z</dcterms:created>
  <dc:creator>wawashigeri</dc:creator>
  <dc:language>en-US</dc:language>
  <cp:lastModifiedBy>Charles</cp:lastModifiedBy>
  <dcterms:modified xsi:type="dcterms:W3CDTF">2016-04-07T22:00:00Z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