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6C5" w:rsidRPr="00F32D23" w:rsidRDefault="00F32D23" w:rsidP="00F32D23">
      <w:pPr>
        <w:jc w:val="center"/>
        <w:rPr>
          <w:b/>
          <w:sz w:val="28"/>
        </w:rPr>
      </w:pPr>
      <w:r w:rsidRPr="00F32D23">
        <w:rPr>
          <w:b/>
          <w:sz w:val="28"/>
        </w:rPr>
        <w:t>Exposé politiques européennes</w:t>
      </w:r>
    </w:p>
    <w:p w:rsidR="00F32D23" w:rsidRDefault="00F32D23"/>
    <w:p w:rsidR="00F32D23" w:rsidRDefault="00F32D23" w:rsidP="00F32D23">
      <w:pPr>
        <w:spacing w:after="0"/>
      </w:pPr>
      <w:r>
        <w:t>Sujet : Comment rendre compte de la fabrication des politiques européennes ?</w:t>
      </w:r>
    </w:p>
    <w:p w:rsidR="00F32D23" w:rsidRDefault="00F32D23" w:rsidP="00F32D23">
      <w:pPr>
        <w:spacing w:after="0"/>
      </w:pPr>
    </w:p>
    <w:p w:rsidR="00F32D23" w:rsidRDefault="00F32D23" w:rsidP="00F32D23">
      <w:pPr>
        <w:spacing w:after="0"/>
      </w:pPr>
      <w:r>
        <w:t>I/La coopération entre les acteurs européens comme première caractéristique essentielle</w:t>
      </w:r>
      <w:r>
        <w:br/>
        <w:t>A/Coopération verticale et horizontale</w:t>
      </w:r>
    </w:p>
    <w:p w:rsidR="00294B32" w:rsidRDefault="00F32D23" w:rsidP="00294B32">
      <w:pPr>
        <w:pStyle w:val="Paragraphedeliste"/>
        <w:numPr>
          <w:ilvl w:val="0"/>
          <w:numId w:val="1"/>
        </w:numPr>
        <w:spacing w:after="0"/>
      </w:pPr>
      <w:r>
        <w:t>Sur le trilogue : L’idée principale qui sous-tend le fonctionnement mais aussi la production des politiques à l’échelle communautaire, c’est la coopération.</w:t>
      </w:r>
      <w:r w:rsidR="00294B32">
        <w:t xml:space="preserve"> Qu’il s’agisse de la commission, du conseil ou du PE, on se rend compte qu’aucune institution n’empiète sur l’autre, au sens où aucune ne chercher à paralyser ou neutraliser le fonctionnement d’une autre. Plus qu’un équilibre dosé des forces, ou l’instauration de mécanismes de contre-pouvoir, cet état de fait est surtout le résultat d’une philosophie intrinsèque à l’union européenne et ses institutions.</w:t>
      </w:r>
    </w:p>
    <w:p w:rsidR="00294B32" w:rsidRDefault="00294B32" w:rsidP="00294B32">
      <w:pPr>
        <w:pStyle w:val="Paragraphedeliste"/>
        <w:spacing w:after="0"/>
      </w:pPr>
      <w:r>
        <w:t xml:space="preserve">Certains auteurs, notamment Olivier Costa, parlent d’ailleurs d’un trilogue entre les institutions citées en début de partie (commission, conseil et PE), c'est-à-dire </w:t>
      </w:r>
      <w:r w:rsidR="00DC7C05">
        <w:t>un échange permanent et soutenu entre elles. On peut le constater avec l’action du parlement européen. Malgré l’élargissement de ses compétences ces dernières années, son indépendance par rapport à la commission ou encore ses capacités à investiguer à différentes occasions</w:t>
      </w:r>
      <w:r w:rsidR="00686B5C">
        <w:t xml:space="preserve">, le Parlement reste un interlocuteur attentif et coopératif. Dans cette optique, les amendements qu’il prépare n’ont pas vraiment vocation à chambouler un texte législatif. A l’inverse, il s’applique à se coordonner notamment avec le conseil, en posant sur la table des amendements de compromis. Ici il s’agit de discuter, de </w:t>
      </w:r>
      <w:r w:rsidR="00B72761">
        <w:t>dialoguer pour ainsi proposer des amendements qui seront facilement validés par le conseil et la commission. Par cette méthode, les amendements ont désormais plus tendance à être validés en première lecture et donc à fluidifier l’engrenage</w:t>
      </w:r>
      <w:r w:rsidR="004C15A5">
        <w:t xml:space="preserve"> de la négociation et de la conception des politiques européennes. On pourrait d’ailleurs assimiler cela à un système de don/contre-don, qui pérennise et garanti un bon rapport entre les institutions.</w:t>
      </w:r>
      <w:r w:rsidR="00533B29">
        <w:br/>
        <w:t>Cette coopération est aussi à la fois coutumière qu’institutionnelle, au sens où si les différents accords relèvent de l’informel, il existe des codes de bonne conduite, des directives internes et des règlements intérieurs ajustés, susceptibles d’harmoniser formellement les pratiques.</w:t>
      </w:r>
    </w:p>
    <w:p w:rsidR="004C6831" w:rsidRDefault="004C6831" w:rsidP="00294B32">
      <w:pPr>
        <w:pStyle w:val="Paragraphedeliste"/>
        <w:spacing w:after="0"/>
      </w:pPr>
    </w:p>
    <w:p w:rsidR="004C6831" w:rsidRDefault="004C6831" w:rsidP="00294B32">
      <w:pPr>
        <w:pStyle w:val="Paragraphedeliste"/>
        <w:spacing w:after="0"/>
      </w:pPr>
      <w:r>
        <w:t>…</w:t>
      </w:r>
    </w:p>
    <w:p w:rsidR="00276724" w:rsidRDefault="00276724" w:rsidP="00294B32">
      <w:pPr>
        <w:pStyle w:val="Paragraphedeliste"/>
        <w:spacing w:after="0"/>
      </w:pPr>
    </w:p>
    <w:p w:rsidR="00276724" w:rsidRDefault="00276724" w:rsidP="00294B32">
      <w:pPr>
        <w:pStyle w:val="Paragraphedeliste"/>
        <w:spacing w:after="0"/>
      </w:pPr>
      <w:r>
        <w:t>Au-delà de ces acteurs institutionnels, on retrouve aussi le rôle essentiel des lobbys.</w:t>
      </w:r>
    </w:p>
    <w:p w:rsidR="00A1720A" w:rsidRDefault="00A1720A" w:rsidP="00294B32">
      <w:pPr>
        <w:pStyle w:val="Paragraphedeliste"/>
        <w:spacing w:after="0"/>
      </w:pPr>
    </w:p>
    <w:p w:rsidR="00A1720A" w:rsidRDefault="00A1720A" w:rsidP="00294B32">
      <w:pPr>
        <w:pStyle w:val="Paragraphedeliste"/>
        <w:spacing w:after="0"/>
      </w:pPr>
      <w:r>
        <w:t>B/Les lobbys</w:t>
      </w:r>
    </w:p>
    <w:p w:rsidR="00EF35C5" w:rsidRDefault="00A1720A" w:rsidP="00542812">
      <w:pPr>
        <w:spacing w:after="0"/>
      </w:pPr>
      <w:r>
        <w:t xml:space="preserve">Les lobbys ou groupes d’intérêt, sont par nature impliqués dans le processus décisionnel européen. Ils incarnent la société civile européenne et leur implication est donc perçue par les instances communautaires comme un apport démocratique dans le processus. </w:t>
      </w:r>
      <w:r w:rsidR="006905BC">
        <w:t xml:space="preserve">Du point de vue français c’est une spécificité qui peut interpeller, puisqu’elle ne correspond pas vraiment à notre vision de l’intérêt général. On pense cette méthode comme une aliénation du politique, un frein à la prise de mesures, </w:t>
      </w:r>
      <w:r w:rsidR="006905BC">
        <w:lastRenderedPageBreak/>
        <w:t>ce qui n’est absolument pas la vision établie à la commission ou au parlement.</w:t>
      </w:r>
      <w:r w:rsidR="00EF35C5">
        <w:br/>
      </w:r>
    </w:p>
    <w:p w:rsidR="00280183" w:rsidRDefault="00280183" w:rsidP="00294B32">
      <w:pPr>
        <w:pStyle w:val="Paragraphedeliste"/>
        <w:spacing w:after="0"/>
      </w:pPr>
    </w:p>
    <w:p w:rsidR="00152B86" w:rsidRDefault="00EF35C5" w:rsidP="00542812">
      <w:pPr>
        <w:spacing w:after="0"/>
      </w:pPr>
      <w:r>
        <w:t>Du coup, les groupes d’intérêts jouent un rôle important dans la fabrication des politiques européennes, et leur coopération s’exerce à plusieurs endroits. On peut d’abord noter que ces stakeholders ne font pas que défendre leurs intérêts, encore moins de manière frontale. Il y a en fait tout un jeu institutionnel dans lequel ces groupes sont insérés</w:t>
      </w:r>
      <w:r w:rsidR="00DB7222">
        <w:t xml:space="preserve"> et qui va transformer leurs actions. On note par exemple que les stakeholders sont très demandés par la commission, qui va les consulter, mais aussi les mandater et les financer pour certains projets. Hélène Michel montre dans son texte que le groupe d’intérêt BusinessEurope, qui est une confédération de patrons à l’échelle européenne, est en quelque sorte embauchée pour aller aider les chefs d’entreprises des nouveaux Etats membres à comprendre l’acquis communautaire, à comprendre comment fonctionne le système institutionnel européen. Dans ce cas de figure, le groupe businessEurope défend non seulement ses intérêts, mais se fait aussi quelque part la voix de l’UE et devient donc une sorte de partenaire social européen, voire une sorte de délégué privé au statut finalement assez flou.</w:t>
      </w:r>
      <w:r w:rsidR="00491FF0">
        <w:br/>
      </w:r>
      <w:r w:rsidR="00491FF0">
        <w:br/>
        <w:t>Toujours concernant les groupes d’intérêt, on peut aussi montrer que la coopération se fait de manière plus verticale, en amont et en préparation du travail à l’échelle européenne. Il faut en fait comprendre que les groupes d’intérêt européens sont souvent très larges, puisqu’ils réunissent parfois plusieurs organisations par pays, avec un nombre de membres tout aussi conséquent. Il y a donc un vrai travail de cohérence et de formulation des revendications à l’échelle européenne qui passe par une écoute et des discussions, mais aussi par une certaine distance entre les échelles nationales et européenne. C'est-à-dire que certains groupes implantés à Bruxelles bénéficient d’une certaine autonomie par rapport aux organisation</w:t>
      </w:r>
      <w:r w:rsidR="00280183">
        <w:t>s</w:t>
      </w:r>
      <w:r w:rsidR="00491FF0">
        <w:t xml:space="preserve"> nationales, notamment financière et exécutive, ce qui permet de plus facilement pondérer les avis divergents et donc de maintenir une certaine cohérence face aux institutions européennes</w:t>
      </w:r>
      <w:r w:rsidR="00542812">
        <w:t>.</w:t>
      </w:r>
    </w:p>
    <w:p w:rsidR="00542812" w:rsidRDefault="00542812" w:rsidP="00542812">
      <w:pPr>
        <w:spacing w:after="0"/>
      </w:pPr>
    </w:p>
    <w:p w:rsidR="00F630DB" w:rsidRDefault="00F630DB" w:rsidP="00542812">
      <w:pPr>
        <w:spacing w:after="0"/>
      </w:pPr>
      <w:r>
        <w:t>Maintenant qu’on a vu en quoi la coopération à l’échelle européenne a un impact sur la production des politiques, on peut se pencher sur un autre versant, l’aspect technique de la fabrication des politiques.</w:t>
      </w:r>
    </w:p>
    <w:p w:rsidR="00F630DB" w:rsidRDefault="00F630DB" w:rsidP="00542812">
      <w:pPr>
        <w:spacing w:after="0"/>
      </w:pPr>
    </w:p>
    <w:p w:rsidR="00152B86" w:rsidRDefault="00152B86" w:rsidP="00542812">
      <w:pPr>
        <w:spacing w:after="0"/>
      </w:pPr>
      <w:r>
        <w:t>II/Une fabrication technique des politiques européennes</w:t>
      </w:r>
    </w:p>
    <w:p w:rsidR="00542812" w:rsidRDefault="00542812" w:rsidP="00542812">
      <w:pPr>
        <w:spacing w:after="0"/>
      </w:pPr>
      <w:r>
        <w:t>A/</w:t>
      </w:r>
      <w:r w:rsidR="00F630DB">
        <w:t>Un jeu institutionnel complexe et peu politisé</w:t>
      </w:r>
    </w:p>
    <w:p w:rsidR="00542812" w:rsidRDefault="00770DF0" w:rsidP="00542812">
      <w:pPr>
        <w:spacing w:after="0"/>
      </w:pPr>
      <w:r>
        <w:t>La fabrication des politiques européennes, en plus de son aspect coopératif, est donc aussi largement marquée par un</w:t>
      </w:r>
      <w:r w:rsidR="003041D3">
        <w:t>e orientation technique.</w:t>
      </w:r>
      <w:r w:rsidR="003041D3">
        <w:br/>
        <w:t>Cela s’explique d’abord de manière historique. Avec les élargissements successifs, il est devenu de plus en plus difficile de se mettre d’accord sur des politiques sensibles, qui font appel à une vision du monde, à une idéologie. On a donc eu une sorte de technicisation des enjeux afin de favoriser les consensus, les ententes, et qui a évidemment eu un impact important sur la production et la nature des politiques publiques.</w:t>
      </w:r>
    </w:p>
    <w:p w:rsidR="003041D3" w:rsidRDefault="003041D3" w:rsidP="00542812">
      <w:pPr>
        <w:spacing w:after="0"/>
      </w:pPr>
    </w:p>
    <w:p w:rsidR="003041D3" w:rsidRDefault="003041D3" w:rsidP="00542812">
      <w:pPr>
        <w:spacing w:after="0"/>
      </w:pPr>
      <w:r>
        <w:t xml:space="preserve">En reprenant le cas du parlement européen, on peut constater </w:t>
      </w:r>
      <w:r w:rsidR="00646758">
        <w:t xml:space="preserve">qu’il n’est pas construit de la même manière que de nombreux Parlement nationaux. Son organisation n’est en fait pas fondée sur des structures partisanes. Il ne génère donc pas vraiment de conflits idéologiques, ou en tous cas ceux-ci sont affaiblis par différents facteurs (par exemple culturels, historiques propres à chaque pays, qui </w:t>
      </w:r>
      <w:r w:rsidR="00646758">
        <w:lastRenderedPageBreak/>
        <w:t>peut faire diverger des intérêts au sein d’un même groupe). En conséquence on se retrouve plus avec des coalitions techniques, peu  politisés, avec des enjeux assez faibles. Couplé avec une coopération institutionnelle forte synonyme de compromis, on se rend compte qu’il est difficile d’introduire autre chose que de la technique dans les mécanismes de préparation des textes.</w:t>
      </w:r>
    </w:p>
    <w:p w:rsidR="00646758" w:rsidRDefault="00646758" w:rsidP="00542812">
      <w:pPr>
        <w:spacing w:after="0"/>
      </w:pPr>
    </w:p>
    <w:p w:rsidR="00646758" w:rsidRDefault="00646758" w:rsidP="00542812">
      <w:pPr>
        <w:spacing w:after="0"/>
      </w:pPr>
      <w:r>
        <w:t>Les lobbys</w:t>
      </w:r>
      <w:r w:rsidR="00416725">
        <w:t xml:space="preserve"> sont aussi soumis à cet aspect, et doivent l’intérioriser pour espérer atteindre les institutions et se faire comprendre.</w:t>
      </w:r>
      <w:r w:rsidR="00416725">
        <w:br/>
        <w:t>Il faut en effet beaucoup de ressources symboliques et financières pour accéder aux institutions européennes, en premier lieu pour formuler des intérêts européanisés. Les groupes d’intérêt doivent en effet réaliser un travail de cohérence comme on l’a vu, mais aussi un travail de problématisation de leurs intérêts, sans lequel ils ne seront pas entendus. Cela passe par exemple par la formation de coalitions entre des organisations de différents pays, ou encore par une  démonstration de l’enjeu européen du problème présenté.</w:t>
      </w:r>
    </w:p>
    <w:p w:rsidR="00985D68" w:rsidRDefault="00985D68" w:rsidP="00542812">
      <w:pPr>
        <w:spacing w:after="0"/>
      </w:pPr>
      <w:r>
        <w:t>Les lobbys doivent aussi apprendre à manipuler un langage européen</w:t>
      </w:r>
      <w:r w:rsidR="00FD7CDE">
        <w:t xml:space="preserve"> pour être efficace.  Dans cette optique, les organisations n’hésitent pas à mettre en place des séminaires de formation, pour former les nouveaux arrivants/dirigeants aux usages institutionnels. On constate aussi que les organisations font souvent appel à des consultants en montage de projets, qui les utilise pour augmenter leurs chances</w:t>
      </w:r>
      <w:r w:rsidR="00662C99">
        <w:t xml:space="preserve"> de décrocher un </w:t>
      </w:r>
      <w:r w:rsidR="00FD7CDE">
        <w:t>appel d’offre et donc un financement de l’UE. Ces consultants connaissent en effe</w:t>
      </w:r>
      <w:r w:rsidR="00662C99">
        <w:t>t très bien le langage européen et sont donc un atout essentiel dans le dialogue entre groupes d’intérêt et institutions.</w:t>
      </w:r>
    </w:p>
    <w:p w:rsidR="00662C99" w:rsidRDefault="00662C99" w:rsidP="00542812">
      <w:pPr>
        <w:spacing w:after="0"/>
      </w:pPr>
    </w:p>
    <w:p w:rsidR="00662C99" w:rsidRDefault="00662C99" w:rsidP="00542812">
      <w:pPr>
        <w:spacing w:after="0"/>
      </w:pPr>
      <w:r>
        <w:t>Enfin on peut aussi développer l’idée que ces mêmes groupes d’intérêts sont utilisés par les institutions comme un moyen de fournir une expertise. Les moyens financiers et humains notamment de la commission étant limités, celle-ci fait souvent appel à l’expertise technique des lobbys, qui ont ainsi un accès facilité dans l’orientation des politiques publiques européennes.</w:t>
      </w:r>
    </w:p>
    <w:p w:rsidR="00152B86" w:rsidRDefault="00152B86" w:rsidP="00152B86">
      <w:pPr>
        <w:pStyle w:val="Paragraphedeliste"/>
        <w:spacing w:after="0"/>
      </w:pPr>
    </w:p>
    <w:p w:rsidR="00454036" w:rsidRDefault="00454036" w:rsidP="00152B86">
      <w:pPr>
        <w:pStyle w:val="Paragraphedeliste"/>
        <w:spacing w:after="0"/>
      </w:pPr>
    </w:p>
    <w:p w:rsidR="00454036" w:rsidRDefault="00454036" w:rsidP="00152B86">
      <w:pPr>
        <w:pStyle w:val="Paragraphedeliste"/>
        <w:spacing w:after="0"/>
      </w:pPr>
    </w:p>
    <w:p w:rsidR="00454036" w:rsidRDefault="00454036" w:rsidP="00152B86">
      <w:pPr>
        <w:pStyle w:val="Paragraphedeliste"/>
        <w:spacing w:after="0"/>
      </w:pPr>
    </w:p>
    <w:p w:rsidR="00454036" w:rsidRDefault="00454036" w:rsidP="00255EE4">
      <w:pPr>
        <w:spacing w:after="0"/>
      </w:pPr>
    </w:p>
    <w:p w:rsidR="00454036" w:rsidRDefault="00454036" w:rsidP="00F5282F">
      <w:pPr>
        <w:spacing w:after="0"/>
      </w:pPr>
    </w:p>
    <w:p w:rsidR="00454036" w:rsidRDefault="00454036" w:rsidP="00152B86">
      <w:pPr>
        <w:pStyle w:val="Paragraphedeliste"/>
        <w:spacing w:after="0"/>
      </w:pPr>
    </w:p>
    <w:p w:rsidR="00454036" w:rsidRDefault="00454036" w:rsidP="00152B86">
      <w:pPr>
        <w:pStyle w:val="Paragraphedeliste"/>
        <w:spacing w:after="0"/>
      </w:pPr>
    </w:p>
    <w:p w:rsidR="00454036" w:rsidRDefault="00454036" w:rsidP="00152B86">
      <w:pPr>
        <w:pStyle w:val="Paragraphedeliste"/>
        <w:spacing w:after="0"/>
      </w:pPr>
    </w:p>
    <w:p w:rsidR="00454036" w:rsidRDefault="00454036" w:rsidP="00152B86">
      <w:pPr>
        <w:pStyle w:val="Paragraphedeliste"/>
        <w:spacing w:after="0"/>
      </w:pPr>
    </w:p>
    <w:sectPr w:rsidR="00454036" w:rsidSect="000036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65059"/>
    <w:multiLevelType w:val="hybridMultilevel"/>
    <w:tmpl w:val="497C9BD8"/>
    <w:lvl w:ilvl="0" w:tplc="6872541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32D23"/>
    <w:rsid w:val="000036C5"/>
    <w:rsid w:val="00152B86"/>
    <w:rsid w:val="001C7F4E"/>
    <w:rsid w:val="00255EE4"/>
    <w:rsid w:val="00276724"/>
    <w:rsid w:val="00280183"/>
    <w:rsid w:val="00294B32"/>
    <w:rsid w:val="003041D3"/>
    <w:rsid w:val="00416725"/>
    <w:rsid w:val="00454036"/>
    <w:rsid w:val="00491FF0"/>
    <w:rsid w:val="004C15A5"/>
    <w:rsid w:val="004C6831"/>
    <w:rsid w:val="00525E9F"/>
    <w:rsid w:val="00533B29"/>
    <w:rsid w:val="00542812"/>
    <w:rsid w:val="005D6459"/>
    <w:rsid w:val="00646758"/>
    <w:rsid w:val="00662C99"/>
    <w:rsid w:val="00686B5C"/>
    <w:rsid w:val="006905BC"/>
    <w:rsid w:val="00740869"/>
    <w:rsid w:val="00770DF0"/>
    <w:rsid w:val="00985D68"/>
    <w:rsid w:val="00987BE8"/>
    <w:rsid w:val="00A1720A"/>
    <w:rsid w:val="00AF0653"/>
    <w:rsid w:val="00B72761"/>
    <w:rsid w:val="00C21385"/>
    <w:rsid w:val="00C82570"/>
    <w:rsid w:val="00C87957"/>
    <w:rsid w:val="00DB7222"/>
    <w:rsid w:val="00DC7C05"/>
    <w:rsid w:val="00E449F2"/>
    <w:rsid w:val="00EF35C5"/>
    <w:rsid w:val="00F32D23"/>
    <w:rsid w:val="00F5282F"/>
    <w:rsid w:val="00F630DB"/>
    <w:rsid w:val="00FA3D7C"/>
    <w:rsid w:val="00FD7C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25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1289</Words>
  <Characters>7095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Kandem</dc:creator>
  <cp:lastModifiedBy>Kandem</cp:lastModifiedBy>
  <cp:revision>19</cp:revision>
  <dcterms:created xsi:type="dcterms:W3CDTF">2016-02-04T20:59:00Z</dcterms:created>
  <dcterms:modified xsi:type="dcterms:W3CDTF">2016-03-09T15:46:00Z</dcterms:modified>
</cp:coreProperties>
</file>