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0F" w:rsidRPr="002F500F" w:rsidRDefault="002F500F" w:rsidP="002F500F">
      <w:pPr>
        <w:framePr w:hSpace="141" w:wrap="around" w:vAnchor="text" w:hAnchor="margin" w:xAlign="center" w:y="301"/>
        <w:bidi/>
        <w:spacing w:line="240" w:lineRule="auto"/>
        <w:rPr>
          <w:b/>
          <w:bCs/>
          <w:sz w:val="24"/>
          <w:szCs w:val="24"/>
          <w:u w:val="single"/>
          <w:rtl/>
          <w:lang w:bidi="ar-MA"/>
        </w:rPr>
      </w:pPr>
      <w:r w:rsidRPr="002F500F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المقدمة </w:t>
      </w:r>
    </w:p>
    <w:p w:rsidR="002F500F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يعكس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تنوع</w:t>
      </w:r>
      <w:proofErr w:type="gramEnd"/>
      <w:r w:rsidRPr="00AA5C37">
        <w:rPr>
          <w:rFonts w:eastAsia="Times New Roman"/>
          <w:b/>
          <w:bCs/>
          <w:sz w:val="20"/>
          <w:szCs w:val="20"/>
          <w:rtl/>
        </w:rPr>
        <w:t xml:space="preserve"> التراث المستوى الحضاري للشعوب، مما</w:t>
      </w:r>
      <w:r>
        <w:rPr>
          <w:rFonts w:eastAsia="Times New Roman" w:hint="cs"/>
          <w:rtl/>
          <w:lang w:bidi="ar-MA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يفرض ضرورة المحافظة عليه وتطويره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A5C37">
        <w:rPr>
          <w:b/>
          <w:bCs/>
          <w:sz w:val="20"/>
          <w:szCs w:val="20"/>
          <w:rtl/>
        </w:rPr>
        <w:t>فما هي أنواع التراث المغربي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A5C37">
        <w:rPr>
          <w:b/>
          <w:bCs/>
          <w:sz w:val="20"/>
          <w:szCs w:val="20"/>
          <w:rtl/>
        </w:rPr>
        <w:t>؟</w:t>
      </w:r>
      <w:r w:rsidRPr="00AA5C37">
        <w:rPr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وماهي مسؤولية الدولة في الحفاظ عليه وتطويره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؟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وكيف ننظم معارض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عن</w:t>
      </w:r>
      <w:proofErr w:type="gramEnd"/>
      <w:r w:rsidRPr="00AA5C37">
        <w:rPr>
          <w:rFonts w:eastAsia="Times New Roman"/>
          <w:b/>
          <w:bCs/>
          <w:sz w:val="20"/>
          <w:szCs w:val="20"/>
          <w:rtl/>
        </w:rPr>
        <w:t xml:space="preserve"> تنوع التراث المغربي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؟</w:t>
      </w:r>
    </w:p>
    <w:p w:rsidR="002F500F" w:rsidRPr="002F500F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sz w:val="28"/>
          <w:szCs w:val="28"/>
          <w:u w:val="single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r w:rsidRPr="002F500F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1 </w:t>
      </w:r>
      <w:proofErr w:type="gramStart"/>
      <w:r w:rsidRPr="002F500F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ـ </w:t>
      </w:r>
      <w:r w:rsidRPr="002F500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2F500F">
        <w:rPr>
          <w:rFonts w:eastAsia="Times New Roman"/>
          <w:b/>
          <w:bCs/>
          <w:sz w:val="24"/>
          <w:szCs w:val="24"/>
          <w:u w:val="single"/>
          <w:rtl/>
        </w:rPr>
        <w:t>تتنوع</w:t>
      </w:r>
      <w:proofErr w:type="gramEnd"/>
      <w:r w:rsidRPr="002F500F">
        <w:rPr>
          <w:rFonts w:eastAsia="Times New Roman"/>
          <w:b/>
          <w:bCs/>
          <w:sz w:val="24"/>
          <w:szCs w:val="24"/>
          <w:u w:val="single"/>
          <w:rtl/>
        </w:rPr>
        <w:t xml:space="preserve"> روافد التراث</w:t>
      </w:r>
      <w:r w:rsidRPr="002F500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2F500F">
        <w:rPr>
          <w:rFonts w:eastAsia="Times New Roman"/>
          <w:b/>
          <w:bCs/>
          <w:sz w:val="24"/>
          <w:szCs w:val="24"/>
          <w:u w:val="single"/>
          <w:rtl/>
        </w:rPr>
        <w:t>المغربي الذي ينبغي</w:t>
      </w:r>
      <w:r w:rsidRPr="002F500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2F500F">
        <w:rPr>
          <w:rFonts w:eastAsia="Times New Roman"/>
          <w:b/>
          <w:bCs/>
          <w:sz w:val="24"/>
          <w:szCs w:val="24"/>
          <w:u w:val="single"/>
          <w:rtl/>
        </w:rPr>
        <w:t>الحفاظ عليه</w:t>
      </w:r>
    </w:p>
    <w:p w:rsidR="002F500F" w:rsidRPr="002F500F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1 ـ 1 أنواع التراث</w:t>
      </w:r>
      <w:r w:rsidRPr="002F500F">
        <w:rPr>
          <w:rFonts w:eastAsia="Times New Roman" w:hint="cs"/>
          <w:b/>
          <w:bCs/>
          <w:sz w:val="20"/>
          <w:szCs w:val="20"/>
          <w:u w:val="single"/>
        </w:rPr>
        <w:t xml:space="preserve">  </w:t>
      </w: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>المغربي</w:t>
      </w:r>
    </w:p>
    <w:p w:rsidR="002F500F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</w:t>
      </w:r>
      <w:r w:rsidRPr="00AA5C37">
        <w:rPr>
          <w:rFonts w:eastAsia="Times New Roman"/>
          <w:b/>
          <w:bCs/>
          <w:sz w:val="20"/>
          <w:szCs w:val="20"/>
          <w:rtl/>
        </w:rPr>
        <w:t>يشمل التراث كل ما خلفته الأجيال السابقة في مختلف</w:t>
      </w:r>
      <w:r>
        <w:rPr>
          <w:rFonts w:eastAsia="Times New Roman" w:hint="cs"/>
          <w:rtl/>
          <w:lang w:bidi="ar-MA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الميادين، ويتميز المغرب بتنوع تراثه، </w:t>
      </w:r>
      <w:r>
        <w:rPr>
          <w:rFonts w:eastAsia="Times New Roman" w:hint="cs"/>
          <w:b/>
          <w:bCs/>
          <w:sz w:val="20"/>
          <w:szCs w:val="20"/>
          <w:rtl/>
        </w:rPr>
        <w:t>بي</w:t>
      </w:r>
      <w:r w:rsidRPr="00AA5C37">
        <w:rPr>
          <w:rFonts w:eastAsia="Times New Roman"/>
          <w:b/>
          <w:bCs/>
          <w:sz w:val="20"/>
          <w:szCs w:val="20"/>
          <w:rtl/>
        </w:rPr>
        <w:t>ن تراث غير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مادي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كالتراث</w:t>
      </w:r>
      <w:proofErr w:type="gramEnd"/>
      <w:r>
        <w:rPr>
          <w:rFonts w:eastAsia="Times New Roman" w:hint="cs"/>
          <w:b/>
          <w:bCs/>
          <w:sz w:val="20"/>
          <w:szCs w:val="20"/>
          <w:rtl/>
        </w:rPr>
        <w:t xml:space="preserve"> ال</w:t>
      </w:r>
      <w:r w:rsidRPr="00AA5C37">
        <w:rPr>
          <w:rFonts w:eastAsia="Times New Roman"/>
          <w:b/>
          <w:bCs/>
          <w:sz w:val="20"/>
          <w:szCs w:val="20"/>
          <w:rtl/>
        </w:rPr>
        <w:t>مسموع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: كالموسيقى والمسرح الشعبي والروايات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الشفوية والفنون الغنائية...و</w:t>
      </w:r>
      <w:r>
        <w:rPr>
          <w:rFonts w:eastAsia="Times New Roman" w:hint="cs"/>
          <w:b/>
          <w:bCs/>
          <w:sz w:val="20"/>
          <w:szCs w:val="20"/>
          <w:rtl/>
        </w:rPr>
        <w:t>التراث ال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منقول أو </w:t>
      </w:r>
      <w:r>
        <w:rPr>
          <w:rFonts w:eastAsia="Times New Roman" w:hint="cs"/>
          <w:b/>
          <w:bCs/>
          <w:sz w:val="20"/>
          <w:szCs w:val="20"/>
          <w:rtl/>
        </w:rPr>
        <w:t>ال</w:t>
      </w:r>
      <w:r w:rsidRPr="00AA5C37">
        <w:rPr>
          <w:rFonts w:eastAsia="Times New Roman"/>
          <w:b/>
          <w:bCs/>
          <w:sz w:val="20"/>
          <w:szCs w:val="20"/>
          <w:rtl/>
        </w:rPr>
        <w:t>مكتوب</w:t>
      </w:r>
      <w:r w:rsidRPr="00AA5C37">
        <w:rPr>
          <w:rFonts w:eastAsia="Times New Roman"/>
          <w:b/>
          <w:bCs/>
          <w:sz w:val="20"/>
          <w:szCs w:val="20"/>
        </w:rPr>
        <w:t xml:space="preserve">: 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كالقطع الأثرية والوثائق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والمخطوطات</w:t>
      </w:r>
      <w:proofErr w:type="gramEnd"/>
      <w:r w:rsidRPr="00AA5C37">
        <w:rPr>
          <w:rFonts w:eastAsia="Times New Roman"/>
          <w:b/>
          <w:bCs/>
          <w:sz w:val="20"/>
          <w:szCs w:val="20"/>
          <w:rtl/>
        </w:rPr>
        <w:t xml:space="preserve">. </w:t>
      </w:r>
    </w:p>
    <w:p w:rsidR="002F500F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 w:rsidRPr="00AA5C37">
        <w:rPr>
          <w:rFonts w:eastAsia="Times New Roman"/>
          <w:b/>
          <w:bCs/>
          <w:sz w:val="20"/>
          <w:szCs w:val="20"/>
          <w:rtl/>
        </w:rPr>
        <w:t>و</w:t>
      </w:r>
      <w:r>
        <w:rPr>
          <w:rFonts w:eastAsia="Times New Roman" w:hint="cs"/>
          <w:b/>
          <w:bCs/>
          <w:sz w:val="20"/>
          <w:szCs w:val="20"/>
          <w:rtl/>
        </w:rPr>
        <w:t>تراث مادي (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المبني</w:t>
      </w:r>
      <w:r>
        <w:rPr>
          <w:rFonts w:eastAsia="Times New Roman" w:hint="cs"/>
          <w:b/>
          <w:bCs/>
          <w:sz w:val="20"/>
          <w:szCs w:val="20"/>
          <w:rtl/>
        </w:rPr>
        <w:t xml:space="preserve"> ) </w:t>
      </w:r>
      <w:r w:rsidRPr="00AA5C37">
        <w:rPr>
          <w:rFonts w:eastAsia="Times New Roman"/>
          <w:b/>
          <w:bCs/>
          <w:sz w:val="20"/>
          <w:szCs w:val="20"/>
          <w:rtl/>
        </w:rPr>
        <w:t>: كالمدن العتيقة والآثار والبناءات والزخارف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والنقوش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A5C37">
        <w:rPr>
          <w:rFonts w:eastAsia="Times New Roman"/>
          <w:b/>
          <w:bCs/>
          <w:sz w:val="20"/>
          <w:szCs w:val="20"/>
        </w:rPr>
        <w:t>.</w:t>
      </w:r>
      <w:r>
        <w:rPr>
          <w:rFonts w:eastAsia="Times New Roman" w:hint="cs"/>
          <w:b/>
          <w:bCs/>
          <w:sz w:val="20"/>
          <w:szCs w:val="20"/>
          <w:rtl/>
        </w:rPr>
        <w:t>..</w:t>
      </w:r>
    </w:p>
    <w:p w:rsidR="002F500F" w:rsidRPr="002F500F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1 ـ 2 الحفاظ على</w:t>
      </w:r>
      <w:r w:rsidRPr="002F500F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proofErr w:type="gramStart"/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>التراث</w:t>
      </w:r>
      <w:r w:rsidRPr="002F500F">
        <w:rPr>
          <w:rFonts w:eastAsia="Times New Roman" w:hint="cs"/>
          <w:b/>
          <w:bCs/>
          <w:sz w:val="20"/>
          <w:szCs w:val="20"/>
          <w:u w:val="single"/>
        </w:rPr>
        <w:t> </w:t>
      </w: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وتطويره  </w:t>
      </w:r>
      <w:proofErr w:type="gramEnd"/>
    </w:p>
    <w:p w:rsidR="002F500F" w:rsidRPr="00AA5C37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</w:t>
      </w:r>
      <w:r w:rsidRPr="00AA5C37">
        <w:rPr>
          <w:rFonts w:eastAsia="Times New Roman"/>
          <w:b/>
          <w:bCs/>
          <w:sz w:val="20"/>
          <w:szCs w:val="20"/>
          <w:rtl/>
        </w:rPr>
        <w:t>تتحمل الدولة المسؤولية الأولى في الحفاظ على التراث</w:t>
      </w:r>
      <w:r>
        <w:rPr>
          <w:rFonts w:eastAsia="Times New Roman" w:hint="cs"/>
          <w:rtl/>
          <w:lang w:bidi="ar-MA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الوطني وتطويره من خلال وزارة الثقافة ومديرياتها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(</w:t>
      </w:r>
      <w:r w:rsidRPr="00AA5C37">
        <w:rPr>
          <w:rFonts w:eastAsia="Times New Roman"/>
          <w:b/>
          <w:bCs/>
          <w:sz w:val="20"/>
          <w:szCs w:val="20"/>
          <w:rtl/>
        </w:rPr>
        <w:t>مديرية التراث الثقافي – مديرية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الفنون)، وذلك عبر</w:t>
      </w:r>
      <w:r w:rsidRPr="00AA5C37">
        <w:rPr>
          <w:rFonts w:eastAsia="Times New Roman"/>
          <w:b/>
          <w:bCs/>
          <w:sz w:val="20"/>
          <w:szCs w:val="20"/>
        </w:rPr>
        <w:t>:</w:t>
      </w:r>
    </w:p>
    <w:p w:rsidR="002F500F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</w:t>
      </w:r>
      <w:r w:rsidRPr="00AA5C37">
        <w:rPr>
          <w:rFonts w:eastAsia="Times New Roman"/>
          <w:b/>
          <w:bCs/>
          <w:sz w:val="20"/>
          <w:szCs w:val="20"/>
        </w:rPr>
        <w:t xml:space="preserve">   • </w:t>
      </w:r>
      <w:r w:rsidRPr="00AA5C37">
        <w:rPr>
          <w:rFonts w:eastAsia="Times New Roman"/>
          <w:b/>
          <w:bCs/>
          <w:sz w:val="20"/>
          <w:szCs w:val="20"/>
          <w:rtl/>
        </w:rPr>
        <w:t>التعريف بالثروات الأثرية بواسطة المنشورات</w:t>
      </w:r>
      <w:r w:rsidRPr="00AA5C37">
        <w:rPr>
          <w:rFonts w:eastAsia="Times New Roman"/>
          <w:b/>
          <w:bCs/>
          <w:sz w:val="20"/>
          <w:szCs w:val="20"/>
        </w:rPr>
        <w:t> </w:t>
      </w:r>
      <w:r w:rsidRPr="00AA5C37">
        <w:rPr>
          <w:rFonts w:eastAsia="Times New Roman"/>
          <w:b/>
          <w:bCs/>
          <w:sz w:val="20"/>
          <w:szCs w:val="20"/>
          <w:rtl/>
        </w:rPr>
        <w:t>والمعارض</w:t>
      </w:r>
    </w:p>
    <w:p w:rsidR="002F500F" w:rsidRPr="00A8021B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</w:t>
      </w:r>
      <w:r w:rsidRPr="00AA5C37">
        <w:rPr>
          <w:rFonts w:eastAsia="Times New Roman"/>
          <w:b/>
          <w:bCs/>
          <w:sz w:val="20"/>
          <w:szCs w:val="20"/>
        </w:rPr>
        <w:t xml:space="preserve">   • </w:t>
      </w:r>
      <w:r w:rsidRPr="00AA5C37">
        <w:rPr>
          <w:rFonts w:eastAsia="Times New Roman"/>
          <w:b/>
          <w:bCs/>
          <w:sz w:val="20"/>
          <w:szCs w:val="20"/>
          <w:rtl/>
        </w:rPr>
        <w:t>صيانة وإنقاذ التراث الوطني خاصة الغير المكتوب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</w:p>
    <w:p w:rsidR="002F500F" w:rsidRPr="00AA5C37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</w:t>
      </w:r>
      <w:r w:rsidRPr="00AA5C37">
        <w:rPr>
          <w:rFonts w:eastAsia="Times New Roman"/>
          <w:b/>
          <w:bCs/>
          <w:sz w:val="20"/>
          <w:szCs w:val="20"/>
        </w:rPr>
        <w:t xml:space="preserve">   • </w:t>
      </w:r>
      <w:r w:rsidRPr="00AA5C37">
        <w:rPr>
          <w:rFonts w:eastAsia="Times New Roman"/>
          <w:b/>
          <w:bCs/>
          <w:sz w:val="20"/>
          <w:szCs w:val="20"/>
          <w:rtl/>
        </w:rPr>
        <w:t>صون التراث المتحفي بتوفير شروط الحماية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والمحافظة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</w:p>
    <w:p w:rsidR="002F500F" w:rsidRPr="00AA5C37" w:rsidRDefault="002F500F" w:rsidP="002F500F">
      <w:pPr>
        <w:framePr w:hSpace="141" w:wrap="around" w:vAnchor="text" w:hAnchor="margin" w:xAlign="center" w:y="301"/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</w:t>
      </w:r>
      <w:r w:rsidRPr="00AA5C37">
        <w:rPr>
          <w:rFonts w:eastAsia="Times New Roman"/>
          <w:b/>
          <w:bCs/>
          <w:sz w:val="20"/>
          <w:szCs w:val="20"/>
        </w:rPr>
        <w:t xml:space="preserve">   • </w:t>
      </w:r>
      <w:r w:rsidRPr="00AA5C37">
        <w:rPr>
          <w:rFonts w:eastAsia="Times New Roman"/>
          <w:b/>
          <w:bCs/>
          <w:sz w:val="20"/>
          <w:szCs w:val="20"/>
          <w:rtl/>
        </w:rPr>
        <w:t>تطبيق النصوص القانونية المتعلقة بحماية التراث</w:t>
      </w:r>
    </w:p>
    <w:p w:rsidR="000668D3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</w:t>
      </w:r>
      <w:r w:rsidRPr="00AA5C37">
        <w:rPr>
          <w:rFonts w:eastAsia="Times New Roman"/>
          <w:b/>
          <w:bCs/>
          <w:sz w:val="20"/>
          <w:szCs w:val="20"/>
        </w:rPr>
        <w:t xml:space="preserve">   • </w:t>
      </w:r>
      <w:r w:rsidRPr="00AA5C37">
        <w:rPr>
          <w:rFonts w:eastAsia="Times New Roman"/>
          <w:b/>
          <w:bCs/>
          <w:sz w:val="20"/>
          <w:szCs w:val="20"/>
          <w:rtl/>
        </w:rPr>
        <w:t>تنمية التراث الثقافي والتعريف به</w:t>
      </w:r>
    </w:p>
    <w:p w:rsidR="002F500F" w:rsidRP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r w:rsidRPr="002F500F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2 ـ </w:t>
      </w:r>
      <w:proofErr w:type="gramStart"/>
      <w:r w:rsidRPr="002F500F">
        <w:rPr>
          <w:rFonts w:eastAsia="Times New Roman"/>
          <w:b/>
          <w:bCs/>
          <w:sz w:val="24"/>
          <w:szCs w:val="24"/>
          <w:u w:val="single"/>
          <w:rtl/>
        </w:rPr>
        <w:t>خطوات</w:t>
      </w:r>
      <w:proofErr w:type="gramEnd"/>
      <w:r w:rsidRPr="002F500F">
        <w:rPr>
          <w:rFonts w:eastAsia="Times New Roman"/>
          <w:b/>
          <w:bCs/>
          <w:sz w:val="24"/>
          <w:szCs w:val="24"/>
          <w:u w:val="single"/>
          <w:rtl/>
        </w:rPr>
        <w:t xml:space="preserve"> تنظيم</w:t>
      </w:r>
      <w:r w:rsidRPr="002F500F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</w:t>
      </w:r>
      <w:r w:rsidRPr="002F500F">
        <w:rPr>
          <w:rFonts w:eastAsia="Times New Roman"/>
          <w:b/>
          <w:bCs/>
          <w:sz w:val="24"/>
          <w:szCs w:val="24"/>
          <w:u w:val="single"/>
          <w:rtl/>
        </w:rPr>
        <w:t>معرض حول التراث</w:t>
      </w:r>
      <w:r w:rsidRPr="002F500F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</w:t>
      </w:r>
      <w:r w:rsidRPr="002F500F">
        <w:rPr>
          <w:rFonts w:eastAsia="Times New Roman"/>
          <w:b/>
          <w:bCs/>
          <w:sz w:val="24"/>
          <w:szCs w:val="24"/>
          <w:u w:val="single"/>
          <w:rtl/>
        </w:rPr>
        <w:t>المغربي وإعداد دليل</w:t>
      </w:r>
      <w:r w:rsidRPr="002F500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2F500F">
        <w:rPr>
          <w:rFonts w:eastAsia="Times New Roman"/>
          <w:b/>
          <w:bCs/>
          <w:sz w:val="24"/>
          <w:szCs w:val="24"/>
          <w:u w:val="single"/>
          <w:rtl/>
        </w:rPr>
        <w:t>حو</w:t>
      </w:r>
      <w:r w:rsidRPr="002F500F">
        <w:rPr>
          <w:rFonts w:eastAsia="Times New Roman" w:hint="cs"/>
          <w:b/>
          <w:bCs/>
          <w:sz w:val="24"/>
          <w:szCs w:val="24"/>
          <w:u w:val="single"/>
          <w:rtl/>
        </w:rPr>
        <w:t>ل</w:t>
      </w:r>
      <w:r w:rsidRPr="002F500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2F500F">
        <w:rPr>
          <w:rFonts w:eastAsia="Times New Roman"/>
          <w:b/>
          <w:bCs/>
          <w:sz w:val="24"/>
          <w:szCs w:val="24"/>
          <w:u w:val="single"/>
          <w:rtl/>
        </w:rPr>
        <w:t>الآثار</w:t>
      </w:r>
      <w:r w:rsidRPr="002F500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2F500F">
        <w:rPr>
          <w:rFonts w:eastAsia="Times New Roman"/>
          <w:b/>
          <w:bCs/>
          <w:sz w:val="24"/>
          <w:szCs w:val="24"/>
          <w:u w:val="single"/>
          <w:rtl/>
        </w:rPr>
        <w:t>بالجهة</w:t>
      </w:r>
    </w:p>
    <w:p w:rsidR="002F500F" w:rsidRP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2 ـ 1 خطوات تنظيم</w:t>
      </w:r>
      <w:r w:rsidRPr="002F500F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معرض </w:t>
      </w:r>
      <w:proofErr w:type="gramStart"/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>عن</w:t>
      </w:r>
      <w:proofErr w:type="gramEnd"/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تنوع</w:t>
      </w:r>
      <w:r w:rsidRPr="002F500F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>التراث</w:t>
      </w:r>
    </w:p>
    <w:p w:rsid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AA5C37">
        <w:rPr>
          <w:rFonts w:eastAsia="Times New Roman"/>
          <w:b/>
          <w:bCs/>
          <w:sz w:val="20"/>
          <w:szCs w:val="20"/>
          <w:rtl/>
        </w:rPr>
        <w:t>الإعداد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المادي لتنظيم المعرض</w:t>
      </w:r>
      <w:r w:rsidRPr="00AA5C37">
        <w:rPr>
          <w:rFonts w:eastAsia="Times New Roman"/>
          <w:b/>
          <w:bCs/>
          <w:sz w:val="20"/>
          <w:szCs w:val="20"/>
        </w:rPr>
        <w:t xml:space="preserve">   </w:t>
      </w:r>
    </w:p>
    <w:p w:rsid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جمع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المواد الفنية</w:t>
      </w:r>
      <w:r w:rsidRPr="00AA5C37">
        <w:rPr>
          <w:rFonts w:eastAsia="Times New Roman"/>
          <w:b/>
          <w:bCs/>
          <w:sz w:val="20"/>
          <w:szCs w:val="20"/>
        </w:rPr>
        <w:t xml:space="preserve">   </w:t>
      </w:r>
    </w:p>
    <w:p w:rsidR="002F500F" w:rsidRPr="00A8021B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ترتيب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المواد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وتصنيفها</w:t>
      </w:r>
      <w:proofErr w:type="gramEnd"/>
    </w:p>
    <w:p w:rsid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 w:rsidRPr="00AA5C37">
        <w:rPr>
          <w:rFonts w:eastAsia="Times New Roman"/>
          <w:b/>
          <w:bCs/>
          <w:sz w:val="20"/>
          <w:szCs w:val="20"/>
        </w:rPr>
        <w:t>   </w:t>
      </w:r>
      <w:r>
        <w:rPr>
          <w:rFonts w:eastAsia="Times New Roman" w:hint="cs"/>
          <w:b/>
          <w:bCs/>
          <w:sz w:val="20"/>
          <w:szCs w:val="20"/>
          <w:rtl/>
        </w:rPr>
        <w:t xml:space="preserve"> ـ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تنظيم</w:t>
      </w:r>
      <w:proofErr w:type="gramEnd"/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قاعة العرض واستقبال الزوار</w:t>
      </w:r>
    </w:p>
    <w:p w:rsid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 w:rsidRPr="00AA5C37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ـ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تقويم</w:t>
      </w:r>
      <w:proofErr w:type="gramEnd"/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التجربة وإيصالها إلى الآخرين</w:t>
      </w:r>
    </w:p>
    <w:p w:rsidR="002F500F" w:rsidRP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2 ـ 2 منهجية </w:t>
      </w:r>
      <w:proofErr w:type="gramStart"/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>إعداد</w:t>
      </w:r>
      <w:r w:rsidRPr="002F500F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F500F">
        <w:rPr>
          <w:rFonts w:eastAsia="Times New Roman" w:hint="cs"/>
          <w:u w:val="single"/>
          <w:rtl/>
          <w:lang w:bidi="ar-MA"/>
        </w:rPr>
        <w:t xml:space="preserve"> </w:t>
      </w:r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>دليل</w:t>
      </w:r>
      <w:proofErr w:type="gramEnd"/>
      <w:r w:rsidRPr="002F500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حول الآثار</w:t>
      </w:r>
    </w:p>
    <w:p w:rsid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AA5C37">
        <w:rPr>
          <w:rFonts w:eastAsia="Times New Roman"/>
          <w:b/>
          <w:bCs/>
          <w:sz w:val="20"/>
          <w:szCs w:val="20"/>
          <w:rtl/>
        </w:rPr>
        <w:t>جمع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المعطيات عن طريق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رصد</w:t>
      </w:r>
      <w:proofErr w:type="gramEnd"/>
      <w:r w:rsidRPr="00AA5C37">
        <w:rPr>
          <w:rFonts w:eastAsia="Times New Roman"/>
          <w:b/>
          <w:bCs/>
          <w:sz w:val="20"/>
          <w:szCs w:val="20"/>
          <w:rtl/>
        </w:rPr>
        <w:t xml:space="preserve"> الآثار بالجهة</w:t>
      </w:r>
      <w:bookmarkStart w:id="0" w:name="_GoBack"/>
      <w:bookmarkEnd w:id="0"/>
    </w:p>
    <w:p w:rsid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 w:rsidRPr="00AA5C37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دراسة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المعالم الأثرية بالجهة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وتصنيفها</w:t>
      </w:r>
      <w:proofErr w:type="gramEnd"/>
    </w:p>
    <w:p w:rsidR="002F500F" w:rsidRPr="00AA5C37" w:rsidRDefault="002F500F" w:rsidP="002F500F">
      <w:pPr>
        <w:bidi/>
        <w:spacing w:line="240" w:lineRule="auto"/>
        <w:rPr>
          <w:rFonts w:eastAsia="Times New Roman"/>
        </w:rPr>
      </w:pPr>
      <w:r w:rsidRPr="00AA5C37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إنجاز</w:t>
      </w:r>
      <w:proofErr w:type="gramEnd"/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دليل عن هذه الآثار</w:t>
      </w:r>
    </w:p>
    <w:p w:rsidR="002F500F" w:rsidRDefault="002F500F" w:rsidP="002F500F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r w:rsidRPr="00AA5C37">
        <w:rPr>
          <w:rFonts w:eastAsia="Times New Roman"/>
          <w:b/>
          <w:bCs/>
          <w:sz w:val="20"/>
          <w:szCs w:val="20"/>
        </w:rPr>
        <w:t>  </w:t>
      </w:r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AA5C37">
        <w:rPr>
          <w:rFonts w:eastAsia="Times New Roman"/>
          <w:b/>
          <w:bCs/>
          <w:sz w:val="20"/>
          <w:szCs w:val="20"/>
          <w:rtl/>
        </w:rPr>
        <w:t xml:space="preserve">استثمار الدليل عن طريق المجلة الحائطية </w:t>
      </w:r>
      <w:proofErr w:type="gramStart"/>
      <w:r w:rsidRPr="00AA5C37">
        <w:rPr>
          <w:rFonts w:eastAsia="Times New Roman"/>
          <w:b/>
          <w:bCs/>
          <w:sz w:val="20"/>
          <w:szCs w:val="20"/>
          <w:rtl/>
        </w:rPr>
        <w:t>والمكتبة</w:t>
      </w:r>
      <w:proofErr w:type="gramEnd"/>
      <w:r w:rsidRPr="00AA5C37">
        <w:rPr>
          <w:rFonts w:eastAsia="Times New Roman"/>
          <w:b/>
          <w:bCs/>
          <w:sz w:val="20"/>
          <w:szCs w:val="20"/>
        </w:rPr>
        <w:t> </w:t>
      </w:r>
      <w:r w:rsidRPr="00AA5C37">
        <w:rPr>
          <w:rFonts w:eastAsia="Times New Roman"/>
          <w:b/>
          <w:bCs/>
          <w:sz w:val="20"/>
          <w:szCs w:val="20"/>
          <w:rtl/>
        </w:rPr>
        <w:t>المدرسية</w:t>
      </w:r>
    </w:p>
    <w:p w:rsidR="002F500F" w:rsidRDefault="002F500F" w:rsidP="002F500F">
      <w:pPr>
        <w:bidi/>
        <w:spacing w:line="240" w:lineRule="auto"/>
      </w:pPr>
      <w:proofErr w:type="gramStart"/>
      <w:r w:rsidRPr="002F500F">
        <w:rPr>
          <w:rFonts w:cs="Arabic Transparent" w:hint="cs"/>
          <w:b/>
          <w:bCs/>
          <w:sz w:val="24"/>
          <w:szCs w:val="24"/>
          <w:u w:val="single"/>
          <w:rtl/>
          <w:lang w:bidi="ar-MA"/>
        </w:rPr>
        <w:t>الخاتمة</w:t>
      </w:r>
      <w:r w:rsidRPr="002F500F">
        <w:rPr>
          <w:rFonts w:hint="cs"/>
          <w:u w:val="single"/>
          <w:rtl/>
        </w:rPr>
        <w:t xml:space="preserve"> </w:t>
      </w:r>
      <w:r w:rsidRPr="002F500F">
        <w:rPr>
          <w:rFonts w:hint="cs"/>
          <w:b/>
          <w:bCs/>
          <w:u w:val="single"/>
          <w:rtl/>
        </w:rPr>
        <w:t>:</w:t>
      </w:r>
      <w:proofErr w:type="gramEnd"/>
      <w:r w:rsidRPr="00AA5C37">
        <w:rPr>
          <w:rFonts w:eastAsia="Times New Roman"/>
          <w:b/>
          <w:bCs/>
          <w:sz w:val="20"/>
          <w:szCs w:val="20"/>
          <w:rtl/>
        </w:rPr>
        <w:t xml:space="preserve"> يعتبر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التراث الوطني من مقومات الهوية الثقافية للبلد</w:t>
      </w:r>
      <w:r w:rsidRPr="00AA5C37">
        <w:rPr>
          <w:rFonts w:eastAsia="Times New Roman"/>
          <w:b/>
          <w:bCs/>
          <w:sz w:val="20"/>
          <w:szCs w:val="20"/>
        </w:rPr>
        <w:t xml:space="preserve"> </w:t>
      </w:r>
      <w:r w:rsidRPr="00AA5C37">
        <w:rPr>
          <w:rFonts w:eastAsia="Times New Roman"/>
          <w:b/>
          <w:bCs/>
          <w:sz w:val="20"/>
          <w:szCs w:val="20"/>
          <w:rtl/>
        </w:rPr>
        <w:t>لذا من واجبنا حمايته وتطويره</w:t>
      </w:r>
    </w:p>
    <w:sectPr w:rsidR="002F5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6B" w:rsidRDefault="0063106B" w:rsidP="002F500F">
      <w:pPr>
        <w:spacing w:after="0" w:line="240" w:lineRule="auto"/>
      </w:pPr>
      <w:r>
        <w:separator/>
      </w:r>
    </w:p>
  </w:endnote>
  <w:endnote w:type="continuationSeparator" w:id="0">
    <w:p w:rsidR="0063106B" w:rsidRDefault="0063106B" w:rsidP="002F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8F" w:rsidRDefault="00065E8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8F" w:rsidRDefault="00065E8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8F" w:rsidRDefault="00065E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6B" w:rsidRDefault="0063106B" w:rsidP="002F500F">
      <w:pPr>
        <w:spacing w:after="0" w:line="240" w:lineRule="auto"/>
      </w:pPr>
      <w:r>
        <w:separator/>
      </w:r>
    </w:p>
  </w:footnote>
  <w:footnote w:type="continuationSeparator" w:id="0">
    <w:p w:rsidR="0063106B" w:rsidRDefault="0063106B" w:rsidP="002F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8F" w:rsidRDefault="00065E8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30816" o:spid="_x0000_s2050" type="#_x0000_t136" style="position:absolute;margin-left:0;margin-top:0;width:519.55pt;height:119.9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0F" w:rsidRPr="002F500F" w:rsidRDefault="00065E8F" w:rsidP="002F500F">
    <w:pPr>
      <w:bidi/>
      <w:spacing w:line="240" w:lineRule="auto"/>
      <w:jc w:val="center"/>
      <w:rPr>
        <w:rFonts w:cs="Arabic Transparent"/>
        <w:i/>
        <w:iCs/>
        <w:sz w:val="36"/>
        <w:szCs w:val="36"/>
        <w:u w:val="single"/>
        <w:lang w:bidi="ar-M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30817" o:spid="_x0000_s2051" type="#_x0000_t136" style="position:absolute;left:0;text-align:left;margin-left:0;margin-top:0;width:519.55pt;height:119.9pt;rotation:315;z-index:-251653120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  <w:r w:rsidR="002F500F" w:rsidRPr="002F500F">
      <w:rPr>
        <w:rFonts w:asciiTheme="minorBidi" w:hAnsiTheme="minorBidi"/>
        <w:i/>
        <w:iCs/>
        <w:sz w:val="40"/>
        <w:szCs w:val="40"/>
        <w:u w:val="single"/>
        <w:rtl/>
        <w:lang w:bidi="ar-MA"/>
      </w:rPr>
      <w:t xml:space="preserve">الحفاظ </w:t>
    </w:r>
    <w:r w:rsidR="002F500F" w:rsidRPr="002F500F">
      <w:rPr>
        <w:rFonts w:asciiTheme="minorBidi" w:hAnsiTheme="minorBidi" w:hint="cs"/>
        <w:i/>
        <w:iCs/>
        <w:sz w:val="40"/>
        <w:szCs w:val="40"/>
        <w:u w:val="single"/>
        <w:rtl/>
        <w:lang w:bidi="ar-MA"/>
      </w:rPr>
      <w:t>ع</w:t>
    </w:r>
    <w:r w:rsidR="002F500F" w:rsidRPr="002F500F">
      <w:rPr>
        <w:rFonts w:asciiTheme="minorBidi" w:hAnsiTheme="minorBidi"/>
        <w:i/>
        <w:iCs/>
        <w:sz w:val="40"/>
        <w:szCs w:val="40"/>
        <w:u w:val="single"/>
        <w:rtl/>
        <w:lang w:bidi="ar-MA"/>
      </w:rPr>
      <w:t xml:space="preserve">لى التراث </w:t>
    </w:r>
    <w:proofErr w:type="gramStart"/>
    <w:r w:rsidR="002F500F" w:rsidRPr="002F500F">
      <w:rPr>
        <w:rFonts w:asciiTheme="minorBidi" w:hAnsiTheme="minorBidi"/>
        <w:i/>
        <w:iCs/>
        <w:sz w:val="40"/>
        <w:szCs w:val="40"/>
        <w:u w:val="single"/>
        <w:rtl/>
        <w:lang w:bidi="ar-MA"/>
      </w:rPr>
      <w:t>وتطويره</w:t>
    </w:r>
    <w:proofErr w:type="gramEnd"/>
  </w:p>
  <w:p w:rsidR="002F500F" w:rsidRDefault="002F500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8F" w:rsidRDefault="00065E8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30815" o:spid="_x0000_s2049" type="#_x0000_t136" style="position:absolute;margin-left:0;margin-top:0;width:519.55pt;height:119.9pt;rotation:315;z-index:-25165721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0F"/>
    <w:rsid w:val="00065E8F"/>
    <w:rsid w:val="000668D3"/>
    <w:rsid w:val="002F500F"/>
    <w:rsid w:val="0063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00F"/>
  </w:style>
  <w:style w:type="paragraph" w:styleId="Pieddepage">
    <w:name w:val="footer"/>
    <w:basedOn w:val="Normal"/>
    <w:link w:val="PieddepageCar"/>
    <w:uiPriority w:val="99"/>
    <w:unhideWhenUsed/>
    <w:rsid w:val="002F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00F"/>
  </w:style>
  <w:style w:type="paragraph" w:styleId="Pieddepage">
    <w:name w:val="footer"/>
    <w:basedOn w:val="Normal"/>
    <w:link w:val="PieddepageCar"/>
    <w:uiPriority w:val="99"/>
    <w:unhideWhenUsed/>
    <w:rsid w:val="002F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7C17-ABA1-4925-8781-2B4E235A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2</cp:revision>
  <dcterms:created xsi:type="dcterms:W3CDTF">2016-02-10T19:45:00Z</dcterms:created>
  <dcterms:modified xsi:type="dcterms:W3CDTF">2016-02-10T19:45:00Z</dcterms:modified>
</cp:coreProperties>
</file>