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page" w:tblpX="7111" w:tblpY="271"/>
        <w:tblW w:w="45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9"/>
        <w:gridCol w:w="510"/>
        <w:gridCol w:w="2421"/>
      </w:tblGrid>
      <w:tr w:rsidR="00BB532D" w:rsidTr="00BB532D">
        <w:trPr>
          <w:trHeight w:val="154"/>
        </w:trPr>
        <w:tc>
          <w:tcPr>
            <w:tcW w:w="1569" w:type="dxa"/>
            <w:hideMark/>
          </w:tcPr>
          <w:p w:rsidR="00BB532D" w:rsidRDefault="00BB532D" w:rsidP="00BB532D">
            <w:pPr>
              <w:jc w:val="right"/>
              <w:rPr>
                <w:rFonts w:ascii="Tahoma" w:hAnsi="Tahoma"/>
                <w:color w:val="0000FF"/>
                <w:lang w:eastAsia="en-US"/>
              </w:rPr>
            </w:pPr>
          </w:p>
        </w:tc>
        <w:tc>
          <w:tcPr>
            <w:tcW w:w="510" w:type="dxa"/>
          </w:tcPr>
          <w:p w:rsidR="00BB532D" w:rsidRDefault="00BB532D" w:rsidP="00BB532D">
            <w:pPr>
              <w:jc w:val="right"/>
              <w:rPr>
                <w:rFonts w:ascii="Tahoma" w:hAnsi="Tahoma"/>
                <w:color w:val="0000FF"/>
                <w:szCs w:val="20"/>
                <w:lang w:eastAsia="en-US"/>
              </w:rPr>
            </w:pPr>
          </w:p>
        </w:tc>
        <w:tc>
          <w:tcPr>
            <w:tcW w:w="2421" w:type="dxa"/>
          </w:tcPr>
          <w:p w:rsidR="00BB532D" w:rsidRPr="00BB532D" w:rsidRDefault="00BB532D" w:rsidP="00BB532D">
            <w:pPr>
              <w:spacing w:line="276" w:lineRule="auto"/>
              <w:jc w:val="center"/>
              <w:rPr>
                <w:rFonts w:ascii="Tahoma" w:hAnsi="Tahoma"/>
                <w:i/>
                <w:color w:val="000000" w:themeColor="text1"/>
                <w:szCs w:val="20"/>
                <w:lang w:eastAsia="en-US"/>
              </w:rPr>
            </w:pPr>
            <w:r w:rsidRPr="00BB532D">
              <w:rPr>
                <w:rFonts w:ascii="Tahoma" w:hAnsi="Tahoma"/>
                <w:i/>
                <w:color w:val="000000" w:themeColor="text1"/>
                <w:sz w:val="22"/>
                <w:lang w:eastAsia="en-US"/>
              </w:rPr>
              <w:t xml:space="preserve">Service des Maladies </w:t>
            </w:r>
            <w:proofErr w:type="spellStart"/>
            <w:r w:rsidRPr="00BB532D">
              <w:rPr>
                <w:rFonts w:ascii="Tahoma" w:hAnsi="Tahoma"/>
                <w:i/>
                <w:color w:val="000000" w:themeColor="text1"/>
                <w:sz w:val="22"/>
                <w:lang w:eastAsia="en-US"/>
              </w:rPr>
              <w:t>dépitantes</w:t>
            </w:r>
            <w:proofErr w:type="spellEnd"/>
            <w:r w:rsidRPr="00BB532D">
              <w:rPr>
                <w:rFonts w:ascii="Tahoma" w:hAnsi="Tahoma"/>
                <w:i/>
                <w:color w:val="000000" w:themeColor="text1"/>
                <w:sz w:val="22"/>
                <w:lang w:eastAsia="en-US"/>
              </w:rPr>
              <w:t xml:space="preserve"> et dégoûtantes</w:t>
            </w:r>
          </w:p>
          <w:p w:rsidR="00BB532D" w:rsidRPr="00BB532D" w:rsidRDefault="00BB532D" w:rsidP="00BB532D">
            <w:pPr>
              <w:spacing w:line="276" w:lineRule="auto"/>
              <w:jc w:val="center"/>
              <w:rPr>
                <w:rFonts w:ascii="Tahoma" w:hAnsi="Tahoma"/>
                <w:i/>
                <w:color w:val="000000" w:themeColor="text1"/>
                <w:szCs w:val="20"/>
                <w:lang w:eastAsia="en-US"/>
              </w:rPr>
            </w:pPr>
            <w:r w:rsidRPr="00BB532D">
              <w:rPr>
                <w:rFonts w:ascii="Tahoma" w:hAnsi="Tahoma"/>
                <w:i/>
                <w:color w:val="000000" w:themeColor="text1"/>
                <w:sz w:val="22"/>
                <w:lang w:eastAsia="en-US"/>
              </w:rPr>
              <w:t xml:space="preserve">Docteur </w:t>
            </w:r>
            <w:r w:rsidRPr="00BB532D">
              <w:rPr>
                <w:rFonts w:ascii="Tahoma" w:hAnsi="Tahoma"/>
                <w:b/>
                <w:i/>
                <w:color w:val="000000" w:themeColor="text1"/>
                <w:sz w:val="22"/>
                <w:lang w:eastAsia="en-US"/>
              </w:rPr>
              <w:t xml:space="preserve">LAPINCE </w:t>
            </w:r>
            <w:r w:rsidRPr="00BB532D">
              <w:rPr>
                <w:rFonts w:ascii="Tahoma" w:hAnsi="Tahoma"/>
                <w:i/>
                <w:color w:val="000000" w:themeColor="text1"/>
                <w:sz w:val="22"/>
                <w:lang w:eastAsia="en-US"/>
              </w:rPr>
              <w:t>–Chef de Service</w:t>
            </w:r>
          </w:p>
          <w:p w:rsidR="00BB532D" w:rsidRPr="00BB532D" w:rsidRDefault="00BB532D" w:rsidP="00BB532D">
            <w:pPr>
              <w:spacing w:line="276" w:lineRule="auto"/>
              <w:jc w:val="center"/>
              <w:rPr>
                <w:rFonts w:ascii="Tahoma" w:hAnsi="Tahoma"/>
                <w:i/>
                <w:color w:val="000000" w:themeColor="text1"/>
                <w:szCs w:val="20"/>
                <w:lang w:eastAsia="en-US"/>
              </w:rPr>
            </w:pPr>
          </w:p>
          <w:p w:rsidR="00BB532D" w:rsidRPr="00BB532D" w:rsidRDefault="00BB532D" w:rsidP="00BB532D">
            <w:pPr>
              <w:spacing w:line="276" w:lineRule="auto"/>
              <w:jc w:val="center"/>
              <w:rPr>
                <w:rFonts w:ascii="Tahoma" w:hAnsi="Tahoma"/>
                <w:i/>
                <w:color w:val="000000" w:themeColor="text1"/>
                <w:szCs w:val="20"/>
                <w:lang w:eastAsia="en-US"/>
              </w:rPr>
            </w:pPr>
            <w:r w:rsidRPr="00BB532D">
              <w:rPr>
                <w:rFonts w:ascii="Tahoma" w:hAnsi="Tahoma"/>
                <w:i/>
                <w:color w:val="000000" w:themeColor="text1"/>
                <w:sz w:val="22"/>
                <w:lang w:eastAsia="en-US"/>
              </w:rPr>
              <w:t xml:space="preserve">Hôpital du fond du trou, 13 </w:t>
            </w:r>
            <w:proofErr w:type="gramStart"/>
            <w:r w:rsidRPr="00BB532D">
              <w:rPr>
                <w:rFonts w:ascii="Tahoma" w:hAnsi="Tahoma"/>
                <w:i/>
                <w:color w:val="000000" w:themeColor="text1"/>
                <w:sz w:val="22"/>
                <w:lang w:eastAsia="en-US"/>
              </w:rPr>
              <w:t>place</w:t>
            </w:r>
            <w:proofErr w:type="gramEnd"/>
            <w:r w:rsidRPr="00BB532D">
              <w:rPr>
                <w:rFonts w:ascii="Tahoma" w:hAnsi="Tahoma"/>
                <w:i/>
                <w:color w:val="000000" w:themeColor="text1"/>
                <w:sz w:val="22"/>
                <w:lang w:eastAsia="en-US"/>
              </w:rPr>
              <w:t xml:space="preserve"> des ossements moisis</w:t>
            </w:r>
          </w:p>
          <w:p w:rsidR="00BB532D" w:rsidRPr="00BB532D" w:rsidRDefault="00BB532D" w:rsidP="00BB532D">
            <w:pPr>
              <w:spacing w:line="276" w:lineRule="auto"/>
              <w:jc w:val="center"/>
              <w:rPr>
                <w:rFonts w:ascii="Tahoma" w:hAnsi="Tahoma"/>
                <w:i/>
                <w:color w:val="000000" w:themeColor="text1"/>
                <w:szCs w:val="20"/>
                <w:lang w:eastAsia="en-US"/>
              </w:rPr>
            </w:pPr>
            <w:r w:rsidRPr="00BB532D">
              <w:rPr>
                <w:rFonts w:ascii="Tahoma" w:hAnsi="Tahoma"/>
                <w:i/>
                <w:color w:val="000000" w:themeColor="text1"/>
                <w:sz w:val="22"/>
                <w:lang w:eastAsia="en-US"/>
              </w:rPr>
              <w:t>66666 – 6</w:t>
            </w:r>
            <w:r w:rsidRPr="00BB532D">
              <w:rPr>
                <w:rFonts w:ascii="Tahoma" w:hAnsi="Tahoma"/>
                <w:i/>
                <w:color w:val="000000" w:themeColor="text1"/>
                <w:sz w:val="22"/>
                <w:vertAlign w:val="superscript"/>
                <w:lang w:eastAsia="en-US"/>
              </w:rPr>
              <w:t>ème</w:t>
            </w:r>
            <w:r w:rsidRPr="00BB532D">
              <w:rPr>
                <w:rFonts w:ascii="Tahoma" w:hAnsi="Tahoma"/>
                <w:i/>
                <w:color w:val="000000" w:themeColor="text1"/>
                <w:sz w:val="22"/>
                <w:lang w:eastAsia="en-US"/>
              </w:rPr>
              <w:t xml:space="preserve"> </w:t>
            </w:r>
            <w:proofErr w:type="gramStart"/>
            <w:r w:rsidRPr="00BB532D">
              <w:rPr>
                <w:rFonts w:ascii="Tahoma" w:hAnsi="Tahoma"/>
                <w:i/>
                <w:color w:val="000000" w:themeColor="text1"/>
                <w:sz w:val="22"/>
                <w:lang w:eastAsia="en-US"/>
              </w:rPr>
              <w:t>cercle</w:t>
            </w:r>
            <w:proofErr w:type="gramEnd"/>
            <w:r w:rsidRPr="00BB532D">
              <w:rPr>
                <w:rFonts w:ascii="Tahoma" w:hAnsi="Tahoma"/>
                <w:i/>
                <w:color w:val="000000" w:themeColor="text1"/>
                <w:sz w:val="22"/>
                <w:lang w:eastAsia="en-US"/>
              </w:rPr>
              <w:t xml:space="preserve"> de l’enfer</w:t>
            </w:r>
          </w:p>
          <w:p w:rsidR="00BB532D" w:rsidRDefault="00BB532D" w:rsidP="00BB532D">
            <w:pPr>
              <w:spacing w:line="276" w:lineRule="auto"/>
              <w:jc w:val="center"/>
              <w:rPr>
                <w:rFonts w:ascii="Tahoma" w:hAnsi="Tahoma"/>
                <w:color w:val="0000FF"/>
                <w:szCs w:val="20"/>
                <w:lang w:eastAsia="en-US"/>
              </w:rPr>
            </w:pPr>
          </w:p>
          <w:p w:rsidR="00BB532D" w:rsidRDefault="00BB532D" w:rsidP="00BB532D">
            <w:pPr>
              <w:spacing w:line="276" w:lineRule="auto"/>
              <w:jc w:val="center"/>
              <w:rPr>
                <w:rFonts w:ascii="Tahoma" w:hAnsi="Tahoma"/>
                <w:color w:val="0000FF"/>
                <w:lang w:eastAsia="en-US"/>
              </w:rPr>
            </w:pPr>
          </w:p>
          <w:p w:rsidR="00BB532D" w:rsidRDefault="00BB532D" w:rsidP="00BB532D">
            <w:pPr>
              <w:spacing w:line="276" w:lineRule="auto"/>
              <w:jc w:val="center"/>
              <w:rPr>
                <w:rFonts w:ascii="Tahoma" w:hAnsi="Tahoma"/>
                <w:color w:val="0000FF"/>
                <w:lang w:eastAsia="en-US"/>
              </w:rPr>
            </w:pPr>
          </w:p>
          <w:p w:rsidR="00BB532D" w:rsidRDefault="00BB532D" w:rsidP="00BB532D">
            <w:pPr>
              <w:spacing w:line="276" w:lineRule="auto"/>
              <w:jc w:val="center"/>
              <w:rPr>
                <w:rFonts w:ascii="Tahoma" w:hAnsi="Tahoma"/>
                <w:color w:val="0000FF"/>
                <w:lang w:eastAsia="en-US"/>
              </w:rPr>
            </w:pPr>
          </w:p>
          <w:p w:rsidR="00BB532D" w:rsidRDefault="00BB532D" w:rsidP="00BB532D">
            <w:pPr>
              <w:spacing w:line="276" w:lineRule="auto"/>
              <w:jc w:val="center"/>
              <w:rPr>
                <w:rFonts w:ascii="Tahoma" w:hAnsi="Tahoma"/>
                <w:color w:val="0000FF"/>
                <w:lang w:eastAsia="en-US"/>
              </w:rPr>
            </w:pPr>
          </w:p>
          <w:p w:rsidR="00BB532D" w:rsidRDefault="00BB532D" w:rsidP="00BB532D">
            <w:pPr>
              <w:spacing w:line="276" w:lineRule="auto"/>
              <w:rPr>
                <w:rFonts w:ascii="Tahoma" w:hAnsi="Tahoma"/>
                <w:color w:val="0000FF"/>
                <w:lang w:eastAsia="en-US"/>
              </w:rPr>
            </w:pPr>
          </w:p>
          <w:p w:rsidR="00BB532D" w:rsidRDefault="00BB532D" w:rsidP="00BB532D">
            <w:pPr>
              <w:spacing w:line="276" w:lineRule="auto"/>
              <w:rPr>
                <w:rFonts w:ascii="Tahoma" w:hAnsi="Tahoma"/>
                <w:color w:val="0000FF"/>
                <w:lang w:eastAsia="en-US"/>
              </w:rPr>
            </w:pPr>
          </w:p>
          <w:p w:rsidR="00BB532D" w:rsidRDefault="00BB532D" w:rsidP="00BB532D">
            <w:pPr>
              <w:spacing w:line="276" w:lineRule="auto"/>
              <w:rPr>
                <w:rFonts w:ascii="Tahoma" w:hAnsi="Tahoma"/>
                <w:color w:val="0000FF"/>
                <w:szCs w:val="20"/>
                <w:lang w:eastAsia="en-US"/>
              </w:rPr>
            </w:pPr>
          </w:p>
          <w:p w:rsidR="00BB532D" w:rsidRDefault="00BB532D" w:rsidP="00BB532D">
            <w:pPr>
              <w:spacing w:line="276" w:lineRule="auto"/>
              <w:rPr>
                <w:rFonts w:ascii="Tahoma" w:hAnsi="Tahoma"/>
                <w:color w:val="0000FF"/>
                <w:lang w:eastAsia="en-US"/>
              </w:rPr>
            </w:pPr>
          </w:p>
          <w:p w:rsidR="00BB532D" w:rsidRDefault="00BB532D" w:rsidP="00BB532D">
            <w:pPr>
              <w:spacing w:line="276" w:lineRule="auto"/>
              <w:rPr>
                <w:rFonts w:ascii="Arial Unicode MS" w:eastAsia="Arial Unicode MS" w:hAnsi="Arial Unicode MS" w:cs="Arial Unicode MS"/>
                <w:lang w:eastAsia="en-US"/>
              </w:rPr>
            </w:pPr>
          </w:p>
        </w:tc>
      </w:tr>
    </w:tbl>
    <w:p w:rsidR="00B1613C" w:rsidRDefault="00B1613C"/>
    <w:p w:rsidR="00B1613C" w:rsidRDefault="00B1613C"/>
    <w:p w:rsidR="00B1613C" w:rsidRDefault="00B1613C"/>
    <w:p w:rsidR="00B1613C" w:rsidRDefault="00B1613C"/>
    <w:p w:rsidR="00B1613C" w:rsidRDefault="00B1613C"/>
    <w:p w:rsidR="00B1613C" w:rsidRDefault="00B1613C"/>
    <w:p w:rsidR="00B1613C" w:rsidRDefault="00B1613C"/>
    <w:p w:rsidR="00B1613C" w:rsidRDefault="00B1613C"/>
    <w:p w:rsidR="00B1613C" w:rsidRDefault="00B1613C"/>
    <w:p w:rsidR="00715D5A" w:rsidRDefault="00715D5A" w:rsidP="0097434A">
      <w:pPr>
        <w:ind w:firstLine="675"/>
        <w:rPr>
          <w:b/>
          <w:u w:val="single"/>
        </w:rPr>
      </w:pPr>
    </w:p>
    <w:p w:rsidR="00715D5A" w:rsidRPr="00715D5A" w:rsidRDefault="00715D5A" w:rsidP="0097434A">
      <w:pPr>
        <w:ind w:firstLine="675"/>
        <w:rPr>
          <w:u w:val="single"/>
        </w:rPr>
      </w:pPr>
      <w:bookmarkStart w:id="0" w:name="_GoBack"/>
      <w:bookmarkEnd w:id="0"/>
    </w:p>
    <w:p w:rsidR="0097434A" w:rsidRDefault="0097434A" w:rsidP="0097434A">
      <w:pPr>
        <w:ind w:firstLine="675"/>
        <w:rPr>
          <w:color w:val="000000" w:themeColor="text1"/>
        </w:rPr>
      </w:pPr>
    </w:p>
    <w:p w:rsidR="007A7F5F" w:rsidRDefault="007A7F5F" w:rsidP="0097434A">
      <w:pPr>
        <w:ind w:firstLine="675"/>
        <w:rPr>
          <w:color w:val="000000" w:themeColor="text1"/>
        </w:rPr>
      </w:pPr>
    </w:p>
    <w:p w:rsidR="0097434A" w:rsidRDefault="0097434A" w:rsidP="0097434A">
      <w:pPr>
        <w:rPr>
          <w:b/>
          <w:u w:val="single"/>
        </w:rPr>
      </w:pPr>
    </w:p>
    <w:p w:rsidR="0097434A" w:rsidRDefault="0097434A" w:rsidP="0097434A"/>
    <w:p w:rsidR="0097434A" w:rsidRDefault="0097434A" w:rsidP="0097434A"/>
    <w:p w:rsidR="00B1613C" w:rsidRPr="00B1613C" w:rsidRDefault="00B1613C" w:rsidP="00B1613C">
      <w:pPr>
        <w:jc w:val="right"/>
        <w:rPr>
          <w:u w:val="single"/>
        </w:rPr>
      </w:pPr>
      <w:r w:rsidRPr="00B1613C">
        <w:rPr>
          <w:u w:val="single"/>
        </w:rPr>
        <w:t>Le 25</w:t>
      </w:r>
      <w:r w:rsidRPr="00B1613C">
        <w:rPr>
          <w:u w:val="single"/>
          <w:vertAlign w:val="superscript"/>
        </w:rPr>
        <w:t>ème</w:t>
      </w:r>
      <w:r w:rsidR="00E950B5">
        <w:rPr>
          <w:u w:val="single"/>
        </w:rPr>
        <w:t xml:space="preserve"> jour du neuvième mois de l’an 2015</w:t>
      </w:r>
      <w:r w:rsidR="00786E1B">
        <w:rPr>
          <w:u w:val="single"/>
        </w:rPr>
        <w:t xml:space="preserve"> </w:t>
      </w:r>
    </w:p>
    <w:p w:rsidR="00B1613C" w:rsidRDefault="00B1613C" w:rsidP="00B1613C"/>
    <w:p w:rsidR="00B1613C" w:rsidRDefault="00B1613C" w:rsidP="00B1613C"/>
    <w:p w:rsidR="00B1613C" w:rsidRDefault="00B1613C" w:rsidP="00B1613C"/>
    <w:p w:rsidR="00B1613C" w:rsidRDefault="00B1613C" w:rsidP="00B1613C">
      <w:pPr>
        <w:rPr>
          <w:b/>
        </w:rPr>
      </w:pPr>
      <w:r w:rsidRPr="00B1613C">
        <w:rPr>
          <w:b/>
        </w:rPr>
        <w:t>Madame Larissa SAPIK</w:t>
      </w:r>
      <w:r>
        <w:rPr>
          <w:b/>
        </w:rPr>
        <w:t> :</w:t>
      </w:r>
    </w:p>
    <w:p w:rsidR="00B1613C" w:rsidRDefault="00B1613C" w:rsidP="00B1613C">
      <w:pPr>
        <w:rPr>
          <w:b/>
        </w:rPr>
      </w:pPr>
    </w:p>
    <w:p w:rsidR="00B1613C" w:rsidRDefault="00B1613C" w:rsidP="00B1613C">
      <w:pPr>
        <w:rPr>
          <w:b/>
        </w:rPr>
      </w:pPr>
    </w:p>
    <w:p w:rsidR="00B1613C" w:rsidRDefault="00B1613C" w:rsidP="00B1613C">
      <w:pPr>
        <w:ind w:left="708" w:hanging="708"/>
      </w:pPr>
      <w:r w:rsidRPr="00B1613C">
        <w:rPr>
          <w:b/>
          <w:u w:val="single"/>
        </w:rPr>
        <w:t xml:space="preserve">1/ </w:t>
      </w:r>
      <w:proofErr w:type="spellStart"/>
      <w:r w:rsidRPr="00B1613C">
        <w:rPr>
          <w:b/>
          <w:u w:val="single"/>
        </w:rPr>
        <w:t>Titanoréïne</w:t>
      </w:r>
      <w:proofErr w:type="spellEnd"/>
      <w:r w:rsidRPr="00B1613C">
        <w:rPr>
          <w:b/>
          <w:u w:val="single"/>
        </w:rPr>
        <w:t xml:space="preserve"> crème : </w:t>
      </w:r>
      <w:r>
        <w:t>1 application une à deux fois par jour, jusqu’</w:t>
      </w:r>
      <w:r w:rsidR="00F86AAE">
        <w:t>à fanaison du chou-</w:t>
      </w:r>
      <w:r>
        <w:t>fleur.</w:t>
      </w:r>
    </w:p>
    <w:p w:rsidR="00B1613C" w:rsidRDefault="00B1613C" w:rsidP="00B1613C">
      <w:pPr>
        <w:ind w:left="708" w:hanging="708"/>
      </w:pPr>
    </w:p>
    <w:p w:rsidR="00B1613C" w:rsidRDefault="00B1613C" w:rsidP="00B1613C">
      <w:pPr>
        <w:ind w:left="708" w:hanging="708"/>
      </w:pPr>
    </w:p>
    <w:p w:rsidR="00B1613C" w:rsidRDefault="00B1613C" w:rsidP="00B1613C">
      <w:pPr>
        <w:ind w:left="708" w:hanging="708"/>
        <w:rPr>
          <w:b/>
          <w:i/>
        </w:rPr>
      </w:pPr>
      <w:r w:rsidRPr="00B1613C">
        <w:rPr>
          <w:b/>
          <w:u w:val="single"/>
        </w:rPr>
        <w:t>2/ Glycérine suppositoires :</w:t>
      </w:r>
      <w:r>
        <w:rPr>
          <w:b/>
          <w:u w:val="single"/>
        </w:rPr>
        <w:t xml:space="preserve"> </w:t>
      </w:r>
      <w:r>
        <w:t xml:space="preserve">1 suppositoire 2 à 3 fois par jour. </w:t>
      </w:r>
      <w:r w:rsidR="00F86AAE" w:rsidRPr="00F86AAE">
        <w:rPr>
          <w:b/>
          <w:i/>
        </w:rPr>
        <w:t>Ne pas mélanger à l’acide nitrique, risque d’explosion</w:t>
      </w:r>
      <w:r w:rsidR="00F86AAE">
        <w:rPr>
          <w:b/>
          <w:i/>
        </w:rPr>
        <w:t xml:space="preserve">. </w:t>
      </w:r>
      <w:r w:rsidR="00F86AAE" w:rsidRPr="0048757C">
        <w:rPr>
          <w:b/>
          <w:i/>
          <w:u w:val="single"/>
        </w:rPr>
        <w:t>En cas de feu d’artifice imprévu, ou si vous veniez à finir en méchoui, le service nierait avoir eu connaissance de vous ou de vos activités.</w:t>
      </w:r>
    </w:p>
    <w:p w:rsidR="00F86AAE" w:rsidRDefault="00F86AAE" w:rsidP="00B1613C">
      <w:pPr>
        <w:ind w:left="708" w:hanging="708"/>
        <w:rPr>
          <w:i/>
        </w:rPr>
      </w:pPr>
    </w:p>
    <w:p w:rsidR="00F86AAE" w:rsidRDefault="00F86AAE" w:rsidP="00B1613C">
      <w:pPr>
        <w:ind w:left="708" w:hanging="708"/>
        <w:rPr>
          <w:b/>
          <w:i/>
        </w:rPr>
      </w:pPr>
      <w:r>
        <w:rPr>
          <w:b/>
          <w:u w:val="single"/>
        </w:rPr>
        <w:t xml:space="preserve">3/ Ibuprofène 400 : </w:t>
      </w:r>
      <w:r w:rsidR="00BB532D">
        <w:t>4 capsules</w:t>
      </w:r>
      <w:r>
        <w:t xml:space="preserve"> 8 à 10 fois par jour, jusqu’à ce que les douleurs ulcéreuses soient suffisamment fortes pour vous faire oublier la douleur anale. </w:t>
      </w:r>
      <w:r>
        <w:rPr>
          <w:b/>
          <w:i/>
        </w:rPr>
        <w:t xml:space="preserve">En cas d’hémorragie digestive </w:t>
      </w:r>
      <w:proofErr w:type="gramStart"/>
      <w:r>
        <w:rPr>
          <w:b/>
          <w:i/>
        </w:rPr>
        <w:t>massive ,</w:t>
      </w:r>
      <w:proofErr w:type="gramEnd"/>
      <w:r>
        <w:rPr>
          <w:b/>
          <w:i/>
        </w:rPr>
        <w:t xml:space="preserve"> avalez une boîte de compresses et 2 litres d’eau glacée ( pour bien imbiber les compresses). </w:t>
      </w:r>
      <w:r w:rsidRPr="00F86AAE">
        <w:rPr>
          <w:b/>
          <w:i/>
          <w:u w:val="single"/>
        </w:rPr>
        <w:t>N’appelez surtout pas le 15 ensuite : Personne ne vous prendra au sérieux si vous expliquez ce que vous venez de faire.</w:t>
      </w:r>
    </w:p>
    <w:p w:rsidR="00F86AAE" w:rsidRDefault="00F86AAE" w:rsidP="00B1613C">
      <w:pPr>
        <w:ind w:left="708" w:hanging="708"/>
        <w:rPr>
          <w:b/>
          <w:i/>
        </w:rPr>
      </w:pPr>
    </w:p>
    <w:p w:rsidR="00F86AAE" w:rsidRPr="00F86AAE" w:rsidRDefault="00F86AAE" w:rsidP="00B1613C">
      <w:pPr>
        <w:ind w:left="708" w:hanging="708"/>
      </w:pPr>
      <w:r w:rsidRPr="00F86AAE">
        <w:rPr>
          <w:b/>
          <w:u w:val="single"/>
        </w:rPr>
        <w:t>4/ Compresses non stériles :</w:t>
      </w:r>
      <w:r>
        <w:t xml:space="preserve"> 1 boîte. Juste au cas où…</w:t>
      </w:r>
    </w:p>
    <w:p w:rsidR="0097434A" w:rsidRDefault="0097434A" w:rsidP="0097434A"/>
    <w:p w:rsidR="0097434A" w:rsidRDefault="0097434A" w:rsidP="0097434A"/>
    <w:p w:rsidR="00300E0A" w:rsidRDefault="00F86AAE">
      <w:r w:rsidRPr="00F86AAE">
        <w:rPr>
          <w:b/>
          <w:u w:val="single"/>
        </w:rPr>
        <w:t xml:space="preserve">5/ </w:t>
      </w:r>
      <w:proofErr w:type="spellStart"/>
      <w:r w:rsidRPr="00F86AAE">
        <w:rPr>
          <w:b/>
          <w:u w:val="single"/>
        </w:rPr>
        <w:t>Omeprazole</w:t>
      </w:r>
      <w:proofErr w:type="spellEnd"/>
      <w:r w:rsidRPr="00F86AAE">
        <w:rPr>
          <w:b/>
          <w:u w:val="single"/>
        </w:rPr>
        <w:t xml:space="preserve"> 20</w:t>
      </w:r>
      <w:r>
        <w:t xml:space="preserve"> : 1 le soir, si vous n’aimez pas les compresses, et que vous préférez la douleur anale aux douleurs </w:t>
      </w:r>
      <w:proofErr w:type="gramStart"/>
      <w:r>
        <w:t>gastriques .</w:t>
      </w:r>
      <w:proofErr w:type="gramEnd"/>
    </w:p>
    <w:p w:rsidR="00F86AAE" w:rsidRDefault="00F86AAE"/>
    <w:p w:rsidR="0048757C" w:rsidRDefault="0048757C"/>
    <w:p w:rsidR="0048757C" w:rsidRDefault="0048757C"/>
    <w:p w:rsidR="0048757C" w:rsidRDefault="0048757C">
      <w:r>
        <w:t>Si les symptômes persistent, consultez un autre médecin.</w:t>
      </w:r>
    </w:p>
    <w:p w:rsidR="0048757C" w:rsidRDefault="0048757C"/>
    <w:p w:rsidR="0048757C" w:rsidRDefault="0048757C"/>
    <w:p w:rsidR="0048757C" w:rsidRDefault="0048757C"/>
    <w:p w:rsidR="0048757C" w:rsidRDefault="0048757C"/>
    <w:p w:rsidR="0048757C" w:rsidRDefault="0048757C" w:rsidP="0048757C">
      <w:pPr>
        <w:jc w:val="right"/>
      </w:pPr>
      <w:r>
        <w:t>Dr LAPINCE</w:t>
      </w:r>
    </w:p>
    <w:p w:rsidR="00F86AAE" w:rsidRDefault="00F86AAE"/>
    <w:p w:rsidR="00F86AAE" w:rsidRDefault="00F86AAE"/>
    <w:p w:rsidR="00F86AAE" w:rsidRDefault="00F86AAE"/>
    <w:sectPr w:rsidR="00F86AAE" w:rsidSect="00300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07CAC"/>
    <w:multiLevelType w:val="hybridMultilevel"/>
    <w:tmpl w:val="D026D8D2"/>
    <w:lvl w:ilvl="0" w:tplc="C79AEC16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BB324A"/>
    <w:multiLevelType w:val="hybridMultilevel"/>
    <w:tmpl w:val="1F24F2D2"/>
    <w:lvl w:ilvl="0" w:tplc="040C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AE3167"/>
    <w:multiLevelType w:val="hybridMultilevel"/>
    <w:tmpl w:val="08E45D12"/>
    <w:lvl w:ilvl="0" w:tplc="C07616B8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434A"/>
    <w:rsid w:val="000479CA"/>
    <w:rsid w:val="00141117"/>
    <w:rsid w:val="001E3665"/>
    <w:rsid w:val="002274E9"/>
    <w:rsid w:val="00300E0A"/>
    <w:rsid w:val="003953F8"/>
    <w:rsid w:val="003B08CA"/>
    <w:rsid w:val="0048757C"/>
    <w:rsid w:val="005173DE"/>
    <w:rsid w:val="005C5004"/>
    <w:rsid w:val="005E744A"/>
    <w:rsid w:val="006202F0"/>
    <w:rsid w:val="00631138"/>
    <w:rsid w:val="006B3273"/>
    <w:rsid w:val="006C743E"/>
    <w:rsid w:val="006E30D0"/>
    <w:rsid w:val="00715D5A"/>
    <w:rsid w:val="00717557"/>
    <w:rsid w:val="0078332C"/>
    <w:rsid w:val="00786E1B"/>
    <w:rsid w:val="007A7F5F"/>
    <w:rsid w:val="007E6CE9"/>
    <w:rsid w:val="0097434A"/>
    <w:rsid w:val="00A3520F"/>
    <w:rsid w:val="00B1613C"/>
    <w:rsid w:val="00B41719"/>
    <w:rsid w:val="00BB532D"/>
    <w:rsid w:val="00BF1090"/>
    <w:rsid w:val="00C554B8"/>
    <w:rsid w:val="00C83D6E"/>
    <w:rsid w:val="00E232BE"/>
    <w:rsid w:val="00E950B5"/>
    <w:rsid w:val="00EB7AFE"/>
    <w:rsid w:val="00EC7C25"/>
    <w:rsid w:val="00ED28FC"/>
    <w:rsid w:val="00F346B9"/>
    <w:rsid w:val="00F86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nhideWhenUsed/>
    <w:qFormat/>
    <w:rsid w:val="0097434A"/>
    <w:pPr>
      <w:keepNext/>
      <w:jc w:val="center"/>
      <w:outlineLvl w:val="3"/>
    </w:pPr>
    <w:rPr>
      <w:rFonts w:ascii="Papyrus" w:eastAsia="Arial Unicode MS" w:hAnsi="Papyrus" w:cs="Arial Unicode MS"/>
      <w:b/>
      <w:sz w:val="18"/>
      <w:szCs w:val="20"/>
    </w:rPr>
  </w:style>
  <w:style w:type="paragraph" w:styleId="Titre7">
    <w:name w:val="heading 7"/>
    <w:basedOn w:val="Normal"/>
    <w:next w:val="Normal"/>
    <w:link w:val="Titre7Car"/>
    <w:unhideWhenUsed/>
    <w:qFormat/>
    <w:rsid w:val="0097434A"/>
    <w:pPr>
      <w:keepNext/>
      <w:ind w:left="675"/>
      <w:outlineLvl w:val="6"/>
    </w:pPr>
    <w:rPr>
      <w:rFonts w:ascii="Tahoma" w:hAnsi="Tahoma"/>
      <w:b/>
      <w:bCs/>
      <w:color w:val="0000F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97434A"/>
    <w:rPr>
      <w:rFonts w:ascii="Papyrus" w:eastAsia="Arial Unicode MS" w:hAnsi="Papyrus" w:cs="Arial Unicode MS"/>
      <w:b/>
      <w:sz w:val="18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97434A"/>
    <w:rPr>
      <w:rFonts w:ascii="Tahoma" w:eastAsia="Times New Roman" w:hAnsi="Tahoma" w:cs="Times New Roman"/>
      <w:b/>
      <w:bCs/>
      <w:color w:val="0000FF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7434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7434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434A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nhideWhenUsed/>
    <w:qFormat/>
    <w:rsid w:val="0097434A"/>
    <w:pPr>
      <w:keepNext/>
      <w:jc w:val="center"/>
      <w:outlineLvl w:val="3"/>
    </w:pPr>
    <w:rPr>
      <w:rFonts w:ascii="Papyrus" w:eastAsia="Arial Unicode MS" w:hAnsi="Papyrus" w:cs="Arial Unicode MS"/>
      <w:b/>
      <w:sz w:val="18"/>
      <w:szCs w:val="20"/>
    </w:rPr>
  </w:style>
  <w:style w:type="paragraph" w:styleId="Titre7">
    <w:name w:val="heading 7"/>
    <w:basedOn w:val="Normal"/>
    <w:next w:val="Normal"/>
    <w:link w:val="Titre7Car"/>
    <w:unhideWhenUsed/>
    <w:qFormat/>
    <w:rsid w:val="0097434A"/>
    <w:pPr>
      <w:keepNext/>
      <w:ind w:left="675"/>
      <w:outlineLvl w:val="6"/>
    </w:pPr>
    <w:rPr>
      <w:rFonts w:ascii="Tahoma" w:hAnsi="Tahoma"/>
      <w:b/>
      <w:bCs/>
      <w:color w:val="0000F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97434A"/>
    <w:rPr>
      <w:rFonts w:ascii="Papyrus" w:eastAsia="Arial Unicode MS" w:hAnsi="Papyrus" w:cs="Arial Unicode MS"/>
      <w:b/>
      <w:sz w:val="18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97434A"/>
    <w:rPr>
      <w:rFonts w:ascii="Tahoma" w:eastAsia="Times New Roman" w:hAnsi="Tahoma" w:cs="Times New Roman"/>
      <w:b/>
      <w:bCs/>
      <w:color w:val="0000FF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7434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7434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434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Orsay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interne.mater</dc:creator>
  <cp:lastModifiedBy>interne.mater</cp:lastModifiedBy>
  <cp:revision>4</cp:revision>
  <dcterms:created xsi:type="dcterms:W3CDTF">2015-09-25T16:05:00Z</dcterms:created>
  <dcterms:modified xsi:type="dcterms:W3CDTF">2015-09-25T16:07:00Z</dcterms:modified>
</cp:coreProperties>
</file>