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01" w:rsidRDefault="00A46590">
      <w:r>
        <w:t>Exemple coût modulation versus coût au privé après crédit d’impôt (retour anticipé)</w:t>
      </w:r>
      <w:r w:rsidR="000B2209">
        <w:t xml:space="preserve"> </w:t>
      </w:r>
      <w:r w:rsidR="000B2209" w:rsidRPr="000B2209">
        <w:rPr>
          <w:sz w:val="36"/>
          <w:szCs w:val="36"/>
        </w:rPr>
        <w:t>35$</w:t>
      </w:r>
    </w:p>
    <w:tbl>
      <w:tblPr>
        <w:tblStyle w:val="Tramemoyenne2-Accent5"/>
        <w:tblW w:w="4919" w:type="pct"/>
        <w:tblInd w:w="-318" w:type="dxa"/>
        <w:tblLook w:val="0660" w:firstRow="1" w:lastRow="1" w:firstColumn="0" w:lastColumn="0" w:noHBand="1" w:noVBand="1"/>
      </w:tblPr>
      <w:tblGrid>
        <w:gridCol w:w="2148"/>
        <w:gridCol w:w="1133"/>
        <w:gridCol w:w="1108"/>
        <w:gridCol w:w="1110"/>
        <w:gridCol w:w="1459"/>
        <w:gridCol w:w="1755"/>
      </w:tblGrid>
      <w:tr w:rsidR="00A46590" w:rsidTr="000B2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3" w:type="pct"/>
            <w:noWrap/>
          </w:tcPr>
          <w:p w:rsidR="00A46590" w:rsidRDefault="00A46590" w:rsidP="00A46590">
            <w:pPr>
              <w:jc w:val="center"/>
            </w:pPr>
            <w:r>
              <w:t>SALAIRE</w:t>
            </w:r>
          </w:p>
          <w:p w:rsidR="00A46590" w:rsidRDefault="00A46590" w:rsidP="00A46590">
            <w:pPr>
              <w:jc w:val="center"/>
            </w:pPr>
            <w:r>
              <w:t>FAMILIAL</w:t>
            </w:r>
          </w:p>
        </w:tc>
        <w:tc>
          <w:tcPr>
            <w:tcW w:w="650" w:type="pct"/>
          </w:tcPr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>PLACE</w:t>
            </w:r>
          </w:p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>SUBV.</w:t>
            </w:r>
          </w:p>
          <w:p w:rsidR="00A46590" w:rsidRDefault="00A46590"/>
        </w:tc>
        <w:tc>
          <w:tcPr>
            <w:tcW w:w="636" w:type="pct"/>
          </w:tcPr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>PLACE</w:t>
            </w:r>
          </w:p>
          <w:p w:rsidR="00A46590" w:rsidRDefault="00A46590">
            <w:r>
              <w:rPr>
                <w:lang w:val="fr-FR"/>
              </w:rPr>
              <w:t>NON-SUBV.</w:t>
            </w:r>
          </w:p>
        </w:tc>
        <w:tc>
          <w:tcPr>
            <w:tcW w:w="637" w:type="pct"/>
          </w:tcPr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>ÉCART</w:t>
            </w:r>
          </w:p>
        </w:tc>
        <w:tc>
          <w:tcPr>
            <w:tcW w:w="837" w:type="pct"/>
          </w:tcPr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 xml:space="preserve">RETOUR </w:t>
            </w:r>
          </w:p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>ANTICIPÉ</w:t>
            </w:r>
          </w:p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>CRÉDIR D’impôt</w:t>
            </w:r>
          </w:p>
        </w:tc>
        <w:tc>
          <w:tcPr>
            <w:tcW w:w="1007" w:type="pct"/>
          </w:tcPr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 xml:space="preserve">Coût </w:t>
            </w:r>
          </w:p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>Privé</w:t>
            </w:r>
          </w:p>
          <w:p w:rsidR="00A46590" w:rsidRDefault="00A46590">
            <w:pPr>
              <w:rPr>
                <w:lang w:val="fr-FR"/>
              </w:rPr>
            </w:pPr>
            <w:r>
              <w:rPr>
                <w:lang w:val="fr-FR"/>
              </w:rPr>
              <w:t>(après</w:t>
            </w:r>
          </w:p>
          <w:p w:rsidR="00A46590" w:rsidRDefault="00A46590">
            <w:r>
              <w:rPr>
                <w:lang w:val="fr-FR"/>
              </w:rPr>
              <w:t>Crédit d’impôt)</w:t>
            </w:r>
          </w:p>
        </w:tc>
      </w:tr>
      <w:tr w:rsidR="00A46590" w:rsidTr="000B2209">
        <w:tc>
          <w:tcPr>
            <w:tcW w:w="1233" w:type="pct"/>
            <w:noWrap/>
          </w:tcPr>
          <w:p w:rsidR="00A46590" w:rsidRDefault="00A46590" w:rsidP="00A46590">
            <w:pPr>
              <w:jc w:val="center"/>
            </w:pPr>
          </w:p>
        </w:tc>
        <w:tc>
          <w:tcPr>
            <w:tcW w:w="650" w:type="pct"/>
          </w:tcPr>
          <w:p w:rsidR="00A46590" w:rsidRDefault="00A46590">
            <w:pPr>
              <w:rPr>
                <w:rStyle w:val="Emphaseple"/>
                <w:color w:val="7F7F7F" w:themeColor="text1" w:themeTint="80"/>
              </w:rPr>
            </w:pPr>
          </w:p>
        </w:tc>
        <w:tc>
          <w:tcPr>
            <w:tcW w:w="636" w:type="pct"/>
          </w:tcPr>
          <w:p w:rsidR="00A46590" w:rsidRDefault="00A46590"/>
        </w:tc>
        <w:tc>
          <w:tcPr>
            <w:tcW w:w="637" w:type="pct"/>
          </w:tcPr>
          <w:p w:rsidR="00A46590" w:rsidRDefault="00A46590"/>
        </w:tc>
        <w:tc>
          <w:tcPr>
            <w:tcW w:w="837" w:type="pct"/>
          </w:tcPr>
          <w:p w:rsidR="00A46590" w:rsidRDefault="00A46590"/>
        </w:tc>
        <w:tc>
          <w:tcPr>
            <w:tcW w:w="1007" w:type="pct"/>
          </w:tcPr>
          <w:p w:rsidR="00A46590" w:rsidRDefault="00A46590"/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A46590">
            <w:pPr>
              <w:rPr>
                <w:sz w:val="28"/>
                <w:szCs w:val="28"/>
              </w:rPr>
            </w:pPr>
            <w:r w:rsidRPr="00A46590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</w:t>
            </w:r>
            <w:r w:rsidRPr="00A46590">
              <w:rPr>
                <w:sz w:val="28"/>
                <w:szCs w:val="28"/>
              </w:rPr>
              <w:t>000</w:t>
            </w:r>
          </w:p>
        </w:tc>
        <w:tc>
          <w:tcPr>
            <w:tcW w:w="650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8.00</w:t>
            </w:r>
          </w:p>
        </w:tc>
        <w:tc>
          <w:tcPr>
            <w:tcW w:w="636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35.00</w:t>
            </w:r>
          </w:p>
        </w:tc>
        <w:tc>
          <w:tcPr>
            <w:tcW w:w="6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27.00</w:t>
            </w:r>
          </w:p>
        </w:tc>
        <w:tc>
          <w:tcPr>
            <w:tcW w:w="8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20.77</w:t>
            </w:r>
          </w:p>
        </w:tc>
        <w:tc>
          <w:tcPr>
            <w:tcW w:w="1007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14.23</w:t>
            </w:r>
          </w:p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A46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80 000</w:t>
            </w:r>
          </w:p>
        </w:tc>
        <w:tc>
          <w:tcPr>
            <w:tcW w:w="650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8.41</w:t>
            </w:r>
          </w:p>
        </w:tc>
        <w:tc>
          <w:tcPr>
            <w:tcW w:w="636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35</w:t>
            </w:r>
          </w:p>
        </w:tc>
        <w:tc>
          <w:tcPr>
            <w:tcW w:w="6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26.59</w:t>
            </w:r>
          </w:p>
        </w:tc>
        <w:tc>
          <w:tcPr>
            <w:tcW w:w="8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20.77</w:t>
            </w:r>
          </w:p>
        </w:tc>
        <w:tc>
          <w:tcPr>
            <w:tcW w:w="1007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14.23</w:t>
            </w:r>
          </w:p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A46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100 000</w:t>
            </w:r>
            <w:r w:rsidRPr="00A46590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650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11.41</w:t>
            </w:r>
          </w:p>
        </w:tc>
        <w:tc>
          <w:tcPr>
            <w:tcW w:w="636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35</w:t>
            </w:r>
          </w:p>
        </w:tc>
        <w:tc>
          <w:tcPr>
            <w:tcW w:w="6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23.59</w:t>
            </w:r>
          </w:p>
        </w:tc>
        <w:tc>
          <w:tcPr>
            <w:tcW w:w="8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19.75</w:t>
            </w:r>
          </w:p>
        </w:tc>
        <w:tc>
          <w:tcPr>
            <w:tcW w:w="1007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15.25</w:t>
            </w:r>
          </w:p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A46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120 000</w:t>
            </w:r>
          </w:p>
        </w:tc>
        <w:tc>
          <w:tcPr>
            <w:tcW w:w="650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14.41</w:t>
            </w:r>
          </w:p>
        </w:tc>
        <w:tc>
          <w:tcPr>
            <w:tcW w:w="636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35</w:t>
            </w:r>
          </w:p>
        </w:tc>
        <w:tc>
          <w:tcPr>
            <w:tcW w:w="6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20.59</w:t>
            </w:r>
          </w:p>
        </w:tc>
        <w:tc>
          <w:tcPr>
            <w:tcW w:w="8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19.75</w:t>
            </w:r>
          </w:p>
        </w:tc>
        <w:tc>
          <w:tcPr>
            <w:tcW w:w="1007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15.25</w:t>
            </w:r>
          </w:p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A46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135 000</w:t>
            </w:r>
          </w:p>
        </w:tc>
        <w:tc>
          <w:tcPr>
            <w:tcW w:w="650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16.66</w:t>
            </w:r>
          </w:p>
        </w:tc>
        <w:tc>
          <w:tcPr>
            <w:tcW w:w="636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35</w:t>
            </w:r>
          </w:p>
        </w:tc>
        <w:tc>
          <w:tcPr>
            <w:tcW w:w="6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18.34</w:t>
            </w:r>
          </w:p>
        </w:tc>
        <w:tc>
          <w:tcPr>
            <w:tcW w:w="8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19.75</w:t>
            </w:r>
          </w:p>
        </w:tc>
        <w:tc>
          <w:tcPr>
            <w:tcW w:w="1007" w:type="pct"/>
          </w:tcPr>
          <w:p w:rsidR="00A46590" w:rsidRDefault="00A46590">
            <w:pPr>
              <w:pStyle w:val="DecimalAligned"/>
            </w:pPr>
            <w:r>
              <w:rPr>
                <w:lang w:val="fr-FR"/>
              </w:rPr>
              <w:t>15.25</w:t>
            </w:r>
          </w:p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A46590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</w:tcPr>
          <w:p w:rsidR="00A46590" w:rsidRDefault="00A46590">
            <w:pPr>
              <w:rPr>
                <w:rStyle w:val="Emphaseple"/>
                <w:color w:val="7F7F7F" w:themeColor="text1" w:themeTint="80"/>
              </w:rPr>
            </w:pPr>
          </w:p>
        </w:tc>
        <w:tc>
          <w:tcPr>
            <w:tcW w:w="636" w:type="pct"/>
          </w:tcPr>
          <w:p w:rsidR="00A46590" w:rsidRDefault="00A46590"/>
        </w:tc>
        <w:tc>
          <w:tcPr>
            <w:tcW w:w="637" w:type="pct"/>
          </w:tcPr>
          <w:p w:rsidR="00A46590" w:rsidRDefault="00A46590"/>
        </w:tc>
        <w:tc>
          <w:tcPr>
            <w:tcW w:w="837" w:type="pct"/>
          </w:tcPr>
          <w:p w:rsidR="00A46590" w:rsidRDefault="00A46590"/>
        </w:tc>
        <w:tc>
          <w:tcPr>
            <w:tcW w:w="1007" w:type="pct"/>
          </w:tcPr>
          <w:p w:rsidR="00A46590" w:rsidRDefault="00A46590"/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0B2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140 000</w:t>
            </w:r>
          </w:p>
        </w:tc>
        <w:tc>
          <w:tcPr>
            <w:tcW w:w="650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17.41</w:t>
            </w:r>
          </w:p>
        </w:tc>
        <w:tc>
          <w:tcPr>
            <w:tcW w:w="636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35</w:t>
            </w:r>
          </w:p>
        </w:tc>
        <w:tc>
          <w:tcPr>
            <w:tcW w:w="637" w:type="pct"/>
          </w:tcPr>
          <w:p w:rsidR="00A46590" w:rsidRDefault="00A46590">
            <w:pPr>
              <w:pStyle w:val="DecimalAligned"/>
              <w:rPr>
                <w:lang w:val="fr-FR"/>
              </w:rPr>
            </w:pPr>
          </w:p>
        </w:tc>
        <w:tc>
          <w:tcPr>
            <w:tcW w:w="837" w:type="pct"/>
          </w:tcPr>
          <w:p w:rsidR="00A46590" w:rsidRDefault="000B2209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1007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17.00</w:t>
            </w:r>
          </w:p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0B2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150 000</w:t>
            </w:r>
          </w:p>
        </w:tc>
        <w:tc>
          <w:tcPr>
            <w:tcW w:w="650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18.91</w:t>
            </w:r>
          </w:p>
        </w:tc>
        <w:tc>
          <w:tcPr>
            <w:tcW w:w="636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35</w:t>
            </w:r>
          </w:p>
        </w:tc>
        <w:tc>
          <w:tcPr>
            <w:tcW w:w="637" w:type="pct"/>
          </w:tcPr>
          <w:p w:rsidR="00A46590" w:rsidRDefault="000B2209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16.09</w:t>
            </w:r>
          </w:p>
        </w:tc>
        <w:tc>
          <w:tcPr>
            <w:tcW w:w="837" w:type="pct"/>
          </w:tcPr>
          <w:p w:rsidR="00A46590" w:rsidRDefault="000B2209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12.46</w:t>
            </w:r>
          </w:p>
        </w:tc>
        <w:tc>
          <w:tcPr>
            <w:tcW w:w="1007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22.54</w:t>
            </w:r>
          </w:p>
        </w:tc>
      </w:tr>
      <w:tr w:rsidR="00A46590" w:rsidTr="000B2209">
        <w:tc>
          <w:tcPr>
            <w:tcW w:w="1233" w:type="pct"/>
            <w:noWrap/>
          </w:tcPr>
          <w:p w:rsidR="00A46590" w:rsidRPr="00A46590" w:rsidRDefault="000B2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160 000</w:t>
            </w:r>
          </w:p>
        </w:tc>
        <w:tc>
          <w:tcPr>
            <w:tcW w:w="650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20</w:t>
            </w:r>
          </w:p>
        </w:tc>
        <w:tc>
          <w:tcPr>
            <w:tcW w:w="636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35</w:t>
            </w:r>
          </w:p>
        </w:tc>
        <w:tc>
          <w:tcPr>
            <w:tcW w:w="637" w:type="pct"/>
          </w:tcPr>
          <w:p w:rsidR="00A46590" w:rsidRDefault="000B2209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837" w:type="pct"/>
          </w:tcPr>
          <w:p w:rsidR="00A46590" w:rsidRDefault="000B2209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1007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26.00</w:t>
            </w:r>
          </w:p>
        </w:tc>
      </w:tr>
      <w:tr w:rsidR="00A46590" w:rsidTr="000B22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3" w:type="pct"/>
            <w:noWrap/>
          </w:tcPr>
          <w:p w:rsidR="00A46590" w:rsidRPr="00A46590" w:rsidRDefault="000B2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200 000</w:t>
            </w:r>
          </w:p>
        </w:tc>
        <w:tc>
          <w:tcPr>
            <w:tcW w:w="650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20</w:t>
            </w:r>
          </w:p>
        </w:tc>
        <w:tc>
          <w:tcPr>
            <w:tcW w:w="636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35</w:t>
            </w:r>
          </w:p>
        </w:tc>
        <w:tc>
          <w:tcPr>
            <w:tcW w:w="637" w:type="pct"/>
          </w:tcPr>
          <w:p w:rsidR="00A46590" w:rsidRDefault="000B2209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837" w:type="pct"/>
          </w:tcPr>
          <w:p w:rsidR="00A46590" w:rsidRDefault="000B2209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1007" w:type="pct"/>
          </w:tcPr>
          <w:p w:rsidR="00A46590" w:rsidRDefault="000B2209">
            <w:pPr>
              <w:pStyle w:val="DecimalAligned"/>
            </w:pPr>
            <w:r>
              <w:rPr>
                <w:lang w:val="fr-FR"/>
              </w:rPr>
              <w:t>26.00</w:t>
            </w:r>
          </w:p>
        </w:tc>
      </w:tr>
    </w:tbl>
    <w:p w:rsidR="00252DC1" w:rsidRDefault="00252DC1"/>
    <w:p w:rsidR="000B2209" w:rsidRDefault="000B2209">
      <w:r>
        <w:t>Exemple coût modulation versus coût au privé après crédit d’impôt (retour anticipé)</w:t>
      </w:r>
      <w:r>
        <w:t xml:space="preserve"> 40$</w:t>
      </w:r>
    </w:p>
    <w:tbl>
      <w:tblPr>
        <w:tblStyle w:val="Tramemoyenne2-Accent5"/>
        <w:tblW w:w="4919" w:type="pct"/>
        <w:tblInd w:w="-318" w:type="dxa"/>
        <w:tblLook w:val="0660" w:firstRow="1" w:lastRow="1" w:firstColumn="0" w:lastColumn="0" w:noHBand="1" w:noVBand="1"/>
      </w:tblPr>
      <w:tblGrid>
        <w:gridCol w:w="2148"/>
        <w:gridCol w:w="1133"/>
        <w:gridCol w:w="1108"/>
        <w:gridCol w:w="1110"/>
        <w:gridCol w:w="1459"/>
        <w:gridCol w:w="1755"/>
      </w:tblGrid>
      <w:tr w:rsidR="000B2209" w:rsidTr="006D0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3" w:type="pct"/>
            <w:noWrap/>
          </w:tcPr>
          <w:p w:rsidR="000B2209" w:rsidRDefault="000B2209" w:rsidP="006D04F8">
            <w:pPr>
              <w:jc w:val="center"/>
            </w:pPr>
            <w:r>
              <w:t>SALAIRE</w:t>
            </w:r>
          </w:p>
          <w:p w:rsidR="000B2209" w:rsidRDefault="000B2209" w:rsidP="006D04F8">
            <w:pPr>
              <w:jc w:val="center"/>
            </w:pPr>
            <w:r>
              <w:t>FAMILIAL</w:t>
            </w:r>
          </w:p>
        </w:tc>
        <w:tc>
          <w:tcPr>
            <w:tcW w:w="650" w:type="pct"/>
          </w:tcPr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>PLACE</w:t>
            </w:r>
          </w:p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>SUBV.</w:t>
            </w:r>
          </w:p>
          <w:p w:rsidR="000B2209" w:rsidRDefault="000B2209" w:rsidP="006D04F8"/>
        </w:tc>
        <w:tc>
          <w:tcPr>
            <w:tcW w:w="636" w:type="pct"/>
          </w:tcPr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>PLACE</w:t>
            </w:r>
          </w:p>
          <w:p w:rsidR="000B2209" w:rsidRDefault="000B2209" w:rsidP="006D04F8">
            <w:r>
              <w:rPr>
                <w:lang w:val="fr-FR"/>
              </w:rPr>
              <w:t>NON-SUBV.</w:t>
            </w:r>
          </w:p>
        </w:tc>
        <w:tc>
          <w:tcPr>
            <w:tcW w:w="637" w:type="pct"/>
          </w:tcPr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>ÉCART</w:t>
            </w:r>
          </w:p>
        </w:tc>
        <w:tc>
          <w:tcPr>
            <w:tcW w:w="837" w:type="pct"/>
          </w:tcPr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 xml:space="preserve">RETOUR </w:t>
            </w:r>
          </w:p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>ANTICIPÉ</w:t>
            </w:r>
          </w:p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>CRÉDIR D’impôt</w:t>
            </w:r>
          </w:p>
        </w:tc>
        <w:tc>
          <w:tcPr>
            <w:tcW w:w="1007" w:type="pct"/>
          </w:tcPr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 xml:space="preserve">Coût </w:t>
            </w:r>
          </w:p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>Privé</w:t>
            </w:r>
          </w:p>
          <w:p w:rsidR="000B2209" w:rsidRDefault="000B2209" w:rsidP="006D04F8">
            <w:pPr>
              <w:rPr>
                <w:lang w:val="fr-FR"/>
              </w:rPr>
            </w:pPr>
            <w:r>
              <w:rPr>
                <w:lang w:val="fr-FR"/>
              </w:rPr>
              <w:t>(après</w:t>
            </w:r>
          </w:p>
          <w:p w:rsidR="000B2209" w:rsidRDefault="000B2209" w:rsidP="006D04F8">
            <w:r>
              <w:rPr>
                <w:lang w:val="fr-FR"/>
              </w:rPr>
              <w:t>Crédit d’impôt)</w:t>
            </w:r>
          </w:p>
        </w:tc>
      </w:tr>
      <w:tr w:rsidR="000B2209" w:rsidTr="006D04F8">
        <w:tc>
          <w:tcPr>
            <w:tcW w:w="1233" w:type="pct"/>
            <w:noWrap/>
          </w:tcPr>
          <w:p w:rsidR="000B2209" w:rsidRDefault="000B2209" w:rsidP="006D04F8">
            <w:pPr>
              <w:jc w:val="center"/>
            </w:pPr>
          </w:p>
        </w:tc>
        <w:tc>
          <w:tcPr>
            <w:tcW w:w="650" w:type="pct"/>
          </w:tcPr>
          <w:p w:rsidR="000B2209" w:rsidRDefault="000B2209" w:rsidP="006D04F8">
            <w:pPr>
              <w:rPr>
                <w:rStyle w:val="Emphaseple"/>
                <w:color w:val="7F7F7F" w:themeColor="text1" w:themeTint="80"/>
              </w:rPr>
            </w:pPr>
          </w:p>
        </w:tc>
        <w:tc>
          <w:tcPr>
            <w:tcW w:w="636" w:type="pct"/>
          </w:tcPr>
          <w:p w:rsidR="000B2209" w:rsidRDefault="000B2209" w:rsidP="006D04F8"/>
        </w:tc>
        <w:tc>
          <w:tcPr>
            <w:tcW w:w="637" w:type="pct"/>
          </w:tcPr>
          <w:p w:rsidR="000B2209" w:rsidRDefault="000B2209" w:rsidP="006D04F8"/>
        </w:tc>
        <w:tc>
          <w:tcPr>
            <w:tcW w:w="837" w:type="pct"/>
          </w:tcPr>
          <w:p w:rsidR="000B2209" w:rsidRDefault="000B2209" w:rsidP="006D04F8"/>
        </w:tc>
        <w:tc>
          <w:tcPr>
            <w:tcW w:w="1007" w:type="pct"/>
          </w:tcPr>
          <w:p w:rsidR="000B2209" w:rsidRDefault="000B2209" w:rsidP="006D04F8"/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</w:p>
        </w:tc>
        <w:tc>
          <w:tcPr>
            <w:tcW w:w="636" w:type="pct"/>
          </w:tcPr>
          <w:p w:rsidR="000B2209" w:rsidRDefault="000B2209" w:rsidP="006D04F8">
            <w:pPr>
              <w:pStyle w:val="DecimalAligned"/>
            </w:pPr>
          </w:p>
        </w:tc>
        <w:tc>
          <w:tcPr>
            <w:tcW w:w="6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</w:p>
        </w:tc>
        <w:tc>
          <w:tcPr>
            <w:tcW w:w="8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</w:p>
        </w:tc>
        <w:tc>
          <w:tcPr>
            <w:tcW w:w="1007" w:type="pct"/>
          </w:tcPr>
          <w:p w:rsidR="000B2209" w:rsidRDefault="000B2209" w:rsidP="006D04F8">
            <w:pPr>
              <w:pStyle w:val="DecimalAligned"/>
            </w:pPr>
          </w:p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80 000</w:t>
            </w: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8.41</w:t>
            </w:r>
          </w:p>
        </w:tc>
        <w:tc>
          <w:tcPr>
            <w:tcW w:w="636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40</w:t>
            </w:r>
          </w:p>
        </w:tc>
        <w:tc>
          <w:tcPr>
            <w:tcW w:w="6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31.59</w:t>
            </w:r>
          </w:p>
        </w:tc>
        <w:tc>
          <w:tcPr>
            <w:tcW w:w="8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20.77</w:t>
            </w:r>
          </w:p>
        </w:tc>
        <w:tc>
          <w:tcPr>
            <w:tcW w:w="1007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19</w:t>
            </w:r>
            <w:r>
              <w:rPr>
                <w:lang w:val="fr-FR"/>
              </w:rPr>
              <w:t>.23</w:t>
            </w:r>
          </w:p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100 000</w:t>
            </w:r>
            <w:r w:rsidRPr="00A46590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11.41</w:t>
            </w:r>
          </w:p>
        </w:tc>
        <w:tc>
          <w:tcPr>
            <w:tcW w:w="636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40</w:t>
            </w:r>
          </w:p>
        </w:tc>
        <w:tc>
          <w:tcPr>
            <w:tcW w:w="6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23.59</w:t>
            </w:r>
          </w:p>
        </w:tc>
        <w:tc>
          <w:tcPr>
            <w:tcW w:w="8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19.73</w:t>
            </w:r>
          </w:p>
        </w:tc>
        <w:tc>
          <w:tcPr>
            <w:tcW w:w="1007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20.27</w:t>
            </w:r>
          </w:p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120 000</w:t>
            </w: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14.41</w:t>
            </w:r>
          </w:p>
        </w:tc>
        <w:tc>
          <w:tcPr>
            <w:tcW w:w="636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40</w:t>
            </w:r>
          </w:p>
        </w:tc>
        <w:tc>
          <w:tcPr>
            <w:tcW w:w="6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25.59</w:t>
            </w:r>
          </w:p>
        </w:tc>
        <w:tc>
          <w:tcPr>
            <w:tcW w:w="8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19.73</w:t>
            </w:r>
          </w:p>
        </w:tc>
        <w:tc>
          <w:tcPr>
            <w:tcW w:w="1007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20.27</w:t>
            </w:r>
          </w:p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135 000</w:t>
            </w: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16.66</w:t>
            </w:r>
          </w:p>
        </w:tc>
        <w:tc>
          <w:tcPr>
            <w:tcW w:w="636" w:type="pct"/>
          </w:tcPr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40</w:t>
            </w:r>
          </w:p>
        </w:tc>
        <w:tc>
          <w:tcPr>
            <w:tcW w:w="6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</w:p>
        </w:tc>
        <w:tc>
          <w:tcPr>
            <w:tcW w:w="837" w:type="pct"/>
          </w:tcPr>
          <w:p w:rsidR="000B2209" w:rsidRDefault="003A395D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19.73</w:t>
            </w:r>
          </w:p>
        </w:tc>
        <w:tc>
          <w:tcPr>
            <w:tcW w:w="1007" w:type="pct"/>
          </w:tcPr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20.27</w:t>
            </w:r>
          </w:p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</w:tcPr>
          <w:p w:rsidR="000B2209" w:rsidRDefault="000B2209" w:rsidP="006D04F8">
            <w:pPr>
              <w:rPr>
                <w:rStyle w:val="Emphaseple"/>
                <w:color w:val="7F7F7F" w:themeColor="text1" w:themeTint="80"/>
              </w:rPr>
            </w:pPr>
          </w:p>
        </w:tc>
        <w:tc>
          <w:tcPr>
            <w:tcW w:w="636" w:type="pct"/>
          </w:tcPr>
          <w:p w:rsidR="000B2209" w:rsidRDefault="000B2209" w:rsidP="006D04F8"/>
        </w:tc>
        <w:tc>
          <w:tcPr>
            <w:tcW w:w="637" w:type="pct"/>
          </w:tcPr>
          <w:p w:rsidR="000B2209" w:rsidRDefault="000B2209" w:rsidP="006D04F8"/>
        </w:tc>
        <w:tc>
          <w:tcPr>
            <w:tcW w:w="837" w:type="pct"/>
          </w:tcPr>
          <w:p w:rsidR="000B2209" w:rsidRDefault="000B2209" w:rsidP="006D04F8"/>
        </w:tc>
        <w:tc>
          <w:tcPr>
            <w:tcW w:w="1007" w:type="pct"/>
          </w:tcPr>
          <w:p w:rsidR="000B2209" w:rsidRDefault="000B2209" w:rsidP="006D04F8"/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140 000</w:t>
            </w: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17.41</w:t>
            </w:r>
          </w:p>
        </w:tc>
        <w:tc>
          <w:tcPr>
            <w:tcW w:w="636" w:type="pct"/>
          </w:tcPr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40</w:t>
            </w:r>
          </w:p>
        </w:tc>
        <w:tc>
          <w:tcPr>
            <w:tcW w:w="637" w:type="pct"/>
          </w:tcPr>
          <w:p w:rsidR="000B2209" w:rsidRDefault="003A395D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22.59</w:t>
            </w:r>
          </w:p>
        </w:tc>
        <w:tc>
          <w:tcPr>
            <w:tcW w:w="8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1007" w:type="pct"/>
          </w:tcPr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22.00</w:t>
            </w:r>
          </w:p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150 000</w:t>
            </w: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18.91</w:t>
            </w:r>
          </w:p>
        </w:tc>
        <w:tc>
          <w:tcPr>
            <w:tcW w:w="636" w:type="pct"/>
          </w:tcPr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40</w:t>
            </w:r>
          </w:p>
        </w:tc>
        <w:tc>
          <w:tcPr>
            <w:tcW w:w="637" w:type="pct"/>
          </w:tcPr>
          <w:p w:rsidR="000B2209" w:rsidRDefault="003A395D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21.09</w:t>
            </w:r>
          </w:p>
        </w:tc>
        <w:tc>
          <w:tcPr>
            <w:tcW w:w="8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12.46</w:t>
            </w:r>
          </w:p>
        </w:tc>
        <w:tc>
          <w:tcPr>
            <w:tcW w:w="1007" w:type="pct"/>
          </w:tcPr>
          <w:p w:rsidR="003A395D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27</w:t>
            </w:r>
            <w:r w:rsidR="000B2209">
              <w:rPr>
                <w:lang w:val="fr-FR"/>
              </w:rPr>
              <w:t>.54</w:t>
            </w:r>
          </w:p>
        </w:tc>
      </w:tr>
      <w:tr w:rsidR="000B2209" w:rsidTr="006D04F8"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160 000</w:t>
            </w: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20</w:t>
            </w:r>
          </w:p>
        </w:tc>
        <w:tc>
          <w:tcPr>
            <w:tcW w:w="636" w:type="pct"/>
          </w:tcPr>
          <w:p w:rsidR="000B2209" w:rsidRDefault="003A395D" w:rsidP="003A395D">
            <w:pPr>
              <w:pStyle w:val="DecimalAligned"/>
            </w:pPr>
            <w:r>
              <w:rPr>
                <w:lang w:val="fr-FR"/>
              </w:rPr>
              <w:t>40</w:t>
            </w:r>
          </w:p>
        </w:tc>
        <w:tc>
          <w:tcPr>
            <w:tcW w:w="637" w:type="pct"/>
          </w:tcPr>
          <w:p w:rsidR="000B2209" w:rsidRDefault="003A395D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8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1007" w:type="pct"/>
          </w:tcPr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31</w:t>
            </w:r>
            <w:r w:rsidR="000B2209">
              <w:rPr>
                <w:lang w:val="fr-FR"/>
              </w:rPr>
              <w:t>.00</w:t>
            </w:r>
          </w:p>
        </w:tc>
      </w:tr>
      <w:tr w:rsidR="000B2209" w:rsidTr="006D04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3" w:type="pct"/>
            <w:noWrap/>
          </w:tcPr>
          <w:p w:rsidR="000B2209" w:rsidRPr="00A46590" w:rsidRDefault="000B2209" w:rsidP="006D0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200 000</w:t>
            </w:r>
          </w:p>
        </w:tc>
        <w:tc>
          <w:tcPr>
            <w:tcW w:w="650" w:type="pct"/>
          </w:tcPr>
          <w:p w:rsidR="000B2209" w:rsidRDefault="000B2209" w:rsidP="006D04F8">
            <w:pPr>
              <w:pStyle w:val="DecimalAligned"/>
            </w:pPr>
            <w:r>
              <w:rPr>
                <w:lang w:val="fr-FR"/>
              </w:rPr>
              <w:t>20</w:t>
            </w:r>
          </w:p>
        </w:tc>
        <w:tc>
          <w:tcPr>
            <w:tcW w:w="636" w:type="pct"/>
          </w:tcPr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40</w:t>
            </w:r>
          </w:p>
        </w:tc>
        <w:tc>
          <w:tcPr>
            <w:tcW w:w="637" w:type="pct"/>
          </w:tcPr>
          <w:p w:rsidR="000B2209" w:rsidRDefault="003A395D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837" w:type="pct"/>
          </w:tcPr>
          <w:p w:rsidR="000B2209" w:rsidRDefault="000B2209" w:rsidP="006D04F8">
            <w:pPr>
              <w:pStyle w:val="DecimalAligned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1007" w:type="pct"/>
          </w:tcPr>
          <w:p w:rsidR="000B2209" w:rsidRDefault="003A395D" w:rsidP="006D04F8">
            <w:pPr>
              <w:pStyle w:val="DecimalAligned"/>
            </w:pPr>
            <w:r>
              <w:rPr>
                <w:lang w:val="fr-FR"/>
              </w:rPr>
              <w:t>31.00</w:t>
            </w:r>
          </w:p>
        </w:tc>
      </w:tr>
    </w:tbl>
    <w:p w:rsidR="000B2209" w:rsidRDefault="000B2209"/>
    <w:p w:rsidR="003A395D" w:rsidRDefault="003A395D">
      <w:r>
        <w:t xml:space="preserve">*Exemple : un couple avec salaire annuel de 130 000$ par année devrait mettre de côté : 44.75$ </w:t>
      </w:r>
    </w:p>
    <w:p w:rsidR="003A395D" w:rsidRDefault="003A395D">
      <w:r>
        <w:tab/>
        <w:t>Soit 22,38$ /chaque par paye par semaine  ceci représente  4.48$/ jour/chacun des parents</w:t>
      </w:r>
    </w:p>
    <w:p w:rsidR="004E24FF" w:rsidRDefault="004E24FF">
      <w:r>
        <w:t>** calcul fait avant Déduction pour frais de d’enfants et déduction pour frais de garde</w:t>
      </w:r>
    </w:p>
    <w:p w:rsidR="003A395D" w:rsidRDefault="004E24FF">
      <w:r>
        <w:t>***</w:t>
      </w:r>
      <w:r w:rsidR="003A395D">
        <w:t xml:space="preserve">Calcul venant du site : </w:t>
      </w:r>
      <w:r w:rsidR="003A395D" w:rsidRPr="003A395D">
        <w:t>http://www.budget.finances.gouv.qc.ca/</w:t>
      </w:r>
      <w:bookmarkStart w:id="0" w:name="_GoBack"/>
      <w:bookmarkEnd w:id="0"/>
    </w:p>
    <w:sectPr w:rsidR="003A395D" w:rsidSect="003A395D">
      <w:pgSz w:w="12240" w:h="15840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01"/>
    <w:rsid w:val="000B2209"/>
    <w:rsid w:val="00252DC1"/>
    <w:rsid w:val="003A395D"/>
    <w:rsid w:val="004E24FF"/>
    <w:rsid w:val="007A6401"/>
    <w:rsid w:val="00A4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7A6401"/>
    <w:pPr>
      <w:tabs>
        <w:tab w:val="decimal" w:pos="360"/>
      </w:tabs>
    </w:pPr>
    <w:rPr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7A6401"/>
    <w:pPr>
      <w:spacing w:after="0" w:line="240" w:lineRule="auto"/>
    </w:pPr>
    <w:rPr>
      <w:rFonts w:eastAsiaTheme="minorEastAsia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A6401"/>
    <w:rPr>
      <w:rFonts w:eastAsiaTheme="minorEastAsia"/>
      <w:sz w:val="20"/>
      <w:szCs w:val="20"/>
      <w:lang w:eastAsia="fr-CA"/>
    </w:rPr>
  </w:style>
  <w:style w:type="character" w:styleId="Emphaseple">
    <w:name w:val="Subtle Emphasis"/>
    <w:basedOn w:val="Policepardfaut"/>
    <w:uiPriority w:val="19"/>
    <w:qFormat/>
    <w:rsid w:val="007A6401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7A6401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7A6401"/>
    <w:pPr>
      <w:tabs>
        <w:tab w:val="decimal" w:pos="360"/>
      </w:tabs>
    </w:pPr>
    <w:rPr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7A6401"/>
    <w:pPr>
      <w:spacing w:after="0" w:line="240" w:lineRule="auto"/>
    </w:pPr>
    <w:rPr>
      <w:rFonts w:eastAsiaTheme="minorEastAsia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A6401"/>
    <w:rPr>
      <w:rFonts w:eastAsiaTheme="minorEastAsia"/>
      <w:sz w:val="20"/>
      <w:szCs w:val="20"/>
      <w:lang w:eastAsia="fr-CA"/>
    </w:rPr>
  </w:style>
  <w:style w:type="character" w:styleId="Emphaseple">
    <w:name w:val="Subtle Emphasis"/>
    <w:basedOn w:val="Policepardfaut"/>
    <w:uiPriority w:val="19"/>
    <w:qFormat/>
    <w:rsid w:val="007A6401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7A6401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gagnon</dc:creator>
  <cp:keywords/>
  <dc:description/>
  <cp:lastModifiedBy>michele gagnon</cp:lastModifiedBy>
  <cp:revision>1</cp:revision>
  <dcterms:created xsi:type="dcterms:W3CDTF">2015-04-21T15:37:00Z</dcterms:created>
  <dcterms:modified xsi:type="dcterms:W3CDTF">2015-04-21T17:37:00Z</dcterms:modified>
</cp:coreProperties>
</file>