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332" w:rsidRDefault="00D24332" w:rsidP="0054055B">
      <w:pPr>
        <w:spacing w:line="360" w:lineRule="auto"/>
        <w:jc w:val="center"/>
      </w:pPr>
      <w:r w:rsidRPr="00EF6479">
        <w:t>Université de Montréal</w:t>
      </w:r>
      <w:r w:rsidRPr="00EF6479">
        <w:br/>
      </w:r>
      <w:r w:rsidRPr="00EF6479">
        <w:br/>
      </w:r>
      <w:r w:rsidR="0054055B" w:rsidRPr="00EF6479">
        <w:br/>
      </w:r>
      <w:r>
        <w:br/>
      </w:r>
      <w:r w:rsidRPr="00EF6479">
        <w:br/>
      </w:r>
      <w:r w:rsidRPr="00EF6479">
        <w:br/>
      </w:r>
      <w:r>
        <w:t>Mémoire de maîtrise</w:t>
      </w:r>
      <w:r w:rsidRPr="00EF6479">
        <w:br/>
        <w:t>« </w:t>
      </w:r>
      <w:r>
        <w:t>La symbolique des couleurs dans un livre d’Heures du maître de Jean d’Albret</w:t>
      </w:r>
      <w:r w:rsidR="00F23E7C">
        <w:t> </w:t>
      </w:r>
      <w:bookmarkStart w:id="0" w:name="_GoBack"/>
      <w:r w:rsidRPr="00EF6479">
        <w:t>»</w:t>
      </w:r>
      <w:bookmarkEnd w:id="0"/>
      <w:r w:rsidRPr="00EF6479">
        <w:br/>
      </w:r>
      <w:r w:rsidRPr="00EF6479">
        <w:br/>
      </w:r>
      <w:r w:rsidR="0054055B">
        <w:br/>
      </w:r>
      <w:r>
        <w:br/>
      </w:r>
      <w:r w:rsidRPr="00EF6479">
        <w:br/>
      </w:r>
      <w:r w:rsidRPr="00EF6479">
        <w:br/>
        <w:t>par</w:t>
      </w:r>
      <w:r w:rsidRPr="00EF6479">
        <w:br/>
        <w:t>Francis SHANKS</w:t>
      </w:r>
      <w:r w:rsidRPr="00EF6479">
        <w:br/>
        <w:t>SHAF11128704</w:t>
      </w:r>
      <w:r w:rsidRPr="00EF6479">
        <w:br/>
      </w:r>
      <w:r w:rsidRPr="00EF6479">
        <w:br/>
      </w:r>
      <w:r>
        <w:br/>
      </w:r>
      <w:r>
        <w:br/>
      </w:r>
      <w:r w:rsidRPr="00EF6479">
        <w:br/>
      </w:r>
      <w:r w:rsidRPr="00EF6479">
        <w:br/>
        <w:t>Département d’histoire</w:t>
      </w:r>
      <w:r w:rsidRPr="00EF6479">
        <w:br/>
        <w:t>Faculté des arts et des sciences</w:t>
      </w:r>
      <w:r w:rsidRPr="00EF6479">
        <w:br/>
      </w:r>
      <w:r w:rsidRPr="00EF6479">
        <w:br/>
      </w:r>
      <w:r w:rsidRPr="00EF6479">
        <w:br/>
      </w:r>
      <w:r w:rsidRPr="00EF6479">
        <w:br/>
      </w:r>
      <w:r>
        <w:br/>
      </w:r>
      <w:r>
        <w:br/>
      </w:r>
      <w:r>
        <w:br/>
      </w:r>
      <w:r>
        <w:br/>
        <w:t>19 octobre 2014</w:t>
      </w:r>
      <w:r>
        <w:rPr>
          <w:b/>
          <w:bCs/>
        </w:rPr>
        <w:br w:type="page"/>
      </w:r>
    </w:p>
    <w:sdt>
      <w:sdtPr>
        <w:rPr>
          <w:rFonts w:ascii="Times New Roman" w:eastAsiaTheme="minorHAnsi" w:hAnsi="Times New Roman" w:cs="Times New Roman"/>
          <w:b w:val="0"/>
          <w:bCs w:val="0"/>
          <w:color w:val="auto"/>
          <w:sz w:val="24"/>
          <w:szCs w:val="24"/>
          <w:lang w:eastAsia="en-US"/>
        </w:rPr>
        <w:id w:val="1351218060"/>
        <w:docPartObj>
          <w:docPartGallery w:val="Table of Contents"/>
          <w:docPartUnique/>
        </w:docPartObj>
      </w:sdtPr>
      <w:sdtEndPr/>
      <w:sdtContent>
        <w:p w:rsidR="00F82339" w:rsidRPr="00FE61B7" w:rsidRDefault="00F82339" w:rsidP="00F04FC5">
          <w:pPr>
            <w:pStyle w:val="En-ttedetabledesmatires"/>
            <w:spacing w:line="240" w:lineRule="auto"/>
            <w:jc w:val="both"/>
            <w:rPr>
              <w:rFonts w:ascii="Times New Roman" w:hAnsi="Times New Roman" w:cs="Times New Roman"/>
              <w:color w:val="auto"/>
              <w:sz w:val="24"/>
              <w:szCs w:val="24"/>
            </w:rPr>
          </w:pPr>
          <w:r w:rsidRPr="00FE61B7">
            <w:rPr>
              <w:rFonts w:ascii="Times New Roman" w:hAnsi="Times New Roman" w:cs="Times New Roman"/>
              <w:color w:val="auto"/>
              <w:sz w:val="24"/>
              <w:szCs w:val="24"/>
            </w:rPr>
            <w:t>Sommaire</w:t>
          </w:r>
        </w:p>
        <w:p w:rsidR="00D24332" w:rsidRDefault="00F82339">
          <w:pPr>
            <w:pStyle w:val="TM1"/>
            <w:tabs>
              <w:tab w:val="right" w:leader="dot" w:pos="9394"/>
            </w:tabs>
            <w:rPr>
              <w:rFonts w:asciiTheme="minorHAnsi" w:eastAsiaTheme="minorEastAsia" w:hAnsiTheme="minorHAnsi" w:cstheme="minorBidi"/>
              <w:noProof/>
              <w:sz w:val="22"/>
              <w:szCs w:val="22"/>
              <w:lang w:eastAsia="fr-CA"/>
            </w:rPr>
          </w:pPr>
          <w:r w:rsidRPr="00FE61B7">
            <w:fldChar w:fldCharType="begin"/>
          </w:r>
          <w:r w:rsidRPr="00FE61B7">
            <w:instrText xml:space="preserve"> TOC \o "1-3" \h \z \u </w:instrText>
          </w:r>
          <w:r w:rsidRPr="00FE61B7">
            <w:fldChar w:fldCharType="separate"/>
          </w:r>
          <w:hyperlink w:anchor="_Toc401478183" w:history="1">
            <w:r w:rsidR="00D24332" w:rsidRPr="00227A9C">
              <w:rPr>
                <w:rStyle w:val="Lienhypertexte"/>
                <w:noProof/>
              </w:rPr>
              <w:t>Introduction</w:t>
            </w:r>
            <w:r w:rsidR="00D24332">
              <w:rPr>
                <w:noProof/>
                <w:webHidden/>
              </w:rPr>
              <w:tab/>
            </w:r>
            <w:r w:rsidR="00D24332">
              <w:rPr>
                <w:noProof/>
                <w:webHidden/>
              </w:rPr>
              <w:fldChar w:fldCharType="begin"/>
            </w:r>
            <w:r w:rsidR="00D24332">
              <w:rPr>
                <w:noProof/>
                <w:webHidden/>
              </w:rPr>
              <w:instrText xml:space="preserve"> PAGEREF _Toc401478183 \h </w:instrText>
            </w:r>
            <w:r w:rsidR="00D24332">
              <w:rPr>
                <w:noProof/>
                <w:webHidden/>
              </w:rPr>
            </w:r>
            <w:r w:rsidR="00D24332">
              <w:rPr>
                <w:noProof/>
                <w:webHidden/>
              </w:rPr>
              <w:fldChar w:fldCharType="separate"/>
            </w:r>
            <w:r w:rsidR="00D24332">
              <w:rPr>
                <w:noProof/>
                <w:webHidden/>
              </w:rPr>
              <w:t>3</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184" w:history="1">
            <w:r w:rsidR="00D24332" w:rsidRPr="00227A9C">
              <w:rPr>
                <w:rStyle w:val="Lienhypertexte"/>
                <w:noProof/>
              </w:rPr>
              <w:t>Contexte historique</w:t>
            </w:r>
            <w:r w:rsidR="00D24332">
              <w:rPr>
                <w:noProof/>
                <w:webHidden/>
              </w:rPr>
              <w:tab/>
            </w:r>
            <w:r w:rsidR="00D24332">
              <w:rPr>
                <w:noProof/>
                <w:webHidden/>
              </w:rPr>
              <w:fldChar w:fldCharType="begin"/>
            </w:r>
            <w:r w:rsidR="00D24332">
              <w:rPr>
                <w:noProof/>
                <w:webHidden/>
              </w:rPr>
              <w:instrText xml:space="preserve"> PAGEREF _Toc401478184 \h </w:instrText>
            </w:r>
            <w:r w:rsidR="00D24332">
              <w:rPr>
                <w:noProof/>
                <w:webHidden/>
              </w:rPr>
            </w:r>
            <w:r w:rsidR="00D24332">
              <w:rPr>
                <w:noProof/>
                <w:webHidden/>
              </w:rPr>
              <w:fldChar w:fldCharType="separate"/>
            </w:r>
            <w:r w:rsidR="00D24332">
              <w:rPr>
                <w:noProof/>
                <w:webHidden/>
              </w:rPr>
              <w:t>5</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85" w:history="1">
            <w:r w:rsidR="00D24332" w:rsidRPr="00227A9C">
              <w:rPr>
                <w:rStyle w:val="Lienhypertexte"/>
                <w:noProof/>
              </w:rPr>
              <w:t>Iconographie</w:t>
            </w:r>
            <w:r w:rsidR="00D24332">
              <w:rPr>
                <w:noProof/>
                <w:webHidden/>
              </w:rPr>
              <w:tab/>
            </w:r>
            <w:r w:rsidR="00D24332">
              <w:rPr>
                <w:noProof/>
                <w:webHidden/>
              </w:rPr>
              <w:fldChar w:fldCharType="begin"/>
            </w:r>
            <w:r w:rsidR="00D24332">
              <w:rPr>
                <w:noProof/>
                <w:webHidden/>
              </w:rPr>
              <w:instrText xml:space="preserve"> PAGEREF _Toc401478185 \h </w:instrText>
            </w:r>
            <w:r w:rsidR="00D24332">
              <w:rPr>
                <w:noProof/>
                <w:webHidden/>
              </w:rPr>
            </w:r>
            <w:r w:rsidR="00D24332">
              <w:rPr>
                <w:noProof/>
                <w:webHidden/>
              </w:rPr>
              <w:fldChar w:fldCharType="separate"/>
            </w:r>
            <w:r w:rsidR="00D24332">
              <w:rPr>
                <w:noProof/>
                <w:webHidden/>
              </w:rPr>
              <w:t>5</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86" w:history="1">
            <w:r w:rsidR="00D24332" w:rsidRPr="00227A9C">
              <w:rPr>
                <w:rStyle w:val="Lienhypertexte"/>
                <w:noProof/>
              </w:rPr>
              <w:t>Couleur</w:t>
            </w:r>
            <w:r w:rsidR="00D24332">
              <w:rPr>
                <w:noProof/>
                <w:webHidden/>
              </w:rPr>
              <w:tab/>
            </w:r>
            <w:r w:rsidR="00D24332">
              <w:rPr>
                <w:noProof/>
                <w:webHidden/>
              </w:rPr>
              <w:fldChar w:fldCharType="begin"/>
            </w:r>
            <w:r w:rsidR="00D24332">
              <w:rPr>
                <w:noProof/>
                <w:webHidden/>
              </w:rPr>
              <w:instrText xml:space="preserve"> PAGEREF _Toc401478186 \h </w:instrText>
            </w:r>
            <w:r w:rsidR="00D24332">
              <w:rPr>
                <w:noProof/>
                <w:webHidden/>
              </w:rPr>
            </w:r>
            <w:r w:rsidR="00D24332">
              <w:rPr>
                <w:noProof/>
                <w:webHidden/>
              </w:rPr>
              <w:fldChar w:fldCharType="separate"/>
            </w:r>
            <w:r w:rsidR="00D24332">
              <w:rPr>
                <w:noProof/>
                <w:webHidden/>
              </w:rPr>
              <w:t>14</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87" w:history="1">
            <w:r w:rsidR="00D24332" w:rsidRPr="00227A9C">
              <w:rPr>
                <w:rStyle w:val="Lienhypertexte"/>
                <w:i/>
                <w:noProof/>
              </w:rPr>
              <w:t>Débat sur son utilisation</w:t>
            </w:r>
            <w:r w:rsidR="00D24332">
              <w:rPr>
                <w:noProof/>
                <w:webHidden/>
              </w:rPr>
              <w:tab/>
            </w:r>
            <w:r w:rsidR="00D24332">
              <w:rPr>
                <w:noProof/>
                <w:webHidden/>
              </w:rPr>
              <w:fldChar w:fldCharType="begin"/>
            </w:r>
            <w:r w:rsidR="00D24332">
              <w:rPr>
                <w:noProof/>
                <w:webHidden/>
              </w:rPr>
              <w:instrText xml:space="preserve"> PAGEREF _Toc401478187 \h </w:instrText>
            </w:r>
            <w:r w:rsidR="00D24332">
              <w:rPr>
                <w:noProof/>
                <w:webHidden/>
              </w:rPr>
            </w:r>
            <w:r w:rsidR="00D24332">
              <w:rPr>
                <w:noProof/>
                <w:webHidden/>
              </w:rPr>
              <w:fldChar w:fldCharType="separate"/>
            </w:r>
            <w:r w:rsidR="00D24332">
              <w:rPr>
                <w:noProof/>
                <w:webHidden/>
              </w:rPr>
              <w:t>14</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88" w:history="1">
            <w:r w:rsidR="00D24332" w:rsidRPr="00227A9C">
              <w:rPr>
                <w:rStyle w:val="Lienhypertexte"/>
                <w:i/>
                <w:noProof/>
              </w:rPr>
              <w:t>Situation de la symbolique des couleurs selon Michel Pastoureau</w:t>
            </w:r>
            <w:r w:rsidR="00D24332">
              <w:rPr>
                <w:noProof/>
                <w:webHidden/>
              </w:rPr>
              <w:tab/>
            </w:r>
            <w:r w:rsidR="00D24332">
              <w:rPr>
                <w:noProof/>
                <w:webHidden/>
              </w:rPr>
              <w:fldChar w:fldCharType="begin"/>
            </w:r>
            <w:r w:rsidR="00D24332">
              <w:rPr>
                <w:noProof/>
                <w:webHidden/>
              </w:rPr>
              <w:instrText xml:space="preserve"> PAGEREF _Toc401478188 \h </w:instrText>
            </w:r>
            <w:r w:rsidR="00D24332">
              <w:rPr>
                <w:noProof/>
                <w:webHidden/>
              </w:rPr>
            </w:r>
            <w:r w:rsidR="00D24332">
              <w:rPr>
                <w:noProof/>
                <w:webHidden/>
              </w:rPr>
              <w:fldChar w:fldCharType="separate"/>
            </w:r>
            <w:r w:rsidR="00D24332">
              <w:rPr>
                <w:noProof/>
                <w:webHidden/>
              </w:rPr>
              <w:t>16</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89" w:history="1">
            <w:r w:rsidR="00D24332" w:rsidRPr="00227A9C">
              <w:rPr>
                <w:rStyle w:val="Lienhypertexte"/>
                <w:noProof/>
              </w:rPr>
              <w:t>Livres d’Heures et ses éléments</w:t>
            </w:r>
            <w:r w:rsidR="00D24332">
              <w:rPr>
                <w:noProof/>
                <w:webHidden/>
              </w:rPr>
              <w:tab/>
            </w:r>
            <w:r w:rsidR="00D24332">
              <w:rPr>
                <w:noProof/>
                <w:webHidden/>
              </w:rPr>
              <w:fldChar w:fldCharType="begin"/>
            </w:r>
            <w:r w:rsidR="00D24332">
              <w:rPr>
                <w:noProof/>
                <w:webHidden/>
              </w:rPr>
              <w:instrText xml:space="preserve"> PAGEREF _Toc401478189 \h </w:instrText>
            </w:r>
            <w:r w:rsidR="00D24332">
              <w:rPr>
                <w:noProof/>
                <w:webHidden/>
              </w:rPr>
            </w:r>
            <w:r w:rsidR="00D24332">
              <w:rPr>
                <w:noProof/>
                <w:webHidden/>
              </w:rPr>
              <w:fldChar w:fldCharType="separate"/>
            </w:r>
            <w:r w:rsidR="00D24332">
              <w:rPr>
                <w:noProof/>
                <w:webHidden/>
              </w:rPr>
              <w:t>17</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90" w:history="1">
            <w:r w:rsidR="00D24332" w:rsidRPr="00227A9C">
              <w:rPr>
                <w:rStyle w:val="Lienhypertexte"/>
                <w:i/>
                <w:noProof/>
              </w:rPr>
              <w:t>Contexte de création</w:t>
            </w:r>
            <w:r w:rsidR="00D24332">
              <w:rPr>
                <w:noProof/>
                <w:webHidden/>
              </w:rPr>
              <w:tab/>
            </w:r>
            <w:r w:rsidR="00D24332">
              <w:rPr>
                <w:noProof/>
                <w:webHidden/>
              </w:rPr>
              <w:fldChar w:fldCharType="begin"/>
            </w:r>
            <w:r w:rsidR="00D24332">
              <w:rPr>
                <w:noProof/>
                <w:webHidden/>
              </w:rPr>
              <w:instrText xml:space="preserve"> PAGEREF _Toc401478190 \h </w:instrText>
            </w:r>
            <w:r w:rsidR="00D24332">
              <w:rPr>
                <w:noProof/>
                <w:webHidden/>
              </w:rPr>
            </w:r>
            <w:r w:rsidR="00D24332">
              <w:rPr>
                <w:noProof/>
                <w:webHidden/>
              </w:rPr>
              <w:fldChar w:fldCharType="separate"/>
            </w:r>
            <w:r w:rsidR="00D24332">
              <w:rPr>
                <w:noProof/>
                <w:webHidden/>
              </w:rPr>
              <w:t>17</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91" w:history="1">
            <w:r w:rsidR="00D24332" w:rsidRPr="00227A9C">
              <w:rPr>
                <w:rStyle w:val="Lienhypertexte"/>
                <w:i/>
                <w:noProof/>
              </w:rPr>
              <w:t>Le livre d’Heures et ses aspects</w:t>
            </w:r>
            <w:r w:rsidR="00D24332">
              <w:rPr>
                <w:noProof/>
                <w:webHidden/>
              </w:rPr>
              <w:tab/>
            </w:r>
            <w:r w:rsidR="00D24332">
              <w:rPr>
                <w:noProof/>
                <w:webHidden/>
              </w:rPr>
              <w:fldChar w:fldCharType="begin"/>
            </w:r>
            <w:r w:rsidR="00D24332">
              <w:rPr>
                <w:noProof/>
                <w:webHidden/>
              </w:rPr>
              <w:instrText xml:space="preserve"> PAGEREF _Toc401478191 \h </w:instrText>
            </w:r>
            <w:r w:rsidR="00D24332">
              <w:rPr>
                <w:noProof/>
                <w:webHidden/>
              </w:rPr>
            </w:r>
            <w:r w:rsidR="00D24332">
              <w:rPr>
                <w:noProof/>
                <w:webHidden/>
              </w:rPr>
              <w:fldChar w:fldCharType="separate"/>
            </w:r>
            <w:r w:rsidR="00D24332">
              <w:rPr>
                <w:noProof/>
                <w:webHidden/>
              </w:rPr>
              <w:t>20</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192" w:history="1">
            <w:r w:rsidR="00D24332" w:rsidRPr="00227A9C">
              <w:rPr>
                <w:rStyle w:val="Lienhypertexte"/>
                <w:noProof/>
              </w:rPr>
              <w:t>État de la question</w:t>
            </w:r>
            <w:r w:rsidR="00D24332">
              <w:rPr>
                <w:noProof/>
                <w:webHidden/>
              </w:rPr>
              <w:tab/>
            </w:r>
            <w:r w:rsidR="00D24332">
              <w:rPr>
                <w:noProof/>
                <w:webHidden/>
              </w:rPr>
              <w:fldChar w:fldCharType="begin"/>
            </w:r>
            <w:r w:rsidR="00D24332">
              <w:rPr>
                <w:noProof/>
                <w:webHidden/>
              </w:rPr>
              <w:instrText xml:space="preserve"> PAGEREF _Toc401478192 \h </w:instrText>
            </w:r>
            <w:r w:rsidR="00D24332">
              <w:rPr>
                <w:noProof/>
                <w:webHidden/>
              </w:rPr>
            </w:r>
            <w:r w:rsidR="00D24332">
              <w:rPr>
                <w:noProof/>
                <w:webHidden/>
              </w:rPr>
              <w:fldChar w:fldCharType="separate"/>
            </w:r>
            <w:r w:rsidR="00D24332">
              <w:rPr>
                <w:noProof/>
                <w:webHidden/>
              </w:rPr>
              <w:t>24</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93" w:history="1">
            <w:r w:rsidR="00D24332" w:rsidRPr="00227A9C">
              <w:rPr>
                <w:rStyle w:val="Lienhypertexte"/>
                <w:noProof/>
              </w:rPr>
              <w:t>Difficultés liées à un état de la question</w:t>
            </w:r>
            <w:r w:rsidR="00D24332">
              <w:rPr>
                <w:noProof/>
                <w:webHidden/>
              </w:rPr>
              <w:tab/>
            </w:r>
            <w:r w:rsidR="00D24332">
              <w:rPr>
                <w:noProof/>
                <w:webHidden/>
              </w:rPr>
              <w:fldChar w:fldCharType="begin"/>
            </w:r>
            <w:r w:rsidR="00D24332">
              <w:rPr>
                <w:noProof/>
                <w:webHidden/>
              </w:rPr>
              <w:instrText xml:space="preserve"> PAGEREF _Toc401478193 \h </w:instrText>
            </w:r>
            <w:r w:rsidR="00D24332">
              <w:rPr>
                <w:noProof/>
                <w:webHidden/>
              </w:rPr>
            </w:r>
            <w:r w:rsidR="00D24332">
              <w:rPr>
                <w:noProof/>
                <w:webHidden/>
              </w:rPr>
              <w:fldChar w:fldCharType="separate"/>
            </w:r>
            <w:r w:rsidR="00D24332">
              <w:rPr>
                <w:noProof/>
                <w:webHidden/>
              </w:rPr>
              <w:t>24</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94" w:history="1">
            <w:r w:rsidR="00D24332" w:rsidRPr="00227A9C">
              <w:rPr>
                <w:rStyle w:val="Lienhypertexte"/>
                <w:noProof/>
              </w:rPr>
              <w:t>John Gage</w:t>
            </w:r>
            <w:r w:rsidR="00D24332">
              <w:rPr>
                <w:noProof/>
                <w:webHidden/>
              </w:rPr>
              <w:tab/>
            </w:r>
            <w:r w:rsidR="00D24332">
              <w:rPr>
                <w:noProof/>
                <w:webHidden/>
              </w:rPr>
              <w:fldChar w:fldCharType="begin"/>
            </w:r>
            <w:r w:rsidR="00D24332">
              <w:rPr>
                <w:noProof/>
                <w:webHidden/>
              </w:rPr>
              <w:instrText xml:space="preserve"> PAGEREF _Toc401478194 \h </w:instrText>
            </w:r>
            <w:r w:rsidR="00D24332">
              <w:rPr>
                <w:noProof/>
                <w:webHidden/>
              </w:rPr>
            </w:r>
            <w:r w:rsidR="00D24332">
              <w:rPr>
                <w:noProof/>
                <w:webHidden/>
              </w:rPr>
              <w:fldChar w:fldCharType="separate"/>
            </w:r>
            <w:r w:rsidR="00D24332">
              <w:rPr>
                <w:noProof/>
                <w:webHidden/>
              </w:rPr>
              <w:t>30</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95" w:history="1">
            <w:r w:rsidR="00D24332" w:rsidRPr="00227A9C">
              <w:rPr>
                <w:rStyle w:val="Lienhypertexte"/>
                <w:noProof/>
              </w:rPr>
              <w:t>Articles</w:t>
            </w:r>
            <w:r w:rsidR="00D24332">
              <w:rPr>
                <w:noProof/>
                <w:webHidden/>
              </w:rPr>
              <w:tab/>
            </w:r>
            <w:r w:rsidR="00D24332">
              <w:rPr>
                <w:noProof/>
                <w:webHidden/>
              </w:rPr>
              <w:fldChar w:fldCharType="begin"/>
            </w:r>
            <w:r w:rsidR="00D24332">
              <w:rPr>
                <w:noProof/>
                <w:webHidden/>
              </w:rPr>
              <w:instrText xml:space="preserve"> PAGEREF _Toc401478195 \h </w:instrText>
            </w:r>
            <w:r w:rsidR="00D24332">
              <w:rPr>
                <w:noProof/>
                <w:webHidden/>
              </w:rPr>
            </w:r>
            <w:r w:rsidR="00D24332">
              <w:rPr>
                <w:noProof/>
                <w:webHidden/>
              </w:rPr>
              <w:fldChar w:fldCharType="separate"/>
            </w:r>
            <w:r w:rsidR="00D24332">
              <w:rPr>
                <w:noProof/>
                <w:webHidden/>
              </w:rPr>
              <w:t>33</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96" w:history="1">
            <w:r w:rsidR="00D24332" w:rsidRPr="00227A9C">
              <w:rPr>
                <w:rStyle w:val="Lienhypertexte"/>
                <w:i/>
                <w:noProof/>
              </w:rPr>
              <w:t>Christel Meier</w:t>
            </w:r>
            <w:r w:rsidR="00D24332">
              <w:rPr>
                <w:noProof/>
                <w:webHidden/>
              </w:rPr>
              <w:tab/>
            </w:r>
            <w:r w:rsidR="00D24332">
              <w:rPr>
                <w:noProof/>
                <w:webHidden/>
              </w:rPr>
              <w:fldChar w:fldCharType="begin"/>
            </w:r>
            <w:r w:rsidR="00D24332">
              <w:rPr>
                <w:noProof/>
                <w:webHidden/>
              </w:rPr>
              <w:instrText xml:space="preserve"> PAGEREF _Toc401478196 \h </w:instrText>
            </w:r>
            <w:r w:rsidR="00D24332">
              <w:rPr>
                <w:noProof/>
                <w:webHidden/>
              </w:rPr>
            </w:r>
            <w:r w:rsidR="00D24332">
              <w:rPr>
                <w:noProof/>
                <w:webHidden/>
              </w:rPr>
              <w:fldChar w:fldCharType="separate"/>
            </w:r>
            <w:r w:rsidR="00D24332">
              <w:rPr>
                <w:noProof/>
                <w:webHidden/>
              </w:rPr>
              <w:t>33</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197" w:history="1">
            <w:r w:rsidR="00D24332" w:rsidRPr="00227A9C">
              <w:rPr>
                <w:rStyle w:val="Lienhypertexte"/>
                <w:i/>
                <w:noProof/>
              </w:rPr>
              <w:t>Heather Pulliam</w:t>
            </w:r>
            <w:r w:rsidR="00D24332">
              <w:rPr>
                <w:noProof/>
                <w:webHidden/>
              </w:rPr>
              <w:tab/>
            </w:r>
            <w:r w:rsidR="00D24332">
              <w:rPr>
                <w:noProof/>
                <w:webHidden/>
              </w:rPr>
              <w:fldChar w:fldCharType="begin"/>
            </w:r>
            <w:r w:rsidR="00D24332">
              <w:rPr>
                <w:noProof/>
                <w:webHidden/>
              </w:rPr>
              <w:instrText xml:space="preserve"> PAGEREF _Toc401478197 \h </w:instrText>
            </w:r>
            <w:r w:rsidR="00D24332">
              <w:rPr>
                <w:noProof/>
                <w:webHidden/>
              </w:rPr>
            </w:r>
            <w:r w:rsidR="00D24332">
              <w:rPr>
                <w:noProof/>
                <w:webHidden/>
              </w:rPr>
              <w:fldChar w:fldCharType="separate"/>
            </w:r>
            <w:r w:rsidR="00D24332">
              <w:rPr>
                <w:noProof/>
                <w:webHidden/>
              </w:rPr>
              <w:t>34</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198" w:history="1">
            <w:r w:rsidR="00D24332" w:rsidRPr="00227A9C">
              <w:rPr>
                <w:rStyle w:val="Lienhypertexte"/>
                <w:noProof/>
              </w:rPr>
              <w:t>Farbe im Mittelalter</w:t>
            </w:r>
            <w:r w:rsidR="00D24332">
              <w:rPr>
                <w:noProof/>
                <w:webHidden/>
              </w:rPr>
              <w:tab/>
            </w:r>
            <w:r w:rsidR="00D24332">
              <w:rPr>
                <w:noProof/>
                <w:webHidden/>
              </w:rPr>
              <w:fldChar w:fldCharType="begin"/>
            </w:r>
            <w:r w:rsidR="00D24332">
              <w:rPr>
                <w:noProof/>
                <w:webHidden/>
              </w:rPr>
              <w:instrText xml:space="preserve"> PAGEREF _Toc401478198 \h </w:instrText>
            </w:r>
            <w:r w:rsidR="00D24332">
              <w:rPr>
                <w:noProof/>
                <w:webHidden/>
              </w:rPr>
            </w:r>
            <w:r w:rsidR="00D24332">
              <w:rPr>
                <w:noProof/>
                <w:webHidden/>
              </w:rPr>
              <w:fldChar w:fldCharType="separate"/>
            </w:r>
            <w:r w:rsidR="00D24332">
              <w:rPr>
                <w:noProof/>
                <w:webHidden/>
              </w:rPr>
              <w:t>34</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199" w:history="1">
            <w:r w:rsidR="00D24332" w:rsidRPr="00227A9C">
              <w:rPr>
                <w:rStyle w:val="Lienhypertexte"/>
                <w:noProof/>
              </w:rPr>
              <w:t>Sources</w:t>
            </w:r>
            <w:r w:rsidR="00D24332">
              <w:rPr>
                <w:noProof/>
                <w:webHidden/>
              </w:rPr>
              <w:tab/>
            </w:r>
            <w:r w:rsidR="00D24332">
              <w:rPr>
                <w:noProof/>
                <w:webHidden/>
              </w:rPr>
              <w:fldChar w:fldCharType="begin"/>
            </w:r>
            <w:r w:rsidR="00D24332">
              <w:rPr>
                <w:noProof/>
                <w:webHidden/>
              </w:rPr>
              <w:instrText xml:space="preserve"> PAGEREF _Toc401478199 \h </w:instrText>
            </w:r>
            <w:r w:rsidR="00D24332">
              <w:rPr>
                <w:noProof/>
                <w:webHidden/>
              </w:rPr>
            </w:r>
            <w:r w:rsidR="00D24332">
              <w:rPr>
                <w:noProof/>
                <w:webHidden/>
              </w:rPr>
              <w:fldChar w:fldCharType="separate"/>
            </w:r>
            <w:r w:rsidR="00D24332">
              <w:rPr>
                <w:noProof/>
                <w:webHidden/>
              </w:rPr>
              <w:t>36</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00" w:history="1">
            <w:r w:rsidR="00D24332" w:rsidRPr="00227A9C">
              <w:rPr>
                <w:rStyle w:val="Lienhypertexte"/>
                <w:noProof/>
              </w:rPr>
              <w:t>Présentation codicologique du livre d’Heures du maître de Jean d’Albret</w:t>
            </w:r>
            <w:r w:rsidR="00D24332">
              <w:rPr>
                <w:noProof/>
                <w:webHidden/>
              </w:rPr>
              <w:tab/>
            </w:r>
            <w:r w:rsidR="00D24332">
              <w:rPr>
                <w:noProof/>
                <w:webHidden/>
              </w:rPr>
              <w:fldChar w:fldCharType="begin"/>
            </w:r>
            <w:r w:rsidR="00D24332">
              <w:rPr>
                <w:noProof/>
                <w:webHidden/>
              </w:rPr>
              <w:instrText xml:space="preserve"> PAGEREF _Toc401478200 \h </w:instrText>
            </w:r>
            <w:r w:rsidR="00D24332">
              <w:rPr>
                <w:noProof/>
                <w:webHidden/>
              </w:rPr>
            </w:r>
            <w:r w:rsidR="00D24332">
              <w:rPr>
                <w:noProof/>
                <w:webHidden/>
              </w:rPr>
              <w:fldChar w:fldCharType="separate"/>
            </w:r>
            <w:r w:rsidR="00D24332">
              <w:rPr>
                <w:noProof/>
                <w:webHidden/>
              </w:rPr>
              <w:t>36</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01" w:history="1">
            <w:r w:rsidR="00D24332" w:rsidRPr="00227A9C">
              <w:rPr>
                <w:rStyle w:val="Lienhypertexte"/>
                <w:noProof/>
              </w:rPr>
              <w:t>Les pigments</w:t>
            </w:r>
            <w:r w:rsidR="00D24332">
              <w:rPr>
                <w:noProof/>
                <w:webHidden/>
              </w:rPr>
              <w:tab/>
            </w:r>
            <w:r w:rsidR="00D24332">
              <w:rPr>
                <w:noProof/>
                <w:webHidden/>
              </w:rPr>
              <w:fldChar w:fldCharType="begin"/>
            </w:r>
            <w:r w:rsidR="00D24332">
              <w:rPr>
                <w:noProof/>
                <w:webHidden/>
              </w:rPr>
              <w:instrText xml:space="preserve"> PAGEREF _Toc401478201 \h </w:instrText>
            </w:r>
            <w:r w:rsidR="00D24332">
              <w:rPr>
                <w:noProof/>
                <w:webHidden/>
              </w:rPr>
            </w:r>
            <w:r w:rsidR="00D24332">
              <w:rPr>
                <w:noProof/>
                <w:webHidden/>
              </w:rPr>
              <w:fldChar w:fldCharType="separate"/>
            </w:r>
            <w:r w:rsidR="00D24332">
              <w:rPr>
                <w:noProof/>
                <w:webHidden/>
              </w:rPr>
              <w:t>38</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2" w:history="1">
            <w:r w:rsidR="00D24332" w:rsidRPr="00227A9C">
              <w:rPr>
                <w:rStyle w:val="Lienhypertexte"/>
                <w:i/>
                <w:noProof/>
              </w:rPr>
              <w:t>L’or et le jaune</w:t>
            </w:r>
            <w:r w:rsidR="00D24332">
              <w:rPr>
                <w:noProof/>
                <w:webHidden/>
              </w:rPr>
              <w:tab/>
            </w:r>
            <w:r w:rsidR="00D24332">
              <w:rPr>
                <w:noProof/>
                <w:webHidden/>
              </w:rPr>
              <w:fldChar w:fldCharType="begin"/>
            </w:r>
            <w:r w:rsidR="00D24332">
              <w:rPr>
                <w:noProof/>
                <w:webHidden/>
              </w:rPr>
              <w:instrText xml:space="preserve"> PAGEREF _Toc401478202 \h </w:instrText>
            </w:r>
            <w:r w:rsidR="00D24332">
              <w:rPr>
                <w:noProof/>
                <w:webHidden/>
              </w:rPr>
            </w:r>
            <w:r w:rsidR="00D24332">
              <w:rPr>
                <w:noProof/>
                <w:webHidden/>
              </w:rPr>
              <w:fldChar w:fldCharType="separate"/>
            </w:r>
            <w:r w:rsidR="00D24332">
              <w:rPr>
                <w:noProof/>
                <w:webHidden/>
              </w:rPr>
              <w:t>39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3" w:history="1">
            <w:r w:rsidR="00D24332" w:rsidRPr="00227A9C">
              <w:rPr>
                <w:rStyle w:val="Lienhypertexte"/>
                <w:i/>
                <w:noProof/>
              </w:rPr>
              <w:t>Rouge</w:t>
            </w:r>
            <w:r w:rsidR="00D24332">
              <w:rPr>
                <w:noProof/>
                <w:webHidden/>
              </w:rPr>
              <w:tab/>
            </w:r>
            <w:r w:rsidR="00D24332">
              <w:rPr>
                <w:noProof/>
                <w:webHidden/>
              </w:rPr>
              <w:fldChar w:fldCharType="begin"/>
            </w:r>
            <w:r w:rsidR="00D24332">
              <w:rPr>
                <w:noProof/>
                <w:webHidden/>
              </w:rPr>
              <w:instrText xml:space="preserve"> PAGEREF _Toc401478203 \h </w:instrText>
            </w:r>
            <w:r w:rsidR="00D24332">
              <w:rPr>
                <w:noProof/>
                <w:webHidden/>
              </w:rPr>
            </w:r>
            <w:r w:rsidR="00D24332">
              <w:rPr>
                <w:noProof/>
                <w:webHidden/>
              </w:rPr>
              <w:fldChar w:fldCharType="separate"/>
            </w:r>
            <w:r w:rsidR="00D24332">
              <w:rPr>
                <w:noProof/>
                <w:webHidden/>
              </w:rPr>
              <w:t>41</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4" w:history="1">
            <w:r w:rsidR="00D24332" w:rsidRPr="00227A9C">
              <w:rPr>
                <w:rStyle w:val="Lienhypertexte"/>
                <w:i/>
                <w:noProof/>
              </w:rPr>
              <w:t>Vert</w:t>
            </w:r>
            <w:r w:rsidR="00D24332">
              <w:rPr>
                <w:noProof/>
                <w:webHidden/>
              </w:rPr>
              <w:tab/>
            </w:r>
            <w:r w:rsidR="00D24332">
              <w:rPr>
                <w:noProof/>
                <w:webHidden/>
              </w:rPr>
              <w:fldChar w:fldCharType="begin"/>
            </w:r>
            <w:r w:rsidR="00D24332">
              <w:rPr>
                <w:noProof/>
                <w:webHidden/>
              </w:rPr>
              <w:instrText xml:space="preserve"> PAGEREF _Toc401478204 \h </w:instrText>
            </w:r>
            <w:r w:rsidR="00D24332">
              <w:rPr>
                <w:noProof/>
                <w:webHidden/>
              </w:rPr>
            </w:r>
            <w:r w:rsidR="00D24332">
              <w:rPr>
                <w:noProof/>
                <w:webHidden/>
              </w:rPr>
              <w:fldChar w:fldCharType="separate"/>
            </w:r>
            <w:r w:rsidR="00D24332">
              <w:rPr>
                <w:noProof/>
                <w:webHidden/>
              </w:rPr>
              <w:t>41</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5" w:history="1">
            <w:r w:rsidR="00D24332" w:rsidRPr="00227A9C">
              <w:rPr>
                <w:rStyle w:val="Lienhypertexte"/>
                <w:i/>
                <w:noProof/>
              </w:rPr>
              <w:t>Blanc</w:t>
            </w:r>
            <w:r w:rsidR="00D24332">
              <w:rPr>
                <w:noProof/>
                <w:webHidden/>
              </w:rPr>
              <w:tab/>
            </w:r>
            <w:r w:rsidR="00D24332">
              <w:rPr>
                <w:noProof/>
                <w:webHidden/>
              </w:rPr>
              <w:fldChar w:fldCharType="begin"/>
            </w:r>
            <w:r w:rsidR="00D24332">
              <w:rPr>
                <w:noProof/>
                <w:webHidden/>
              </w:rPr>
              <w:instrText xml:space="preserve"> PAGEREF _Toc401478205 \h </w:instrText>
            </w:r>
            <w:r w:rsidR="00D24332">
              <w:rPr>
                <w:noProof/>
                <w:webHidden/>
              </w:rPr>
            </w:r>
            <w:r w:rsidR="00D24332">
              <w:rPr>
                <w:noProof/>
                <w:webHidden/>
              </w:rPr>
              <w:fldChar w:fldCharType="separate"/>
            </w:r>
            <w:r w:rsidR="00D24332">
              <w:rPr>
                <w:noProof/>
                <w:webHidden/>
              </w:rPr>
              <w:t>43</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6" w:history="1">
            <w:r w:rsidR="00D24332" w:rsidRPr="00227A9C">
              <w:rPr>
                <w:rStyle w:val="Lienhypertexte"/>
                <w:i/>
                <w:noProof/>
              </w:rPr>
              <w:t>Bleu</w:t>
            </w:r>
            <w:r w:rsidR="00D24332">
              <w:rPr>
                <w:noProof/>
                <w:webHidden/>
              </w:rPr>
              <w:tab/>
            </w:r>
            <w:r w:rsidR="00D24332">
              <w:rPr>
                <w:noProof/>
                <w:webHidden/>
              </w:rPr>
              <w:fldChar w:fldCharType="begin"/>
            </w:r>
            <w:r w:rsidR="00D24332">
              <w:rPr>
                <w:noProof/>
                <w:webHidden/>
              </w:rPr>
              <w:instrText xml:space="preserve"> PAGEREF _Toc401478206 \h </w:instrText>
            </w:r>
            <w:r w:rsidR="00D24332">
              <w:rPr>
                <w:noProof/>
                <w:webHidden/>
              </w:rPr>
            </w:r>
            <w:r w:rsidR="00D24332">
              <w:rPr>
                <w:noProof/>
                <w:webHidden/>
              </w:rPr>
              <w:fldChar w:fldCharType="separate"/>
            </w:r>
            <w:r w:rsidR="00D24332">
              <w:rPr>
                <w:noProof/>
                <w:webHidden/>
              </w:rPr>
              <w:t>44</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07" w:history="1">
            <w:r w:rsidR="00D24332" w:rsidRPr="00227A9C">
              <w:rPr>
                <w:rStyle w:val="Lienhypertexte"/>
                <w:i/>
                <w:noProof/>
              </w:rPr>
              <w:t>Noir</w:t>
            </w:r>
            <w:r w:rsidR="00D24332">
              <w:rPr>
                <w:noProof/>
                <w:webHidden/>
              </w:rPr>
              <w:tab/>
            </w:r>
            <w:r w:rsidR="00D24332">
              <w:rPr>
                <w:noProof/>
                <w:webHidden/>
              </w:rPr>
              <w:fldChar w:fldCharType="begin"/>
            </w:r>
            <w:r w:rsidR="00D24332">
              <w:rPr>
                <w:noProof/>
                <w:webHidden/>
              </w:rPr>
              <w:instrText xml:space="preserve"> PAGEREF _Toc401478207 \h </w:instrText>
            </w:r>
            <w:r w:rsidR="00D24332">
              <w:rPr>
                <w:noProof/>
                <w:webHidden/>
              </w:rPr>
            </w:r>
            <w:r w:rsidR="00D24332">
              <w:rPr>
                <w:noProof/>
                <w:webHidden/>
              </w:rPr>
              <w:fldChar w:fldCharType="separate"/>
            </w:r>
            <w:r w:rsidR="00D24332">
              <w:rPr>
                <w:noProof/>
                <w:webHidden/>
              </w:rPr>
              <w:t>46</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208" w:history="1">
            <w:r w:rsidR="00D24332" w:rsidRPr="00227A9C">
              <w:rPr>
                <w:rStyle w:val="Lienhypertexte"/>
                <w:noProof/>
              </w:rPr>
              <w:t>Analyse de sources</w:t>
            </w:r>
            <w:r w:rsidR="00D24332">
              <w:rPr>
                <w:noProof/>
                <w:webHidden/>
              </w:rPr>
              <w:tab/>
            </w:r>
            <w:r w:rsidR="00D24332">
              <w:rPr>
                <w:noProof/>
                <w:webHidden/>
              </w:rPr>
              <w:fldChar w:fldCharType="begin"/>
            </w:r>
            <w:r w:rsidR="00D24332">
              <w:rPr>
                <w:noProof/>
                <w:webHidden/>
              </w:rPr>
              <w:instrText xml:space="preserve"> PAGEREF _Toc401478208 \h </w:instrText>
            </w:r>
            <w:r w:rsidR="00D24332">
              <w:rPr>
                <w:noProof/>
                <w:webHidden/>
              </w:rPr>
            </w:r>
            <w:r w:rsidR="00D24332">
              <w:rPr>
                <w:noProof/>
                <w:webHidden/>
              </w:rPr>
              <w:fldChar w:fldCharType="separate"/>
            </w:r>
            <w:r w:rsidR="00D24332">
              <w:rPr>
                <w:noProof/>
                <w:webHidden/>
              </w:rPr>
              <w:t>47</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09" w:history="1">
            <w:r w:rsidR="00D24332" w:rsidRPr="00227A9C">
              <w:rPr>
                <w:rStyle w:val="Lienhypertexte"/>
                <w:noProof/>
              </w:rPr>
              <w:t>Vierge à l’Enfant</w:t>
            </w:r>
            <w:r w:rsidR="00D24332">
              <w:rPr>
                <w:noProof/>
                <w:webHidden/>
              </w:rPr>
              <w:tab/>
            </w:r>
            <w:r w:rsidR="00D24332">
              <w:rPr>
                <w:noProof/>
                <w:webHidden/>
              </w:rPr>
              <w:fldChar w:fldCharType="begin"/>
            </w:r>
            <w:r w:rsidR="00D24332">
              <w:rPr>
                <w:noProof/>
                <w:webHidden/>
              </w:rPr>
              <w:instrText xml:space="preserve"> PAGEREF _Toc401478209 \h </w:instrText>
            </w:r>
            <w:r w:rsidR="00D24332">
              <w:rPr>
                <w:noProof/>
                <w:webHidden/>
              </w:rPr>
            </w:r>
            <w:r w:rsidR="00D24332">
              <w:rPr>
                <w:noProof/>
                <w:webHidden/>
              </w:rPr>
              <w:fldChar w:fldCharType="separate"/>
            </w:r>
            <w:r w:rsidR="00D24332">
              <w:rPr>
                <w:noProof/>
                <w:webHidden/>
              </w:rPr>
              <w:t>47</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0" w:history="1">
            <w:r w:rsidR="00D24332" w:rsidRPr="00227A9C">
              <w:rPr>
                <w:rStyle w:val="Lienhypertexte"/>
                <w:i/>
                <w:noProof/>
              </w:rPr>
              <w:t>Description</w:t>
            </w:r>
            <w:r w:rsidR="00D24332">
              <w:rPr>
                <w:noProof/>
                <w:webHidden/>
              </w:rPr>
              <w:tab/>
            </w:r>
            <w:r w:rsidR="00D24332">
              <w:rPr>
                <w:noProof/>
                <w:webHidden/>
              </w:rPr>
              <w:fldChar w:fldCharType="begin"/>
            </w:r>
            <w:r w:rsidR="00D24332">
              <w:rPr>
                <w:noProof/>
                <w:webHidden/>
              </w:rPr>
              <w:instrText xml:space="preserve"> PAGEREF _Toc401478210 \h </w:instrText>
            </w:r>
            <w:r w:rsidR="00D24332">
              <w:rPr>
                <w:noProof/>
                <w:webHidden/>
              </w:rPr>
            </w:r>
            <w:r w:rsidR="00D24332">
              <w:rPr>
                <w:noProof/>
                <w:webHidden/>
              </w:rPr>
              <w:fldChar w:fldCharType="separate"/>
            </w:r>
            <w:r w:rsidR="00D24332">
              <w:rPr>
                <w:noProof/>
                <w:webHidden/>
              </w:rPr>
              <w:t>47</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1" w:history="1">
            <w:r w:rsidR="00D24332" w:rsidRPr="00227A9C">
              <w:rPr>
                <w:rStyle w:val="Lienhypertexte"/>
                <w:i/>
                <w:noProof/>
              </w:rPr>
              <w:t>Bleu de la Vierge</w:t>
            </w:r>
            <w:r w:rsidR="00D24332">
              <w:rPr>
                <w:noProof/>
                <w:webHidden/>
              </w:rPr>
              <w:tab/>
            </w:r>
            <w:r w:rsidR="00D24332">
              <w:rPr>
                <w:noProof/>
                <w:webHidden/>
              </w:rPr>
              <w:fldChar w:fldCharType="begin"/>
            </w:r>
            <w:r w:rsidR="00D24332">
              <w:rPr>
                <w:noProof/>
                <w:webHidden/>
              </w:rPr>
              <w:instrText xml:space="preserve"> PAGEREF _Toc401478211 \h </w:instrText>
            </w:r>
            <w:r w:rsidR="00D24332">
              <w:rPr>
                <w:noProof/>
                <w:webHidden/>
              </w:rPr>
            </w:r>
            <w:r w:rsidR="00D24332">
              <w:rPr>
                <w:noProof/>
                <w:webHidden/>
              </w:rPr>
              <w:fldChar w:fldCharType="separate"/>
            </w:r>
            <w:r w:rsidR="00D24332">
              <w:rPr>
                <w:noProof/>
                <w:webHidden/>
              </w:rPr>
              <w:t>49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2" w:history="1">
            <w:r w:rsidR="00D24332" w:rsidRPr="00227A9C">
              <w:rPr>
                <w:rStyle w:val="Lienhypertexte"/>
                <w:i/>
                <w:noProof/>
              </w:rPr>
              <w:t>Rouge du Christ</w:t>
            </w:r>
            <w:r w:rsidR="00D24332">
              <w:rPr>
                <w:noProof/>
                <w:webHidden/>
              </w:rPr>
              <w:tab/>
            </w:r>
            <w:r w:rsidR="00D24332">
              <w:rPr>
                <w:noProof/>
                <w:webHidden/>
              </w:rPr>
              <w:fldChar w:fldCharType="begin"/>
            </w:r>
            <w:r w:rsidR="00D24332">
              <w:rPr>
                <w:noProof/>
                <w:webHidden/>
              </w:rPr>
              <w:instrText xml:space="preserve"> PAGEREF _Toc401478212 \h </w:instrText>
            </w:r>
            <w:r w:rsidR="00D24332">
              <w:rPr>
                <w:noProof/>
                <w:webHidden/>
              </w:rPr>
            </w:r>
            <w:r w:rsidR="00D24332">
              <w:rPr>
                <w:noProof/>
                <w:webHidden/>
              </w:rPr>
              <w:fldChar w:fldCharType="separate"/>
            </w:r>
            <w:r w:rsidR="00D24332">
              <w:rPr>
                <w:noProof/>
                <w:webHidden/>
              </w:rPr>
              <w:t>52</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3" w:history="1">
            <w:r w:rsidR="00D24332" w:rsidRPr="00227A9C">
              <w:rPr>
                <w:rStyle w:val="Lienhypertexte"/>
                <w:i/>
                <w:noProof/>
              </w:rPr>
              <w:t>Bleu et rouge : association de deux personnages</w:t>
            </w:r>
            <w:r w:rsidR="00D24332">
              <w:rPr>
                <w:noProof/>
                <w:webHidden/>
              </w:rPr>
              <w:tab/>
            </w:r>
            <w:r w:rsidR="00D24332">
              <w:rPr>
                <w:noProof/>
                <w:webHidden/>
              </w:rPr>
              <w:fldChar w:fldCharType="begin"/>
            </w:r>
            <w:r w:rsidR="00D24332">
              <w:rPr>
                <w:noProof/>
                <w:webHidden/>
              </w:rPr>
              <w:instrText xml:space="preserve"> PAGEREF _Toc401478213 \h </w:instrText>
            </w:r>
            <w:r w:rsidR="00D24332">
              <w:rPr>
                <w:noProof/>
                <w:webHidden/>
              </w:rPr>
            </w:r>
            <w:r w:rsidR="00D24332">
              <w:rPr>
                <w:noProof/>
                <w:webHidden/>
              </w:rPr>
              <w:fldChar w:fldCharType="separate"/>
            </w:r>
            <w:r w:rsidR="00D24332">
              <w:rPr>
                <w:noProof/>
                <w:webHidden/>
              </w:rPr>
              <w:t>54</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4" w:history="1">
            <w:r w:rsidR="00D24332" w:rsidRPr="00227A9C">
              <w:rPr>
                <w:rStyle w:val="Lienhypertexte"/>
                <w:i/>
                <w:noProof/>
              </w:rPr>
              <w:t>Or divin</w:t>
            </w:r>
            <w:r w:rsidR="00D24332">
              <w:rPr>
                <w:noProof/>
                <w:webHidden/>
              </w:rPr>
              <w:tab/>
            </w:r>
            <w:r w:rsidR="00D24332">
              <w:rPr>
                <w:noProof/>
                <w:webHidden/>
              </w:rPr>
              <w:fldChar w:fldCharType="begin"/>
            </w:r>
            <w:r w:rsidR="00D24332">
              <w:rPr>
                <w:noProof/>
                <w:webHidden/>
              </w:rPr>
              <w:instrText xml:space="preserve"> PAGEREF _Toc401478214 \h </w:instrText>
            </w:r>
            <w:r w:rsidR="00D24332">
              <w:rPr>
                <w:noProof/>
                <w:webHidden/>
              </w:rPr>
            </w:r>
            <w:r w:rsidR="00D24332">
              <w:rPr>
                <w:noProof/>
                <w:webHidden/>
              </w:rPr>
              <w:fldChar w:fldCharType="separate"/>
            </w:r>
            <w:r w:rsidR="00D24332">
              <w:rPr>
                <w:noProof/>
                <w:webHidden/>
              </w:rPr>
              <w:t>55</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5" w:history="1">
            <w:r w:rsidR="00D24332" w:rsidRPr="00227A9C">
              <w:rPr>
                <w:rStyle w:val="Lienhypertexte"/>
                <w:i/>
                <w:noProof/>
              </w:rPr>
              <w:t>La triade religieuse des couleurs</w:t>
            </w:r>
            <w:r w:rsidR="00D24332">
              <w:rPr>
                <w:noProof/>
                <w:webHidden/>
              </w:rPr>
              <w:tab/>
            </w:r>
            <w:r w:rsidR="00D24332">
              <w:rPr>
                <w:noProof/>
                <w:webHidden/>
              </w:rPr>
              <w:fldChar w:fldCharType="begin"/>
            </w:r>
            <w:r w:rsidR="00D24332">
              <w:rPr>
                <w:noProof/>
                <w:webHidden/>
              </w:rPr>
              <w:instrText xml:space="preserve"> PAGEREF _Toc401478215 \h </w:instrText>
            </w:r>
            <w:r w:rsidR="00D24332">
              <w:rPr>
                <w:noProof/>
                <w:webHidden/>
              </w:rPr>
            </w:r>
            <w:r w:rsidR="00D24332">
              <w:rPr>
                <w:noProof/>
                <w:webHidden/>
              </w:rPr>
              <w:fldChar w:fldCharType="separate"/>
            </w:r>
            <w:r w:rsidR="00D24332">
              <w:rPr>
                <w:noProof/>
                <w:webHidden/>
              </w:rPr>
              <w:t>58</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16" w:history="1">
            <w:r w:rsidR="00D24332" w:rsidRPr="00227A9C">
              <w:rPr>
                <w:rStyle w:val="Lienhypertexte"/>
                <w:noProof/>
              </w:rPr>
              <w:t>Adoration des mages</w:t>
            </w:r>
            <w:r w:rsidR="00D24332">
              <w:rPr>
                <w:noProof/>
                <w:webHidden/>
              </w:rPr>
              <w:tab/>
            </w:r>
            <w:r w:rsidR="00D24332">
              <w:rPr>
                <w:noProof/>
                <w:webHidden/>
              </w:rPr>
              <w:fldChar w:fldCharType="begin"/>
            </w:r>
            <w:r w:rsidR="00D24332">
              <w:rPr>
                <w:noProof/>
                <w:webHidden/>
              </w:rPr>
              <w:instrText xml:space="preserve"> PAGEREF _Toc401478216 \h </w:instrText>
            </w:r>
            <w:r w:rsidR="00D24332">
              <w:rPr>
                <w:noProof/>
                <w:webHidden/>
              </w:rPr>
            </w:r>
            <w:r w:rsidR="00D24332">
              <w:rPr>
                <w:noProof/>
                <w:webHidden/>
              </w:rPr>
              <w:fldChar w:fldCharType="separate"/>
            </w:r>
            <w:r w:rsidR="00D24332">
              <w:rPr>
                <w:noProof/>
                <w:webHidden/>
              </w:rPr>
              <w:t>59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7" w:history="1">
            <w:r w:rsidR="00D24332" w:rsidRPr="00227A9C">
              <w:rPr>
                <w:rStyle w:val="Lienhypertexte"/>
                <w:i/>
                <w:noProof/>
              </w:rPr>
              <w:t>Description</w:t>
            </w:r>
            <w:r w:rsidR="00D24332">
              <w:rPr>
                <w:noProof/>
                <w:webHidden/>
              </w:rPr>
              <w:tab/>
            </w:r>
            <w:r w:rsidR="00D24332">
              <w:rPr>
                <w:noProof/>
                <w:webHidden/>
              </w:rPr>
              <w:fldChar w:fldCharType="begin"/>
            </w:r>
            <w:r w:rsidR="00D24332">
              <w:rPr>
                <w:noProof/>
                <w:webHidden/>
              </w:rPr>
              <w:instrText xml:space="preserve"> PAGEREF _Toc401478217 \h </w:instrText>
            </w:r>
            <w:r w:rsidR="00D24332">
              <w:rPr>
                <w:noProof/>
                <w:webHidden/>
              </w:rPr>
            </w:r>
            <w:r w:rsidR="00D24332">
              <w:rPr>
                <w:noProof/>
                <w:webHidden/>
              </w:rPr>
              <w:fldChar w:fldCharType="separate"/>
            </w:r>
            <w:r w:rsidR="00D24332">
              <w:rPr>
                <w:noProof/>
                <w:webHidden/>
              </w:rPr>
              <w:t>59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8" w:history="1">
            <w:r w:rsidR="00D24332" w:rsidRPr="00227A9C">
              <w:rPr>
                <w:rStyle w:val="Lienhypertexte"/>
                <w:i/>
                <w:noProof/>
              </w:rPr>
              <w:t>Le vert de la jeunesse</w:t>
            </w:r>
            <w:r w:rsidR="00D24332">
              <w:rPr>
                <w:noProof/>
                <w:webHidden/>
              </w:rPr>
              <w:tab/>
            </w:r>
            <w:r w:rsidR="00D24332">
              <w:rPr>
                <w:noProof/>
                <w:webHidden/>
              </w:rPr>
              <w:fldChar w:fldCharType="begin"/>
            </w:r>
            <w:r w:rsidR="00D24332">
              <w:rPr>
                <w:noProof/>
                <w:webHidden/>
              </w:rPr>
              <w:instrText xml:space="preserve"> PAGEREF _Toc401478218 \h </w:instrText>
            </w:r>
            <w:r w:rsidR="00D24332">
              <w:rPr>
                <w:noProof/>
                <w:webHidden/>
              </w:rPr>
            </w:r>
            <w:r w:rsidR="00D24332">
              <w:rPr>
                <w:noProof/>
                <w:webHidden/>
              </w:rPr>
              <w:fldChar w:fldCharType="separate"/>
            </w:r>
            <w:r w:rsidR="00D24332">
              <w:rPr>
                <w:noProof/>
                <w:webHidden/>
              </w:rPr>
              <w:t>60</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19" w:history="1">
            <w:r w:rsidR="00D24332" w:rsidRPr="00227A9C">
              <w:rPr>
                <w:rStyle w:val="Lienhypertexte"/>
                <w:i/>
                <w:noProof/>
              </w:rPr>
              <w:t>Le vieillard et le Christ</w:t>
            </w:r>
            <w:r w:rsidR="00D24332">
              <w:rPr>
                <w:noProof/>
                <w:webHidden/>
              </w:rPr>
              <w:tab/>
            </w:r>
            <w:r w:rsidR="00D24332">
              <w:rPr>
                <w:noProof/>
                <w:webHidden/>
              </w:rPr>
              <w:fldChar w:fldCharType="begin"/>
            </w:r>
            <w:r w:rsidR="00D24332">
              <w:rPr>
                <w:noProof/>
                <w:webHidden/>
              </w:rPr>
              <w:instrText xml:space="preserve"> PAGEREF _Toc401478219 \h </w:instrText>
            </w:r>
            <w:r w:rsidR="00D24332">
              <w:rPr>
                <w:noProof/>
                <w:webHidden/>
              </w:rPr>
            </w:r>
            <w:r w:rsidR="00D24332">
              <w:rPr>
                <w:noProof/>
                <w:webHidden/>
              </w:rPr>
              <w:fldChar w:fldCharType="separate"/>
            </w:r>
            <w:r w:rsidR="00D24332">
              <w:rPr>
                <w:noProof/>
                <w:webHidden/>
              </w:rPr>
              <w:t>62</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0" w:history="1">
            <w:r w:rsidR="00D24332" w:rsidRPr="00227A9C">
              <w:rPr>
                <w:rStyle w:val="Lienhypertexte"/>
                <w:i/>
                <w:noProof/>
              </w:rPr>
              <w:t>L’homme noir?</w:t>
            </w:r>
            <w:r w:rsidR="00D24332">
              <w:rPr>
                <w:noProof/>
                <w:webHidden/>
              </w:rPr>
              <w:tab/>
            </w:r>
            <w:r w:rsidR="00D24332">
              <w:rPr>
                <w:noProof/>
                <w:webHidden/>
              </w:rPr>
              <w:fldChar w:fldCharType="begin"/>
            </w:r>
            <w:r w:rsidR="00D24332">
              <w:rPr>
                <w:noProof/>
                <w:webHidden/>
              </w:rPr>
              <w:instrText xml:space="preserve"> PAGEREF _Toc401478220 \h </w:instrText>
            </w:r>
            <w:r w:rsidR="00D24332">
              <w:rPr>
                <w:noProof/>
                <w:webHidden/>
              </w:rPr>
            </w:r>
            <w:r w:rsidR="00D24332">
              <w:rPr>
                <w:noProof/>
                <w:webHidden/>
              </w:rPr>
              <w:fldChar w:fldCharType="separate"/>
            </w:r>
            <w:r w:rsidR="00D24332">
              <w:rPr>
                <w:noProof/>
                <w:webHidden/>
              </w:rPr>
              <w:t>63</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21" w:history="1">
            <w:r w:rsidR="00D24332" w:rsidRPr="00227A9C">
              <w:rPr>
                <w:rStyle w:val="Lienhypertexte"/>
                <w:noProof/>
              </w:rPr>
              <w:t>Bethsabée au bain</w:t>
            </w:r>
            <w:r w:rsidR="00D24332">
              <w:rPr>
                <w:noProof/>
                <w:webHidden/>
              </w:rPr>
              <w:tab/>
            </w:r>
            <w:r w:rsidR="00D24332">
              <w:rPr>
                <w:noProof/>
                <w:webHidden/>
              </w:rPr>
              <w:fldChar w:fldCharType="begin"/>
            </w:r>
            <w:r w:rsidR="00D24332">
              <w:rPr>
                <w:noProof/>
                <w:webHidden/>
              </w:rPr>
              <w:instrText xml:space="preserve"> PAGEREF _Toc401478221 \h </w:instrText>
            </w:r>
            <w:r w:rsidR="00D24332">
              <w:rPr>
                <w:noProof/>
                <w:webHidden/>
              </w:rPr>
            </w:r>
            <w:r w:rsidR="00D24332">
              <w:rPr>
                <w:noProof/>
                <w:webHidden/>
              </w:rPr>
              <w:fldChar w:fldCharType="separate"/>
            </w:r>
            <w:r w:rsidR="00D24332">
              <w:rPr>
                <w:noProof/>
                <w:webHidden/>
              </w:rPr>
              <w:t>65</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2" w:history="1">
            <w:r w:rsidR="00D24332" w:rsidRPr="00227A9C">
              <w:rPr>
                <w:rStyle w:val="Lienhypertexte"/>
                <w:i/>
                <w:noProof/>
              </w:rPr>
              <w:t>Description</w:t>
            </w:r>
            <w:r w:rsidR="00D24332">
              <w:rPr>
                <w:noProof/>
                <w:webHidden/>
              </w:rPr>
              <w:tab/>
            </w:r>
            <w:r w:rsidR="00D24332">
              <w:rPr>
                <w:noProof/>
                <w:webHidden/>
              </w:rPr>
              <w:fldChar w:fldCharType="begin"/>
            </w:r>
            <w:r w:rsidR="00D24332">
              <w:rPr>
                <w:noProof/>
                <w:webHidden/>
              </w:rPr>
              <w:instrText xml:space="preserve"> PAGEREF _Toc401478222 \h </w:instrText>
            </w:r>
            <w:r w:rsidR="00D24332">
              <w:rPr>
                <w:noProof/>
                <w:webHidden/>
              </w:rPr>
            </w:r>
            <w:r w:rsidR="00D24332">
              <w:rPr>
                <w:noProof/>
                <w:webHidden/>
              </w:rPr>
              <w:fldChar w:fldCharType="separate"/>
            </w:r>
            <w:r w:rsidR="00D24332">
              <w:rPr>
                <w:noProof/>
                <w:webHidden/>
              </w:rPr>
              <w:t>65</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3" w:history="1">
            <w:r w:rsidR="00D24332" w:rsidRPr="00227A9C">
              <w:rPr>
                <w:rStyle w:val="Lienhypertexte"/>
                <w:i/>
                <w:noProof/>
              </w:rPr>
              <w:t>Bethsabée, la blanche</w:t>
            </w:r>
            <w:r w:rsidR="00D24332">
              <w:rPr>
                <w:noProof/>
                <w:webHidden/>
              </w:rPr>
              <w:tab/>
            </w:r>
            <w:r w:rsidR="00D24332">
              <w:rPr>
                <w:noProof/>
                <w:webHidden/>
              </w:rPr>
              <w:fldChar w:fldCharType="begin"/>
            </w:r>
            <w:r w:rsidR="00D24332">
              <w:rPr>
                <w:noProof/>
                <w:webHidden/>
              </w:rPr>
              <w:instrText xml:space="preserve"> PAGEREF _Toc401478223 \h </w:instrText>
            </w:r>
            <w:r w:rsidR="00D24332">
              <w:rPr>
                <w:noProof/>
                <w:webHidden/>
              </w:rPr>
            </w:r>
            <w:r w:rsidR="00D24332">
              <w:rPr>
                <w:noProof/>
                <w:webHidden/>
              </w:rPr>
              <w:fldChar w:fldCharType="separate"/>
            </w:r>
            <w:r w:rsidR="00D24332">
              <w:rPr>
                <w:noProof/>
                <w:webHidden/>
              </w:rPr>
              <w:t>67</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4" w:history="1">
            <w:r w:rsidR="00D24332" w:rsidRPr="00227A9C">
              <w:rPr>
                <w:rStyle w:val="Lienhypertexte"/>
                <w:i/>
                <w:noProof/>
              </w:rPr>
              <w:t>David et la couleur du vice</w:t>
            </w:r>
            <w:r w:rsidR="00D24332">
              <w:rPr>
                <w:noProof/>
                <w:webHidden/>
              </w:rPr>
              <w:tab/>
            </w:r>
            <w:r w:rsidR="00D24332">
              <w:rPr>
                <w:noProof/>
                <w:webHidden/>
              </w:rPr>
              <w:fldChar w:fldCharType="begin"/>
            </w:r>
            <w:r w:rsidR="00D24332">
              <w:rPr>
                <w:noProof/>
                <w:webHidden/>
              </w:rPr>
              <w:instrText xml:space="preserve"> PAGEREF _Toc401478224 \h </w:instrText>
            </w:r>
            <w:r w:rsidR="00D24332">
              <w:rPr>
                <w:noProof/>
                <w:webHidden/>
              </w:rPr>
            </w:r>
            <w:r w:rsidR="00D24332">
              <w:rPr>
                <w:noProof/>
                <w:webHidden/>
              </w:rPr>
              <w:fldChar w:fldCharType="separate"/>
            </w:r>
            <w:r w:rsidR="00D24332">
              <w:rPr>
                <w:noProof/>
                <w:webHidden/>
              </w:rPr>
              <w:t>68</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5" w:history="1">
            <w:r w:rsidR="00D24332" w:rsidRPr="00227A9C">
              <w:rPr>
                <w:rStyle w:val="Lienhypertexte"/>
                <w:i/>
                <w:noProof/>
              </w:rPr>
              <w:t>Les créatures chimériques</w:t>
            </w:r>
            <w:r w:rsidR="00D24332">
              <w:rPr>
                <w:noProof/>
                <w:webHidden/>
              </w:rPr>
              <w:tab/>
            </w:r>
            <w:r w:rsidR="00D24332">
              <w:rPr>
                <w:noProof/>
                <w:webHidden/>
              </w:rPr>
              <w:fldChar w:fldCharType="begin"/>
            </w:r>
            <w:r w:rsidR="00D24332">
              <w:rPr>
                <w:noProof/>
                <w:webHidden/>
              </w:rPr>
              <w:instrText xml:space="preserve"> PAGEREF _Toc401478225 \h </w:instrText>
            </w:r>
            <w:r w:rsidR="00D24332">
              <w:rPr>
                <w:noProof/>
                <w:webHidden/>
              </w:rPr>
            </w:r>
            <w:r w:rsidR="00D24332">
              <w:rPr>
                <w:noProof/>
                <w:webHidden/>
              </w:rPr>
              <w:fldChar w:fldCharType="separate"/>
            </w:r>
            <w:r w:rsidR="00D24332">
              <w:rPr>
                <w:noProof/>
                <w:webHidden/>
              </w:rPr>
              <w:t>69</w:t>
            </w:r>
            <w:r w:rsidR="00D24332">
              <w:rPr>
                <w:noProof/>
                <w:webHidden/>
              </w:rPr>
              <w:fldChar w:fldCharType="end"/>
            </w:r>
          </w:hyperlink>
        </w:p>
        <w:p w:rsidR="00D24332" w:rsidRDefault="00424104">
          <w:pPr>
            <w:pStyle w:val="TM2"/>
            <w:tabs>
              <w:tab w:val="right" w:leader="dot" w:pos="9394"/>
            </w:tabs>
            <w:rPr>
              <w:rFonts w:asciiTheme="minorHAnsi" w:eastAsiaTheme="minorEastAsia" w:hAnsiTheme="minorHAnsi" w:cstheme="minorBidi"/>
              <w:noProof/>
              <w:sz w:val="22"/>
              <w:szCs w:val="22"/>
              <w:lang w:eastAsia="fr-CA"/>
            </w:rPr>
          </w:pPr>
          <w:hyperlink w:anchor="_Toc401478226" w:history="1">
            <w:r w:rsidR="00D24332" w:rsidRPr="00227A9C">
              <w:rPr>
                <w:rStyle w:val="Lienhypertexte"/>
                <w:noProof/>
              </w:rPr>
              <w:t>Saint Michel contre le Diable</w:t>
            </w:r>
            <w:r w:rsidR="00D24332">
              <w:rPr>
                <w:noProof/>
                <w:webHidden/>
              </w:rPr>
              <w:tab/>
            </w:r>
            <w:r w:rsidR="00D24332">
              <w:rPr>
                <w:noProof/>
                <w:webHidden/>
              </w:rPr>
              <w:fldChar w:fldCharType="begin"/>
            </w:r>
            <w:r w:rsidR="00D24332">
              <w:rPr>
                <w:noProof/>
                <w:webHidden/>
              </w:rPr>
              <w:instrText xml:space="preserve"> PAGEREF _Toc401478226 \h </w:instrText>
            </w:r>
            <w:r w:rsidR="00D24332">
              <w:rPr>
                <w:noProof/>
                <w:webHidden/>
              </w:rPr>
            </w:r>
            <w:r w:rsidR="00D24332">
              <w:rPr>
                <w:noProof/>
                <w:webHidden/>
              </w:rPr>
              <w:fldChar w:fldCharType="separate"/>
            </w:r>
            <w:r w:rsidR="00D24332">
              <w:rPr>
                <w:noProof/>
                <w:webHidden/>
              </w:rPr>
              <w:t>69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7" w:history="1">
            <w:r w:rsidR="00D24332" w:rsidRPr="00227A9C">
              <w:rPr>
                <w:rStyle w:val="Lienhypertexte"/>
                <w:i/>
                <w:noProof/>
              </w:rPr>
              <w:t>Description</w:t>
            </w:r>
            <w:r w:rsidR="00D24332">
              <w:rPr>
                <w:noProof/>
                <w:webHidden/>
              </w:rPr>
              <w:tab/>
            </w:r>
            <w:r w:rsidR="00D24332">
              <w:rPr>
                <w:noProof/>
                <w:webHidden/>
              </w:rPr>
              <w:fldChar w:fldCharType="begin"/>
            </w:r>
            <w:r w:rsidR="00D24332">
              <w:rPr>
                <w:noProof/>
                <w:webHidden/>
              </w:rPr>
              <w:instrText xml:space="preserve"> PAGEREF _Toc401478227 \h </w:instrText>
            </w:r>
            <w:r w:rsidR="00D24332">
              <w:rPr>
                <w:noProof/>
                <w:webHidden/>
              </w:rPr>
            </w:r>
            <w:r w:rsidR="00D24332">
              <w:rPr>
                <w:noProof/>
                <w:webHidden/>
              </w:rPr>
              <w:fldChar w:fldCharType="separate"/>
            </w:r>
            <w:r w:rsidR="00D24332">
              <w:rPr>
                <w:noProof/>
                <w:webHidden/>
              </w:rPr>
              <w:t>69</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8" w:history="1">
            <w:r w:rsidR="00D24332" w:rsidRPr="00227A9C">
              <w:rPr>
                <w:rStyle w:val="Lienhypertexte"/>
                <w:i/>
                <w:noProof/>
              </w:rPr>
              <w:t>Les couleurs de saint Michel</w:t>
            </w:r>
            <w:r w:rsidR="00D24332">
              <w:rPr>
                <w:noProof/>
                <w:webHidden/>
              </w:rPr>
              <w:tab/>
            </w:r>
            <w:r w:rsidR="00D24332">
              <w:rPr>
                <w:noProof/>
                <w:webHidden/>
              </w:rPr>
              <w:fldChar w:fldCharType="begin"/>
            </w:r>
            <w:r w:rsidR="00D24332">
              <w:rPr>
                <w:noProof/>
                <w:webHidden/>
              </w:rPr>
              <w:instrText xml:space="preserve"> PAGEREF _Toc401478228 \h </w:instrText>
            </w:r>
            <w:r w:rsidR="00D24332">
              <w:rPr>
                <w:noProof/>
                <w:webHidden/>
              </w:rPr>
            </w:r>
            <w:r w:rsidR="00D24332">
              <w:rPr>
                <w:noProof/>
                <w:webHidden/>
              </w:rPr>
              <w:fldChar w:fldCharType="separate"/>
            </w:r>
            <w:r w:rsidR="00D24332">
              <w:rPr>
                <w:noProof/>
                <w:webHidden/>
              </w:rPr>
              <w:t>70</w:t>
            </w:r>
            <w:r w:rsidR="00D24332">
              <w:rPr>
                <w:noProof/>
                <w:webHidden/>
              </w:rPr>
              <w:fldChar w:fldCharType="end"/>
            </w:r>
          </w:hyperlink>
        </w:p>
        <w:p w:rsidR="00D24332" w:rsidRDefault="00424104">
          <w:pPr>
            <w:pStyle w:val="TM3"/>
            <w:tabs>
              <w:tab w:val="right" w:leader="dot" w:pos="9394"/>
            </w:tabs>
            <w:rPr>
              <w:rFonts w:asciiTheme="minorHAnsi" w:eastAsiaTheme="minorEastAsia" w:hAnsiTheme="minorHAnsi" w:cstheme="minorBidi"/>
              <w:noProof/>
              <w:sz w:val="22"/>
              <w:szCs w:val="22"/>
              <w:lang w:eastAsia="fr-CA"/>
            </w:rPr>
          </w:pPr>
          <w:hyperlink w:anchor="_Toc401478229" w:history="1">
            <w:r w:rsidR="00D24332" w:rsidRPr="00227A9C">
              <w:rPr>
                <w:rStyle w:val="Lienhypertexte"/>
                <w:i/>
                <w:noProof/>
              </w:rPr>
              <w:t>Satan</w:t>
            </w:r>
            <w:r w:rsidR="00D24332">
              <w:rPr>
                <w:noProof/>
                <w:webHidden/>
              </w:rPr>
              <w:tab/>
            </w:r>
            <w:r w:rsidR="00D24332">
              <w:rPr>
                <w:noProof/>
                <w:webHidden/>
              </w:rPr>
              <w:fldChar w:fldCharType="begin"/>
            </w:r>
            <w:r w:rsidR="00D24332">
              <w:rPr>
                <w:noProof/>
                <w:webHidden/>
              </w:rPr>
              <w:instrText xml:space="preserve"> PAGEREF _Toc401478229 \h </w:instrText>
            </w:r>
            <w:r w:rsidR="00D24332">
              <w:rPr>
                <w:noProof/>
                <w:webHidden/>
              </w:rPr>
            </w:r>
            <w:r w:rsidR="00D24332">
              <w:rPr>
                <w:noProof/>
                <w:webHidden/>
              </w:rPr>
              <w:fldChar w:fldCharType="separate"/>
            </w:r>
            <w:r w:rsidR="00D24332">
              <w:rPr>
                <w:noProof/>
                <w:webHidden/>
              </w:rPr>
              <w:t>72</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230" w:history="1">
            <w:r w:rsidR="00D24332" w:rsidRPr="00227A9C">
              <w:rPr>
                <w:rStyle w:val="Lienhypertexte"/>
                <w:noProof/>
              </w:rPr>
              <w:t>Conclusion</w:t>
            </w:r>
            <w:r w:rsidR="00D24332">
              <w:rPr>
                <w:noProof/>
                <w:webHidden/>
              </w:rPr>
              <w:tab/>
            </w:r>
            <w:r w:rsidR="00D24332">
              <w:rPr>
                <w:noProof/>
                <w:webHidden/>
              </w:rPr>
              <w:fldChar w:fldCharType="begin"/>
            </w:r>
            <w:r w:rsidR="00D24332">
              <w:rPr>
                <w:noProof/>
                <w:webHidden/>
              </w:rPr>
              <w:instrText xml:space="preserve"> PAGEREF _Toc401478230 \h </w:instrText>
            </w:r>
            <w:r w:rsidR="00D24332">
              <w:rPr>
                <w:noProof/>
                <w:webHidden/>
              </w:rPr>
            </w:r>
            <w:r w:rsidR="00D24332">
              <w:rPr>
                <w:noProof/>
                <w:webHidden/>
              </w:rPr>
              <w:fldChar w:fldCharType="separate"/>
            </w:r>
            <w:r w:rsidR="00D24332">
              <w:rPr>
                <w:noProof/>
                <w:webHidden/>
              </w:rPr>
              <w:t>74</w:t>
            </w:r>
            <w:r w:rsidR="00D24332">
              <w:rPr>
                <w:noProof/>
                <w:webHidden/>
              </w:rPr>
              <w:fldChar w:fldCharType="end"/>
            </w:r>
          </w:hyperlink>
        </w:p>
        <w:p w:rsidR="00D24332" w:rsidRDefault="00424104">
          <w:pPr>
            <w:pStyle w:val="TM1"/>
            <w:tabs>
              <w:tab w:val="right" w:leader="dot" w:pos="9394"/>
            </w:tabs>
            <w:rPr>
              <w:rFonts w:asciiTheme="minorHAnsi" w:eastAsiaTheme="minorEastAsia" w:hAnsiTheme="minorHAnsi" w:cstheme="minorBidi"/>
              <w:noProof/>
              <w:sz w:val="22"/>
              <w:szCs w:val="22"/>
              <w:lang w:eastAsia="fr-CA"/>
            </w:rPr>
          </w:pPr>
          <w:hyperlink w:anchor="_Toc401478231" w:history="1">
            <w:r w:rsidR="00D24332" w:rsidRPr="00227A9C">
              <w:rPr>
                <w:rStyle w:val="Lienhypertexte"/>
                <w:noProof/>
              </w:rPr>
              <w:t>Bibliographie</w:t>
            </w:r>
            <w:r w:rsidR="00D24332">
              <w:rPr>
                <w:noProof/>
                <w:webHidden/>
              </w:rPr>
              <w:tab/>
            </w:r>
            <w:r w:rsidR="00D24332">
              <w:rPr>
                <w:noProof/>
                <w:webHidden/>
              </w:rPr>
              <w:fldChar w:fldCharType="begin"/>
            </w:r>
            <w:r w:rsidR="00D24332">
              <w:rPr>
                <w:noProof/>
                <w:webHidden/>
              </w:rPr>
              <w:instrText xml:space="preserve"> PAGEREF _Toc401478231 \h </w:instrText>
            </w:r>
            <w:r w:rsidR="00D24332">
              <w:rPr>
                <w:noProof/>
                <w:webHidden/>
              </w:rPr>
            </w:r>
            <w:r w:rsidR="00D24332">
              <w:rPr>
                <w:noProof/>
                <w:webHidden/>
              </w:rPr>
              <w:fldChar w:fldCharType="separate"/>
            </w:r>
            <w:r w:rsidR="00D24332">
              <w:rPr>
                <w:noProof/>
                <w:webHidden/>
              </w:rPr>
              <w:t>76</w:t>
            </w:r>
            <w:r w:rsidR="00D24332">
              <w:rPr>
                <w:noProof/>
                <w:webHidden/>
              </w:rPr>
              <w:fldChar w:fldCharType="end"/>
            </w:r>
          </w:hyperlink>
        </w:p>
        <w:p w:rsidR="00F82339" w:rsidRPr="00FE61B7" w:rsidRDefault="00F82339" w:rsidP="00F04FC5">
          <w:pPr>
            <w:spacing w:line="240" w:lineRule="auto"/>
            <w:jc w:val="both"/>
          </w:pPr>
          <w:r w:rsidRPr="00FE61B7">
            <w:rPr>
              <w:b/>
              <w:bCs/>
            </w:rPr>
            <w:fldChar w:fldCharType="end"/>
          </w:r>
        </w:p>
      </w:sdtContent>
    </w:sdt>
    <w:p w:rsidR="00F82339" w:rsidRPr="00FE61B7" w:rsidRDefault="00F82339" w:rsidP="00F04FC5">
      <w:pPr>
        <w:spacing w:line="360" w:lineRule="auto"/>
        <w:jc w:val="both"/>
      </w:pPr>
      <w:r w:rsidRPr="00FE61B7">
        <w:br w:type="page"/>
      </w:r>
    </w:p>
    <w:p w:rsidR="00F82339" w:rsidRPr="00AC0AF7" w:rsidRDefault="00F82339" w:rsidP="00F04FC5">
      <w:pPr>
        <w:pStyle w:val="Titre1"/>
        <w:spacing w:line="360" w:lineRule="auto"/>
        <w:jc w:val="both"/>
        <w:rPr>
          <w:rFonts w:ascii="Times New Roman" w:hAnsi="Times New Roman" w:cs="Times New Roman"/>
          <w:color w:val="auto"/>
        </w:rPr>
      </w:pPr>
      <w:bookmarkStart w:id="1" w:name="_Toc401478183"/>
      <w:r w:rsidRPr="00AC0AF7">
        <w:rPr>
          <w:rFonts w:ascii="Times New Roman" w:hAnsi="Times New Roman" w:cs="Times New Roman"/>
          <w:color w:val="auto"/>
        </w:rPr>
        <w:lastRenderedPageBreak/>
        <w:t>Introduction</w:t>
      </w:r>
      <w:bookmarkEnd w:id="1"/>
    </w:p>
    <w:p w:rsidR="00F82339" w:rsidRPr="00FE61B7" w:rsidRDefault="00F82339" w:rsidP="00EB17FB">
      <w:pPr>
        <w:spacing w:line="360" w:lineRule="auto"/>
        <w:ind w:firstLine="708"/>
        <w:jc w:val="both"/>
      </w:pPr>
      <w:r w:rsidRPr="00FE61B7">
        <w:t>Disons-le franchement dès le départ, beaucoup de non-initiés à l’histoire du Moyen Âge ne le connaissent pas comme les véritables médiévistes. Le stéréotype populaire le plus courant, connu et souvent démenti par les spécialistes de cette époque, est toujours le même : une population retardée intellectuellement et culturellement par rapport à celle qui vivait pendant la période classique. Pour cette raison (il en existe bien d’autres), beaucoup pense</w:t>
      </w:r>
      <w:r w:rsidR="002726FC" w:rsidRPr="00FE61B7">
        <w:t>nt</w:t>
      </w:r>
      <w:r w:rsidRPr="00FE61B7">
        <w:t xml:space="preserve"> qu’il s’agit de la période la plus sombre de l’Histoire humaine. En se concentrant sur les textes classiques et principalement sur les Saintes Écritures (donc, sur le passé), les gens vivant à cette époque n’aurai</w:t>
      </w:r>
      <w:r w:rsidR="002726FC" w:rsidRPr="00FE61B7">
        <w:t>en</w:t>
      </w:r>
      <w:r w:rsidRPr="00FE61B7">
        <w:t xml:space="preserve">t pas été dans la possibilité d’avancer sur les plans intellectuel et culturel. Cette thèse est toutefois réfutée aujourd’hui par bon nombre de médiévistes. À travers l’exégèse des textes et selon les nécessités du clergé, les intellectuels ont tout de même réussi à effectuer des avancés et à changer des choses bien que ce ne soit pas toujours le but recherché et qu’ils croyaient respecter </w:t>
      </w:r>
      <w:r w:rsidR="002726FC" w:rsidRPr="00FE61B7">
        <w:t xml:space="preserve">tout </w:t>
      </w:r>
      <w:r w:rsidRPr="00FE61B7">
        <w:t>ce qui avait été écrit auparavant.</w:t>
      </w:r>
      <w:r w:rsidR="00CF2C9A" w:rsidRPr="00FE61B7">
        <w:t xml:space="preserve"> Comme l’explique Olivier </w:t>
      </w:r>
      <w:proofErr w:type="spellStart"/>
      <w:r w:rsidR="00CF2C9A" w:rsidRPr="00FE61B7">
        <w:t>Boulnois</w:t>
      </w:r>
      <w:proofErr w:type="spellEnd"/>
      <w:r w:rsidR="00CF2C9A" w:rsidRPr="00FE61B7">
        <w:t xml:space="preserve">, dans son livre </w:t>
      </w:r>
      <w:r w:rsidR="00CF2C9A" w:rsidRPr="00FE61B7">
        <w:rPr>
          <w:i/>
        </w:rPr>
        <w:t>Au-delà de l’image; Une archéologie du visuel au Moyen Âge (V</w:t>
      </w:r>
      <w:r w:rsidR="00CF2C9A" w:rsidRPr="00FE61B7">
        <w:rPr>
          <w:i/>
          <w:vertAlign w:val="superscript"/>
        </w:rPr>
        <w:t>e</w:t>
      </w:r>
      <w:r w:rsidR="00CF2C9A" w:rsidRPr="00FE61B7">
        <w:rPr>
          <w:i/>
        </w:rPr>
        <w:t>-XVI</w:t>
      </w:r>
      <w:r w:rsidR="00CF2C9A" w:rsidRPr="00FE61B7">
        <w:rPr>
          <w:i/>
          <w:vertAlign w:val="superscript"/>
        </w:rPr>
        <w:t>e</w:t>
      </w:r>
      <w:r w:rsidR="00CF2C9A" w:rsidRPr="00FE61B7">
        <w:rPr>
          <w:i/>
        </w:rPr>
        <w:t xml:space="preserve"> siècle)</w:t>
      </w:r>
      <w:r w:rsidR="00CF2C9A" w:rsidRPr="00FE61B7">
        <w:t xml:space="preserve">, l’iconographie est un des domaines qui s’est modifié d’un extrême à l’autre </w:t>
      </w:r>
      <w:r w:rsidR="00077FEC">
        <w:t xml:space="preserve">à la </w:t>
      </w:r>
      <w:r w:rsidR="00CF2C9A" w:rsidRPr="00FE61B7">
        <w:t xml:space="preserve">suite </w:t>
      </w:r>
      <w:r w:rsidR="00077FEC">
        <w:t>d</w:t>
      </w:r>
      <w:r w:rsidR="005D7A47">
        <w:t>’</w:t>
      </w:r>
      <w:r w:rsidR="00CF2C9A" w:rsidRPr="00FE61B7">
        <w:t xml:space="preserve">un long débat qui a duré presque mille ans. </w:t>
      </w:r>
      <w:r w:rsidR="00EB17FB">
        <w:t>Les questions</w:t>
      </w:r>
      <w:r w:rsidR="00A30367" w:rsidRPr="00FE61B7">
        <w:t xml:space="preserve"> de base de </w:t>
      </w:r>
      <w:r w:rsidR="00EB17FB">
        <w:t>ce débat étaien</w:t>
      </w:r>
      <w:r w:rsidR="00A30367" w:rsidRPr="00FE61B7">
        <w:t>t : est-ce que nous pouvons représenter Dieu en image et nous aider à méditer les textes sacrés en utilisant des images? Selon l’Exode</w:t>
      </w:r>
      <w:r w:rsidR="004972DD" w:rsidRPr="00FE61B7">
        <w:t> </w:t>
      </w:r>
      <w:r w:rsidR="00A30367" w:rsidRPr="00FE61B7">
        <w:t>20:4-5</w:t>
      </w:r>
      <w:r w:rsidR="00A30367" w:rsidRPr="00FE61B7">
        <w:rPr>
          <w:rStyle w:val="Appelnotedebasdep"/>
        </w:rPr>
        <w:footnoteReference w:id="1"/>
      </w:r>
      <w:r w:rsidR="00A30367" w:rsidRPr="00FE61B7">
        <w:t>, Dieu ne peut être représenté homme et, puisqu’elles ne sont que des créations humaines, donc imparfaites, les images mentales et physiques ne peuvent être créées. Ainsi, au début du Moyen Âge, les Saintes Écritures sont les seuls outils disponible</w:t>
      </w:r>
      <w:r w:rsidR="00C61FAC" w:rsidRPr="00FE61B7">
        <w:t>s</w:t>
      </w:r>
      <w:r w:rsidR="00A30367" w:rsidRPr="00FE61B7">
        <w:t xml:space="preserve"> pour la méditation.</w:t>
      </w:r>
      <w:r w:rsidR="00C61FAC" w:rsidRPr="00FE61B7">
        <w:t xml:space="preserve"> </w:t>
      </w:r>
      <w:r w:rsidR="00EB17FB">
        <w:t>Plus de détails seront donné</w:t>
      </w:r>
      <w:r w:rsidR="00077FEC">
        <w:t>s</w:t>
      </w:r>
      <w:r w:rsidR="00EB17FB">
        <w:t xml:space="preserve"> à ce sujet </w:t>
      </w:r>
      <w:r w:rsidR="00C61FAC" w:rsidRPr="00FE61B7">
        <w:t xml:space="preserve">dans la prochaine partie de ce travail, soit le contexte historique. Pour l’instant, il suffit d’écrire que cette situation s’est inversée puisque le clergé ne réussissait </w:t>
      </w:r>
      <w:r w:rsidR="00EB17FB">
        <w:t xml:space="preserve">pas à éduquer correctement tous les croyants </w:t>
      </w:r>
      <w:r w:rsidR="00C61FAC" w:rsidRPr="00FE61B7">
        <w:t xml:space="preserve">à cause du niveau très élevé d’analphabètes et, encore, les lettrés ne savaient pas toujours lire et écrire le latin convenablement. Les </w:t>
      </w:r>
      <w:r w:rsidR="00307C7A" w:rsidRPr="00FE61B7">
        <w:t>érudits</w:t>
      </w:r>
      <w:r w:rsidR="00C61FAC" w:rsidRPr="00FE61B7">
        <w:t xml:space="preserve"> de la seconde moitié du Moyen Âge ont trouvé des solutions à ce problème. L’utilisation de l’iconographie s’est imposée d’elle-même afin de rejoindre une plus grande p</w:t>
      </w:r>
      <w:r w:rsidR="00EB17FB">
        <w:t>artie de la population. L</w:t>
      </w:r>
      <w:r w:rsidR="00C61FAC" w:rsidRPr="00FE61B7">
        <w:t xml:space="preserve">es images se sont </w:t>
      </w:r>
      <w:r w:rsidR="00EB17FB">
        <w:t xml:space="preserve">ainsi </w:t>
      </w:r>
      <w:r w:rsidR="00C61FAC" w:rsidRPr="00FE61B7">
        <w:t xml:space="preserve">chargées d’une forte symbolique pour que les gens comprennent mieux les principes fondamentaux de la religion chrétienne. </w:t>
      </w:r>
      <w:r w:rsidR="00CF2C9A" w:rsidRPr="00FE61B7">
        <w:t xml:space="preserve">Tout n’était </w:t>
      </w:r>
      <w:r w:rsidR="002D59FC" w:rsidRPr="00FE61B7">
        <w:t xml:space="preserve">effectivement </w:t>
      </w:r>
      <w:r w:rsidR="00CF2C9A" w:rsidRPr="00FE61B7">
        <w:t>que symbole</w:t>
      </w:r>
      <w:r w:rsidRPr="00FE61B7">
        <w:t xml:space="preserve"> lorsqu’o</w:t>
      </w:r>
      <w:r w:rsidR="00CF2C9A" w:rsidRPr="00FE61B7">
        <w:t>n parle d’art et d’iconographie dans les derniers siècles du Moyen Âge.</w:t>
      </w:r>
      <w:r w:rsidRPr="00FE61B7">
        <w:t xml:space="preserve"> L’image occupe</w:t>
      </w:r>
      <w:r w:rsidR="00CF2C9A" w:rsidRPr="00FE61B7">
        <w:t xml:space="preserve"> tout à coup</w:t>
      </w:r>
      <w:r w:rsidRPr="00FE61B7">
        <w:t xml:space="preserve"> une </w:t>
      </w:r>
      <w:r w:rsidRPr="00FE61B7">
        <w:lastRenderedPageBreak/>
        <w:t>place importante dans la vie religieuse de tous chrétiens et, sans oublier son côté artistique et sa beauté, il faut comprendre que l’image médiévale avait une fonction comme l</w:t>
      </w:r>
      <w:r w:rsidR="005D7A47">
        <w:t>’</w:t>
      </w:r>
      <w:r w:rsidRPr="00FE61B7">
        <w:t xml:space="preserve">a justement écrit Jérôme </w:t>
      </w:r>
      <w:proofErr w:type="spellStart"/>
      <w:r w:rsidRPr="00FE61B7">
        <w:t>Baschet</w:t>
      </w:r>
      <w:proofErr w:type="spellEnd"/>
      <w:r w:rsidRPr="00FE61B7">
        <w:t xml:space="preserve"> dans son livre « L’iconographique médiévale ». Il donne même un terme à cette image dite fonctionnelle : « l’image objet ». </w:t>
      </w:r>
      <w:r w:rsidR="00EB17FB">
        <w:t xml:space="preserve">Il </w:t>
      </w:r>
      <w:r w:rsidRPr="00FE61B7">
        <w:t xml:space="preserve">explique que l’image a pour but d’enseigner, de rappeler et d’aider à la méditation lors des prières. Dans les deux derniers siècles du Moyen Âge, un document, et non le seul, regroupe d’ailleurs ces trois fonctions : le livre d’Heures. Ce livre de prières destiné aux laïcs a connu une très grande popularité </w:t>
      </w:r>
      <w:r w:rsidR="002D59FC" w:rsidRPr="00FE61B7">
        <w:t>exprimant ainsi, surtout lors des</w:t>
      </w:r>
      <w:r w:rsidR="00EB17FB">
        <w:t xml:space="preserve"> XV</w:t>
      </w:r>
      <w:r w:rsidRPr="00FE61B7">
        <w:rPr>
          <w:vertAlign w:val="superscript"/>
        </w:rPr>
        <w:t>e</w:t>
      </w:r>
      <w:r w:rsidR="00EB17FB">
        <w:t xml:space="preserve"> et XVI</w:t>
      </w:r>
      <w:r w:rsidR="002D59FC" w:rsidRPr="00FE61B7">
        <w:rPr>
          <w:vertAlign w:val="superscript"/>
        </w:rPr>
        <w:t>e</w:t>
      </w:r>
      <w:r w:rsidR="002D59FC" w:rsidRPr="00FE61B7">
        <w:t xml:space="preserve"> siècles</w:t>
      </w:r>
      <w:r w:rsidRPr="00FE61B7">
        <w:t xml:space="preserve">, la très grande piété des gens de cette époque. </w:t>
      </w:r>
      <w:r w:rsidR="002D59FC" w:rsidRPr="00FE61B7">
        <w:t xml:space="preserve">Il s’agissait </w:t>
      </w:r>
      <w:r w:rsidR="00EB17FB">
        <w:t xml:space="preserve">tout simplement d’un best-seller, </w:t>
      </w:r>
      <w:r w:rsidR="002D59FC" w:rsidRPr="00FE61B7">
        <w:t>ayant été vendu en plus grande quantité que la Bible elle-même. Mais, avant d’arriver à ce point, il y a eu une lente évolution qui a</w:t>
      </w:r>
      <w:r w:rsidR="00EB17FB">
        <w:t>vait</w:t>
      </w:r>
      <w:r w:rsidR="002D59FC" w:rsidRPr="00FE61B7">
        <w:t xml:space="preserve"> </w:t>
      </w:r>
      <w:r w:rsidR="00EB17FB">
        <w:t>débuté</w:t>
      </w:r>
      <w:r w:rsidR="002D59FC" w:rsidRPr="00FE61B7">
        <w:t xml:space="preserve"> trois siècles</w:t>
      </w:r>
      <w:r w:rsidR="00EB17FB">
        <w:t xml:space="preserve"> plus tôt</w:t>
      </w:r>
      <w:r w:rsidR="002D59FC" w:rsidRPr="00FE61B7">
        <w:t>. Encore une fois, ceci sera expliqué plus en profondeur dans la section contexte</w:t>
      </w:r>
      <w:r w:rsidR="00EB17FB">
        <w:t xml:space="preserve"> historique. L’important est qu’</w:t>
      </w:r>
      <w:r w:rsidRPr="00FE61B7">
        <w:t>on a commencé à s’intéresser à la symbolique présente dans ce type de document et à sa fonction</w:t>
      </w:r>
      <w:r w:rsidR="00EB17FB">
        <w:t xml:space="preserve"> </w:t>
      </w:r>
      <w:r w:rsidR="00EB17FB" w:rsidRPr="00FE61B7">
        <w:t>depuis quelques années</w:t>
      </w:r>
      <w:r w:rsidRPr="00FE61B7">
        <w:t>. Il ne faut pas se le cacher, le but des images, non pas seulement dans les livres d’Heures</w:t>
      </w:r>
      <w:r w:rsidR="002726FC" w:rsidRPr="00FE61B7">
        <w:t>,</w:t>
      </w:r>
      <w:r w:rsidRPr="00FE61B7">
        <w:t xml:space="preserve"> mais dans tous les autres supports pour les images, est de passer des messages qui doivent être compris dans le meilleur des cas. Toutefois, dans ce mémoire, il ne sera pas seulement question d’analyser les faits et gestes des personnages ainsi que de leurs significations. Je veux m’intéresser à un sujet moins populaire dans le domaine de l’historiographie : la couleur. </w:t>
      </w:r>
      <w:r w:rsidR="002D59FC" w:rsidRPr="00FE61B7">
        <w:t xml:space="preserve">Tout comme le débat sur l’utilisation des images, il y a eu des interrogations quant à l’utilisation des couleurs sur les différents supports iconographiques et, tout comme dans le cas de l’acceptation des images, les couleurs prendront </w:t>
      </w:r>
      <w:r w:rsidR="00EB17FB">
        <w:t xml:space="preserve">au final </w:t>
      </w:r>
      <w:r w:rsidR="002D59FC" w:rsidRPr="00FE61B7">
        <w:t>une place très importante dans la vie de tous les jours. Il ne faut pas se le cacher, le Bas Moyen Âge a été très coloré</w:t>
      </w:r>
      <w:r w:rsidR="00D35966" w:rsidRPr="00FE61B7">
        <w:t xml:space="preserve"> même si aujourd’hui les couleurs se sont </w:t>
      </w:r>
      <w:r w:rsidR="00EB17FB">
        <w:t>pour la plupart</w:t>
      </w:r>
      <w:r w:rsidR="00D35966" w:rsidRPr="00FE61B7">
        <w:t xml:space="preserve"> effacées sur certains supports avec le passage du temps</w:t>
      </w:r>
      <w:r w:rsidR="002D59FC" w:rsidRPr="00FE61B7">
        <w:t xml:space="preserve">. </w:t>
      </w:r>
      <w:r w:rsidR="00D35966" w:rsidRPr="00FE61B7">
        <w:t>Le présent travail servira à démontrer qu’elle était la sensibilité des gens par rapport à ces couleurs qui, tout comme les images, étaient un outil pour améliorer la compréhension de la religion chrétien</w:t>
      </w:r>
      <w:r w:rsidR="002726FC" w:rsidRPr="00FE61B7">
        <w:t>ne</w:t>
      </w:r>
      <w:r w:rsidR="00D35966" w:rsidRPr="00FE61B7">
        <w:t xml:space="preserve">. </w:t>
      </w:r>
      <w:r w:rsidRPr="00FE61B7">
        <w:t xml:space="preserve">On verra plus tard, en discutant principalement des écrits de Michel Pastoureau, que la couleur est </w:t>
      </w:r>
      <w:r w:rsidR="00D35966" w:rsidRPr="00FE61B7">
        <w:t xml:space="preserve">justement </w:t>
      </w:r>
      <w:r w:rsidRPr="00FE61B7">
        <w:t>une construction culturelle qui serait importante à analyser puisque sa compréhension diffère selon les époq</w:t>
      </w:r>
      <w:r w:rsidR="00077FEC">
        <w:t>ues et les régions. E</w:t>
      </w:r>
      <w:r w:rsidRPr="00FE61B7">
        <w:t xml:space="preserve">lle est même perçue différemment par les gens aujourd’hui. C’est pourquoi mon sujet de mémoire sera la symbolique des couleurs dans un livre d’Heures en France à la fin du Moyen Âge à cause de la source choisie pour ce travail. Il s’agit d’un livre d’Heures ayant été confectionné entre 1495 et 1500 par le maître de Jean d’Albret et se trouvant actuellement à la bibliothèque des livres rares de l’Université d’Ottawa. </w:t>
      </w:r>
      <w:r w:rsidRPr="00FE61B7">
        <w:lastRenderedPageBreak/>
        <w:t xml:space="preserve">Cet artiste ou son groupe a été actif entre 1490 et 1510 et il a principalement travaillé pour l’imprimeur parisien Antoine </w:t>
      </w:r>
      <w:proofErr w:type="spellStart"/>
      <w:r w:rsidRPr="00FE61B7">
        <w:t>Vérard</w:t>
      </w:r>
      <w:proofErr w:type="spellEnd"/>
      <w:r w:rsidRPr="00FE61B7">
        <w:t xml:space="preserve">. Il fut nommé maître de Jean d’Albret pour avoir produit deux splendides documents destinés au roi de Navarre, Jean d’Albret, étant </w:t>
      </w:r>
      <w:r w:rsidRPr="00FE61B7">
        <w:rPr>
          <w:i/>
        </w:rPr>
        <w:t xml:space="preserve">Le recueil des histoires </w:t>
      </w:r>
      <w:proofErr w:type="spellStart"/>
      <w:r w:rsidRPr="00FE61B7">
        <w:rPr>
          <w:i/>
        </w:rPr>
        <w:t>troiennes</w:t>
      </w:r>
      <w:proofErr w:type="spellEnd"/>
      <w:r w:rsidRPr="00FE61B7">
        <w:t xml:space="preserve"> de Raoul le </w:t>
      </w:r>
      <w:proofErr w:type="spellStart"/>
      <w:r w:rsidRPr="00FE61B7">
        <w:t>Fèvre</w:t>
      </w:r>
      <w:proofErr w:type="spellEnd"/>
      <w:r w:rsidRPr="00FE61B7">
        <w:t xml:space="preserve"> et </w:t>
      </w:r>
      <w:r w:rsidRPr="00FE61B7">
        <w:rPr>
          <w:i/>
        </w:rPr>
        <w:t>La nef des fous</w:t>
      </w:r>
      <w:r w:rsidRPr="00FE61B7">
        <w:t xml:space="preserve"> de Sébastian Brant.</w:t>
      </w:r>
      <w:r w:rsidR="00077FEC">
        <w:t xml:space="preserve"> Nous </w:t>
      </w:r>
      <w:r w:rsidR="00D35966" w:rsidRPr="00FE61B7">
        <w:t xml:space="preserve">reparlerons </w:t>
      </w:r>
      <w:r w:rsidR="00077FEC">
        <w:t xml:space="preserve">de cette source </w:t>
      </w:r>
      <w:r w:rsidR="00D35966" w:rsidRPr="00FE61B7">
        <w:t xml:space="preserve">dans un des chapitres de ce mémoire qui sera une présentation </w:t>
      </w:r>
      <w:proofErr w:type="spellStart"/>
      <w:r w:rsidR="00D35966" w:rsidRPr="00FE61B7">
        <w:t>codicologique</w:t>
      </w:r>
      <w:proofErr w:type="spellEnd"/>
      <w:r w:rsidR="00D35966" w:rsidRPr="00FE61B7">
        <w:t xml:space="preserve"> de c</w:t>
      </w:r>
      <w:r w:rsidR="00077FEC">
        <w:t>elle-ci.</w:t>
      </w:r>
    </w:p>
    <w:p w:rsidR="00D35966" w:rsidRPr="00AC0AF7" w:rsidRDefault="00D35966" w:rsidP="00F04FC5">
      <w:pPr>
        <w:pStyle w:val="Titre1"/>
        <w:spacing w:line="360" w:lineRule="auto"/>
        <w:jc w:val="both"/>
        <w:rPr>
          <w:rFonts w:ascii="Times New Roman" w:hAnsi="Times New Roman" w:cs="Times New Roman"/>
          <w:color w:val="auto"/>
        </w:rPr>
      </w:pPr>
      <w:bookmarkStart w:id="2" w:name="_Toc401478184"/>
      <w:r w:rsidRPr="00AC0AF7">
        <w:rPr>
          <w:rFonts w:ascii="Times New Roman" w:hAnsi="Times New Roman" w:cs="Times New Roman"/>
          <w:color w:val="auto"/>
        </w:rPr>
        <w:t>Contexte historique</w:t>
      </w:r>
      <w:bookmarkEnd w:id="2"/>
    </w:p>
    <w:p w:rsidR="000713FB" w:rsidRPr="00FE61B7" w:rsidRDefault="000713FB" w:rsidP="00F04FC5">
      <w:pPr>
        <w:pStyle w:val="Titre2"/>
        <w:spacing w:line="360" w:lineRule="auto"/>
        <w:jc w:val="both"/>
        <w:rPr>
          <w:rFonts w:ascii="Times New Roman" w:hAnsi="Times New Roman" w:cs="Times New Roman"/>
          <w:color w:val="auto"/>
          <w:sz w:val="24"/>
          <w:szCs w:val="24"/>
        </w:rPr>
      </w:pPr>
      <w:bookmarkStart w:id="3" w:name="_Toc401478185"/>
      <w:r w:rsidRPr="00FE61B7">
        <w:rPr>
          <w:rFonts w:ascii="Times New Roman" w:hAnsi="Times New Roman" w:cs="Times New Roman"/>
          <w:color w:val="auto"/>
          <w:sz w:val="24"/>
          <w:szCs w:val="24"/>
        </w:rPr>
        <w:t>Iconographie</w:t>
      </w:r>
      <w:bookmarkEnd w:id="3"/>
    </w:p>
    <w:p w:rsidR="000713FB" w:rsidRPr="00FE61B7" w:rsidRDefault="005B797F" w:rsidP="00531552">
      <w:pPr>
        <w:spacing w:line="360" w:lineRule="auto"/>
        <w:ind w:firstLine="284"/>
        <w:jc w:val="both"/>
      </w:pPr>
      <w:r>
        <w:t>Commençons cette section</w:t>
      </w:r>
      <w:r w:rsidR="000713FB" w:rsidRPr="00FE61B7">
        <w:t xml:space="preserve"> par un historique de l’utilisation des images dans la méditation religieuse. Un des premiers qui a donné son opinion fut saint Augustin (354-430 apr. J.-C.). Malgré le fait qu’il a vécu dans la période antique, il a eu une grande influence pendant le Moyen Âge et beaucoup le considèrent comme un auteur de cette période. En effet, la conception de l’iconographie médiévale jusqu’au XII</w:t>
      </w:r>
      <w:r w:rsidR="000713FB" w:rsidRPr="00FE61B7">
        <w:rPr>
          <w:vertAlign w:val="superscript"/>
        </w:rPr>
        <w:t>e</w:t>
      </w:r>
      <w:r w:rsidR="000713FB" w:rsidRPr="00FE61B7">
        <w:t xml:space="preserve"> siècle a été principalement augustinienne et il est très important de discuter de ses thèses. Tout d’abord, pour Augustin, il est impensable que l’homme ne puisse représenter des réalités corporelles sans image. Donc, même encore aujourd’hui, il est évident que l’humain se construit des images dans la tête dans le but de comprendre le monde qui l’entoure même si elles sont erronées. En plus, la lecture et l’audition s’accompagnent forcément d’une image. Cependant, il est clair pour Augustin que l’écriture, soit la Bible, et l’audition sont supérieures à l’image et à la vue. Ce saint n’était pas en faveur de l’utilisation des images, même s’il ne l’interdisait pas non plus, dans le culte divin. D’ailleurs, il s’agit d’une fausseté que de représenter le monde céleste comme une réalité corporelle d’après certains principes philosophiques. Le paradis est un monde parfait alors que le nôtre est sans aucun doute imparfait. Il était assurément impensable pour ce père de l’Église de représenter quelque chose de parfait par une autre qui est imparfaite. Il utilisait, pour démontrer son point de vue, les concepts d’image, de ressemblance et d’égalité en affirmant que l’image implique une ressemblance, mais pas une égalité. L’art est effectivement une imitation ou une ressemblance de la nature pour reprendre les termes de cet intellectuel chrétien et on ne peut mettre les images sur le même plan que le monde céleste. Seul Jésus peut être représenté comme une image parfaite du Seigneur parce qu’il incorpore l’image, la ressemblance et l’égalité par son incarnation sur Terre. D’où </w:t>
      </w:r>
      <w:r w:rsidR="000713FB" w:rsidRPr="00FE61B7">
        <w:lastRenderedPageBreak/>
        <w:t xml:space="preserve">l’acceptation de la croix comme image de vénération. Toutefois, même si Jésus est l’égal de Dieu selon la Trinité, on ne peut pas construire des images de Dieu en personne à cause de sa nature parfaite et invisible bien qu’il soit affirmé dans la Bible qu’il a créé l’homme à son image. Augustin critiquait beaucoup l’idolâtrie et la vénération des images artificielles puisqu’elles ont été créées à partir d’un monde imparfait. Celles-ci formaient justement les fausses religions selon les écrits de ce saint. La seule image valable était celle de l’intérieur. En effet, plus l’homme s’éloignait de l’intériorité, plus il se détournait de Dieu. S’il voulait se rapprocher de Celui-ci, le croyant devait se tourner vers l’intériorité parce que la seule image parfaite était invisible et indiscernable à l’œil humain. On pouvait seulement la voir à travers la lecture, l’audition et la méditation. D’autre part, on peut également parler de Boèce (470-525 apr. J.-C.) qui, selon les remarques de Jean </w:t>
      </w:r>
      <w:proofErr w:type="spellStart"/>
      <w:r w:rsidR="000713FB" w:rsidRPr="00FE61B7">
        <w:t>Wirth</w:t>
      </w:r>
      <w:proofErr w:type="spellEnd"/>
      <w:r w:rsidR="000713FB" w:rsidRPr="00FE61B7">
        <w:t>, aurait défini l’image médiévale</w:t>
      </w:r>
      <w:r w:rsidR="000713FB" w:rsidRPr="00FE61B7">
        <w:rPr>
          <w:rStyle w:val="Appelnotedebasdep"/>
        </w:rPr>
        <w:footnoteReference w:id="2"/>
      </w:r>
      <w:r w:rsidR="000713FB" w:rsidRPr="00FE61B7">
        <w:t>. De toute évidence, pour cet auteur du début du Moyen Âge, l’image était une forme transposée dans la matière. En réalité, selon son idée, l’image faisait partie du monde spirituel. À partir de cette affirmation, il rejoint les conceptions théoriques d’Augustin. En comprenant une forme pure, comme Dieu, on comprend plus facilement ce qu’est une image à cause de sa nature imparfaite, mais on se devait de préférer tout de même la perfection plutôt que l’imperfection. Tout comme Augustin, il ne valorisait pas l’image dans un matériau inerte. Il rejetait donc également le culte des images tout simplement parce que les choses matérielles, tels l’or et les pierres, sont belles, mais moins que les choses spirituelles. Toutefois, Boèce admettait que les belles choses, faisant partie de notre monde, reflétaient le Divin par leur luminosité</w:t>
      </w:r>
      <w:r w:rsidR="000713FB" w:rsidRPr="00FE61B7">
        <w:rPr>
          <w:rStyle w:val="Appelnotedebasdep"/>
        </w:rPr>
        <w:footnoteReference w:id="3"/>
      </w:r>
      <w:r w:rsidR="000713FB" w:rsidRPr="00FE61B7">
        <w:t>.</w:t>
      </w:r>
    </w:p>
    <w:p w:rsidR="000713FB" w:rsidRPr="00FE61B7" w:rsidRDefault="000713FB" w:rsidP="00F04FC5">
      <w:pPr>
        <w:spacing w:line="360" w:lineRule="auto"/>
        <w:ind w:firstLine="284"/>
        <w:jc w:val="both"/>
      </w:pPr>
      <w:r w:rsidRPr="00FE61B7">
        <w:t xml:space="preserve">Cependant, il y a un problème majeur à la thèse de saint Augustin qui met l’emphase sur l’étude et la méditation à partir des Saintes Écritures. </w:t>
      </w:r>
      <w:r w:rsidR="005B797F">
        <w:t>P</w:t>
      </w:r>
      <w:r w:rsidRPr="00FE61B7">
        <w:t xml:space="preserve">our la population laïque de l’époque dont la majorité était illettrée, il était très difficile, même carrément impossible, d’utiliser la Bible, mais on continuait quand même à réprimer l’utilisation de l’image dans la méditation. À peu près à la même époque, Jean Cassien (360-435 apr. J.-C.) nous a raconté l’histoire du moine </w:t>
      </w:r>
      <w:proofErr w:type="spellStart"/>
      <w:r w:rsidRPr="00FE61B7">
        <w:t>Sérapion</w:t>
      </w:r>
      <w:proofErr w:type="spellEnd"/>
      <w:r w:rsidRPr="00FE61B7">
        <w:t xml:space="preserve">. Malgré le fait qu’il devait être au minimum instruit par rapport aux grands érudits de son temps, il a été très rapidement ramené à l’ordre par la communauté chrétienne parce qu’il s’imaginait Dieu comme un homme. Néanmoins, c’est sa réponse qui démontre bien le problème qui avait </w:t>
      </w:r>
      <w:r w:rsidRPr="00FE61B7">
        <w:lastRenderedPageBreak/>
        <w:t xml:space="preserve">court pendant les débuts du Moyen Âge. Même s’il s’agit d’un moine du désert, on peut très bien comprendre que la population chrétienne dévote devait avoir les mêmes problèmes. Or, </w:t>
      </w:r>
      <w:proofErr w:type="spellStart"/>
      <w:r w:rsidRPr="00FE61B7">
        <w:t>Sérapion</w:t>
      </w:r>
      <w:proofErr w:type="spellEnd"/>
      <w:r w:rsidRPr="00FE61B7">
        <w:t xml:space="preserve">, après sa correction, se plaint selon des propos rapportés par Jean Cassien : </w:t>
      </w:r>
    </w:p>
    <w:p w:rsidR="000713FB" w:rsidRPr="00FE61B7" w:rsidRDefault="000713FB" w:rsidP="00F04FC5">
      <w:pPr>
        <w:spacing w:line="360" w:lineRule="auto"/>
        <w:ind w:left="1134" w:right="1134"/>
        <w:jc w:val="both"/>
        <w:rPr>
          <w:sz w:val="20"/>
          <w:szCs w:val="20"/>
        </w:rPr>
      </w:pPr>
      <w:r w:rsidRPr="00FE61B7">
        <w:rPr>
          <w:sz w:val="20"/>
          <w:szCs w:val="20"/>
        </w:rPr>
        <w:t xml:space="preserve">Mais voici qu’au cours de ces prières le vieillard </w:t>
      </w:r>
      <w:proofErr w:type="spellStart"/>
      <w:r w:rsidRPr="00FE61B7">
        <w:rPr>
          <w:sz w:val="20"/>
          <w:szCs w:val="20"/>
        </w:rPr>
        <w:t>a</w:t>
      </w:r>
      <w:proofErr w:type="spellEnd"/>
      <w:r w:rsidRPr="00FE61B7">
        <w:rPr>
          <w:sz w:val="20"/>
          <w:szCs w:val="20"/>
        </w:rPr>
        <w:t xml:space="preserve"> l’esprit troublé, parce qu’il sent disparue de son cœur l’image à forme humaine de la divinité qu’il avait l’habitude de placer devant lui quand il priait; soudain, il fond en larmes très amères, il éclate en sanglots répétés; prostré part terre, il s’écrie dans un gémissement déchirant : « Malheur à moi! On m’a ôté mon Dieu. Maintenant je n’ai plus personne à saisir, et je ne sais plus qui adorer, qui interpeller désormais »</w:t>
      </w:r>
      <w:r w:rsidRPr="00FE61B7">
        <w:rPr>
          <w:rStyle w:val="Appelnotedebasdep"/>
          <w:sz w:val="20"/>
          <w:szCs w:val="20"/>
        </w:rPr>
        <w:footnoteReference w:id="4"/>
      </w:r>
      <w:r w:rsidRPr="00FE61B7">
        <w:rPr>
          <w:sz w:val="20"/>
          <w:szCs w:val="20"/>
        </w:rPr>
        <w:t>.</w:t>
      </w:r>
    </w:p>
    <w:p w:rsidR="000713FB" w:rsidRPr="00FE61B7" w:rsidRDefault="000713FB" w:rsidP="00F04FC5">
      <w:pPr>
        <w:spacing w:line="360" w:lineRule="auto"/>
        <w:jc w:val="both"/>
      </w:pPr>
      <w:r w:rsidRPr="00FE61B7">
        <w:t xml:space="preserve">De toute évidence, on remarque, d’une façon détournée puisqu’il s’agit tout de même d’un moine, que la culture populaire trouvait difficile le fait de méditer sans image mentale. En conséquence, on en vient à contredire la théorie d’Augustin disant que l’image mentale était parfaite parce que, après avoir vu l’exemple de ce moine qui a beaucoup de difficultés à méditer sans image, on retrouvait encore la possibilité de faire des erreurs. De toute façon, Jean Cassien ne blâmait pas </w:t>
      </w:r>
      <w:proofErr w:type="spellStart"/>
      <w:r w:rsidRPr="00FE61B7">
        <w:t>Sérapion</w:t>
      </w:r>
      <w:proofErr w:type="spellEnd"/>
      <w:r w:rsidRPr="00FE61B7">
        <w:t xml:space="preserve"> pour son erreur puisqu’il jugeait qu’il s’agissait d’une ignorance naturelle des gens que de croire en un Dieu humain. Au final, Cassien a trouvé une solution pour </w:t>
      </w:r>
      <w:proofErr w:type="spellStart"/>
      <w:r w:rsidRPr="00FE61B7">
        <w:t>Sérapion</w:t>
      </w:r>
      <w:proofErr w:type="spellEnd"/>
      <w:r w:rsidRPr="00FE61B7">
        <w:t xml:space="preserve"> qui était d’accéder à Dieu par </w:t>
      </w:r>
      <w:proofErr w:type="gramStart"/>
      <w:r w:rsidRPr="00FE61B7">
        <w:t>le</w:t>
      </w:r>
      <w:proofErr w:type="gramEnd"/>
      <w:r w:rsidRPr="00FE61B7">
        <w:t xml:space="preserve"> sonore, soit par la récitation des Écritures et des Psaumes, rejoignant sans aucun doute les conceptions religieuses de saint Augustin. Ainsi, pour encore un certain temps, la méditation se tournait principalement vers les Saintes Écritures plutôt que vers les images puisqu’elles ne représentaient qu’une imperfection.</w:t>
      </w:r>
    </w:p>
    <w:p w:rsidR="000713FB" w:rsidRPr="00FE61B7" w:rsidRDefault="000713FB" w:rsidP="00F04FC5">
      <w:pPr>
        <w:spacing w:line="360" w:lineRule="auto"/>
        <w:ind w:firstLine="708"/>
        <w:jc w:val="both"/>
      </w:pPr>
      <w:r w:rsidRPr="00FE61B7">
        <w:t xml:space="preserve">Il est maintenant temps de parler d’un personnage historique qui a changé la donne sur les images car, au contraire de </w:t>
      </w:r>
      <w:proofErr w:type="spellStart"/>
      <w:r w:rsidRPr="00FE61B7">
        <w:t>Sérapion</w:t>
      </w:r>
      <w:proofErr w:type="spellEnd"/>
      <w:r w:rsidRPr="00FE61B7">
        <w:t xml:space="preserve">, bien des gens ne comprenaient pas un moindre mot provenant de la Bible. Il s’agit en effet du pape Grégoire le Grand (540-604 apr. J.-C.). Or, il ne faut toutefois pas penser qu’il était en faveur du culte des images. Il restait dans la même lignée de pensée que saint Augustin, Boèce et Jean Cassien. Sa principale différence était que l’interdiction du culte des images ne s’appliquait qu’aux lettrés. On sait tous aujourd’hui que la majorité de la population non religieuse du Moyen Âge ne savait ni lire ni écrire. En plus, le latin devient une langue des élites religieuses et politiques alors que les différents dialectes vernaculaires se développaient parmi le peuple. Donc, comment faire, comme le propose saint </w:t>
      </w:r>
      <w:r w:rsidRPr="00FE61B7">
        <w:lastRenderedPageBreak/>
        <w:t>Augustin et Jean Cassien, pour méditer à partir de la lecture et de l’audition alors que ne l’on comprend absolument rien de ce qui est écrit ou ce qui est récité à voix haute. La plupart savent très bien le rôle qu’a joué Grégoire le Grand dans certaines conversions païennes et dans la réorganisation de la vie religieuse en général. Or, Jean-Claude Schmitt appuie cette affirmation quand il observe : « Saint Grégoire, qui avait fixé les principes de l’attitude modérée du christianisme occidental à l’égard des images était en ce domaine, une autorité incontournable »</w:t>
      </w:r>
      <w:r w:rsidRPr="00FE61B7">
        <w:rPr>
          <w:rStyle w:val="Appelnotedebasdep"/>
        </w:rPr>
        <w:footnoteReference w:id="5"/>
      </w:r>
      <w:r w:rsidRPr="00FE61B7">
        <w:t>. Il est clair, pour lui, que les images ne doivent être utilisées que pour enseigner les principes de la religion chrétienne aux illettrés, mais il spécifiait que cela ne devait pas devenir une vénération envers l’image. Ainsi, Grégoire le Grand était d’accord pour que cette Bible des illettrés soit présentée par des images dans les lieux saints et pour que des scènes narratives soient installées dans les différentes églises à des fins pédagogiques. D’ailleurs, il est important de spécifier que les conversions des païens ne se faisaient pas avec de la lecture, mais avec des images telles la croix de Jésus. Le but était d’émerveiller ces non-croyants pour les convertir. D’ailleurs, quand il envoya le futur premier évêque et archevêque d’Angleterre, saint Augustin de Cantorbéry (†604), ce dernier fut dans l’obligation d’utiliser des images pour convertir les Anglo-saxons qui étaient bien évidemment analphabètes. Au contraire, les moines qui pouvaient écrire et lire grâce à leur éducation, ne devaient en aucun cas utiliser des images dans leur méditation justement parce qu’ils étaient des êtres privilégiés par rapport à la majorité des individus. Pour Grégoire, « le plus grand nombre voit une peinture, mais une élite lit leur signification narrative »</w:t>
      </w:r>
      <w:r w:rsidRPr="00FE61B7">
        <w:rPr>
          <w:rStyle w:val="Appelnotedebasdep"/>
        </w:rPr>
        <w:footnoteReference w:id="6"/>
      </w:r>
      <w:r w:rsidRPr="00FE61B7">
        <w:t xml:space="preserve">. Cette affirmation résume bien ce qui a déjà été dit puisque cette narration par l’image de l’Ancien et du Nouveau Testament n’indiquait qu’une marche à suivre pour la population analphabète alors que les clercs comprenaient leur sens profond. C’était un modèle pour ceux qui ne pénétraient pas les mystères divins à cause de leur manque d’éducation. De cette façon, on comprenait, au début du Moyen Âge, que si on désirait augmenter le nombre de croyants chrétiens, on était obligé de passer par l’iconographie même si cela allait à l’encontre de nos principes religieux. Par contre, la doctrine de ce pape est devenue </w:t>
      </w:r>
      <w:r w:rsidRPr="00FE61B7">
        <w:rPr>
          <w:i/>
        </w:rPr>
        <w:t>ipso facto</w:t>
      </w:r>
      <w:r w:rsidRPr="00FE61B7">
        <w:t xml:space="preserve"> officielle pendant une bonne partie de l’époque médiévale.</w:t>
      </w:r>
    </w:p>
    <w:p w:rsidR="000713FB" w:rsidRPr="00FE61B7" w:rsidRDefault="000713FB" w:rsidP="00F04FC5">
      <w:pPr>
        <w:spacing w:line="360" w:lineRule="auto"/>
        <w:jc w:val="both"/>
      </w:pPr>
      <w:r w:rsidRPr="00FE61B7">
        <w:tab/>
        <w:t xml:space="preserve">Également, il ne faut pas oublier le Pseudo-Denys l’Aréopagite qui a été, officiellement, le premier à accepter les belles images dans le culte chrétien. En réalité, pour ce théologien </w:t>
      </w:r>
      <w:r w:rsidRPr="00FE61B7">
        <w:lastRenderedPageBreak/>
        <w:t>probablement d’origine syrienne, dont la date de naissance et de mort nous échappe, mais qui aurait vécu au V</w:t>
      </w:r>
      <w:r w:rsidRPr="00FE61B7">
        <w:rPr>
          <w:vertAlign w:val="superscript"/>
        </w:rPr>
        <w:t>e</w:t>
      </w:r>
      <w:r w:rsidRPr="00FE61B7">
        <w:t xml:space="preserve"> siècle, il est clair qu’il n’y avait rien de trop beau pour représenter la majesté divine. Sur ce point, Jean </w:t>
      </w:r>
      <w:proofErr w:type="spellStart"/>
      <w:r w:rsidRPr="00FE61B7">
        <w:t>Wirth</w:t>
      </w:r>
      <w:proofErr w:type="spellEnd"/>
      <w:r w:rsidRPr="00FE61B7">
        <w:t xml:space="preserve"> nous indique le fond de la pensée de cet auteur en écrivant :</w:t>
      </w:r>
    </w:p>
    <w:p w:rsidR="000713FB" w:rsidRPr="00FE61B7" w:rsidRDefault="000713FB" w:rsidP="00F04FC5">
      <w:pPr>
        <w:spacing w:line="360" w:lineRule="auto"/>
        <w:ind w:left="1134" w:right="1134"/>
        <w:jc w:val="both"/>
        <w:rPr>
          <w:sz w:val="20"/>
          <w:szCs w:val="20"/>
        </w:rPr>
      </w:pPr>
      <w:r w:rsidRPr="00FE61B7">
        <w:rPr>
          <w:sz w:val="20"/>
          <w:szCs w:val="20"/>
        </w:rPr>
        <w:t>Face à la Parole, Denys offrait une mystique de la lumière qui valorisait ce qui brille, le métal précieux et les joyaux, bref la richesse. Réalisée dans de tels matériaux, la forme des apparences sensibles pouvait alors passer pour une image dissemblable, mais légitime, du spirituel. On parvient à l’idée qu’il est nécessaire de faire des images pour les illettrés et de leur donner le spirituel à adorer sous cette forme</w:t>
      </w:r>
      <w:r w:rsidRPr="00FE61B7">
        <w:rPr>
          <w:rStyle w:val="Appelnotedebasdep"/>
          <w:sz w:val="20"/>
          <w:szCs w:val="20"/>
        </w:rPr>
        <w:footnoteReference w:id="7"/>
      </w:r>
      <w:r w:rsidRPr="00FE61B7">
        <w:rPr>
          <w:sz w:val="20"/>
          <w:szCs w:val="20"/>
        </w:rPr>
        <w:t>.</w:t>
      </w:r>
    </w:p>
    <w:p w:rsidR="000713FB" w:rsidRPr="00FE61B7" w:rsidRDefault="000713FB" w:rsidP="00F04FC5">
      <w:pPr>
        <w:spacing w:line="360" w:lineRule="auto"/>
        <w:jc w:val="both"/>
      </w:pPr>
      <w:r w:rsidRPr="00FE61B7">
        <w:t>Bref, on se rappelle que la thèse de saint Augustin était qu’on ne pouvait tout simplement pas représenter Dieu parce qu’il n’y avait rien sur Terre qui avait la capacité de construire une image égalitaire et semblable. Grâce à Denys, la religion chrétienne a trouvé un moyen détourné pour créer une image du Seigneur en utilisant plutôt les merveilles de sa création, soit la nature. De plus, il affirmait que Dieu s’était rendu visible, en Jésus, permettant sans aucun doute sa représentation physique.</w:t>
      </w:r>
    </w:p>
    <w:p w:rsidR="000713FB" w:rsidRPr="00FE61B7" w:rsidRDefault="000713FB" w:rsidP="00F04FC5">
      <w:pPr>
        <w:spacing w:line="360" w:lineRule="auto"/>
        <w:ind w:firstLine="284"/>
        <w:jc w:val="both"/>
      </w:pPr>
      <w:r w:rsidRPr="00FE61B7">
        <w:t xml:space="preserve">À partir de l’an mil, la vénération a été de plus en plus tolérée par l’Église. D’ailleurs, avec Alain de Lille (1128-1202 apr. J.-C.), l’adoration commençait à être introduite de façon plus formelle parmi les érudits de cette époque avec une première théologie positive pour l’utilisation des images. À dire vrai, cet auteur stipulait que les images et les écrits étaient équivalents quand il affirme : </w:t>
      </w:r>
    </w:p>
    <w:p w:rsidR="000713FB" w:rsidRPr="00FE61B7" w:rsidRDefault="000713FB" w:rsidP="00F04FC5">
      <w:pPr>
        <w:spacing w:line="360" w:lineRule="auto"/>
        <w:ind w:left="1134" w:right="1134"/>
        <w:jc w:val="both"/>
        <w:rPr>
          <w:sz w:val="20"/>
          <w:szCs w:val="20"/>
        </w:rPr>
      </w:pPr>
      <w:r w:rsidRPr="00FE61B7">
        <w:rPr>
          <w:sz w:val="20"/>
          <w:szCs w:val="20"/>
        </w:rPr>
        <w:t>Par comparaison, il semble que les images des saints et l’image du Christ peuvent être peintes, pour que les hommes, par ce qu’ils voient, soient invités à [la contemplation de] l’invisible, et pour que, par les signifiants soient vénérés leurs signifiés; car ce que les lettres écrites sont aux clercs, les peintures le sont aux laïcs</w:t>
      </w:r>
      <w:r w:rsidRPr="00FE61B7">
        <w:rPr>
          <w:rStyle w:val="Appelnotedebasdep"/>
          <w:sz w:val="20"/>
          <w:szCs w:val="20"/>
        </w:rPr>
        <w:footnoteReference w:id="8"/>
      </w:r>
      <w:r w:rsidRPr="00FE61B7">
        <w:rPr>
          <w:sz w:val="20"/>
          <w:szCs w:val="20"/>
        </w:rPr>
        <w:t>.</w:t>
      </w:r>
    </w:p>
    <w:p w:rsidR="000713FB" w:rsidRPr="00FE61B7" w:rsidRDefault="000713FB" w:rsidP="00F04FC5">
      <w:pPr>
        <w:spacing w:line="360" w:lineRule="auto"/>
        <w:jc w:val="both"/>
      </w:pPr>
      <w:r w:rsidRPr="00FE61B7">
        <w:t>En réalité, les deux avaient pour but principal d’aider à la méditation des croyants alors pourquoi l’empêcher. Les images, icônes, reliques sont présents sur terre pour rappeler les actions salvatrices du Christ et des saints. Ainsi, elles étaient dignes de la vénération que les gens portaient envers elle. D’autre part, à partir du 13</w:t>
      </w:r>
      <w:r w:rsidRPr="00FE61B7">
        <w:rPr>
          <w:vertAlign w:val="superscript"/>
        </w:rPr>
        <w:t>e</w:t>
      </w:r>
      <w:r w:rsidRPr="00FE61B7">
        <w:t xml:space="preserve"> siècle et peut-être même avant, il était </w:t>
      </w:r>
      <w:r w:rsidRPr="00FE61B7">
        <w:lastRenderedPageBreak/>
        <w:t>important que la visibilité du monde céleste devienne possible selon certains théologiens de l’époque. En effet, nous avons beaucoup parlé au début, avec les premiers théologiens du Moyen Âge, que voir Dieu et le monde céleste était impossible à cause de leur trop grande majesté. Également, les principes de la religion chrétienne n’étaient pas toujours compréhensibles pour les croyants. Pour cette raison, à cause de leur désir de convertir le plus de gens possible et de s’assurer qu’ils ne tombaient pas dans l’hérésie, l’image que les gens se faisaient du paradis, par exemple, s’est transformée.</w:t>
      </w:r>
    </w:p>
    <w:p w:rsidR="000713FB" w:rsidRPr="00FE61B7" w:rsidRDefault="000713FB" w:rsidP="00F04FC5">
      <w:pPr>
        <w:spacing w:line="360" w:lineRule="auto"/>
        <w:ind w:firstLine="284"/>
        <w:jc w:val="both"/>
      </w:pPr>
      <w:r w:rsidRPr="00FE61B7">
        <w:t>D’ailleurs, le débat entre les intellectuels du début du Moyen</w:t>
      </w:r>
      <w:r w:rsidR="00077FEC">
        <w:t xml:space="preserve"> </w:t>
      </w:r>
      <w:r w:rsidRPr="00FE61B7">
        <w:t>Âge se modifiait aussi puisque, avec la redécouverte des thèses complètes d’Aristote (384-322 av. J.-C.), la représentation du monde invisible devenait tout à coup possible puisqu’elle réhabilitait « la matérialité de l’image, sa réalité sensible et son rôle médiateur »</w:t>
      </w:r>
      <w:r w:rsidRPr="00FE61B7">
        <w:rPr>
          <w:rStyle w:val="Appelnotedebasdep"/>
        </w:rPr>
        <w:footnoteReference w:id="9"/>
      </w:r>
      <w:r w:rsidRPr="00FE61B7">
        <w:t>. C’est principalement saint Thomas d’Aquin (1224-1274 apr. J.-C.), dans son essai de réconciliation de la doctrine chrétienne et des thèses païennes d’Aristote, qui donnait une des meilleures justifications de l’utilisation de l’image. Sa conclusion était d’une grande simplicité puisqu’il affirmait que l’homme ne savait pas comment penser l’intelligible, ou le monde céleste, comme il était vraiment. Il ne pouvait que se le représenter dans une image intérieure sensible qu’il appelait un phantasme. Puis, il devait penser à Dieu dans l’excès puisque le but était de tendre vers la perfection et non de l’atteindre réellement. Conséquemment, saint Thomas ne voyait aucune contradiction dans le fait de passer par les réalités du monde pour se représenter Dieu par imitation parce que c’est la seule chose que le chrétien pouvait faire pour méditer.</w:t>
      </w:r>
    </w:p>
    <w:p w:rsidR="000713FB" w:rsidRPr="00FE61B7" w:rsidRDefault="000713FB" w:rsidP="00F04FC5">
      <w:pPr>
        <w:spacing w:line="360" w:lineRule="auto"/>
        <w:ind w:firstLine="284"/>
        <w:jc w:val="both"/>
      </w:pPr>
      <w:r w:rsidRPr="00FE61B7">
        <w:t>Maintenant, il semble important d’expliquer un peu le contexte historique de la seconde moitié du Moyen</w:t>
      </w:r>
      <w:r w:rsidR="00077FEC">
        <w:t xml:space="preserve"> </w:t>
      </w:r>
      <w:r w:rsidRPr="00FE61B7">
        <w:t>Âge pour comprendre l’évolution prochaine de l’iconographie. En réalité, des évènements religieux, politiques et sociaux ont marqué la culture des</w:t>
      </w:r>
      <w:r w:rsidR="005B797F">
        <w:t xml:space="preserve"> gens qui vivaient pendant le XI</w:t>
      </w:r>
      <w:r w:rsidRPr="00FE61B7">
        <w:rPr>
          <w:vertAlign w:val="superscript"/>
        </w:rPr>
        <w:t>e</w:t>
      </w:r>
      <w:r w:rsidRPr="00FE61B7">
        <w:t xml:space="preserve"> siècle. À la vérité, on ne peut négliger les impacts qu’ont eus la réforme grégorienne et la première croisade. La papauté de Rome s’est soudainement réveillée pour prendre très à cœur son rôle de guide pour le peuple chrétien. De nouvelles pratiques ont été mises en place dans le but de faire émerger encore plus la dévotion populaire des gens envers la religion et, également, la fidélité des croyants envers l’Église de Rome. Ainsi, cette dernière commençait une campagne de purification de la religion qui a énormément touché le monde chrétien. Ce n’est pas pour rien que </w:t>
      </w:r>
      <w:r w:rsidRPr="00FE61B7">
        <w:lastRenderedPageBreak/>
        <w:t>les hérésies, dont les membres étaient minoritaires par rapport au nombre réel de chrétiens, sont revenues à l’avant-plan à cette époque, car les gens n’étaient pas toujours satisfaits des dispositions prises par les papes qui allaient souvent à l’encontre de ce qui est dicté dans la Bible. Par contre, dans ces mouvements contestataires, l’Église trouvait les justifications de ses pratiques. Sur ce point, Schmitt affirme :</w:t>
      </w:r>
    </w:p>
    <w:p w:rsidR="000713FB" w:rsidRPr="00FE61B7" w:rsidRDefault="000713FB" w:rsidP="00F04FC5">
      <w:pPr>
        <w:spacing w:line="360" w:lineRule="auto"/>
        <w:ind w:left="1134" w:right="1134"/>
        <w:jc w:val="both"/>
        <w:rPr>
          <w:sz w:val="20"/>
          <w:szCs w:val="20"/>
        </w:rPr>
      </w:pPr>
      <w:r w:rsidRPr="00FE61B7">
        <w:rPr>
          <w:sz w:val="20"/>
          <w:szCs w:val="20"/>
        </w:rPr>
        <w:t>Au début du XI</w:t>
      </w:r>
      <w:r w:rsidRPr="00FE61B7">
        <w:rPr>
          <w:sz w:val="20"/>
          <w:szCs w:val="20"/>
          <w:vertAlign w:val="superscript"/>
        </w:rPr>
        <w:t>e</w:t>
      </w:r>
      <w:r w:rsidRPr="00FE61B7">
        <w:rPr>
          <w:sz w:val="20"/>
          <w:szCs w:val="20"/>
        </w:rPr>
        <w:t xml:space="preserve"> siècle, le développement et les innovations de l’art et du culte chrétiens en Occident furent contemporains de l’apparition des « hérésies populaires » qui, dès l’origine, dénoncèrent toutes les formes de médiation instituées par l’Église entre les hommes et Dieu : les hérétiques sans prirent aux croix, aux crucifix, aux images […]. La contestation hérétique a sans doute conforté par réaction, dans l’Église, les positions les plus favorables au culte et au développement des images religieuses, dont on connaît par ailleurs la floraison artistique à partir du XII</w:t>
      </w:r>
      <w:r w:rsidRPr="00FE61B7">
        <w:rPr>
          <w:sz w:val="20"/>
          <w:szCs w:val="20"/>
          <w:vertAlign w:val="superscript"/>
        </w:rPr>
        <w:t>e</w:t>
      </w:r>
      <w:r w:rsidRPr="00FE61B7">
        <w:rPr>
          <w:sz w:val="20"/>
          <w:szCs w:val="20"/>
        </w:rPr>
        <w:t xml:space="preserve"> siècle</w:t>
      </w:r>
      <w:r w:rsidRPr="00FE61B7">
        <w:rPr>
          <w:rStyle w:val="Appelnotedebasdep"/>
          <w:sz w:val="20"/>
          <w:szCs w:val="20"/>
        </w:rPr>
        <w:footnoteReference w:id="10"/>
      </w:r>
      <w:r w:rsidRPr="00FE61B7">
        <w:rPr>
          <w:sz w:val="20"/>
          <w:szCs w:val="20"/>
        </w:rPr>
        <w:t>.</w:t>
      </w:r>
    </w:p>
    <w:p w:rsidR="000713FB" w:rsidRPr="00C56E9A" w:rsidRDefault="000713FB" w:rsidP="00F04FC5">
      <w:pPr>
        <w:spacing w:line="360" w:lineRule="auto"/>
        <w:jc w:val="both"/>
        <w:rPr>
          <w:lang w:val="en-CA"/>
        </w:rPr>
      </w:pPr>
      <w:r w:rsidRPr="00FE61B7">
        <w:t xml:space="preserve">D’ailleurs, on sait que, puisqu’on la déjà vu plus tôt, la plupart des chrétiens, exception faite des clercs, étaient des illettrés et connaissaient très peu les principes </w:t>
      </w:r>
      <w:r w:rsidR="005B797F">
        <w:t>divins. Mais, tout à coup, au XI</w:t>
      </w:r>
      <w:r w:rsidRPr="00FE61B7">
        <w:rPr>
          <w:vertAlign w:val="superscript"/>
        </w:rPr>
        <w:t>e</w:t>
      </w:r>
      <w:r w:rsidRPr="00FE61B7">
        <w:t xml:space="preserve"> siècle, l’Église désirait changer cela en instruisant les chrétiens de façon formelle dans le but d’augmenter leur piété envers le monde céleste. </w:t>
      </w:r>
      <w:proofErr w:type="spellStart"/>
      <w:r w:rsidRPr="00C56E9A">
        <w:rPr>
          <w:lang w:val="en-CA"/>
        </w:rPr>
        <w:t>En</w:t>
      </w:r>
      <w:proofErr w:type="spellEnd"/>
      <w:r w:rsidRPr="00C56E9A">
        <w:rPr>
          <w:lang w:val="en-CA"/>
        </w:rPr>
        <w:t xml:space="preserve"> </w:t>
      </w:r>
      <w:proofErr w:type="spellStart"/>
      <w:r w:rsidRPr="00C56E9A">
        <w:rPr>
          <w:lang w:val="en-CA"/>
        </w:rPr>
        <w:t>effet</w:t>
      </w:r>
      <w:proofErr w:type="spellEnd"/>
      <w:r w:rsidRPr="00C56E9A">
        <w:rPr>
          <w:lang w:val="en-CA"/>
        </w:rPr>
        <w:t>, « The religious education of the laity had never occupied so high a place among the priorities of those clergy who took their duties seriously »</w:t>
      </w:r>
      <w:r w:rsidRPr="00FE61B7">
        <w:rPr>
          <w:rStyle w:val="Appelnotedebasdep"/>
        </w:rPr>
        <w:footnoteReference w:id="11"/>
      </w:r>
      <w:r w:rsidRPr="00C56E9A">
        <w:rPr>
          <w:lang w:val="en-CA"/>
        </w:rPr>
        <w:t xml:space="preserve">. </w:t>
      </w:r>
      <w:r w:rsidRPr="00FE61B7">
        <w:t>À partir de cette affirmation, on comprend que l’iconographie a joué u</w:t>
      </w:r>
      <w:r w:rsidR="005B797F">
        <w:t>n plus grand rôle à partir du XI</w:t>
      </w:r>
      <w:r w:rsidRPr="00FE61B7">
        <w:rPr>
          <w:vertAlign w:val="superscript"/>
        </w:rPr>
        <w:t>e</w:t>
      </w:r>
      <w:r w:rsidRPr="00FE61B7">
        <w:t xml:space="preserve"> siècle, puisque les progrès par rapport à la lecture restaient minimes</w:t>
      </w:r>
      <w:r w:rsidRPr="00FE61B7">
        <w:rPr>
          <w:rStyle w:val="Appelnotedebasdep"/>
        </w:rPr>
        <w:footnoteReference w:id="12"/>
      </w:r>
      <w:r w:rsidRPr="00FE61B7">
        <w:t xml:space="preserve">.En réalité, l’accès aux Saintes Écritures et aux autres écrits chrétiens n’étaient pas encore disponible pour tous les croyants. </w:t>
      </w:r>
      <w:r w:rsidRPr="00C56E9A">
        <w:rPr>
          <w:lang w:val="en-CA"/>
        </w:rPr>
        <w:t xml:space="preserve">Or, Francis Rapp </w:t>
      </w:r>
      <w:proofErr w:type="spellStart"/>
      <w:r w:rsidRPr="00C56E9A">
        <w:rPr>
          <w:lang w:val="en-CA"/>
        </w:rPr>
        <w:t>affirme</w:t>
      </w:r>
      <w:proofErr w:type="spellEnd"/>
      <w:r w:rsidRPr="00C56E9A">
        <w:rPr>
          <w:lang w:val="en-CA"/>
        </w:rPr>
        <w:t xml:space="preserve"> </w:t>
      </w:r>
      <w:proofErr w:type="spellStart"/>
      <w:r w:rsidRPr="00C56E9A">
        <w:rPr>
          <w:lang w:val="en-CA"/>
        </w:rPr>
        <w:t>sur</w:t>
      </w:r>
      <w:proofErr w:type="spellEnd"/>
      <w:r w:rsidRPr="00C56E9A">
        <w:rPr>
          <w:lang w:val="en-CA"/>
        </w:rPr>
        <w:t xml:space="preserve"> </w:t>
      </w:r>
      <w:proofErr w:type="spellStart"/>
      <w:r w:rsidRPr="00C56E9A">
        <w:rPr>
          <w:lang w:val="en-CA"/>
        </w:rPr>
        <w:t>ce</w:t>
      </w:r>
      <w:proofErr w:type="spellEnd"/>
      <w:r w:rsidRPr="00C56E9A">
        <w:rPr>
          <w:lang w:val="en-CA"/>
        </w:rPr>
        <w:t xml:space="preserve"> </w:t>
      </w:r>
      <w:proofErr w:type="gramStart"/>
      <w:r w:rsidRPr="00C56E9A">
        <w:rPr>
          <w:lang w:val="en-CA"/>
        </w:rPr>
        <w:t>point :</w:t>
      </w:r>
      <w:proofErr w:type="gramEnd"/>
      <w:r w:rsidRPr="00C56E9A">
        <w:rPr>
          <w:lang w:val="en-CA"/>
        </w:rPr>
        <w:t xml:space="preserve"> </w:t>
      </w:r>
    </w:p>
    <w:p w:rsidR="000713FB" w:rsidRPr="00C56E9A" w:rsidRDefault="000713FB" w:rsidP="00F04FC5">
      <w:pPr>
        <w:spacing w:line="360" w:lineRule="auto"/>
        <w:ind w:left="1134" w:right="1134"/>
        <w:jc w:val="both"/>
        <w:rPr>
          <w:sz w:val="20"/>
          <w:szCs w:val="20"/>
          <w:lang w:val="en-CA"/>
        </w:rPr>
      </w:pPr>
      <w:r w:rsidRPr="00C56E9A">
        <w:rPr>
          <w:sz w:val="20"/>
          <w:szCs w:val="20"/>
          <w:lang w:val="en-CA"/>
        </w:rPr>
        <w:t xml:space="preserve">Iconography, however, could appeal to everyone. Statues and pictures proliferated, assuming many </w:t>
      </w:r>
      <w:proofErr w:type="spellStart"/>
      <w:r w:rsidRPr="00C56E9A">
        <w:rPr>
          <w:sz w:val="20"/>
          <w:szCs w:val="20"/>
          <w:lang w:val="en-CA"/>
        </w:rPr>
        <w:t>differrent</w:t>
      </w:r>
      <w:proofErr w:type="spellEnd"/>
      <w:r w:rsidRPr="00C56E9A">
        <w:rPr>
          <w:sz w:val="20"/>
          <w:szCs w:val="20"/>
          <w:lang w:val="en-CA"/>
        </w:rPr>
        <w:t xml:space="preserve"> shapes and </w:t>
      </w:r>
      <w:proofErr w:type="gramStart"/>
      <w:r w:rsidRPr="00C56E9A">
        <w:rPr>
          <w:sz w:val="20"/>
          <w:szCs w:val="20"/>
          <w:lang w:val="en-CA"/>
        </w:rPr>
        <w:t>sizes :</w:t>
      </w:r>
      <w:proofErr w:type="gramEnd"/>
      <w:r w:rsidRPr="00C56E9A">
        <w:rPr>
          <w:sz w:val="20"/>
          <w:szCs w:val="20"/>
          <w:lang w:val="en-CA"/>
        </w:rPr>
        <w:t xml:space="preserve"> </w:t>
      </w:r>
      <w:proofErr w:type="spellStart"/>
      <w:r w:rsidRPr="00C56E9A">
        <w:rPr>
          <w:sz w:val="20"/>
          <w:szCs w:val="20"/>
          <w:lang w:val="en-CA"/>
        </w:rPr>
        <w:t>monumentals</w:t>
      </w:r>
      <w:proofErr w:type="spellEnd"/>
      <w:r w:rsidRPr="00C56E9A">
        <w:rPr>
          <w:sz w:val="20"/>
          <w:szCs w:val="20"/>
          <w:lang w:val="en-CA"/>
        </w:rPr>
        <w:t xml:space="preserve"> groups such as Breton </w:t>
      </w:r>
      <w:proofErr w:type="spellStart"/>
      <w:r w:rsidRPr="00C56E9A">
        <w:rPr>
          <w:sz w:val="20"/>
          <w:szCs w:val="20"/>
          <w:lang w:val="en-CA"/>
        </w:rPr>
        <w:t>calvaries</w:t>
      </w:r>
      <w:proofErr w:type="spellEnd"/>
      <w:r w:rsidRPr="00C56E9A">
        <w:rPr>
          <w:sz w:val="20"/>
          <w:szCs w:val="20"/>
          <w:lang w:val="en-CA"/>
        </w:rPr>
        <w:t>, portables altarpieces, illuminations and wood-engravings intended to sustain the piety of the devout in the privacy of their rooms</w:t>
      </w:r>
      <w:r w:rsidRPr="00FE61B7">
        <w:rPr>
          <w:rStyle w:val="Appelnotedebasdep"/>
          <w:sz w:val="20"/>
          <w:szCs w:val="20"/>
        </w:rPr>
        <w:footnoteReference w:id="13"/>
      </w:r>
      <w:r w:rsidRPr="00C56E9A">
        <w:rPr>
          <w:sz w:val="20"/>
          <w:szCs w:val="20"/>
          <w:lang w:val="en-CA"/>
        </w:rPr>
        <w:t>.</w:t>
      </w:r>
    </w:p>
    <w:p w:rsidR="000713FB" w:rsidRPr="00C56E9A" w:rsidRDefault="000713FB" w:rsidP="00F04FC5">
      <w:pPr>
        <w:spacing w:line="360" w:lineRule="auto"/>
        <w:jc w:val="both"/>
        <w:rPr>
          <w:lang w:val="en-CA"/>
        </w:rPr>
      </w:pPr>
      <w:r w:rsidRPr="00FE61B7">
        <w:t xml:space="preserve">Ainsi, il n’était plus question de restreindre la valeur de l’image à une simple aide à la méditation. L’iconographie, selon plusieurs auteurs médiévaux, devait être utilisée de façon systématique </w:t>
      </w:r>
      <w:r w:rsidRPr="00FE61B7">
        <w:lastRenderedPageBreak/>
        <w:t xml:space="preserve">dans les pratiques religieuses courantes. L’invisible devait maintenant disparaître après l’an mil puisque l’Église s’est donnée comme plan d’augmenter la dévotion populaire des gens en utilisant le visible et le réalisme. </w:t>
      </w:r>
      <w:r w:rsidRPr="00C56E9A">
        <w:rPr>
          <w:lang w:val="en-CA"/>
        </w:rPr>
        <w:t xml:space="preserve">Elle a </w:t>
      </w:r>
      <w:proofErr w:type="spellStart"/>
      <w:r w:rsidRPr="00C56E9A">
        <w:rPr>
          <w:lang w:val="en-CA"/>
        </w:rPr>
        <w:t>tellement</w:t>
      </w:r>
      <w:proofErr w:type="spellEnd"/>
      <w:r w:rsidRPr="00C56E9A">
        <w:rPr>
          <w:lang w:val="en-CA"/>
        </w:rPr>
        <w:t xml:space="preserve"> </w:t>
      </w:r>
      <w:proofErr w:type="spellStart"/>
      <w:r w:rsidRPr="00C56E9A">
        <w:rPr>
          <w:lang w:val="en-CA"/>
        </w:rPr>
        <w:t>bien</w:t>
      </w:r>
      <w:proofErr w:type="spellEnd"/>
      <w:r w:rsidRPr="00C56E9A">
        <w:rPr>
          <w:lang w:val="en-CA"/>
        </w:rPr>
        <w:t xml:space="preserve"> </w:t>
      </w:r>
      <w:proofErr w:type="spellStart"/>
      <w:r w:rsidRPr="00C56E9A">
        <w:rPr>
          <w:lang w:val="en-CA"/>
        </w:rPr>
        <w:t>réussi</w:t>
      </w:r>
      <w:proofErr w:type="spellEnd"/>
      <w:r w:rsidRPr="00C56E9A">
        <w:rPr>
          <w:lang w:val="en-CA"/>
        </w:rPr>
        <w:t xml:space="preserve"> </w:t>
      </w:r>
      <w:proofErr w:type="spellStart"/>
      <w:r w:rsidRPr="00C56E9A">
        <w:rPr>
          <w:lang w:val="en-CA"/>
        </w:rPr>
        <w:t>que</w:t>
      </w:r>
      <w:proofErr w:type="spellEnd"/>
      <w:r w:rsidRPr="00C56E9A">
        <w:rPr>
          <w:lang w:val="en-CA"/>
        </w:rPr>
        <w:t xml:space="preserve"> « The late medieval Church measured its success not how far it could prevent people interiorizing their religion, but how far it actually succeeded in helping them to do just that »</w:t>
      </w:r>
      <w:r w:rsidRPr="00FE61B7">
        <w:rPr>
          <w:rStyle w:val="Appelnotedebasdep"/>
        </w:rPr>
        <w:footnoteReference w:id="14"/>
      </w:r>
      <w:r w:rsidRPr="00C56E9A">
        <w:rPr>
          <w:lang w:val="en-CA"/>
        </w:rPr>
        <w:t>.</w:t>
      </w:r>
    </w:p>
    <w:p w:rsidR="000713FB" w:rsidRPr="00FE61B7" w:rsidRDefault="000713FB" w:rsidP="00F04FC5">
      <w:pPr>
        <w:spacing w:line="360" w:lineRule="auto"/>
        <w:ind w:firstLine="708"/>
        <w:jc w:val="both"/>
      </w:pPr>
      <w:r w:rsidRPr="00FE61B7">
        <w:t>En effet, à partir du XII</w:t>
      </w:r>
      <w:r w:rsidRPr="00FE61B7">
        <w:rPr>
          <w:vertAlign w:val="superscript"/>
        </w:rPr>
        <w:t>e</w:t>
      </w:r>
      <w:r w:rsidRPr="00FE61B7">
        <w:t xml:space="preserve"> siècle, l’iconographie s’enrichissait avec de nombreux thèmes, que l’on n’aurait jamais pensé possibles pendant la première moitié du Moyen Âge à cause des succès de l’Église pour augmenter la piété populaire. On remarque l’apparition de Dieu en vieillard qui est en réalité une représentation du Christ plus âgé. Avec Augustin, il était impossible de représenter Dieu à cause de sa forme immatérielle. Par contre, comme il l’a été déjà dit par Jean Damascène, Dieu s’est incarné en un être humain ce qui permet justement l’acceptation de sa représentation formelle à partir du XII</w:t>
      </w:r>
      <w:r w:rsidRPr="00FE61B7">
        <w:rPr>
          <w:vertAlign w:val="superscript"/>
        </w:rPr>
        <w:t>e</w:t>
      </w:r>
      <w:r w:rsidRPr="00FE61B7">
        <w:t xml:space="preserve"> siècle. Bien évidemment, on retrouvait toujours des gens qui préféraient en rester aux thèses de saint Augustin mais, pour les autres, il s’agit d’un changement majeur dans les pratiques religieuses du peuple chrétien pendant le Bas Moyen Âge. Également, le monde céleste devient de moins en moins immatériel et on calque sa structure sur celle de la société matérielle. Le paradis devient un royaume tout comme ceux qui existaient déjà sur Terre avec son roi, le Christ, et sa reine, la Vierge Marie. Encore, ce n’était pas rare de voir Dieu représenter comme un empereur régnant sur le monde céleste. Pour cette raison, il n’est pas donc surprenant d’affirmer que la représentation physique de Dieu, du Christ, de la Vierge Marie ou des autres habitants du paradis est véritablement acquise à ce moment. Cette transformation permettait aux laïcs d’avoir une meilleure compréhension des principes de la religion chrétienne. Par cette brèche, on retrouvait une véritable hémorragie d’images sacrées avec des formes et des significations les plus diverses</w:t>
      </w:r>
      <w:r w:rsidRPr="00FE61B7">
        <w:rPr>
          <w:rStyle w:val="Appelnotedebasdep"/>
        </w:rPr>
        <w:footnoteReference w:id="15"/>
      </w:r>
      <w:r w:rsidRPr="00FE61B7">
        <w:t>. Les XIV</w:t>
      </w:r>
      <w:r w:rsidRPr="00FE61B7">
        <w:rPr>
          <w:vertAlign w:val="superscript"/>
        </w:rPr>
        <w:t>e</w:t>
      </w:r>
      <w:r w:rsidRPr="00FE61B7">
        <w:t xml:space="preserve"> et XV</w:t>
      </w:r>
      <w:r w:rsidRPr="00FE61B7">
        <w:rPr>
          <w:vertAlign w:val="superscript"/>
        </w:rPr>
        <w:t>e</w:t>
      </w:r>
      <w:r w:rsidRPr="00FE61B7">
        <w:t xml:space="preserve"> siècles ont été les grands héritiers de ce flot d’images puisque la plupart des gens, clercs et laïcs, comprenaient que la représentation directe de l’invisible ne pouvait se faire que par l’image. Ainsi, l’iconographie permettait à la généralité de la population de l’Europe de devenir de meilleur religieux à comparer de ceux qui vivaient au début du Moyen Âge.</w:t>
      </w:r>
    </w:p>
    <w:p w:rsidR="006A3849" w:rsidRPr="00FE61B7" w:rsidRDefault="000713FB" w:rsidP="00F04FC5">
      <w:pPr>
        <w:spacing w:line="360" w:lineRule="auto"/>
        <w:ind w:firstLine="708"/>
        <w:jc w:val="both"/>
      </w:pPr>
      <w:r w:rsidRPr="00FE61B7">
        <w:lastRenderedPageBreak/>
        <w:t>L’iconographie s’est beaucoup développée et évolué dans cette optique. Toutefois, à la fin du Moyen Âge, c’est plutôt le contraire qui s’est produit. L’utilisation de l’iconographie et de la littérature, dont la transformation a été démarrée par l’Église, est devenue totalement incontrôlable pour le clergé plus la fin du Moyen Âge approchait. Le clergé a créé, sans véritablement le savoir, un individualisme dans les pratiques religieuses des laïcs. D’ailleurs, Rapp observe que les pratiques à la maison et personnelles devaient être plus régulièrement utilisées que celles de l’Église</w:t>
      </w:r>
      <w:r w:rsidRPr="00FE61B7">
        <w:rPr>
          <w:rStyle w:val="Appelnotedebasdep"/>
        </w:rPr>
        <w:footnoteReference w:id="16"/>
      </w:r>
      <w:r w:rsidRPr="00FE61B7">
        <w:t>. Ces dernières étaient généralement effectuées à partir des normes prescrites par l’élite dirigeante de la chrétienté. En conséquence, on faisait le strict minimum pour les obligations, comme la confession, mais on ne se gênait pas quand il venait le temps de faire des prières personnelles aux saints en utilisant l’image. Ces affirmations se transposent justement dans l’évolution des pratiques personnelles par rapport à littérature et à l’iconographie puisqu’elles deviennent justement de plus en plus individuelles. Si on prend l’exemple d’</w:t>
      </w:r>
      <w:proofErr w:type="spellStart"/>
      <w:r w:rsidRPr="00FE61B7">
        <w:t>Aelred</w:t>
      </w:r>
      <w:proofErr w:type="spellEnd"/>
      <w:r w:rsidRPr="00FE61B7">
        <w:t xml:space="preserve"> de </w:t>
      </w:r>
      <w:proofErr w:type="spellStart"/>
      <w:r w:rsidRPr="00FE61B7">
        <w:t>Rievaulx</w:t>
      </w:r>
      <w:proofErr w:type="spellEnd"/>
      <w:r w:rsidRPr="00FE61B7">
        <w:t xml:space="preserve">, on comprend à quel point les prières se personnalisaient quand on demandait au lecteur de créer au lieu dans sa tête pour l’aider dans sa méditation. Également, le format des livres de prières, comprenant </w:t>
      </w:r>
      <w:r w:rsidR="005B797F" w:rsidRPr="00FE61B7">
        <w:t>habituellement</w:t>
      </w:r>
      <w:r w:rsidRPr="00FE61B7">
        <w:t xml:space="preserve"> des images comme dans les livres d’Heures, a énormément changé comme le dit Paul </w:t>
      </w:r>
      <w:proofErr w:type="spellStart"/>
      <w:r w:rsidRPr="00FE61B7">
        <w:t>Saenger</w:t>
      </w:r>
      <w:proofErr w:type="spellEnd"/>
      <w:r w:rsidRPr="00FE61B7">
        <w:t xml:space="preserve"> pour créer une plus grande intimité et un rapprochement avec des prières dévotionnelles. En réalité, il affirme : « À la fin du Moyen Âge, l’idéal d’un livre de prière</w:t>
      </w:r>
      <w:r w:rsidR="002726FC" w:rsidRPr="00FE61B7">
        <w:t>s</w:t>
      </w:r>
      <w:r w:rsidRPr="00FE61B7">
        <w:t xml:space="preserve"> de petit format, toujours à portée de main et inséparable du lecteur, remplace celui du grand livre de prière</w:t>
      </w:r>
      <w:r w:rsidR="002726FC" w:rsidRPr="00FE61B7">
        <w:t>s</w:t>
      </w:r>
      <w:r w:rsidRPr="00FE61B7">
        <w:t xml:space="preserve"> utilisé auparavant, à la fois pour les prières publiques et privées »</w:t>
      </w:r>
      <w:r w:rsidRPr="00FE61B7">
        <w:rPr>
          <w:rStyle w:val="Appelnotedebasdep"/>
        </w:rPr>
        <w:footnoteReference w:id="17"/>
      </w:r>
      <w:r w:rsidRPr="00FE61B7">
        <w:t>. On peut donc affirmer que les succès de l’Église étaient tout à coup calculés à partir de ses réussites quant à arrêter la dévotion populaire et l’individualisme religieux dont elle n’avait plus le contrôle plus on se rapprochait de l’époque moderne. Après le XV</w:t>
      </w:r>
      <w:r w:rsidRPr="00FE61B7">
        <w:rPr>
          <w:vertAlign w:val="superscript"/>
        </w:rPr>
        <w:t>e</w:t>
      </w:r>
      <w:r w:rsidRPr="00FE61B7">
        <w:t xml:space="preserve"> siècle, l’Église possédait un contrôle de plus en plus minime sur la vie religieuse des gens qui étaient de plus en plus indépendants par rapport à elle. On peut penser à la diffusion des livres d’Heures qui échappent au contrôle de l’Église jusqu’à un certain point. Raison pour laquelle le choix de source pour ce mémoire fut fait en ce sens. Les livres d’Heures font partie des éléments culturels de l’émergence de cette piété populaire. On peut plus facilement étudier la culture religieuse et iconographique de la fin du Moyen Âge à l’aide de ce type de source.</w:t>
      </w:r>
    </w:p>
    <w:p w:rsidR="00D35966" w:rsidRPr="00FE61B7" w:rsidRDefault="00D35966" w:rsidP="00F04FC5">
      <w:pPr>
        <w:pStyle w:val="Titre2"/>
        <w:spacing w:line="360" w:lineRule="auto"/>
        <w:jc w:val="both"/>
        <w:rPr>
          <w:rFonts w:ascii="Times New Roman" w:hAnsi="Times New Roman" w:cs="Times New Roman"/>
          <w:color w:val="auto"/>
          <w:sz w:val="24"/>
          <w:szCs w:val="24"/>
        </w:rPr>
      </w:pPr>
      <w:bookmarkStart w:id="4" w:name="_Toc401478186"/>
      <w:r w:rsidRPr="00FE61B7">
        <w:rPr>
          <w:rFonts w:ascii="Times New Roman" w:hAnsi="Times New Roman" w:cs="Times New Roman"/>
          <w:color w:val="auto"/>
          <w:sz w:val="24"/>
          <w:szCs w:val="24"/>
        </w:rPr>
        <w:lastRenderedPageBreak/>
        <w:t>Couleur</w:t>
      </w:r>
      <w:bookmarkEnd w:id="4"/>
    </w:p>
    <w:p w:rsidR="00272E31" w:rsidRPr="00FE61B7" w:rsidRDefault="00272E31" w:rsidP="00F04FC5">
      <w:pPr>
        <w:pStyle w:val="Titre3"/>
        <w:spacing w:line="360" w:lineRule="auto"/>
        <w:jc w:val="both"/>
        <w:rPr>
          <w:rFonts w:ascii="Times New Roman" w:hAnsi="Times New Roman" w:cs="Times New Roman"/>
          <w:b w:val="0"/>
          <w:i/>
          <w:color w:val="auto"/>
          <w:u w:val="single"/>
        </w:rPr>
      </w:pPr>
      <w:bookmarkStart w:id="5" w:name="_Toc401478187"/>
      <w:r w:rsidRPr="00FE61B7">
        <w:rPr>
          <w:rFonts w:ascii="Times New Roman" w:hAnsi="Times New Roman" w:cs="Times New Roman"/>
          <w:b w:val="0"/>
          <w:i/>
          <w:color w:val="auto"/>
          <w:u w:val="single"/>
        </w:rPr>
        <w:t>Débat sur son utilisation</w:t>
      </w:r>
      <w:bookmarkEnd w:id="5"/>
    </w:p>
    <w:p w:rsidR="00272E31" w:rsidRPr="00FE61B7" w:rsidRDefault="000713FB" w:rsidP="00F04FC5">
      <w:pPr>
        <w:spacing w:line="360" w:lineRule="auto"/>
        <w:jc w:val="both"/>
      </w:pPr>
      <w:r w:rsidRPr="00FE61B7">
        <w:tab/>
        <w:t xml:space="preserve">Maintenant, j’aimerais discuter d’un débat semblable à celui de l’iconographie. Comme nous l’avons vu précédemment, on s’est disputé pendant longtemps quant à savoir si on pouvait </w:t>
      </w:r>
      <w:r w:rsidR="002C4CFA" w:rsidRPr="00FE61B7">
        <w:t>avoir recours à</w:t>
      </w:r>
      <w:r w:rsidRPr="00FE61B7">
        <w:t xml:space="preserve"> l’image dans la méditation. Mais, </w:t>
      </w:r>
      <w:r w:rsidR="009C6F52" w:rsidRPr="00FE61B7">
        <w:t xml:space="preserve">est-ce que </w:t>
      </w:r>
      <w:r w:rsidRPr="00FE61B7">
        <w:t>la même chose s’est produite au suje</w:t>
      </w:r>
      <w:r w:rsidR="00531552">
        <w:t>t de l’utilisation des couleurs?</w:t>
      </w:r>
      <w:r w:rsidR="0094481D" w:rsidRPr="00FE61B7">
        <w:t xml:space="preserve"> Certains érudits se sont penchés sur la question suivante : peut-on utiliser la couleur dans l’art, dans l’architecture, dans l’iconographie ou même sur les vêtements?</w:t>
      </w:r>
    </w:p>
    <w:p w:rsidR="00DA7CEA" w:rsidRDefault="009C6F52" w:rsidP="00F04FC5">
      <w:pPr>
        <w:spacing w:line="360" w:lineRule="auto"/>
        <w:jc w:val="both"/>
      </w:pPr>
      <w:r w:rsidRPr="00FE61B7">
        <w:tab/>
      </w:r>
      <w:r w:rsidR="002C4CFA" w:rsidRPr="00FE61B7">
        <w:t xml:space="preserve">Nous n’avons pas à chercher bien longtemps pour trouver une réponse. En réalité, on ne retrouve pas un débat sur l’usage des couleurs avec la même envergure que celle des images. Les couleurs ont toujours été un fait de société et leur emploi a été accepté </w:t>
      </w:r>
      <w:r w:rsidR="002726FC" w:rsidRPr="00FE61B7">
        <w:t>pourvu</w:t>
      </w:r>
      <w:r w:rsidR="002C4CFA" w:rsidRPr="00FE61B7">
        <w:t xml:space="preserve"> que l’image soit elle-même admise. Ce n’est qu’au XVI</w:t>
      </w:r>
      <w:r w:rsidR="002C4CFA" w:rsidRPr="00FE61B7">
        <w:rPr>
          <w:vertAlign w:val="superscript"/>
        </w:rPr>
        <w:t>e</w:t>
      </w:r>
      <w:r w:rsidR="002C4CFA" w:rsidRPr="00FE61B7">
        <w:t xml:space="preserve"> siècle avec les premières contestations religieuses des réformes protestantes que l’on commence à débattre sur la nécessité des couleurs.</w:t>
      </w:r>
      <w:r w:rsidR="00850039" w:rsidRPr="00FE61B7">
        <w:t xml:space="preserve"> C’est pour cette raison que nous pouvons affirmer que le sujet étudié pour ce mémoire se situe dans la période moyenâgeuse même si le document choisi date de la fin du XV</w:t>
      </w:r>
      <w:r w:rsidR="00850039" w:rsidRPr="00FE61B7">
        <w:rPr>
          <w:vertAlign w:val="superscript"/>
        </w:rPr>
        <w:t>e</w:t>
      </w:r>
      <w:r w:rsidR="00850039" w:rsidRPr="00FE61B7">
        <w:t xml:space="preserve"> siècle alors que la chronologie habituelle termine cette période en 1453. En effet, différents théologiens protestants tels que Luther, Calvin, </w:t>
      </w:r>
      <w:proofErr w:type="spellStart"/>
      <w:r w:rsidR="00850039" w:rsidRPr="00FE61B7">
        <w:t>Melanchton</w:t>
      </w:r>
      <w:proofErr w:type="spellEnd"/>
      <w:r w:rsidR="00850039" w:rsidRPr="00FE61B7">
        <w:t xml:space="preserve"> ou Zwingli ont suggéré de faire disparaître</w:t>
      </w:r>
      <w:r w:rsidR="008579C5" w:rsidRPr="00FE61B7">
        <w:t xml:space="preserve"> cette «</w:t>
      </w:r>
      <w:r w:rsidR="004972DD" w:rsidRPr="00FE61B7">
        <w:t> </w:t>
      </w:r>
      <w:r w:rsidR="008579C5" w:rsidRPr="00FE61B7">
        <w:t>théâtralité des couleurs</w:t>
      </w:r>
      <w:r w:rsidR="004972DD" w:rsidRPr="00FE61B7">
        <w:t> </w:t>
      </w:r>
      <w:r w:rsidR="008579C5" w:rsidRPr="00FE61B7">
        <w:t>» dans le culte chrétien</w:t>
      </w:r>
      <w:r w:rsidR="008579C5" w:rsidRPr="00FE61B7">
        <w:rPr>
          <w:rStyle w:val="Appelnotedebasdep"/>
        </w:rPr>
        <w:footnoteReference w:id="18"/>
      </w:r>
      <w:r w:rsidR="008579C5" w:rsidRPr="00FE61B7">
        <w:t>. L’iconographie du XV</w:t>
      </w:r>
      <w:r w:rsidR="008579C5" w:rsidRPr="00FE61B7">
        <w:rPr>
          <w:vertAlign w:val="superscript"/>
        </w:rPr>
        <w:t>e</w:t>
      </w:r>
      <w:r w:rsidR="008579C5" w:rsidRPr="00FE61B7">
        <w:t xml:space="preserve"> siècle est envahie par la couleur alors que celle du XVI</w:t>
      </w:r>
      <w:r w:rsidR="008579C5" w:rsidRPr="00FE61B7">
        <w:rPr>
          <w:vertAlign w:val="superscript"/>
        </w:rPr>
        <w:t>e</w:t>
      </w:r>
      <w:r w:rsidR="008579C5" w:rsidRPr="00FE61B7">
        <w:t xml:space="preserve"> siècle est en noir, gris ou blanc. Mais, nous concentrer sur le débat du XVI</w:t>
      </w:r>
      <w:r w:rsidR="008579C5" w:rsidRPr="00FE61B7">
        <w:rPr>
          <w:vertAlign w:val="superscript"/>
        </w:rPr>
        <w:t>e</w:t>
      </w:r>
      <w:r w:rsidR="008579C5" w:rsidRPr="00FE61B7">
        <w:t xml:space="preserve"> siècle serait anachronique. Il y a eu tout de même quelques questionnements pendant le Moyen Âge sur les couleurs et quelques personnes se sont o</w:t>
      </w:r>
      <w:r w:rsidR="002726FC" w:rsidRPr="00FE61B7">
        <w:t>pposées</w:t>
      </w:r>
      <w:r w:rsidR="008579C5" w:rsidRPr="00FE61B7">
        <w:t xml:space="preserve"> à leur emploi.</w:t>
      </w:r>
    </w:p>
    <w:p w:rsidR="00DA225A" w:rsidRPr="00FE61B7" w:rsidRDefault="00DA7CEA" w:rsidP="00DA7CEA">
      <w:pPr>
        <w:spacing w:line="360" w:lineRule="auto"/>
        <w:ind w:firstLine="708"/>
        <w:jc w:val="both"/>
      </w:pPr>
      <w:r>
        <w:t xml:space="preserve">Comme l’explique </w:t>
      </w:r>
      <w:r w:rsidR="00DA225A" w:rsidRPr="00FE61B7">
        <w:t>Pastoureau, peu de savant</w:t>
      </w:r>
      <w:r w:rsidR="002726FC" w:rsidRPr="00FE61B7">
        <w:t>s</w:t>
      </w:r>
      <w:r w:rsidR="00DA225A" w:rsidRPr="00FE61B7">
        <w:t xml:space="preserve"> se sont intéressés à ce sujet. </w:t>
      </w:r>
      <w:r>
        <w:t>Il écrit à ce sujet :</w:t>
      </w:r>
    </w:p>
    <w:p w:rsidR="00DA225A" w:rsidRPr="00FE61B7" w:rsidRDefault="00DA225A" w:rsidP="00F04FC5">
      <w:pPr>
        <w:spacing w:line="360" w:lineRule="auto"/>
        <w:ind w:left="1134" w:right="1134"/>
        <w:jc w:val="both"/>
        <w:rPr>
          <w:sz w:val="20"/>
          <w:szCs w:val="20"/>
        </w:rPr>
      </w:pPr>
      <w:r w:rsidRPr="00FE61B7">
        <w:rPr>
          <w:sz w:val="20"/>
          <w:szCs w:val="20"/>
        </w:rPr>
        <w:t>Le XIII</w:t>
      </w:r>
      <w:r w:rsidRPr="00FE61B7">
        <w:rPr>
          <w:sz w:val="20"/>
          <w:szCs w:val="20"/>
          <w:vertAlign w:val="superscript"/>
        </w:rPr>
        <w:t>e</w:t>
      </w:r>
      <w:r w:rsidRPr="00FE61B7">
        <w:rPr>
          <w:sz w:val="20"/>
          <w:szCs w:val="20"/>
        </w:rPr>
        <w:t xml:space="preserve"> siècle, par exemple, qui est le grand siècle médiéval de l’optique, celui qui a inventé les lunettes, qui a expérimenté de nombreuses lentilles, qui s’est intéressé aux aveugles, qui a définitivement fait du Christ un Dieu de lumière, semble avoir été peu curieux de mieux connaître la nature et la vision des couleurs</w:t>
      </w:r>
      <w:r w:rsidRPr="00FE61B7">
        <w:rPr>
          <w:rStyle w:val="Appelnotedebasdep"/>
          <w:sz w:val="20"/>
          <w:szCs w:val="20"/>
        </w:rPr>
        <w:footnoteReference w:id="19"/>
      </w:r>
      <w:r w:rsidRPr="00FE61B7">
        <w:rPr>
          <w:sz w:val="20"/>
          <w:szCs w:val="20"/>
        </w:rPr>
        <w:t>.</w:t>
      </w:r>
    </w:p>
    <w:p w:rsidR="00DA225A" w:rsidRPr="00FE61B7" w:rsidRDefault="00225222" w:rsidP="00F04FC5">
      <w:pPr>
        <w:spacing w:line="360" w:lineRule="auto"/>
        <w:jc w:val="both"/>
      </w:pPr>
      <w:r w:rsidRPr="00FE61B7">
        <w:rPr>
          <w:sz w:val="20"/>
          <w:szCs w:val="20"/>
        </w:rPr>
        <w:t>L</w:t>
      </w:r>
      <w:r w:rsidRPr="00FE61B7">
        <w:t xml:space="preserve">e seul </w:t>
      </w:r>
      <w:r w:rsidR="00C81E92">
        <w:t>thème</w:t>
      </w:r>
      <w:r w:rsidRPr="00FE61B7">
        <w:t xml:space="preserve"> qui a un tant soit peu attiré l’attention est l’arc-en-ciel. Dans la seconde moitié du Moyen Âge, on redécouvre les écrits de l’Antiquité, depuis longtemps disparu</w:t>
      </w:r>
      <w:r w:rsidR="002726FC" w:rsidRPr="00FE61B7">
        <w:t>s</w:t>
      </w:r>
      <w:r w:rsidRPr="00FE61B7">
        <w:t xml:space="preserve"> en Europe </w:t>
      </w:r>
      <w:r w:rsidRPr="00FE61B7">
        <w:lastRenderedPageBreak/>
        <w:t>occidental</w:t>
      </w:r>
      <w:r w:rsidR="002726FC" w:rsidRPr="00FE61B7">
        <w:t>e</w:t>
      </w:r>
      <w:r w:rsidRPr="00FE61B7">
        <w:t xml:space="preserve">, tels qu’Aristote dans ses </w:t>
      </w:r>
      <w:r w:rsidRPr="00FE61B7">
        <w:rPr>
          <w:i/>
        </w:rPr>
        <w:t>Météorologiques</w:t>
      </w:r>
      <w:r w:rsidRPr="00FE61B7">
        <w:t xml:space="preserve"> ou on découvre les écrits arabes ayant fait certaines découvertes intéressantes en la matière</w:t>
      </w:r>
      <w:r w:rsidRPr="00FE61B7">
        <w:rPr>
          <w:rStyle w:val="Appelnotedebasdep"/>
        </w:rPr>
        <w:footnoteReference w:id="20"/>
      </w:r>
      <w:r w:rsidRPr="00FE61B7">
        <w:t>. Les écrits sur l’optique d’al-Hazan sont justement très</w:t>
      </w:r>
      <w:r w:rsidR="00C81E92">
        <w:t xml:space="preserve"> utiles quand on étudie cette question</w:t>
      </w:r>
      <w:r w:rsidRPr="00FE61B7">
        <w:t xml:space="preserve">. On étudie donc </w:t>
      </w:r>
      <w:r w:rsidR="00244C2B" w:rsidRPr="00FE61B7">
        <w:t>ce phénomène météorologique</w:t>
      </w:r>
      <w:r w:rsidRPr="00FE61B7">
        <w:t xml:space="preserve"> sous toutes ces formes. </w:t>
      </w:r>
      <w:r w:rsidR="0008443B" w:rsidRPr="00FE61B7">
        <w:t>Courbure de l’arc, positionnement par rapport au Soleil, nature des nuages ou phénomène de réflexion et de réfraction des rayons lumineux sont tous des aspects maintenant analysés lorsqu’il est question de l’arc-en-ciel</w:t>
      </w:r>
      <w:r w:rsidR="0008443B" w:rsidRPr="00FE61B7">
        <w:rPr>
          <w:rStyle w:val="Appelnotedebasdep"/>
        </w:rPr>
        <w:footnoteReference w:id="21"/>
      </w:r>
      <w:r w:rsidR="0008443B" w:rsidRPr="00FE61B7">
        <w:t>.</w:t>
      </w:r>
      <w:r w:rsidR="00345DF5" w:rsidRPr="00FE61B7">
        <w:t xml:space="preserve"> Plusieurs érudits ont </w:t>
      </w:r>
      <w:r w:rsidR="00C81E92">
        <w:t>réfléchi sur l</w:t>
      </w:r>
      <w:r w:rsidR="00345DF5" w:rsidRPr="00FE61B7">
        <w:t>e sujet et chacun possède des réponses différentes aux mêmes quest</w:t>
      </w:r>
      <w:r w:rsidR="008159F4" w:rsidRPr="00FE61B7">
        <w:t>ions. On retrouve Robert Grossetes</w:t>
      </w:r>
      <w:r w:rsidR="00345DF5" w:rsidRPr="00FE61B7">
        <w:t xml:space="preserve">te, John </w:t>
      </w:r>
      <w:proofErr w:type="spellStart"/>
      <w:r w:rsidR="00345DF5" w:rsidRPr="00FE61B7">
        <w:t>Pec</w:t>
      </w:r>
      <w:r w:rsidR="008159F4" w:rsidRPr="00FE61B7">
        <w:t>k</w:t>
      </w:r>
      <w:r w:rsidR="00345DF5" w:rsidRPr="00FE61B7">
        <w:t>ham</w:t>
      </w:r>
      <w:proofErr w:type="spellEnd"/>
      <w:r w:rsidR="00345DF5" w:rsidRPr="00FE61B7">
        <w:t>, Roger Bacon, Thierry de Freiberg et Witelo</w:t>
      </w:r>
      <w:r w:rsidR="00345DF5" w:rsidRPr="00FE61B7">
        <w:rPr>
          <w:rStyle w:val="Appelnotedebasdep"/>
        </w:rPr>
        <w:footnoteReference w:id="22"/>
      </w:r>
      <w:r w:rsidR="00345DF5" w:rsidRPr="00FE61B7">
        <w:t>. Une des principales préoccupations de ces «</w:t>
      </w:r>
      <w:r w:rsidR="004972DD" w:rsidRPr="00FE61B7">
        <w:t> </w:t>
      </w:r>
      <w:r w:rsidR="00345DF5" w:rsidRPr="00FE61B7">
        <w:t>scientifiques</w:t>
      </w:r>
      <w:r w:rsidR="004972DD" w:rsidRPr="00FE61B7">
        <w:t> </w:t>
      </w:r>
      <w:r w:rsidR="00345DF5" w:rsidRPr="00FE61B7">
        <w:t xml:space="preserve">» fut de déterminer le nombre de couleurs présent dans l’arc-en-ciel et l’ordre dans lequel elles sont positionnées. Mais, </w:t>
      </w:r>
      <w:r w:rsidR="003C31F7" w:rsidRPr="00FE61B7">
        <w:t>«</w:t>
      </w:r>
      <w:r w:rsidR="004972DD" w:rsidRPr="00FE61B7">
        <w:t> </w:t>
      </w:r>
      <w:r w:rsidR="003C31F7" w:rsidRPr="00FE61B7">
        <w:t>aucun ne met en avant une séquence ou un fragment de séquence qui pourrait avoir un rapport quelconque avec le spectre, c’est-à-dire avec notre arc-en-ciel moderne : c’est trop tôt</w:t>
      </w:r>
      <w:r w:rsidR="004972DD" w:rsidRPr="00FE61B7">
        <w:t> </w:t>
      </w:r>
      <w:r w:rsidR="003C31F7" w:rsidRPr="00FE61B7">
        <w:t>»</w:t>
      </w:r>
      <w:r w:rsidR="003C31F7" w:rsidRPr="00FE61B7">
        <w:rPr>
          <w:rStyle w:val="Appelnotedebasdep"/>
        </w:rPr>
        <w:footnoteReference w:id="23"/>
      </w:r>
      <w:r w:rsidR="003C31F7" w:rsidRPr="00FE61B7">
        <w:t>.</w:t>
      </w:r>
      <w:r w:rsidR="004A398D" w:rsidRPr="00FE61B7">
        <w:t xml:space="preserve"> </w:t>
      </w:r>
      <w:r w:rsidR="008159F4" w:rsidRPr="00FE61B7">
        <w:t xml:space="preserve">Ici, je ne rentrerais pas dans le même discours sur la physique de la lumière et des couleurs. Pastoureau l’a déjà bien fait. Ce qui est important de se souvenir est que le </w:t>
      </w:r>
      <w:r w:rsidR="00C81E92">
        <w:t xml:space="preserve">bilan scientifique sur les couleurs du Moyen Âge </w:t>
      </w:r>
      <w:r w:rsidR="008159F4" w:rsidRPr="00FE61B7">
        <w:t xml:space="preserve">est pauvre. Par contre, on retient un fait de toutes ces études : la couleur fait </w:t>
      </w:r>
      <w:r w:rsidR="00337A70" w:rsidRPr="00FE61B7">
        <w:t>partie</w:t>
      </w:r>
      <w:r w:rsidR="008159F4" w:rsidRPr="00FE61B7">
        <w:t xml:space="preserve"> </w:t>
      </w:r>
      <w:r w:rsidR="00337A70" w:rsidRPr="00FE61B7">
        <w:t xml:space="preserve">intégrante </w:t>
      </w:r>
      <w:r w:rsidR="008159F4" w:rsidRPr="00FE61B7">
        <w:t>de la lumière pour les «</w:t>
      </w:r>
      <w:r w:rsidR="004972DD" w:rsidRPr="00FE61B7">
        <w:t> </w:t>
      </w:r>
      <w:r w:rsidR="008159F4" w:rsidRPr="00FE61B7">
        <w:t>scientifiques</w:t>
      </w:r>
      <w:r w:rsidR="004972DD" w:rsidRPr="00FE61B7">
        <w:t> </w:t>
      </w:r>
      <w:r w:rsidR="008159F4" w:rsidRPr="00FE61B7">
        <w:t>» de cette période historique.</w:t>
      </w:r>
      <w:r w:rsidR="002E4029" w:rsidRPr="00FE61B7">
        <w:t xml:space="preserve"> Beaucoup de théologiens sont justement en accord avec cette dernière affirmation. La plupart de ceux qui ont été nommé</w:t>
      </w:r>
      <w:r w:rsidR="002726FC" w:rsidRPr="00FE61B7">
        <w:t>s</w:t>
      </w:r>
      <w:r w:rsidR="002E4029" w:rsidRPr="00FE61B7">
        <w:t xml:space="preserve"> dans le précédent chapitre et qui désirai</w:t>
      </w:r>
      <w:r w:rsidR="002726FC" w:rsidRPr="00FE61B7">
        <w:t>en</w:t>
      </w:r>
      <w:r w:rsidR="002E4029" w:rsidRPr="00FE61B7">
        <w:t>t avoir recours à l’image pour aider les laïcs dans leur vie spirituelle encourageai</w:t>
      </w:r>
      <w:r w:rsidR="002726FC" w:rsidRPr="00FE61B7">
        <w:t>en</w:t>
      </w:r>
      <w:r w:rsidR="002E4029" w:rsidRPr="00FE61B7">
        <w:t>t l’usage des couleurs. Cependant, il existait une petite poche de résistance. Pastoureau écrit sur ce point : «</w:t>
      </w:r>
      <w:r w:rsidR="004972DD" w:rsidRPr="00FE61B7">
        <w:t> </w:t>
      </w:r>
      <w:r w:rsidR="002E4029" w:rsidRPr="00FE61B7">
        <w:t>À partir du XII</w:t>
      </w:r>
      <w:r w:rsidR="002E4029" w:rsidRPr="00FE61B7">
        <w:rPr>
          <w:vertAlign w:val="superscript"/>
        </w:rPr>
        <w:t>e</w:t>
      </w:r>
      <w:r w:rsidR="002E4029" w:rsidRPr="00FE61B7">
        <w:t xml:space="preserve"> siècle, ne sont plus rares ceux qui, comme saint Bernard, pensent que la couleur ce n’est pas de lumière</w:t>
      </w:r>
      <w:r w:rsidR="002726FC" w:rsidRPr="00FE61B7">
        <w:t>,</w:t>
      </w:r>
      <w:r w:rsidR="002E4029" w:rsidRPr="00FE61B7">
        <w:t xml:space="preserve"> mais de la matière, donc quelque chose de </w:t>
      </w:r>
      <w:proofErr w:type="spellStart"/>
      <w:r w:rsidR="002E4029" w:rsidRPr="00FE61B7">
        <w:t>vil</w:t>
      </w:r>
      <w:proofErr w:type="spellEnd"/>
      <w:r w:rsidR="002E4029" w:rsidRPr="00FE61B7">
        <w:t>, d’inutile, de méprisable qu’il faut rejeter hors du temple chrétien</w:t>
      </w:r>
      <w:r w:rsidR="004972DD" w:rsidRPr="00FE61B7">
        <w:t> </w:t>
      </w:r>
      <w:r w:rsidR="002E4029" w:rsidRPr="00FE61B7">
        <w:t>»</w:t>
      </w:r>
      <w:r w:rsidR="002E4029" w:rsidRPr="00FE61B7">
        <w:rPr>
          <w:rStyle w:val="Appelnotedebasdep"/>
        </w:rPr>
        <w:footnoteReference w:id="24"/>
      </w:r>
      <w:r w:rsidR="002E4029" w:rsidRPr="00FE61B7">
        <w:t>.</w:t>
      </w:r>
      <w:r w:rsidR="00973DE6" w:rsidRPr="00FE61B7">
        <w:t xml:space="preserve"> Ce fait sera expliqué plus en détail plus tard quand il sera question de la querelle au sujet des habits monastiques entre Pierre le Vénérable et Bernard de Clairvaux. Généralement, la couleur était acceptée par le culte chrétien médiéval. Ce n’est qu’au XVI</w:t>
      </w:r>
      <w:r w:rsidR="00973DE6" w:rsidRPr="00FE61B7">
        <w:rPr>
          <w:vertAlign w:val="superscript"/>
        </w:rPr>
        <w:t>e</w:t>
      </w:r>
      <w:r w:rsidR="00973DE6" w:rsidRPr="00FE61B7">
        <w:t xml:space="preserve"> siècle</w:t>
      </w:r>
      <w:r w:rsidR="004A398D" w:rsidRPr="00FE61B7">
        <w:t>, avec la popularité grandissante des réformes protestantes, que les couleurs ont disparu puisqu’elles sont maintenant jugées superflues. La Réforme et la Contre-Réforme ont eu finalement raison</w:t>
      </w:r>
      <w:r w:rsidR="00C81E92">
        <w:t xml:space="preserve"> de celles-ci</w:t>
      </w:r>
      <w:r w:rsidR="004A398D" w:rsidRPr="00FE61B7">
        <w:t>.</w:t>
      </w:r>
    </w:p>
    <w:p w:rsidR="00272E31" w:rsidRPr="00FE61B7" w:rsidRDefault="00272E31" w:rsidP="00F04FC5">
      <w:pPr>
        <w:pStyle w:val="Titre3"/>
        <w:spacing w:line="360" w:lineRule="auto"/>
        <w:jc w:val="both"/>
        <w:rPr>
          <w:rFonts w:ascii="Times New Roman" w:hAnsi="Times New Roman" w:cs="Times New Roman"/>
          <w:b w:val="0"/>
          <w:i/>
          <w:color w:val="auto"/>
          <w:u w:val="single"/>
        </w:rPr>
      </w:pPr>
      <w:bookmarkStart w:id="6" w:name="_Toc401478188"/>
      <w:r w:rsidRPr="00FE61B7">
        <w:rPr>
          <w:rFonts w:ascii="Times New Roman" w:hAnsi="Times New Roman" w:cs="Times New Roman"/>
          <w:b w:val="0"/>
          <w:i/>
          <w:color w:val="auto"/>
          <w:u w:val="single"/>
        </w:rPr>
        <w:lastRenderedPageBreak/>
        <w:t>Situation de la symbolique des couleurs selon Michel Pastoureau</w:t>
      </w:r>
      <w:bookmarkEnd w:id="6"/>
    </w:p>
    <w:p w:rsidR="00124AAF" w:rsidRPr="00FE61B7" w:rsidRDefault="00815F7E" w:rsidP="00F04FC5">
      <w:pPr>
        <w:spacing w:line="360" w:lineRule="auto"/>
        <w:ind w:firstLine="708"/>
        <w:jc w:val="both"/>
      </w:pPr>
      <w:r w:rsidRPr="00FE61B7">
        <w:t>Ce</w:t>
      </w:r>
      <w:r w:rsidR="00124AAF" w:rsidRPr="00FE61B7">
        <w:t xml:space="preserve"> mémoire se basera principalement sur les théories de Michel Pastoureau dans ses différents ouvrages tels </w:t>
      </w:r>
      <w:r w:rsidR="00124AAF" w:rsidRPr="00FE61B7">
        <w:rPr>
          <w:i/>
        </w:rPr>
        <w:t>Noir : Une histoire d’une couleur</w:t>
      </w:r>
      <w:r w:rsidR="00124AAF" w:rsidRPr="00FE61B7">
        <w:t xml:space="preserve">, </w:t>
      </w:r>
      <w:r w:rsidR="00124AAF" w:rsidRPr="00FE61B7">
        <w:rPr>
          <w:i/>
        </w:rPr>
        <w:t>Bleu : Une histoire d’une couleur</w:t>
      </w:r>
      <w:r w:rsidR="00124AAF" w:rsidRPr="00FE61B7">
        <w:t xml:space="preserve"> ou </w:t>
      </w:r>
      <w:r w:rsidR="00124AAF" w:rsidRPr="00FE61B7">
        <w:rPr>
          <w:i/>
        </w:rPr>
        <w:t>Une histoire symbolique du Moyen Âge occidental</w:t>
      </w:r>
      <w:r w:rsidR="00124AAF" w:rsidRPr="00FE61B7">
        <w:t xml:space="preserve">. Mais, il est évident que certaines de ses thèses sont </w:t>
      </w:r>
      <w:r w:rsidR="003C3CAB" w:rsidRPr="00FE61B7">
        <w:t xml:space="preserve">à nuancer </w:t>
      </w:r>
      <w:r w:rsidR="00124AAF" w:rsidRPr="00FE61B7">
        <w:t xml:space="preserve">selon le cas. Il ne fait aucun doute que ses affirmations à propos du noir et du blanc, faisant partie des couleurs les plus populaires au Moyen Âge, sont véridiques si on se base sur les lettres écrites de Pierre le Vénérable et Bernard de Clairvaux qui se disputaient à propos de l’habit de leur ordre respectif. Cependant, il expose souvent brièvement la construction symbolique des différentes couleurs comme le vert et le bleu. Dans le cas du rouge, qui est probablement le mieux traité, il explique que c’est la couleur du sang et du Christ. L’article de Patrizia </w:t>
      </w:r>
      <w:proofErr w:type="spellStart"/>
      <w:r w:rsidR="00124AAF" w:rsidRPr="00FE61B7">
        <w:t>Carmassi</w:t>
      </w:r>
      <w:proofErr w:type="spellEnd"/>
      <w:r w:rsidR="00124AAF" w:rsidRPr="00FE61B7">
        <w:t xml:space="preserve"> « </w:t>
      </w:r>
      <w:proofErr w:type="spellStart"/>
      <w:r w:rsidR="00124AAF" w:rsidRPr="00FE61B7">
        <w:t>Purpurism</w:t>
      </w:r>
      <w:proofErr w:type="spellEnd"/>
      <w:r w:rsidR="00124AAF" w:rsidRPr="00FE61B7">
        <w:t xml:space="preserve"> in </w:t>
      </w:r>
      <w:proofErr w:type="spellStart"/>
      <w:r w:rsidR="00124AAF" w:rsidRPr="00FE61B7">
        <w:t>martyrio</w:t>
      </w:r>
      <w:proofErr w:type="spellEnd"/>
      <w:r w:rsidR="00124AAF" w:rsidRPr="00FE61B7">
        <w:t xml:space="preserve"> : Die </w:t>
      </w:r>
      <w:proofErr w:type="spellStart"/>
      <w:r w:rsidR="00124AAF" w:rsidRPr="00FE61B7">
        <w:t>Farbe</w:t>
      </w:r>
      <w:proofErr w:type="spellEnd"/>
      <w:r w:rsidR="00124AAF" w:rsidRPr="00FE61B7">
        <w:t xml:space="preserve"> des Blutes in </w:t>
      </w:r>
      <w:proofErr w:type="spellStart"/>
      <w:r w:rsidR="00124AAF" w:rsidRPr="00FE61B7">
        <w:t>mittelalterlichen</w:t>
      </w:r>
      <w:proofErr w:type="spellEnd"/>
      <w:r w:rsidR="00124AAF" w:rsidRPr="00FE61B7">
        <w:t xml:space="preserve"> </w:t>
      </w:r>
      <w:proofErr w:type="spellStart"/>
      <w:r w:rsidR="00124AAF" w:rsidRPr="00FE61B7">
        <w:t>Handschriften</w:t>
      </w:r>
      <w:proofErr w:type="spellEnd"/>
      <w:r w:rsidR="00124AAF" w:rsidRPr="00FE61B7">
        <w:t xml:space="preserve"> » le confirme d’ailleurs. En suivant la logique de cette historienne, on trouve également qu’il s’agit de la couleur du martyre. En général, elle veut donc dire force et courage qui sont des qualités attachées aux martyrs chrétiens. Mais, on traite moins bien l’aspect négatif de cette couleur associée au péché qui se retrouve d’ailleurs dans une des images étudiées pour ce travail. Pour le vert, il expose brillamment les hésitations envers l’utilisation de cette couleur à cause de la complexité à concevoir celle-ci tant en teinture qu’en peinture. D’où le fait qu’elle est associée à la chance et à la folie puisqu’il faut être soit chanceux ou fou pour la produire. Par contre, Pastoureau laisse totalement de côté l’aspect positif du vert lié à la vie et à la jeunesse. On confirmera cet aspect en étudiant la miniature des rois mages. Pire encore est le cas du bleu abordé dans un livre complet. Il y écrit que le bleu, foncé ou clair, est une couleur associée au deuil puisqu’il est très proche du noir du point vu chromatique des contemporains. Il s’agit d’un noir plus clair pour être plus précis. Pastoureau dit même que le bleu est devenu un nouveau contraire, avec le noir et blanc, au rouge. Je démontrerai plus tard mon désaccord avec cette affirmation à travers l’analyse de la miniature de la Vierge Marie et du Christ. Cette couleur fut popularisée principalement par l’énorme engouement envers la Vierge Marie de la part des chrétiens qui a été souvent habillée de bleu clair pendant la seconde moitié du Moyen Âge. Mais, il y a tellement plus à dire à propos du bleu. Par exemple, dans l’article d’Heather </w:t>
      </w:r>
      <w:proofErr w:type="spellStart"/>
      <w:r w:rsidR="00124AAF" w:rsidRPr="00FE61B7">
        <w:t>Pulliam</w:t>
      </w:r>
      <w:proofErr w:type="spellEnd"/>
      <w:r w:rsidR="00124AAF" w:rsidRPr="00FE61B7">
        <w:t xml:space="preserve"> « </w:t>
      </w:r>
      <w:proofErr w:type="spellStart"/>
      <w:r w:rsidR="00124AAF" w:rsidRPr="00FE61B7">
        <w:t>Color</w:t>
      </w:r>
      <w:proofErr w:type="spellEnd"/>
      <w:r w:rsidR="00124AAF" w:rsidRPr="00FE61B7">
        <w:t xml:space="preserve"> », elle explique que le bleu est représentatif des Évangiles après avoir étudié des représentations des évangélistes dans les </w:t>
      </w:r>
      <w:r w:rsidR="00124AAF" w:rsidRPr="00FE61B7">
        <w:rPr>
          <w:i/>
        </w:rPr>
        <w:t xml:space="preserve">Évangiles de </w:t>
      </w:r>
      <w:proofErr w:type="spellStart"/>
      <w:r w:rsidR="00124AAF" w:rsidRPr="00FE61B7">
        <w:rPr>
          <w:i/>
        </w:rPr>
        <w:t>Lindisfarne</w:t>
      </w:r>
      <w:proofErr w:type="spellEnd"/>
      <w:r w:rsidR="00124AAF" w:rsidRPr="00FE61B7">
        <w:t xml:space="preserve">. Pour le jaune, il est assez clair qu’il est lié, positivement et négativement, à l’or selon Pastoureau. Du côté positif, il représente </w:t>
      </w:r>
      <w:r w:rsidR="00124AAF" w:rsidRPr="00FE61B7">
        <w:lastRenderedPageBreak/>
        <w:t xml:space="preserve">la lumière et la majesté divine. Du côté négatif, il est lié à l’avarice. Alors, tout dépendamment de l’acceptation ou non de la richesse de l’Église, les gens au Moyen Âge pencheront pour l’une ou pour l’autre symbolique. Il symbolise également, avec l’orange, les feux de l’enfer. On évite donc de le porter, car il est également trop voyant et on le laisse généralement, avec le vert, au fou. </w:t>
      </w:r>
      <w:r w:rsidR="00CA75C5">
        <w:t>Toutefois</w:t>
      </w:r>
      <w:r w:rsidR="00124AAF" w:rsidRPr="00FE61B7">
        <w:t>, on ne se privait pas d’utiliser l’or et le jaune dans les manuscrits enluminés comme on peut le voir dans la plupart des documents de l’époque.</w:t>
      </w:r>
    </w:p>
    <w:p w:rsidR="00D35966" w:rsidRPr="00FE61B7" w:rsidRDefault="00D35966" w:rsidP="00F04FC5">
      <w:pPr>
        <w:pStyle w:val="Titre2"/>
        <w:spacing w:line="360" w:lineRule="auto"/>
        <w:jc w:val="both"/>
        <w:rPr>
          <w:rFonts w:ascii="Times New Roman" w:hAnsi="Times New Roman" w:cs="Times New Roman"/>
          <w:color w:val="auto"/>
          <w:sz w:val="24"/>
          <w:szCs w:val="24"/>
        </w:rPr>
      </w:pPr>
      <w:bookmarkStart w:id="7" w:name="_Toc401478189"/>
      <w:r w:rsidRPr="00FE61B7">
        <w:rPr>
          <w:rFonts w:ascii="Times New Roman" w:hAnsi="Times New Roman" w:cs="Times New Roman"/>
          <w:color w:val="auto"/>
          <w:sz w:val="24"/>
          <w:szCs w:val="24"/>
        </w:rPr>
        <w:t>Livres d’Heures</w:t>
      </w:r>
      <w:r w:rsidR="00DC4F55" w:rsidRPr="00FE61B7">
        <w:rPr>
          <w:rFonts w:ascii="Times New Roman" w:hAnsi="Times New Roman" w:cs="Times New Roman"/>
          <w:color w:val="auto"/>
          <w:sz w:val="24"/>
          <w:szCs w:val="24"/>
        </w:rPr>
        <w:t xml:space="preserve"> et ses éléments</w:t>
      </w:r>
      <w:bookmarkEnd w:id="7"/>
    </w:p>
    <w:p w:rsidR="002C7E78" w:rsidRPr="00FE61B7" w:rsidRDefault="00D516D1" w:rsidP="00F04FC5">
      <w:pPr>
        <w:pStyle w:val="Titre3"/>
        <w:spacing w:line="360" w:lineRule="auto"/>
        <w:jc w:val="both"/>
        <w:rPr>
          <w:rStyle w:val="apple-style-span"/>
          <w:rFonts w:ascii="Times New Roman" w:hAnsi="Times New Roman" w:cs="Times New Roman"/>
          <w:b w:val="0"/>
          <w:i/>
          <w:color w:val="auto"/>
          <w:u w:val="single"/>
        </w:rPr>
      </w:pPr>
      <w:bookmarkStart w:id="8" w:name="_Toc401478190"/>
      <w:bookmarkStart w:id="9" w:name="_Toc289111968"/>
      <w:r w:rsidRPr="00FE61B7">
        <w:rPr>
          <w:rStyle w:val="apple-style-span"/>
          <w:rFonts w:ascii="Times New Roman" w:hAnsi="Times New Roman" w:cs="Times New Roman"/>
          <w:b w:val="0"/>
          <w:i/>
          <w:color w:val="auto"/>
          <w:u w:val="single"/>
        </w:rPr>
        <w:t>Contexte de création</w:t>
      </w:r>
      <w:bookmarkEnd w:id="8"/>
    </w:p>
    <w:p w:rsidR="002C7E78" w:rsidRPr="00FE61B7" w:rsidRDefault="001148AB" w:rsidP="00F04FC5">
      <w:pPr>
        <w:spacing w:line="360" w:lineRule="auto"/>
        <w:ind w:firstLine="708"/>
        <w:jc w:val="both"/>
        <w:rPr>
          <w:rStyle w:val="apple-style-span"/>
        </w:rPr>
      </w:pPr>
      <w:r w:rsidRPr="00FE61B7">
        <w:t>Tout d’abord, il faut comprendre le contexte historique dans lequel les livres d’Heures ont vu le jour. Dans le chapitre sur l’iconographie, nous avons vu que l’image est devenu</w:t>
      </w:r>
      <w:r w:rsidR="002726FC" w:rsidRPr="00FE61B7">
        <w:t>e</w:t>
      </w:r>
      <w:r w:rsidRPr="00FE61B7">
        <w:t xml:space="preserve"> nécessaire pour mieux encadrer les chrétiens</w:t>
      </w:r>
      <w:r w:rsidR="00ED5C7D" w:rsidRPr="00FE61B7">
        <w:t xml:space="preserve"> et encourager des actes de piété</w:t>
      </w:r>
      <w:r w:rsidRPr="00FE61B7">
        <w:t xml:space="preserve">. </w:t>
      </w:r>
      <w:r w:rsidR="00ED5C7D" w:rsidRPr="00FE61B7">
        <w:t>Sur ce point, l’Église a bien réussi son coup non seulement avec l’acceptation de l’image</w:t>
      </w:r>
      <w:r w:rsidR="002726FC" w:rsidRPr="00FE61B7">
        <w:t>,</w:t>
      </w:r>
      <w:r w:rsidR="00ED5C7D" w:rsidRPr="00FE61B7">
        <w:t xml:space="preserve"> mais, aussi, avec bien d’autres initiatives. Elle </w:t>
      </w:r>
      <w:r w:rsidR="00077FEC">
        <w:t>est</w:t>
      </w:r>
      <w:r w:rsidR="00ED5C7D" w:rsidRPr="00FE61B7">
        <w:t xml:space="preserve"> tellement bien </w:t>
      </w:r>
      <w:r w:rsidR="006B12E7" w:rsidRPr="00FE61B7">
        <w:t>parvenu</w:t>
      </w:r>
      <w:r w:rsidR="00077FEC">
        <w:t>e</w:t>
      </w:r>
      <w:r w:rsidR="00ED5C7D" w:rsidRPr="00FE61B7">
        <w:t xml:space="preserve"> </w:t>
      </w:r>
      <w:r w:rsidR="006B12E7" w:rsidRPr="00FE61B7">
        <w:t xml:space="preserve">à ses fins </w:t>
      </w:r>
      <w:r w:rsidR="00ED5C7D" w:rsidRPr="00FE61B7">
        <w:t>qu’il s’est développé une véritable religiosité laïque pendant la seconde moitié du Moyen Âge</w:t>
      </w:r>
      <w:r w:rsidR="006B12E7" w:rsidRPr="00FE61B7">
        <w:t xml:space="preserve"> tout en essayant de superviser le tout</w:t>
      </w:r>
      <w:r w:rsidR="00ED5C7D" w:rsidRPr="00FE61B7">
        <w:t xml:space="preserve">. </w:t>
      </w:r>
      <w:r w:rsidRPr="00FE61B7">
        <w:t>Au début, « Dans l’organisation de la société chrétienne, après le XI</w:t>
      </w:r>
      <w:r w:rsidRPr="00FE61B7">
        <w:rPr>
          <w:vertAlign w:val="superscript"/>
        </w:rPr>
        <w:t>e</w:t>
      </w:r>
      <w:r w:rsidRPr="00FE61B7">
        <w:t xml:space="preserve"> siècle surtout, deux caractères étaient particulièrement bien marqués : la subordination des laïcs ― les collectivités comme les individus ― à l’autorité des clercs et la concentration des pouvoirs, à l’intérieur de l’appareil ecclésiastique, au profit du souverain pontife »</w:t>
      </w:r>
      <w:r w:rsidRPr="00FE61B7">
        <w:rPr>
          <w:rStyle w:val="Appelnotedebasdep"/>
        </w:rPr>
        <w:footnoteReference w:id="25"/>
      </w:r>
      <w:r w:rsidR="006B12E7" w:rsidRPr="00FE61B7">
        <w:t>. L</w:t>
      </w:r>
      <w:r w:rsidRPr="00FE61B7">
        <w:t>e développement de la religiosité</w:t>
      </w:r>
      <w:r w:rsidR="00B90B87" w:rsidRPr="00FE61B7">
        <w:t xml:space="preserve"> laïque s’est surtout effectué</w:t>
      </w:r>
      <w:r w:rsidRPr="00FE61B7">
        <w:t xml:space="preserve"> d’après des transformations qui se sont réalisées dans la religion officielle dans son désir de subordonner les temporels </w:t>
      </w:r>
      <w:r w:rsidR="00B90B87" w:rsidRPr="00FE61B7">
        <w:t>pendant le Bas Moyen Âge</w:t>
      </w:r>
      <w:r w:rsidRPr="00FE61B7">
        <w:t xml:space="preserve">. </w:t>
      </w:r>
      <w:proofErr w:type="spellStart"/>
      <w:r w:rsidRPr="00AC0AF7">
        <w:rPr>
          <w:lang w:val="en-CA"/>
        </w:rPr>
        <w:t>En</w:t>
      </w:r>
      <w:proofErr w:type="spellEnd"/>
      <w:r w:rsidRPr="00AC0AF7">
        <w:rPr>
          <w:lang w:val="en-CA"/>
        </w:rPr>
        <w:t xml:space="preserve"> </w:t>
      </w:r>
      <w:proofErr w:type="spellStart"/>
      <w:r w:rsidRPr="00AC0AF7">
        <w:rPr>
          <w:lang w:val="en-CA"/>
        </w:rPr>
        <w:t>effet</w:t>
      </w:r>
      <w:proofErr w:type="spellEnd"/>
      <w:r w:rsidRPr="00AC0AF7">
        <w:rPr>
          <w:lang w:val="en-CA"/>
        </w:rPr>
        <w:t xml:space="preserve">, Margaret Aston </w:t>
      </w:r>
      <w:proofErr w:type="spellStart"/>
      <w:r w:rsidRPr="00AC0AF7">
        <w:rPr>
          <w:lang w:val="en-CA"/>
        </w:rPr>
        <w:t>appuie</w:t>
      </w:r>
      <w:proofErr w:type="spellEnd"/>
      <w:r w:rsidRPr="00AC0AF7">
        <w:rPr>
          <w:lang w:val="en-CA"/>
        </w:rPr>
        <w:t xml:space="preserve"> </w:t>
      </w:r>
      <w:proofErr w:type="spellStart"/>
      <w:r w:rsidRPr="00AC0AF7">
        <w:rPr>
          <w:lang w:val="en-CA"/>
        </w:rPr>
        <w:t>cette</w:t>
      </w:r>
      <w:proofErr w:type="spellEnd"/>
      <w:r w:rsidRPr="00AC0AF7">
        <w:rPr>
          <w:lang w:val="en-CA"/>
        </w:rPr>
        <w:t xml:space="preserve"> affirmation </w:t>
      </w:r>
      <w:proofErr w:type="spellStart"/>
      <w:r w:rsidRPr="00AC0AF7">
        <w:rPr>
          <w:lang w:val="en-CA"/>
        </w:rPr>
        <w:t>quand</w:t>
      </w:r>
      <w:proofErr w:type="spellEnd"/>
      <w:r w:rsidRPr="00AC0AF7">
        <w:rPr>
          <w:lang w:val="en-CA"/>
        </w:rPr>
        <w:t xml:space="preserve"> </w:t>
      </w:r>
      <w:proofErr w:type="spellStart"/>
      <w:r w:rsidRPr="00AC0AF7">
        <w:rPr>
          <w:lang w:val="en-CA"/>
        </w:rPr>
        <w:t>elle</w:t>
      </w:r>
      <w:proofErr w:type="spellEnd"/>
      <w:r w:rsidRPr="00AC0AF7">
        <w:rPr>
          <w:lang w:val="en-CA"/>
        </w:rPr>
        <w:t xml:space="preserve"> </w:t>
      </w:r>
      <w:proofErr w:type="spellStart"/>
      <w:proofErr w:type="gramStart"/>
      <w:r w:rsidRPr="00AC0AF7">
        <w:rPr>
          <w:lang w:val="en-CA"/>
        </w:rPr>
        <w:t>dit</w:t>
      </w:r>
      <w:proofErr w:type="spellEnd"/>
      <w:r w:rsidRPr="00AC0AF7">
        <w:rPr>
          <w:lang w:val="en-CA"/>
        </w:rPr>
        <w:t> :</w:t>
      </w:r>
      <w:proofErr w:type="gramEnd"/>
      <w:r w:rsidRPr="00AC0AF7">
        <w:rPr>
          <w:lang w:val="en-CA"/>
        </w:rPr>
        <w:t xml:space="preserve"> « While Christianity tended to become more and more clerical, lay society, in becoming more religious, generated an increasing number of spiritual initiatives »</w:t>
      </w:r>
      <w:r w:rsidRPr="00FE61B7">
        <w:rPr>
          <w:rStyle w:val="Appelnotedebasdep"/>
        </w:rPr>
        <w:footnoteReference w:id="26"/>
      </w:r>
      <w:r w:rsidRPr="00AC0AF7">
        <w:rPr>
          <w:lang w:val="en-CA"/>
        </w:rPr>
        <w:t xml:space="preserve">. </w:t>
      </w:r>
      <w:r w:rsidRPr="00FE61B7">
        <w:t>Par exemple, la réforme grégorienne n’a pas pu laisser les gens indifférents, malgré le fait qu’elle a pris du temps à</w:t>
      </w:r>
      <w:r w:rsidR="006B12E7" w:rsidRPr="00FE61B7">
        <w:t xml:space="preserve"> s’installer</w:t>
      </w:r>
      <w:r w:rsidRPr="00FE61B7">
        <w:t xml:space="preserve"> dans certaines régions chrétiennes. De même, la montée en popularité de l’abbaye de Cluny et, </w:t>
      </w:r>
      <w:r w:rsidR="00B90B87" w:rsidRPr="00FE61B7">
        <w:t xml:space="preserve">ensuite, de l’abbaye de Cîteaux, même si elle possède une tout autre philosophie que la précédente, </w:t>
      </w:r>
      <w:r w:rsidRPr="00FE61B7">
        <w:t xml:space="preserve">a aussi eu un grand impact sur les laïcs. Également, un des aspects importants dans l’évolution de la piété populaire a été la </w:t>
      </w:r>
      <w:r w:rsidRPr="00FE61B7">
        <w:lastRenderedPageBreak/>
        <w:t>création du mouvement des croisades par Urbain</w:t>
      </w:r>
      <w:r w:rsidR="004972DD" w:rsidRPr="00FE61B7">
        <w:t> </w:t>
      </w:r>
      <w:r w:rsidRPr="00FE61B7">
        <w:t>II. Ainsi, les clercs en appelaient aux laïcs pour aller libérer la Terre sainte. Quand on observe les différents types de personnes qui s’y sont rendus ou ont voulu s’y rendre, n’étant pas toujours des princes temporels, mais des simples paysans et des pauvres, on comprend à quel point la société du Moyen Âge était profondément religieuse. D’ailleurs, avec cette amplification de la spiritualité laïque, maint</w:t>
      </w:r>
      <w:r w:rsidR="00CA75C5">
        <w:t xml:space="preserve">es hérésies seront créées, mais </w:t>
      </w:r>
      <w:r w:rsidRPr="00FE61B7">
        <w:t>celles-ci n’étaient pas nécessairement contre la reli</w:t>
      </w:r>
      <w:r w:rsidR="006B12E7" w:rsidRPr="00FE61B7">
        <w:t>gion prescrite</w:t>
      </w:r>
      <w:r w:rsidR="00077FEC">
        <w:t>s</w:t>
      </w:r>
      <w:r w:rsidR="006B12E7" w:rsidRPr="00FE61B7">
        <w:t xml:space="preserve"> par les clercs. L</w:t>
      </w:r>
      <w:r w:rsidR="00B90B87" w:rsidRPr="00FE61B7">
        <w:t xml:space="preserve">es </w:t>
      </w:r>
      <w:r w:rsidR="00CA75C5">
        <w:t>«</w:t>
      </w:r>
      <w:r w:rsidR="00162703">
        <w:t> </w:t>
      </w:r>
      <w:r w:rsidR="00CA75C5">
        <w:t>hérétiques</w:t>
      </w:r>
      <w:r w:rsidR="00162703">
        <w:t> </w:t>
      </w:r>
      <w:r w:rsidR="00CA75C5">
        <w:t xml:space="preserve">» </w:t>
      </w:r>
      <w:r w:rsidR="006B12E7" w:rsidRPr="00FE61B7">
        <w:t>voulaient généralement</w:t>
      </w:r>
      <w:r w:rsidRPr="00FE61B7">
        <w:t xml:space="preserve"> améliorer leur spiritualité afin d’atteindre le paradis plus facilement que par les moyens fournis par l’</w:t>
      </w:r>
      <w:r w:rsidR="00B90B87" w:rsidRPr="00FE61B7">
        <w:t>Église</w:t>
      </w:r>
      <w:r w:rsidR="006B12E7" w:rsidRPr="00FE61B7">
        <w:t xml:space="preserve"> par un retour aux sources bibliques et aux valeurs morales d’antan</w:t>
      </w:r>
      <w:r w:rsidR="00B90B87" w:rsidRPr="00FE61B7">
        <w:t xml:space="preserve">. En général, </w:t>
      </w:r>
      <w:r w:rsidR="00CA75C5">
        <w:t>ceux-ci</w:t>
      </w:r>
      <w:r w:rsidRPr="00FE61B7">
        <w:t xml:space="preserve"> désiraient une désacralisation des endroits et des objets, une importance plus grande donnée aux valeurs morales, un retour aux Saintes Écritures et, ce qui est le plus essentiel, une plus grande importance du rôle donné aux laïcs en religion ainsi que la permission de pouvoir faire son propre culte privé. Ce qui a rendu ces mouvements </w:t>
      </w:r>
      <w:proofErr w:type="spellStart"/>
      <w:r w:rsidRPr="00FE61B7">
        <w:t>hyperchrétiens</w:t>
      </w:r>
      <w:proofErr w:type="spellEnd"/>
      <w:r w:rsidRPr="00FE61B7">
        <w:t xml:space="preserve"> des hérésies était la c</w:t>
      </w:r>
      <w:r w:rsidR="00CA75C5">
        <w:t xml:space="preserve">ritique qu’ils firent du clergé, </w:t>
      </w:r>
      <w:r w:rsidRPr="00FE61B7">
        <w:t xml:space="preserve">considéré corrompu par son engagement dans les affaires temporelles et son accumulation de richesses. Par exemple, nous pouvons penser aux patarins qui </w:t>
      </w:r>
      <w:r w:rsidR="006B12E7" w:rsidRPr="00FE61B7">
        <w:t xml:space="preserve">ont désapprouvé </w:t>
      </w:r>
      <w:r w:rsidRPr="00FE61B7">
        <w:t>sévèrement les comportements de l’Église en affirmant</w:t>
      </w:r>
      <w:r w:rsidR="00B90B87" w:rsidRPr="00FE61B7">
        <w:t xml:space="preserve"> </w:t>
      </w:r>
      <w:r w:rsidRPr="00FE61B7">
        <w:t xml:space="preserve">que les sacrements donnés par un prêtre indigne n’étaient pas valides. Après la création des patarins, des cathares, des </w:t>
      </w:r>
      <w:proofErr w:type="spellStart"/>
      <w:r w:rsidRPr="00FE61B7">
        <w:t>arnaldistes</w:t>
      </w:r>
      <w:proofErr w:type="spellEnd"/>
      <w:r w:rsidRPr="00FE61B7">
        <w:t xml:space="preserve">, des humiliés et </w:t>
      </w:r>
      <w:r w:rsidR="006B12E7" w:rsidRPr="00FE61B7">
        <w:t xml:space="preserve">des vaudois, l’Église a durci </w:t>
      </w:r>
      <w:r w:rsidRPr="00FE61B7">
        <w:t xml:space="preserve">ses positions en créant l’Inquisition, n’étant pas aussi sévère et cruelle qu’à l’époque moderne, pour des fins d’enquête. Tout de même, le clergé ne pouvait pas accuser tous ces chrétiens d’hérésies puisqu’ils </w:t>
      </w:r>
      <w:r w:rsidR="00B90B87" w:rsidRPr="00FE61B7">
        <w:t>n’</w:t>
      </w:r>
      <w:r w:rsidRPr="00FE61B7">
        <w:t xml:space="preserve">étaient </w:t>
      </w:r>
      <w:r w:rsidR="00B90B87" w:rsidRPr="00FE61B7">
        <w:t xml:space="preserve">pas toujours </w:t>
      </w:r>
      <w:r w:rsidRPr="00FE61B7">
        <w:t xml:space="preserve">contre l’ordre établi. </w:t>
      </w:r>
      <w:r w:rsidR="00B90B87" w:rsidRPr="00FE61B7">
        <w:t>L</w:t>
      </w:r>
      <w:r w:rsidRPr="00FE61B7">
        <w:t>e meilleur exemple qui peut être donné dans ce cas-ci est saint François d’Assise. Étant un fils d’un marchand aya</w:t>
      </w:r>
      <w:r w:rsidR="00CA75C5">
        <w:t xml:space="preserve">nt reçu l’illumination, le pape </w:t>
      </w:r>
      <w:r w:rsidRPr="00FE61B7">
        <w:t>Innocent</w:t>
      </w:r>
      <w:r w:rsidR="004972DD" w:rsidRPr="00FE61B7">
        <w:t> </w:t>
      </w:r>
      <w:r w:rsidR="00CA75C5">
        <w:t xml:space="preserve">III </w:t>
      </w:r>
      <w:r w:rsidRPr="00FE61B7">
        <w:t>a accepté d’officialiser la création de l’Ordre des frères mineurs. Or, avec la création des Ordres mendiants, nous remarquons le développement d’un aspect fondamental de la religion du Bas Moyen Âge qu</w:t>
      </w:r>
      <w:r w:rsidR="006B12E7" w:rsidRPr="00FE61B7">
        <w:t>i est la prédication. En effet</w:t>
      </w:r>
      <w:r w:rsidRPr="00FE61B7">
        <w:t xml:space="preserve">, les prédicateurs, étant de grands professionnels en la matière, </w:t>
      </w:r>
      <w:r w:rsidR="006B12E7" w:rsidRPr="00FE61B7">
        <w:t>ont fait</w:t>
      </w:r>
      <w:r w:rsidRPr="00FE61B7">
        <w:t xml:space="preserve"> appel aux sentiments religieux enfouis des Européens pour les convertir ou leur faire comprendre qu’ils étaient dans l’erreur. En réalité, André Vauchez affirme sur ce point</w:t>
      </w:r>
      <w:r w:rsidR="00B90B87" w:rsidRPr="00FE61B7">
        <w:t xml:space="preserve"> que</w:t>
      </w:r>
      <w:r w:rsidRPr="00FE61B7">
        <w:t> : « La diffusion de l’idéal apostolique par les chanoines, ainsi que l’influence des ermites et des prédicateurs errants qui propageaient dans leur sillage des thèmes évangéliques, ont contribué à faire naître chez les fidèles le désir de s’élever au niveau spirituel des clercs et de faire leur salut sans avoir renoncer à leur état »</w:t>
      </w:r>
      <w:r w:rsidRPr="00FE61B7">
        <w:rPr>
          <w:rStyle w:val="Appelnotedebasdep"/>
        </w:rPr>
        <w:footnoteReference w:id="27"/>
      </w:r>
      <w:r w:rsidRPr="00FE61B7">
        <w:t>.</w:t>
      </w:r>
      <w:r w:rsidR="006B12E7" w:rsidRPr="00FE61B7">
        <w:t xml:space="preserve"> T</w:t>
      </w:r>
      <w:r w:rsidRPr="00FE61B7">
        <w:t xml:space="preserve">ous ces changements dans la </w:t>
      </w:r>
      <w:r w:rsidRPr="00FE61B7">
        <w:lastRenderedPageBreak/>
        <w:t xml:space="preserve">vie religieuse des gens ont </w:t>
      </w:r>
      <w:r w:rsidR="006B12E7" w:rsidRPr="00FE61B7">
        <w:t xml:space="preserve">sans aucun doute </w:t>
      </w:r>
      <w:r w:rsidRPr="00FE61B7">
        <w:t>eu de grands impacts et l’assouplissement de plus en plus forcé du clergé par rapport au désir des laïcs d’avoir leur propre vie spirituelle a perm</w:t>
      </w:r>
      <w:r w:rsidR="006B12E7" w:rsidRPr="00FE61B7">
        <w:t>is la création du livre d’H</w:t>
      </w:r>
      <w:r w:rsidRPr="00FE61B7">
        <w:t>eures. Finalement, on peut conclure le point des initiatives laïques avec l’affirmation d’André Vauchez qui dit : « </w:t>
      </w:r>
      <w:r w:rsidRPr="00FE61B7">
        <w:rPr>
          <w:rStyle w:val="apple-style-span"/>
        </w:rPr>
        <w:t>Bloqués sur le plan ecclésiologique dans une situation d’infériorité structurelle, les laïcs compensèrent ce handicap par un surcroît d’inventivité qui se traduisit, aux</w:t>
      </w:r>
      <w:r w:rsidRPr="00FE61B7">
        <w:rPr>
          <w:rStyle w:val="apple-converted-space"/>
        </w:rPr>
        <w:t> </w:t>
      </w:r>
      <w:r w:rsidRPr="00FE61B7">
        <w:rPr>
          <w:rStyle w:val="petitecap"/>
          <w:caps/>
        </w:rPr>
        <w:t>XII</w:t>
      </w:r>
      <w:r w:rsidRPr="00FE61B7">
        <w:rPr>
          <w:rStyle w:val="sup"/>
          <w:vertAlign w:val="superscript"/>
        </w:rPr>
        <w:t>e</w:t>
      </w:r>
      <w:r w:rsidRPr="00FE61B7">
        <w:rPr>
          <w:rStyle w:val="apple-converted-space"/>
        </w:rPr>
        <w:t> </w:t>
      </w:r>
      <w:r w:rsidRPr="00FE61B7">
        <w:rPr>
          <w:rStyle w:val="apple-style-span"/>
        </w:rPr>
        <w:t xml:space="preserve">et </w:t>
      </w:r>
      <w:r w:rsidRPr="00FE61B7">
        <w:rPr>
          <w:rStyle w:val="petitecap"/>
          <w:caps/>
        </w:rPr>
        <w:t>XIII</w:t>
      </w:r>
      <w:r w:rsidRPr="00FE61B7">
        <w:rPr>
          <w:rStyle w:val="sup"/>
          <w:vertAlign w:val="superscript"/>
        </w:rPr>
        <w:t>e</w:t>
      </w:r>
      <w:r w:rsidRPr="00FE61B7">
        <w:rPr>
          <w:rStyle w:val="apple-converted-space"/>
        </w:rPr>
        <w:t> </w:t>
      </w:r>
      <w:r w:rsidRPr="00FE61B7">
        <w:rPr>
          <w:rStyle w:val="apple-style-span"/>
        </w:rPr>
        <w:t>siècles, par une floraison d’initiatives qui leur permirent de retrouver au niveau de la spiritualité vécue ce qu’ils avaient perdu en pouvoir et en liberté d’expression au sein de l’Église »</w:t>
      </w:r>
      <w:r w:rsidRPr="00FE61B7">
        <w:rPr>
          <w:rStyle w:val="Appelnotedebasdep"/>
        </w:rPr>
        <w:footnoteReference w:id="28"/>
      </w:r>
      <w:r w:rsidRPr="00FE61B7">
        <w:rPr>
          <w:rStyle w:val="apple-style-span"/>
        </w:rPr>
        <w:t>.</w:t>
      </w:r>
      <w:r w:rsidR="00B90B87" w:rsidRPr="00FE61B7">
        <w:rPr>
          <w:rStyle w:val="apple-style-span"/>
        </w:rPr>
        <w:t xml:space="preserve"> C’est justement dans ce contexte que vont naître les livres d’Heures.</w:t>
      </w:r>
    </w:p>
    <w:p w:rsidR="00400266" w:rsidRPr="00FE61B7" w:rsidRDefault="003C6608" w:rsidP="00F04FC5">
      <w:pPr>
        <w:spacing w:line="360" w:lineRule="auto"/>
        <w:ind w:firstLine="708"/>
        <w:jc w:val="both"/>
        <w:rPr>
          <w:rStyle w:val="apple-style-span"/>
        </w:rPr>
      </w:pPr>
      <w:r w:rsidRPr="00FE61B7">
        <w:rPr>
          <w:rStyle w:val="apple-style-span"/>
        </w:rPr>
        <w:t>Apparus au milieu du XIII</w:t>
      </w:r>
      <w:r w:rsidRPr="00FE61B7">
        <w:rPr>
          <w:rStyle w:val="apple-style-span"/>
          <w:vertAlign w:val="superscript"/>
        </w:rPr>
        <w:t>e</w:t>
      </w:r>
      <w:r w:rsidRPr="00FE61B7">
        <w:rPr>
          <w:rStyle w:val="apple-style-span"/>
        </w:rPr>
        <w:t xml:space="preserve"> siècle, ils deviennent un véritable best-seller surtout au</w:t>
      </w:r>
      <w:r w:rsidR="00077FEC">
        <w:rPr>
          <w:rStyle w:val="apple-style-span"/>
        </w:rPr>
        <w:t>x</w:t>
      </w:r>
      <w:r w:rsidRPr="00FE61B7">
        <w:rPr>
          <w:rStyle w:val="apple-style-span"/>
        </w:rPr>
        <w:t xml:space="preserve"> XV</w:t>
      </w:r>
      <w:r w:rsidRPr="00FE61B7">
        <w:rPr>
          <w:rStyle w:val="apple-style-span"/>
          <w:vertAlign w:val="superscript"/>
        </w:rPr>
        <w:t>e</w:t>
      </w:r>
      <w:r w:rsidRPr="00FE61B7">
        <w:rPr>
          <w:rStyle w:val="apple-style-span"/>
        </w:rPr>
        <w:t xml:space="preserve"> et XVI</w:t>
      </w:r>
      <w:r w:rsidRPr="00FE61B7">
        <w:rPr>
          <w:rStyle w:val="apple-style-span"/>
          <w:vertAlign w:val="superscript"/>
        </w:rPr>
        <w:t>e</w:t>
      </w:r>
      <w:r w:rsidRPr="00FE61B7">
        <w:rPr>
          <w:rStyle w:val="apple-style-span"/>
        </w:rPr>
        <w:t xml:space="preserve"> siècles. </w:t>
      </w:r>
      <w:r w:rsidRPr="00AC0AF7">
        <w:rPr>
          <w:rStyle w:val="apple-style-span"/>
          <w:lang w:val="en-CA"/>
        </w:rPr>
        <w:t>«</w:t>
      </w:r>
      <w:r w:rsidR="004972DD" w:rsidRPr="00AC0AF7">
        <w:rPr>
          <w:rStyle w:val="apple-style-span"/>
          <w:lang w:val="en-CA"/>
        </w:rPr>
        <w:t> </w:t>
      </w:r>
      <w:r w:rsidRPr="00AC0AF7">
        <w:rPr>
          <w:rStyle w:val="apple-style-span"/>
          <w:lang w:val="en-CA"/>
        </w:rPr>
        <w:t>From mid-thirteenth to the mid-sixteenth century, more Book of Hours were commissioned and produced, bought and sold, bequeathed and inherited, printed and reprinted than any other text, including the Bible</w:t>
      </w:r>
      <w:r w:rsidR="004972DD" w:rsidRPr="00AC0AF7">
        <w:rPr>
          <w:rStyle w:val="apple-style-span"/>
          <w:lang w:val="en-CA"/>
        </w:rPr>
        <w:t> </w:t>
      </w:r>
      <w:r w:rsidRPr="00AC0AF7">
        <w:rPr>
          <w:rStyle w:val="apple-style-span"/>
          <w:lang w:val="en-CA"/>
        </w:rPr>
        <w:t>»</w:t>
      </w:r>
      <w:r w:rsidRPr="00FE61B7">
        <w:rPr>
          <w:rStyle w:val="Appelnotedebasdep"/>
        </w:rPr>
        <w:footnoteReference w:id="29"/>
      </w:r>
      <w:r w:rsidRPr="00AC0AF7">
        <w:rPr>
          <w:rStyle w:val="apple-style-span"/>
          <w:lang w:val="en-CA"/>
        </w:rPr>
        <w:t xml:space="preserve">. </w:t>
      </w:r>
      <w:r w:rsidR="006B12E7" w:rsidRPr="00FE61B7">
        <w:rPr>
          <w:rStyle w:val="apple-style-span"/>
        </w:rPr>
        <w:t xml:space="preserve">Mais, </w:t>
      </w:r>
      <w:r w:rsidRPr="00FE61B7">
        <w:rPr>
          <w:rStyle w:val="apple-style-span"/>
        </w:rPr>
        <w:t>d’</w:t>
      </w:r>
      <w:r w:rsidR="006B12E7" w:rsidRPr="00FE61B7">
        <w:rPr>
          <w:rStyle w:val="apple-style-span"/>
        </w:rPr>
        <w:t>où viennent ces livres d’Heures?</w:t>
      </w:r>
      <w:r w:rsidRPr="00FE61B7">
        <w:rPr>
          <w:rStyle w:val="apple-style-span"/>
        </w:rPr>
        <w:t xml:space="preserve"> C’est Victor </w:t>
      </w:r>
      <w:proofErr w:type="spellStart"/>
      <w:r w:rsidRPr="00FE61B7">
        <w:rPr>
          <w:rStyle w:val="apple-style-span"/>
        </w:rPr>
        <w:t>Leroquais</w:t>
      </w:r>
      <w:proofErr w:type="spellEnd"/>
      <w:r w:rsidRPr="00FE61B7">
        <w:rPr>
          <w:rStyle w:val="apple-style-span"/>
        </w:rPr>
        <w:t xml:space="preserve"> qui nous apporte la réponse lorsqu’il écrit </w:t>
      </w:r>
      <w:r w:rsidR="00CA75C5">
        <w:rPr>
          <w:rStyle w:val="apple-style-span"/>
        </w:rPr>
        <w:t>à propos du bréviaire</w:t>
      </w:r>
      <w:r w:rsidR="00162703">
        <w:rPr>
          <w:rStyle w:val="apple-style-span"/>
        </w:rPr>
        <w:t> </w:t>
      </w:r>
      <w:r w:rsidRPr="00FE61B7">
        <w:rPr>
          <w:rStyle w:val="apple-style-span"/>
        </w:rPr>
        <w:t>:</w:t>
      </w:r>
    </w:p>
    <w:p w:rsidR="003C6608" w:rsidRPr="00FE61B7" w:rsidRDefault="003C6608" w:rsidP="00F04FC5">
      <w:pPr>
        <w:spacing w:line="360" w:lineRule="auto"/>
        <w:ind w:left="1134" w:right="1134"/>
        <w:jc w:val="both"/>
        <w:rPr>
          <w:rStyle w:val="apple-style-span"/>
          <w:sz w:val="20"/>
          <w:szCs w:val="20"/>
        </w:rPr>
      </w:pPr>
      <w:r w:rsidRPr="00FE61B7">
        <w:rPr>
          <w:rStyle w:val="apple-style-span"/>
          <w:sz w:val="20"/>
          <w:szCs w:val="20"/>
        </w:rPr>
        <w:t>L’erreur la plus fréquente consiste à confondre le bréviaire avec le livre d’Heures. […] Le bréviaire est le livre qui contient l’office divin. Il se compose du calendrier</w:t>
      </w:r>
      <w:r w:rsidR="0031021E" w:rsidRPr="00FE61B7">
        <w:rPr>
          <w:rStyle w:val="apple-style-span"/>
          <w:sz w:val="20"/>
          <w:szCs w:val="20"/>
        </w:rPr>
        <w:t>, de psaumes, d’hymnes, de lectures tiré</w:t>
      </w:r>
      <w:r w:rsidR="002726FC" w:rsidRPr="00FE61B7">
        <w:rPr>
          <w:rStyle w:val="apple-style-span"/>
          <w:sz w:val="20"/>
          <w:szCs w:val="20"/>
        </w:rPr>
        <w:t>e</w:t>
      </w:r>
      <w:r w:rsidR="0031021E" w:rsidRPr="00FE61B7">
        <w:rPr>
          <w:rStyle w:val="apple-style-span"/>
          <w:sz w:val="20"/>
          <w:szCs w:val="20"/>
        </w:rPr>
        <w:t>s de la Bible, de la vie des saints ou des écrits des Pères, et enfin d’oraisons, de bénédictions et de formules de prière. Le texte en est établi par l’Église elle-même, édité par elle avec un soin exact, contrôlé, ou, s’il y a lieu, révisé par elle : c’est le livre officiel de la prière liturgique. […] Bien différent est le livre d’Heures. Tout en se rattachant au bréviaire comme à sa source, tout en lui empruntant ses principaux éléments</w:t>
      </w:r>
      <w:r w:rsidR="0031021E" w:rsidRPr="00FE61B7">
        <w:rPr>
          <w:rStyle w:val="Appelnotedebasdep"/>
          <w:sz w:val="20"/>
          <w:szCs w:val="20"/>
        </w:rPr>
        <w:footnoteReference w:id="30"/>
      </w:r>
      <w:r w:rsidR="0031021E" w:rsidRPr="00FE61B7">
        <w:rPr>
          <w:rStyle w:val="apple-style-span"/>
          <w:sz w:val="20"/>
          <w:szCs w:val="20"/>
        </w:rPr>
        <w:t>.</w:t>
      </w:r>
    </w:p>
    <w:p w:rsidR="00123B26" w:rsidRPr="00FE61B7" w:rsidRDefault="00CA75C5" w:rsidP="00F04FC5">
      <w:pPr>
        <w:spacing w:line="360" w:lineRule="auto"/>
        <w:jc w:val="both"/>
        <w:rPr>
          <w:rStyle w:val="apple-style-span"/>
        </w:rPr>
      </w:pPr>
      <w:r>
        <w:rPr>
          <w:rStyle w:val="apple-style-span"/>
        </w:rPr>
        <w:t>Par contre, le bréviaire ne pouvai</w:t>
      </w:r>
      <w:r w:rsidR="0031021E" w:rsidRPr="00FE61B7">
        <w:rPr>
          <w:rStyle w:val="apple-style-span"/>
        </w:rPr>
        <w:t>t être utilisé dans le cadre d’un acte de dévotion privée. C’était tout de même un énorme livre dont on faisait principalement l’usage dans les cérémonies officielles et publiques.</w:t>
      </w:r>
      <w:r w:rsidR="00123B26" w:rsidRPr="00FE61B7">
        <w:rPr>
          <w:rStyle w:val="apple-style-span"/>
        </w:rPr>
        <w:t xml:space="preserve"> Nous avons justement vu dans le précédent paragraphe que les actes de piété personnels étaient en forte augmentation. Les gens ont commencé à utiliser différents moyens pour prier, incluant les livres de prières, dans leur quotidien, mais comme on ne pouvait </w:t>
      </w:r>
      <w:r w:rsidR="00123B26" w:rsidRPr="00FE61B7">
        <w:rPr>
          <w:rStyle w:val="apple-style-span"/>
        </w:rPr>
        <w:lastRenderedPageBreak/>
        <w:t>pas amener un bréviaire à la maison, une série de personnes sur le long terme a décidé de miniaturiser ce dernier permettant ainsi une meilleure portabilité du document.</w:t>
      </w:r>
      <w:r>
        <w:rPr>
          <w:rStyle w:val="apple-style-span"/>
        </w:rPr>
        <w:t xml:space="preserve"> Toutefois, ce </w:t>
      </w:r>
      <w:r w:rsidR="00123B26" w:rsidRPr="00FE61B7">
        <w:rPr>
          <w:rStyle w:val="apple-style-span"/>
        </w:rPr>
        <w:t>n’est pas tout le monde aux XIII</w:t>
      </w:r>
      <w:r w:rsidR="00123B26" w:rsidRPr="00FE61B7">
        <w:rPr>
          <w:rStyle w:val="apple-style-span"/>
          <w:vertAlign w:val="superscript"/>
        </w:rPr>
        <w:t>e</w:t>
      </w:r>
      <w:r w:rsidR="00123B26" w:rsidRPr="00FE61B7">
        <w:rPr>
          <w:rStyle w:val="apple-style-span"/>
        </w:rPr>
        <w:t xml:space="preserve"> et XIV</w:t>
      </w:r>
      <w:r w:rsidR="00123B26" w:rsidRPr="00FE61B7">
        <w:rPr>
          <w:rStyle w:val="apple-style-span"/>
          <w:vertAlign w:val="superscript"/>
        </w:rPr>
        <w:t>e</w:t>
      </w:r>
      <w:r w:rsidR="00123B26" w:rsidRPr="00FE61B7">
        <w:rPr>
          <w:rStyle w:val="apple-style-span"/>
        </w:rPr>
        <w:t xml:space="preserve"> siècles qui pouvait s’acheter un livre d’Heures et il n’était pas commandé nécessairement pour les raisons évoquées dernièrement ici.</w:t>
      </w:r>
    </w:p>
    <w:p w:rsidR="00D516D1" w:rsidRPr="00FE61B7" w:rsidRDefault="00582F4F" w:rsidP="00F04FC5">
      <w:pPr>
        <w:pStyle w:val="Titre3"/>
        <w:spacing w:line="360" w:lineRule="auto"/>
        <w:jc w:val="both"/>
        <w:rPr>
          <w:rFonts w:ascii="Times New Roman" w:hAnsi="Times New Roman" w:cs="Times New Roman"/>
          <w:b w:val="0"/>
          <w:i/>
          <w:color w:val="auto"/>
          <w:u w:val="single"/>
        </w:rPr>
      </w:pPr>
      <w:bookmarkStart w:id="10" w:name="_Toc401478191"/>
      <w:r>
        <w:rPr>
          <w:rFonts w:ascii="Times New Roman" w:hAnsi="Times New Roman" w:cs="Times New Roman"/>
          <w:b w:val="0"/>
          <w:i/>
          <w:color w:val="auto"/>
          <w:u w:val="single"/>
        </w:rPr>
        <w:t>Le livre d’Heures et ses aspects</w:t>
      </w:r>
      <w:bookmarkEnd w:id="10"/>
    </w:p>
    <w:p w:rsidR="00F9015D" w:rsidRPr="00FE61B7" w:rsidRDefault="00CA75C5" w:rsidP="00F04FC5">
      <w:pPr>
        <w:spacing w:line="360" w:lineRule="auto"/>
        <w:ind w:firstLine="708"/>
        <w:jc w:val="both"/>
      </w:pPr>
      <w:r>
        <w:t>Les livres d’H</w:t>
      </w:r>
      <w:r w:rsidR="00123B26" w:rsidRPr="00FE61B7">
        <w:t>eures étaient surtout commandés par l’élite du monde laï</w:t>
      </w:r>
      <w:r w:rsidR="002726FC" w:rsidRPr="00FE61B7">
        <w:t>que</w:t>
      </w:r>
      <w:r w:rsidR="00123B26" w:rsidRPr="00FE61B7">
        <w:t xml:space="preserve"> pendant cette période</w:t>
      </w:r>
      <w:r w:rsidR="00D516D1" w:rsidRPr="00FE61B7">
        <w:t>. Celle-ci pouvai</w:t>
      </w:r>
      <w:r w:rsidR="00123B26" w:rsidRPr="00FE61B7">
        <w:t xml:space="preserve">t </w:t>
      </w:r>
      <w:r w:rsidR="00D516D1" w:rsidRPr="00FE61B7">
        <w:t xml:space="preserve">ainsi </w:t>
      </w:r>
      <w:r w:rsidR="00123B26" w:rsidRPr="00FE61B7">
        <w:t>faire des demandes spéciales afin de personnaliser le livre qu’il</w:t>
      </w:r>
      <w:r w:rsidR="00573836" w:rsidRPr="00FE61B7">
        <w:t>s allaient recevoir. N</w:t>
      </w:r>
      <w:r w:rsidR="00123B26" w:rsidRPr="00FE61B7">
        <w:t>ous remarquons qu’une véritable chaîne de montage a été créée dans le but de satisfaire chacune des demandes du</w:t>
      </w:r>
      <w:r w:rsidR="00573836" w:rsidRPr="00FE61B7">
        <w:t xml:space="preserve"> futur possesseur d’un livre d’H</w:t>
      </w:r>
      <w:r w:rsidR="00123B26" w:rsidRPr="00FE61B7">
        <w:t xml:space="preserve">eures. </w:t>
      </w:r>
      <w:r w:rsidR="00D516D1" w:rsidRPr="00FE61B7">
        <w:t xml:space="preserve">Ces </w:t>
      </w:r>
      <w:r w:rsidR="00123B26" w:rsidRPr="00FE61B7">
        <w:t xml:space="preserve">demandes extrêmement coûteuses n’avaient </w:t>
      </w:r>
      <w:r w:rsidR="00D516D1" w:rsidRPr="00FE61B7">
        <w:t xml:space="preserve">cependant </w:t>
      </w:r>
      <w:r w:rsidR="00123B26" w:rsidRPr="00FE61B7">
        <w:t>pas toujours pour but principal d’améliorer la méditation religieuse des gens puisqu’il était plutôt question de posséder le plus beau liv</w:t>
      </w:r>
      <w:r>
        <w:t>re</w:t>
      </w:r>
      <w:r w:rsidR="00573836" w:rsidRPr="00FE61B7">
        <w:t>. Le livre d’H</w:t>
      </w:r>
      <w:r w:rsidR="00123B26" w:rsidRPr="00FE61B7">
        <w:t xml:space="preserve">eures a été </w:t>
      </w:r>
      <w:r w:rsidR="00573836" w:rsidRPr="00FE61B7">
        <w:t xml:space="preserve">ainsi </w:t>
      </w:r>
      <w:r w:rsidR="00123B26" w:rsidRPr="00FE61B7">
        <w:t xml:space="preserve">beaucoup plus utilisé pour démontrer le prestige personnel du possesseur qu’à des fins religieuses. </w:t>
      </w:r>
      <w:proofErr w:type="spellStart"/>
      <w:r w:rsidR="00123B26" w:rsidRPr="00AC0AF7">
        <w:rPr>
          <w:lang w:val="en-CA"/>
        </w:rPr>
        <w:t>Eamon</w:t>
      </w:r>
      <w:proofErr w:type="spellEnd"/>
      <w:r w:rsidR="00123B26" w:rsidRPr="00AC0AF7">
        <w:rPr>
          <w:lang w:val="en-CA"/>
        </w:rPr>
        <w:t xml:space="preserve"> Duffy </w:t>
      </w:r>
      <w:proofErr w:type="spellStart"/>
      <w:r w:rsidR="00123B26" w:rsidRPr="00AC0AF7">
        <w:rPr>
          <w:lang w:val="en-CA"/>
        </w:rPr>
        <w:t>approuve</w:t>
      </w:r>
      <w:proofErr w:type="spellEnd"/>
      <w:r w:rsidR="00123B26" w:rsidRPr="00AC0AF7">
        <w:rPr>
          <w:lang w:val="en-CA"/>
        </w:rPr>
        <w:t xml:space="preserve"> </w:t>
      </w:r>
      <w:proofErr w:type="spellStart"/>
      <w:r w:rsidR="00123B26" w:rsidRPr="00AC0AF7">
        <w:rPr>
          <w:lang w:val="en-CA"/>
        </w:rPr>
        <w:t>cette</w:t>
      </w:r>
      <w:proofErr w:type="spellEnd"/>
      <w:r w:rsidR="00123B26" w:rsidRPr="00AC0AF7">
        <w:rPr>
          <w:lang w:val="en-CA"/>
        </w:rPr>
        <w:t xml:space="preserve"> affirmation </w:t>
      </w:r>
      <w:proofErr w:type="spellStart"/>
      <w:r w:rsidR="00123B26" w:rsidRPr="00AC0AF7">
        <w:rPr>
          <w:lang w:val="en-CA"/>
        </w:rPr>
        <w:t>quand</w:t>
      </w:r>
      <w:proofErr w:type="spellEnd"/>
      <w:r w:rsidR="00123B26" w:rsidRPr="00AC0AF7">
        <w:rPr>
          <w:lang w:val="en-CA"/>
        </w:rPr>
        <w:t xml:space="preserve"> </w:t>
      </w:r>
      <w:proofErr w:type="spellStart"/>
      <w:r w:rsidR="00123B26" w:rsidRPr="00AC0AF7">
        <w:rPr>
          <w:lang w:val="en-CA"/>
        </w:rPr>
        <w:t>il</w:t>
      </w:r>
      <w:proofErr w:type="spellEnd"/>
      <w:r w:rsidR="00123B26" w:rsidRPr="00AC0AF7">
        <w:rPr>
          <w:lang w:val="en-CA"/>
        </w:rPr>
        <w:t xml:space="preserve"> </w:t>
      </w:r>
      <w:proofErr w:type="spellStart"/>
      <w:proofErr w:type="gramStart"/>
      <w:r w:rsidR="00123B26" w:rsidRPr="00AC0AF7">
        <w:rPr>
          <w:lang w:val="en-CA"/>
        </w:rPr>
        <w:t>dit</w:t>
      </w:r>
      <w:proofErr w:type="spellEnd"/>
      <w:r w:rsidR="00123B26" w:rsidRPr="00AC0AF7">
        <w:rPr>
          <w:lang w:val="en-CA"/>
        </w:rPr>
        <w:t> :</w:t>
      </w:r>
      <w:proofErr w:type="gramEnd"/>
      <w:r w:rsidR="00123B26" w:rsidRPr="00AC0AF7">
        <w:rPr>
          <w:lang w:val="en-CA"/>
        </w:rPr>
        <w:t xml:space="preserve"> « the presence of pictures, textual illumination and marginal decoration made such books enormously costly, and to begin with they certainly were the preserve of royalty and </w:t>
      </w:r>
      <w:proofErr w:type="spellStart"/>
      <w:r w:rsidR="00123B26" w:rsidRPr="00AC0AF7">
        <w:rPr>
          <w:lang w:val="en-CA"/>
        </w:rPr>
        <w:t>aristocraty</w:t>
      </w:r>
      <w:proofErr w:type="spellEnd"/>
      <w:r w:rsidR="00123B26" w:rsidRPr="00AC0AF7">
        <w:rPr>
          <w:lang w:val="en-CA"/>
        </w:rPr>
        <w:t xml:space="preserve">, or the wealthiest urban elite. </w:t>
      </w:r>
      <w:r w:rsidR="00123B26" w:rsidRPr="00FE61B7">
        <w:t xml:space="preserve">[…] </w:t>
      </w:r>
      <w:proofErr w:type="spellStart"/>
      <w:r w:rsidR="00123B26" w:rsidRPr="00FE61B7">
        <w:t>Here</w:t>
      </w:r>
      <w:proofErr w:type="spellEnd"/>
      <w:r w:rsidR="00123B26" w:rsidRPr="00FE61B7">
        <w:t xml:space="preserve"> </w:t>
      </w:r>
      <w:proofErr w:type="spellStart"/>
      <w:r w:rsidR="00123B26" w:rsidRPr="00FE61B7">
        <w:t>indeed</w:t>
      </w:r>
      <w:proofErr w:type="spellEnd"/>
      <w:r w:rsidR="00123B26" w:rsidRPr="00FE61B7">
        <w:t xml:space="preserve"> </w:t>
      </w:r>
      <w:proofErr w:type="spellStart"/>
      <w:r w:rsidR="00123B26" w:rsidRPr="00FE61B7">
        <w:t>was</w:t>
      </w:r>
      <w:proofErr w:type="spellEnd"/>
      <w:r w:rsidR="00123B26" w:rsidRPr="00FE61B7">
        <w:t xml:space="preserve"> a manifestation of social </w:t>
      </w:r>
      <w:proofErr w:type="spellStart"/>
      <w:r w:rsidR="00123B26" w:rsidRPr="00FE61B7">
        <w:t>elitism</w:t>
      </w:r>
      <w:proofErr w:type="spellEnd"/>
      <w:r w:rsidR="00123B26" w:rsidRPr="00FE61B7">
        <w:t> »</w:t>
      </w:r>
      <w:r w:rsidR="00123B26" w:rsidRPr="00FE61B7">
        <w:rPr>
          <w:rStyle w:val="Appelnotedebasdep"/>
        </w:rPr>
        <w:footnoteReference w:id="31"/>
      </w:r>
      <w:r w:rsidR="00123B26" w:rsidRPr="00FE61B7">
        <w:t xml:space="preserve"> et </w:t>
      </w:r>
      <w:r w:rsidR="00573836" w:rsidRPr="00FE61B7">
        <w:t>Albert Châtelet rajoute : « La possession d’un livre d’H</w:t>
      </w:r>
      <w:r w:rsidR="00123B26" w:rsidRPr="00FE61B7">
        <w:t>eures a probablement correspondu à une affirmation d’un rang et d’une responsabilité sociale »</w:t>
      </w:r>
      <w:r w:rsidR="00123B26" w:rsidRPr="00FE61B7">
        <w:rPr>
          <w:rStyle w:val="Appelnotedebasdep"/>
        </w:rPr>
        <w:footnoteReference w:id="32"/>
      </w:r>
      <w:r w:rsidR="00123B26" w:rsidRPr="00FE61B7">
        <w:t>. D’ailleurs, le</w:t>
      </w:r>
      <w:r w:rsidR="00D516D1" w:rsidRPr="00FE61B7">
        <w:t xml:space="preserve"> fait que beaucoup de livres d’H</w:t>
      </w:r>
      <w:r w:rsidR="00123B26" w:rsidRPr="00FE61B7">
        <w:t>eures, qui nous sont parvenus, sont dans une excellente co</w:t>
      </w:r>
      <w:r w:rsidR="00D516D1" w:rsidRPr="00FE61B7">
        <w:t>ndition démontre qu’ils ont</w:t>
      </w:r>
      <w:r w:rsidR="00123B26" w:rsidRPr="00FE61B7">
        <w:t xml:space="preserve"> </w:t>
      </w:r>
      <w:r w:rsidR="002726FC" w:rsidRPr="00FE61B7">
        <w:t xml:space="preserve">été </w:t>
      </w:r>
      <w:r w:rsidR="00123B26" w:rsidRPr="00FE61B7">
        <w:t>peu utilisé</w:t>
      </w:r>
      <w:r w:rsidR="00D516D1" w:rsidRPr="00FE61B7">
        <w:t>s</w:t>
      </w:r>
      <w:r w:rsidR="00123B26" w:rsidRPr="00FE61B7">
        <w:t xml:space="preserve">. </w:t>
      </w:r>
      <w:r w:rsidR="00D516D1" w:rsidRPr="00FE61B7">
        <w:t>I</w:t>
      </w:r>
      <w:r w:rsidR="00123B26" w:rsidRPr="00FE61B7">
        <w:t>l s’agissait d’une pratique courante des laïcs de démontrer leur puissance politique et économique. En réalité, dans les premiers temps du monachisme, beaucoup de princes ont désiré avoir la possession de certains monastères pour démontrer le prestige de leur famille et son attachement au développement de la vie religieuse en cloî</w:t>
      </w:r>
      <w:r w:rsidR="00D516D1" w:rsidRPr="00FE61B7">
        <w:t>tre. E</w:t>
      </w:r>
      <w:r w:rsidR="00123B26" w:rsidRPr="00FE61B7">
        <w:t xml:space="preserve">n encourageant la vie des moines, ceux-ci espéraient aussi obtenir une place au paradis en ayant protégé les enfants chéris de Dieu. Également, avec la création du mouvement des croisades, les laïcs ont trouvé une </w:t>
      </w:r>
      <w:r w:rsidR="00D516D1" w:rsidRPr="00FE61B7">
        <w:t>autre</w:t>
      </w:r>
      <w:r w:rsidR="00123B26" w:rsidRPr="00FE61B7">
        <w:t xml:space="preserve"> façon de démontrer une certaine piété personnelle en allant délivrer la Terre sainte des musulmans. Même si les possessions territoriales étaient un des principaux buts de ces premières conquêtes à la fin </w:t>
      </w:r>
      <w:r w:rsidR="00D516D1" w:rsidRPr="00FE61B7">
        <w:t>du XI</w:t>
      </w:r>
      <w:r w:rsidR="00123B26" w:rsidRPr="00FE61B7">
        <w:rPr>
          <w:vertAlign w:val="superscript"/>
        </w:rPr>
        <w:t>e</w:t>
      </w:r>
      <w:r w:rsidR="00123B26" w:rsidRPr="00FE61B7">
        <w:t xml:space="preserve"> siècle, les princes de la même lignée vont se donner le devoir de faire vœu de croisade </w:t>
      </w:r>
      <w:r w:rsidR="00123B26" w:rsidRPr="00FE61B7">
        <w:lastRenderedPageBreak/>
        <w:t>pour préserver le prestige acquis par la famille en croisade. De cette manière, jusqu’à la mort définitive de ce mouvement, on observe que plusieurs générations d’une même famille sont allées aider les conquêtes des États latins, de l’Espagne et des régions païen</w:t>
      </w:r>
      <w:r w:rsidR="00573836" w:rsidRPr="00FE61B7">
        <w:t>nes slaves. Quand les livres d’H</w:t>
      </w:r>
      <w:r w:rsidR="00123B26" w:rsidRPr="00FE61B7">
        <w:t>eures sont devenus beauc</w:t>
      </w:r>
      <w:r w:rsidR="00EF7E29">
        <w:t xml:space="preserve">oup plus accessibles, les gens </w:t>
      </w:r>
      <w:r w:rsidR="00123B26" w:rsidRPr="00FE61B7">
        <w:t xml:space="preserve">pouvaient montrer aux autres qu’ils avaient une </w:t>
      </w:r>
      <w:r w:rsidR="00D516D1" w:rsidRPr="00FE61B7">
        <w:t xml:space="preserve">vie religieuse </w:t>
      </w:r>
      <w:r w:rsidR="00EF7E29" w:rsidRPr="00FE61B7">
        <w:t xml:space="preserve">grâce à ceux-ci </w:t>
      </w:r>
      <w:r w:rsidR="00D516D1" w:rsidRPr="00FE61B7">
        <w:t>alors que, dans certains cas, c’était</w:t>
      </w:r>
      <w:r w:rsidR="00123B26" w:rsidRPr="00FE61B7">
        <w:t xml:space="preserve"> faux</w:t>
      </w:r>
      <w:r w:rsidR="00573836" w:rsidRPr="00FE61B7">
        <w:t xml:space="preserve"> et ces documents se sont transmis dans la famille par les héritages</w:t>
      </w:r>
      <w:r w:rsidR="00123B26" w:rsidRPr="00FE61B7">
        <w:t xml:space="preserve">. Bien sûr, il s’agit de suppositions et sûrement bien des gens ont suivi à la </w:t>
      </w:r>
      <w:r w:rsidR="00573836" w:rsidRPr="00FE61B7">
        <w:t>lettre le contenu des livres d’H</w:t>
      </w:r>
      <w:r w:rsidR="00123B26" w:rsidRPr="00FE61B7">
        <w:t>eures</w:t>
      </w:r>
      <w:r w:rsidR="00EF7E29">
        <w:t>. L</w:t>
      </w:r>
      <w:r w:rsidR="00123B26" w:rsidRPr="00FE61B7">
        <w:t xml:space="preserve">a condition actuelle </w:t>
      </w:r>
      <w:r w:rsidR="00D516D1" w:rsidRPr="00FE61B7">
        <w:t xml:space="preserve">de certains </w:t>
      </w:r>
      <w:r w:rsidR="00EF7E29">
        <w:t>livres d’Heures meilleur marché corrobore ce fait p</w:t>
      </w:r>
      <w:r w:rsidR="00F9015D" w:rsidRPr="00FE61B7">
        <w:t>uisque, en fin de compte, le type de document répondait à une certaine demande de la part des différents pratiquants.</w:t>
      </w:r>
    </w:p>
    <w:p w:rsidR="00F9015D" w:rsidRPr="00FE61B7" w:rsidRDefault="00F9015D" w:rsidP="00F04FC5">
      <w:pPr>
        <w:spacing w:line="360" w:lineRule="auto"/>
        <w:jc w:val="both"/>
      </w:pPr>
      <w:r w:rsidRPr="00FE61B7">
        <w:tab/>
        <w:t xml:space="preserve">Les laïcs désiraient depuis très longtemps avoir le droit de vivre une vie religieuse comme un clerc tout en vaquant à leurs occupations habituelles. Donc, le livre d’Heures répondait justement à cette </w:t>
      </w:r>
      <w:r w:rsidR="00582F4F" w:rsidRPr="00FE61B7">
        <w:t>requête</w:t>
      </w:r>
      <w:r w:rsidRPr="00FE61B7">
        <w:t xml:space="preserve"> des laïcs. Une des raisons qui a poussé ceux-ci à être indépendants religieusement par rappo</w:t>
      </w:r>
      <w:r w:rsidR="00EF7E29">
        <w:t xml:space="preserve">rt à l’Église était le fait qu’ils jugeaient que </w:t>
      </w:r>
      <w:r w:rsidRPr="00FE61B7">
        <w:t xml:space="preserve">certains membres de celle-ci étaient corrompus. En effet, le concubinage, même s’il n’était pas totalement condamné, la simonie et le nicolaïsme des clercs ont été beaucoup critiqués par certains membres du clergé et </w:t>
      </w:r>
      <w:r w:rsidR="00EF7E29">
        <w:t xml:space="preserve">des </w:t>
      </w:r>
      <w:r w:rsidRPr="00FE61B7">
        <w:t>laïcs puisque le message véhiculé par l’Église pour atteindre le paradis était qu’il fallait être irréprochable quand il venait le temps de comparaître devant Dieu. Dans la circonstance, il était nécessaire d’être chaste, pur et pauvre. Certes, les laïcs ne pouvaient</w:t>
      </w:r>
      <w:r w:rsidR="00EF7E29">
        <w:t xml:space="preserve"> pas mener la même vie qu’un religieux</w:t>
      </w:r>
      <w:r w:rsidRPr="00FE61B7">
        <w:t xml:space="preserve"> et ils ont trouvé des moyens détournés pour y arriver. Au XII</w:t>
      </w:r>
      <w:r w:rsidRPr="00FE61B7">
        <w:rPr>
          <w:vertAlign w:val="superscript"/>
        </w:rPr>
        <w:t>e</w:t>
      </w:r>
      <w:r w:rsidRPr="00FE61B7">
        <w:t xml:space="preserve"> si</w:t>
      </w:r>
      <w:r w:rsidR="00D408F0" w:rsidRPr="00FE61B7">
        <w:t>ècle, les princes temporels ont</w:t>
      </w:r>
      <w:r w:rsidRPr="00FE61B7">
        <w:t xml:space="preserve"> pendant toute leur vie, sur le</w:t>
      </w:r>
      <w:r w:rsidR="00D408F0" w:rsidRPr="00FE61B7">
        <w:t>ur lit de mort également, donné</w:t>
      </w:r>
      <w:r w:rsidRPr="00FE61B7">
        <w:t xml:space="preserve"> une certaine partie de leur richesse aux pauvres justement pour espérer pouvoir entrer au paradis. Aussi, les pèlerinages non armés ou les croisades </w:t>
      </w:r>
      <w:r w:rsidR="00D408F0" w:rsidRPr="00FE61B7">
        <w:t>ont été</w:t>
      </w:r>
      <w:r w:rsidRPr="00FE61B7">
        <w:t xml:space="preserve"> </w:t>
      </w:r>
      <w:r w:rsidR="00077FEC">
        <w:t xml:space="preserve">un </w:t>
      </w:r>
      <w:r w:rsidRPr="00FE61B7">
        <w:t xml:space="preserve">autre de ces moyens détournés pour être absous de certains péchés. D’autre part, les laïcs n’avaient pas toujours le droit de lire et de connaître la Bible qu’on considérait de toute façon </w:t>
      </w:r>
      <w:r w:rsidR="005F56DC">
        <w:t xml:space="preserve">comme </w:t>
      </w:r>
      <w:r w:rsidRPr="00FE61B7">
        <w:t>trop compliquée pour eux, mais, face à la demande croissante de la part de ceux-ci pour avoir un certain moyen de méditer, l’Église a fini par céder. De cette façon, d</w:t>
      </w:r>
      <w:r w:rsidR="00D408F0" w:rsidRPr="00FE61B7">
        <w:t>ès le XII</w:t>
      </w:r>
      <w:r w:rsidRPr="00FE61B7">
        <w:rPr>
          <w:vertAlign w:val="superscript"/>
        </w:rPr>
        <w:t>e</w:t>
      </w:r>
      <w:r w:rsidRPr="00FE61B7">
        <w:t xml:space="preserve"> siècle, « conscient que leur état ne les excluait pas a priori de la vie religieuse, de nombreux laïcs cherchèrent des formes de vie qui leur permettent de concilier les exigences d’une existence consacrée à Dieu et celles que leur imposait leur condition de chrétiens vivant </w:t>
      </w:r>
      <w:r w:rsidRPr="00FE61B7">
        <w:lastRenderedPageBreak/>
        <w:t>dans le monde »</w:t>
      </w:r>
      <w:r w:rsidRPr="00FE61B7">
        <w:rPr>
          <w:rStyle w:val="Appelnotedebasdep"/>
        </w:rPr>
        <w:footnoteReference w:id="33"/>
      </w:r>
      <w:r w:rsidRPr="00FE61B7">
        <w:t>. De ce fait, les livres d’Heures découlaient d’un désir des laïcs datant de plusieurs siècles.</w:t>
      </w:r>
    </w:p>
    <w:p w:rsidR="00123B26" w:rsidRPr="00FE61B7" w:rsidRDefault="00F9015D" w:rsidP="00F04FC5">
      <w:pPr>
        <w:spacing w:line="360" w:lineRule="auto"/>
        <w:jc w:val="both"/>
      </w:pPr>
      <w:r w:rsidRPr="00FE61B7">
        <w:tab/>
        <w:t xml:space="preserve">Toutefois, le temps n’était pas encore venu pour l’indépendance religieuse totale des laïcs puisque l’Église a gardé un certain contrôle sur ce qui était inclus dans les livres d’heures. </w:t>
      </w:r>
      <w:proofErr w:type="spellStart"/>
      <w:r w:rsidRPr="00AC0AF7">
        <w:rPr>
          <w:lang w:val="en-CA"/>
        </w:rPr>
        <w:t>En</w:t>
      </w:r>
      <w:proofErr w:type="spellEnd"/>
      <w:r w:rsidRPr="00AC0AF7">
        <w:rPr>
          <w:lang w:val="en-CA"/>
        </w:rPr>
        <w:t xml:space="preserve"> </w:t>
      </w:r>
      <w:proofErr w:type="spellStart"/>
      <w:r w:rsidRPr="00AC0AF7">
        <w:rPr>
          <w:lang w:val="en-CA"/>
        </w:rPr>
        <w:t>vérité</w:t>
      </w:r>
      <w:proofErr w:type="spellEnd"/>
      <w:r w:rsidRPr="00AC0AF7">
        <w:rPr>
          <w:lang w:val="en-CA"/>
        </w:rPr>
        <w:t xml:space="preserve">, Roger Wieck </w:t>
      </w:r>
      <w:proofErr w:type="spellStart"/>
      <w:r w:rsidRPr="00AC0AF7">
        <w:rPr>
          <w:lang w:val="en-CA"/>
        </w:rPr>
        <w:t>affirme</w:t>
      </w:r>
      <w:proofErr w:type="spellEnd"/>
      <w:r w:rsidRPr="00AC0AF7">
        <w:rPr>
          <w:lang w:val="en-CA"/>
        </w:rPr>
        <w:t xml:space="preserve"> </w:t>
      </w:r>
      <w:proofErr w:type="spellStart"/>
      <w:r w:rsidRPr="00AC0AF7">
        <w:rPr>
          <w:lang w:val="en-CA"/>
        </w:rPr>
        <w:t>sur</w:t>
      </w:r>
      <w:proofErr w:type="spellEnd"/>
      <w:r w:rsidRPr="00AC0AF7">
        <w:rPr>
          <w:lang w:val="en-CA"/>
        </w:rPr>
        <w:t xml:space="preserve"> </w:t>
      </w:r>
      <w:proofErr w:type="spellStart"/>
      <w:r w:rsidRPr="00AC0AF7">
        <w:rPr>
          <w:lang w:val="en-CA"/>
        </w:rPr>
        <w:t>ce</w:t>
      </w:r>
      <w:proofErr w:type="spellEnd"/>
      <w:r w:rsidRPr="00AC0AF7">
        <w:rPr>
          <w:lang w:val="en-CA"/>
        </w:rPr>
        <w:t xml:space="preserve"> </w:t>
      </w:r>
      <w:proofErr w:type="gramStart"/>
      <w:r w:rsidRPr="00AC0AF7">
        <w:rPr>
          <w:lang w:val="en-CA"/>
        </w:rPr>
        <w:t>point :</w:t>
      </w:r>
      <w:proofErr w:type="gramEnd"/>
      <w:r w:rsidRPr="00AC0AF7">
        <w:rPr>
          <w:lang w:val="en-CA"/>
        </w:rPr>
        <w:t xml:space="preserve"> « the laity’s access to God was very much controlled and limited by others than themselves »</w:t>
      </w:r>
      <w:r w:rsidRPr="00FE61B7">
        <w:rPr>
          <w:rStyle w:val="Appelnotedebasdep"/>
        </w:rPr>
        <w:footnoteReference w:id="34"/>
      </w:r>
      <w:r w:rsidRPr="00AC0AF7">
        <w:rPr>
          <w:lang w:val="en-CA"/>
        </w:rPr>
        <w:t xml:space="preserve">. </w:t>
      </w:r>
      <w:r w:rsidRPr="00FE61B7">
        <w:t xml:space="preserve">Cet argument est facilement prouvé par le fait </w:t>
      </w:r>
      <w:r w:rsidR="00D408F0" w:rsidRPr="00FE61B7">
        <w:t>que la production d’un livre d’H</w:t>
      </w:r>
      <w:r w:rsidRPr="00FE61B7">
        <w:t>eures répondait à certains standards déterminés tout d’</w:t>
      </w:r>
      <w:r w:rsidR="00D408F0" w:rsidRPr="00FE61B7">
        <w:t>abord par le clergé. O</w:t>
      </w:r>
      <w:r w:rsidRPr="00FE61B7">
        <w:t xml:space="preserve">n désirait encore limiter les déviances religieuses menant à des hérésies qui critiquaient généralement les </w:t>
      </w:r>
      <w:r w:rsidRPr="00FE61B7">
        <w:rPr>
          <w:i/>
        </w:rPr>
        <w:t>modus operandi</w:t>
      </w:r>
      <w:r w:rsidRPr="00FE61B7">
        <w:t xml:space="preserve"> de l’Église. Malgré cela, c’est j</w:t>
      </w:r>
      <w:r w:rsidR="00D408F0" w:rsidRPr="00FE61B7">
        <w:t>ustement ce qui est arrivé au XVI</w:t>
      </w:r>
      <w:r w:rsidRPr="00FE61B7">
        <w:rPr>
          <w:vertAlign w:val="superscript"/>
        </w:rPr>
        <w:t>e</w:t>
      </w:r>
      <w:r w:rsidRPr="00FE61B7">
        <w:t xml:space="preserve"> siècle.</w:t>
      </w:r>
      <w:r w:rsidR="00EF7E29">
        <w:t xml:space="preserve"> L</w:t>
      </w:r>
      <w:r w:rsidR="00D408F0" w:rsidRPr="00FE61B7">
        <w:t>e cœur d’un livre d’Heures était</w:t>
      </w:r>
      <w:r w:rsidRPr="00FE61B7">
        <w:t xml:space="preserve"> </w:t>
      </w:r>
      <w:r w:rsidR="00EF7E29">
        <w:t xml:space="preserve">donc resté </w:t>
      </w:r>
      <w:r w:rsidRPr="00FE61B7">
        <w:t xml:space="preserve">le même </w:t>
      </w:r>
      <w:r w:rsidR="00EF7E29">
        <w:t>pendant tous</w:t>
      </w:r>
      <w:r w:rsidRPr="00FE61B7">
        <w:t xml:space="preserve"> les siècles de son existence</w:t>
      </w:r>
      <w:r w:rsidR="00D408F0" w:rsidRPr="00FE61B7">
        <w:t xml:space="preserve"> à quelques exceptions près</w:t>
      </w:r>
      <w:r w:rsidRPr="00FE61B7">
        <w:t xml:space="preserve">. Ainsi, on retrouvait </w:t>
      </w:r>
      <w:r w:rsidR="005B797F" w:rsidRPr="00FE61B7">
        <w:t>couramment</w:t>
      </w:r>
      <w:r w:rsidRPr="00FE61B7">
        <w:t xml:space="preserve"> dans un livre </w:t>
      </w:r>
      <w:r w:rsidR="00D408F0" w:rsidRPr="00FE61B7">
        <w:t>d’H</w:t>
      </w:r>
      <w:r w:rsidRPr="00FE61B7">
        <w:t>eures : un calendrier liturgique, des leçons évangéliques, des prières à réciter, les Heures de la Vierge Marie, les Heures de la Croix, les Heures de l’Esprit saint, etc.</w:t>
      </w:r>
      <w:r w:rsidR="00EF7E29">
        <w:t xml:space="preserve"> Il s’agit d’une copie presque conforme à ce qu’on retrouvait dans un bréviaire, un texte établi et géré par l’Église, mais en version réduite</w:t>
      </w:r>
      <w:r w:rsidRPr="00FE61B7">
        <w:t xml:space="preserve">. Maintenant, on comprend que l’Église a voulu garder les laïcs dans un </w:t>
      </w:r>
      <w:r w:rsidRPr="00FE61B7">
        <w:rPr>
          <w:i/>
        </w:rPr>
        <w:t>modus vivendi</w:t>
      </w:r>
      <w:r w:rsidRPr="00FE61B7">
        <w:t xml:space="preserve"> qu’elle connaissait déjà très bien et qu’elle était mieux apte à contrôler que si elle avait laissé les laïcs </w:t>
      </w:r>
      <w:r w:rsidR="00D408F0" w:rsidRPr="00FE61B7">
        <w:t>libre</w:t>
      </w:r>
      <w:r w:rsidR="005F56DC">
        <w:t>s</w:t>
      </w:r>
      <w:r w:rsidR="00D408F0" w:rsidRPr="00FE61B7">
        <w:t xml:space="preserve"> de </w:t>
      </w:r>
      <w:r w:rsidRPr="00FE61B7">
        <w:t xml:space="preserve">faire tout ce qu’il désirait avec la Bible. </w:t>
      </w:r>
      <w:r w:rsidR="00D408F0" w:rsidRPr="00FE61B7">
        <w:t>Comme vous avez pu le remarquer, l</w:t>
      </w:r>
      <w:r w:rsidRPr="00FE61B7">
        <w:t xml:space="preserve">es </w:t>
      </w:r>
      <w:r w:rsidR="00F4664F">
        <w:t xml:space="preserve">derniers paragraphes dont nous venons juste de discuter </w:t>
      </w:r>
      <w:r w:rsidR="00573836" w:rsidRPr="00FE61B7">
        <w:t xml:space="preserve">nous en </w:t>
      </w:r>
      <w:r w:rsidRPr="00FE61B7">
        <w:t>apprennent plus</w:t>
      </w:r>
      <w:r w:rsidR="00573836" w:rsidRPr="00FE61B7">
        <w:t xml:space="preserve"> sur </w:t>
      </w:r>
      <w:r w:rsidRPr="00FE61B7">
        <w:t xml:space="preserve">des </w:t>
      </w:r>
      <w:r w:rsidR="00573836" w:rsidRPr="00FE61B7">
        <w:t>aspect</w:t>
      </w:r>
      <w:r w:rsidRPr="00FE61B7">
        <w:t>s</w:t>
      </w:r>
      <w:r w:rsidR="00573836" w:rsidRPr="00FE61B7">
        <w:t xml:space="preserve"> ancien</w:t>
      </w:r>
      <w:r w:rsidRPr="00FE61B7">
        <w:t>s</w:t>
      </w:r>
      <w:r w:rsidR="00573836" w:rsidRPr="00FE61B7">
        <w:t xml:space="preserve"> dans les pratiques culturelles du Moyen Âge. Cependant, le livre d’Heures a amené certaines nouveautés sur lesquelles il est important d’apporter notre attention.</w:t>
      </w:r>
    </w:p>
    <w:bookmarkEnd w:id="9"/>
    <w:p w:rsidR="00DC4F55" w:rsidRPr="00FE61B7" w:rsidRDefault="00F35FF6" w:rsidP="00F04FC5">
      <w:pPr>
        <w:spacing w:line="360" w:lineRule="auto"/>
        <w:ind w:firstLine="708"/>
        <w:jc w:val="both"/>
        <w:rPr>
          <w:rStyle w:val="apple-style-span"/>
        </w:rPr>
      </w:pPr>
      <w:r w:rsidRPr="00FE61B7">
        <w:rPr>
          <w:rStyle w:val="apple-style-span"/>
        </w:rPr>
        <w:t xml:space="preserve">Malgré cet aspect de contrôle, </w:t>
      </w:r>
      <w:r w:rsidR="00DC4F55" w:rsidRPr="00FE61B7">
        <w:rPr>
          <w:rStyle w:val="apple-style-span"/>
        </w:rPr>
        <w:t>l’Église acceptait de laisser les laïcs vivre leur spiritualité sans avoir recours à leur aide</w:t>
      </w:r>
      <w:r w:rsidRPr="00FE61B7">
        <w:rPr>
          <w:rStyle w:val="apple-style-span"/>
        </w:rPr>
        <w:t xml:space="preserve"> pour une des rares fois pendant la période médiévale</w:t>
      </w:r>
      <w:r w:rsidR="00DC4F55" w:rsidRPr="00FE61B7">
        <w:rPr>
          <w:rStyle w:val="apple-style-span"/>
        </w:rPr>
        <w:t>. Avant, les religieux s’étaient réservé la possibilité de prier pour tout le monde et ils ont voulu, pendant très longtemps, garder ce droit. Dès que les gens refusaient l’intermédiaire du clergé, cette dernière condamnait habituellement ceux-ci en affirmant qu’ils étaient des hérétiques même si l’accusation étan</w:t>
      </w:r>
      <w:r w:rsidR="001F3047" w:rsidRPr="00FE61B7">
        <w:rPr>
          <w:rStyle w:val="apple-style-span"/>
        </w:rPr>
        <w:t xml:space="preserve">t </w:t>
      </w:r>
      <w:r w:rsidR="00D408F0" w:rsidRPr="00FE61B7">
        <w:rPr>
          <w:rStyle w:val="apple-style-span"/>
        </w:rPr>
        <w:t xml:space="preserve">souvent </w:t>
      </w:r>
      <w:r w:rsidR="001F3047" w:rsidRPr="00FE61B7">
        <w:rPr>
          <w:rStyle w:val="apple-style-span"/>
        </w:rPr>
        <w:t>sans fondement. P</w:t>
      </w:r>
      <w:r w:rsidR="00DC4F55" w:rsidRPr="00FE61B7">
        <w:rPr>
          <w:rStyle w:val="apple-style-span"/>
        </w:rPr>
        <w:t>endant l’Antiquité et le début du Moyen Âge, la papauté s’est efforcée d’avoir de plus en</w:t>
      </w:r>
      <w:r w:rsidR="001F3047" w:rsidRPr="00FE61B7">
        <w:rPr>
          <w:rStyle w:val="apple-style-span"/>
        </w:rPr>
        <w:t xml:space="preserve"> plus de contrôle sur les croyants</w:t>
      </w:r>
      <w:r w:rsidR="00DC4F55" w:rsidRPr="00FE61B7">
        <w:rPr>
          <w:rStyle w:val="apple-style-span"/>
        </w:rPr>
        <w:t xml:space="preserve"> alors qu’elle faisait figure de second rôle par rapport au pouvoir impérial et laïc. Avec les papes réfor</w:t>
      </w:r>
      <w:r w:rsidR="001F3047" w:rsidRPr="00FE61B7">
        <w:rPr>
          <w:rStyle w:val="apple-style-span"/>
        </w:rPr>
        <w:t>mateurs du XI</w:t>
      </w:r>
      <w:r w:rsidR="00DC4F55" w:rsidRPr="00FE61B7">
        <w:rPr>
          <w:rStyle w:val="apple-style-span"/>
          <w:vertAlign w:val="superscript"/>
        </w:rPr>
        <w:t>e</w:t>
      </w:r>
      <w:r w:rsidR="00DC4F55" w:rsidRPr="00FE61B7">
        <w:rPr>
          <w:rStyle w:val="apple-style-span"/>
        </w:rPr>
        <w:t xml:space="preserve"> </w:t>
      </w:r>
      <w:r w:rsidR="00DC4F55" w:rsidRPr="00FE61B7">
        <w:rPr>
          <w:rStyle w:val="apple-style-span"/>
        </w:rPr>
        <w:lastRenderedPageBreak/>
        <w:t>siècle, elle a voulu posséder le contrôle total de la population européenne tant dans la possession de pouvoirs spirituel que tempore</w:t>
      </w:r>
      <w:r w:rsidR="002726FC" w:rsidRPr="00FE61B7">
        <w:rPr>
          <w:rStyle w:val="apple-style-span"/>
        </w:rPr>
        <w:t>l</w:t>
      </w:r>
      <w:r w:rsidR="00DC4F55" w:rsidRPr="00FE61B7">
        <w:rPr>
          <w:rStyle w:val="apple-style-span"/>
        </w:rPr>
        <w:t xml:space="preserve">. Ainsi, elle s’est toujours efforcée de garder sous contrôle les mouvements religieux populaires, surtout avec les croisades, qui échappaient à sa tutelle ou, même, qui la critiquaient. </w:t>
      </w:r>
      <w:r w:rsidR="00D408F0" w:rsidRPr="00FE61B7">
        <w:rPr>
          <w:rStyle w:val="apple-style-span"/>
        </w:rPr>
        <w:t>À partir du XIV</w:t>
      </w:r>
      <w:r w:rsidR="00D408F0" w:rsidRPr="00FE61B7">
        <w:rPr>
          <w:rStyle w:val="apple-style-span"/>
          <w:vertAlign w:val="superscript"/>
        </w:rPr>
        <w:t>e</w:t>
      </w:r>
      <w:r w:rsidR="00D408F0" w:rsidRPr="00FE61B7">
        <w:rPr>
          <w:rStyle w:val="apple-style-span"/>
        </w:rPr>
        <w:t xml:space="preserve"> siècle, </w:t>
      </w:r>
      <w:r w:rsidR="00DC4F55" w:rsidRPr="00FE61B7">
        <w:rPr>
          <w:rStyle w:val="apple-style-span"/>
        </w:rPr>
        <w:t>il est surpren</w:t>
      </w:r>
      <w:r w:rsidR="001F3047" w:rsidRPr="00FE61B7">
        <w:rPr>
          <w:rStyle w:val="apple-style-span"/>
        </w:rPr>
        <w:t>ant que l’Église</w:t>
      </w:r>
      <w:r w:rsidR="00F4664F">
        <w:rPr>
          <w:rStyle w:val="apple-style-span"/>
        </w:rPr>
        <w:t xml:space="preserve"> </w:t>
      </w:r>
      <w:r w:rsidR="00DC4F55" w:rsidRPr="00FE61B7">
        <w:rPr>
          <w:rStyle w:val="apple-style-span"/>
        </w:rPr>
        <w:t xml:space="preserve">acceptât que des gens, l’élite tout d’abord, </w:t>
      </w:r>
      <w:proofErr w:type="gramStart"/>
      <w:r w:rsidR="00DC4F55" w:rsidRPr="00FE61B7">
        <w:rPr>
          <w:rStyle w:val="apple-style-span"/>
        </w:rPr>
        <w:t>puissent</w:t>
      </w:r>
      <w:proofErr w:type="gramEnd"/>
      <w:r w:rsidR="00DC4F55" w:rsidRPr="00FE61B7">
        <w:rPr>
          <w:rStyle w:val="apple-style-span"/>
        </w:rPr>
        <w:t xml:space="preserve"> acheter, commander et apporter des livres religieux dans leur maison pour vivre leur religiosité comme tous les autres clercs sans qu’elle ait une certaine crainte d’une déviation religieuse. D’ailleurs, les monastères ont été pendant longtemps indépendants par rapport au pouvoir papal et les pratiques de certains moines, d’après la conception officielle de la religion par l’Église, frôlaient </w:t>
      </w:r>
      <w:r w:rsidR="00F4664F">
        <w:rPr>
          <w:rStyle w:val="apple-style-span"/>
        </w:rPr>
        <w:t xml:space="preserve">certaines fois </w:t>
      </w:r>
      <w:r w:rsidR="00DC4F55" w:rsidRPr="00FE61B7">
        <w:rPr>
          <w:rStyle w:val="apple-style-span"/>
        </w:rPr>
        <w:t xml:space="preserve">l’hérésie. </w:t>
      </w:r>
    </w:p>
    <w:p w:rsidR="00DC4F55" w:rsidRPr="00FE61B7" w:rsidRDefault="00DC4F55" w:rsidP="00F04FC5">
      <w:pPr>
        <w:spacing w:line="360" w:lineRule="auto"/>
        <w:ind w:firstLine="708"/>
        <w:jc w:val="both"/>
        <w:rPr>
          <w:rStyle w:val="apple-style-span"/>
        </w:rPr>
      </w:pPr>
      <w:r w:rsidRPr="00FE61B7">
        <w:rPr>
          <w:rStyle w:val="apple-style-span"/>
        </w:rPr>
        <w:t xml:space="preserve">Également, un autre fait </w:t>
      </w:r>
      <w:r w:rsidR="001F3047" w:rsidRPr="00FE61B7">
        <w:rPr>
          <w:rStyle w:val="apple-style-span"/>
        </w:rPr>
        <w:t xml:space="preserve">qui est important quant à l’utilisation des livres d’Heures est que </w:t>
      </w:r>
      <w:r w:rsidRPr="00FE61B7">
        <w:rPr>
          <w:rStyle w:val="apple-style-span"/>
        </w:rPr>
        <w:t>la Bible a été la référence de base pour tous les clercs dans leur étude théologique</w:t>
      </w:r>
      <w:r w:rsidR="001F3047" w:rsidRPr="00FE61B7">
        <w:rPr>
          <w:rStyle w:val="apple-style-span"/>
        </w:rPr>
        <w:t xml:space="preserve"> pendant presque tout le Moyen Âge</w:t>
      </w:r>
      <w:r w:rsidRPr="00FE61B7">
        <w:rPr>
          <w:rStyle w:val="apple-style-span"/>
        </w:rPr>
        <w:t>. Évidemment, on retrouve d’autres ouvrages d’une grande importance comme les écrits de saint Augustin ou, encore, du pape Grégoire le Grand. Cependant, on enseignait principalement les passages de la Bible aux l</w:t>
      </w:r>
      <w:r w:rsidR="001F3047" w:rsidRPr="00FE61B7">
        <w:rPr>
          <w:rStyle w:val="apple-style-span"/>
        </w:rPr>
        <w:t>aïcs pendant les messes. I</w:t>
      </w:r>
      <w:r w:rsidRPr="00FE61B7">
        <w:rPr>
          <w:rStyle w:val="apple-style-span"/>
        </w:rPr>
        <w:t xml:space="preserve">l était </w:t>
      </w:r>
      <w:r w:rsidR="001F3047" w:rsidRPr="00FE61B7">
        <w:rPr>
          <w:rStyle w:val="apple-style-span"/>
        </w:rPr>
        <w:t xml:space="preserve">donc </w:t>
      </w:r>
      <w:r w:rsidRPr="00FE61B7">
        <w:rPr>
          <w:rStyle w:val="apple-style-span"/>
        </w:rPr>
        <w:t>tout à fait nouveau qu’on laisse ceux-ci vivre leur religiosité sans avoir nécessairement recours à la Bible. Or, pendant</w:t>
      </w:r>
      <w:r w:rsidR="00D408F0" w:rsidRPr="00FE61B7">
        <w:rPr>
          <w:rStyle w:val="apple-style-span"/>
        </w:rPr>
        <w:t xml:space="preserve"> près de 300 ans, les livres d’H</w:t>
      </w:r>
      <w:r w:rsidRPr="00FE61B7">
        <w:rPr>
          <w:rStyle w:val="apple-style-span"/>
        </w:rPr>
        <w:t>eures seront plus commandés, produits, achetés, vendus, imprimés et réimprimés que la Bible</w:t>
      </w:r>
      <w:r w:rsidRPr="00FE61B7">
        <w:rPr>
          <w:rStyle w:val="Appelnotedebasdep"/>
        </w:rPr>
        <w:footnoteReference w:id="35"/>
      </w:r>
      <w:r w:rsidRPr="00FE61B7">
        <w:rPr>
          <w:rStyle w:val="apple-style-span"/>
        </w:rPr>
        <w:t>. De toute façon, la plupart des clercs considéraient comme dangereux le fait que les laïcs puissent lire et co</w:t>
      </w:r>
      <w:r w:rsidR="001F3047" w:rsidRPr="00FE61B7">
        <w:rPr>
          <w:rStyle w:val="apple-style-span"/>
        </w:rPr>
        <w:t>mprendre la Bible. La création des livres d’H</w:t>
      </w:r>
      <w:r w:rsidRPr="00FE61B7">
        <w:rPr>
          <w:rStyle w:val="apple-style-span"/>
        </w:rPr>
        <w:t xml:space="preserve">eures devait probablement être un moyen détourné pour que les laïcs n’aient pas encore accès à l’Ancien et le Nouveau Testament en leur donnant un substitut quasi équivalent. </w:t>
      </w:r>
      <w:proofErr w:type="spellStart"/>
      <w:r w:rsidRPr="00AC0AF7">
        <w:rPr>
          <w:rStyle w:val="apple-style-span"/>
          <w:lang w:val="en-CA"/>
        </w:rPr>
        <w:t>D’autre</w:t>
      </w:r>
      <w:proofErr w:type="spellEnd"/>
      <w:r w:rsidRPr="00AC0AF7">
        <w:rPr>
          <w:rStyle w:val="apple-style-span"/>
          <w:lang w:val="en-CA"/>
        </w:rPr>
        <w:t xml:space="preserve"> part, « Book of Hours linked church and home. The entire celestial court, God and his cosmos, could be held </w:t>
      </w:r>
      <w:proofErr w:type="spellStart"/>
      <w:r w:rsidRPr="00AC0AF7">
        <w:rPr>
          <w:rStyle w:val="apple-style-span"/>
          <w:lang w:val="en-CA"/>
        </w:rPr>
        <w:t>wihtin</w:t>
      </w:r>
      <w:proofErr w:type="spellEnd"/>
      <w:r w:rsidRPr="00AC0AF7">
        <w:rPr>
          <w:rStyle w:val="apple-style-span"/>
          <w:lang w:val="en-CA"/>
        </w:rPr>
        <w:t xml:space="preserve"> the palms of one’s hands and taken home. Used there, the Book of Hours transformed one’s chamber into a chapel »</w:t>
      </w:r>
      <w:r w:rsidRPr="00FE61B7">
        <w:rPr>
          <w:rStyle w:val="Appelnotedebasdep"/>
        </w:rPr>
        <w:footnoteReference w:id="36"/>
      </w:r>
      <w:r w:rsidRPr="00AC0AF7">
        <w:rPr>
          <w:rStyle w:val="apple-style-span"/>
          <w:lang w:val="en-CA"/>
        </w:rPr>
        <w:t xml:space="preserve">. </w:t>
      </w:r>
      <w:r w:rsidRPr="00FE61B7">
        <w:rPr>
          <w:rStyle w:val="apple-style-span"/>
        </w:rPr>
        <w:t xml:space="preserve">En réalité, les laïcs ont toujours été soucieux par rapport à la vie après la mort. Grâce à ce type de littérature de dévotion, ces derniers pouvaient maintenant s’occuper de leur salut par leurs propres moyens. </w:t>
      </w:r>
      <w:r w:rsidR="00582F4F">
        <w:rPr>
          <w:rStyle w:val="apple-style-span"/>
          <w:lang w:val="en-CA"/>
        </w:rPr>
        <w:t xml:space="preserve">Or, Virginia </w:t>
      </w:r>
      <w:proofErr w:type="spellStart"/>
      <w:r w:rsidR="00582F4F">
        <w:rPr>
          <w:rStyle w:val="apple-style-span"/>
          <w:lang w:val="en-CA"/>
        </w:rPr>
        <w:t>Reinburg</w:t>
      </w:r>
      <w:proofErr w:type="spellEnd"/>
      <w:r w:rsidR="00582F4F">
        <w:rPr>
          <w:rStyle w:val="apple-style-span"/>
          <w:lang w:val="en-CA"/>
        </w:rPr>
        <w:t xml:space="preserve"> </w:t>
      </w:r>
      <w:proofErr w:type="spellStart"/>
      <w:r w:rsidR="00582F4F">
        <w:rPr>
          <w:rStyle w:val="apple-style-span"/>
          <w:lang w:val="en-CA"/>
        </w:rPr>
        <w:t>affirme</w:t>
      </w:r>
      <w:proofErr w:type="spellEnd"/>
      <w:r w:rsidRPr="00AC0AF7">
        <w:rPr>
          <w:rStyle w:val="apple-style-span"/>
          <w:lang w:val="en-CA"/>
        </w:rPr>
        <w:t xml:space="preserve"> au </w:t>
      </w:r>
      <w:proofErr w:type="spellStart"/>
      <w:r w:rsidRPr="00AC0AF7">
        <w:rPr>
          <w:rStyle w:val="apple-style-span"/>
          <w:lang w:val="en-CA"/>
        </w:rPr>
        <w:t>sujet</w:t>
      </w:r>
      <w:proofErr w:type="spellEnd"/>
      <w:r w:rsidRPr="00AC0AF7">
        <w:rPr>
          <w:rStyle w:val="apple-style-span"/>
          <w:lang w:val="en-CA"/>
        </w:rPr>
        <w:t xml:space="preserve"> de </w:t>
      </w:r>
      <w:proofErr w:type="spellStart"/>
      <w:r w:rsidRPr="00AC0AF7">
        <w:rPr>
          <w:rStyle w:val="apple-style-span"/>
          <w:lang w:val="en-CA"/>
        </w:rPr>
        <w:t>l’impo</w:t>
      </w:r>
      <w:r w:rsidR="00D408F0" w:rsidRPr="00AC0AF7">
        <w:rPr>
          <w:rStyle w:val="apple-style-span"/>
          <w:lang w:val="en-CA"/>
        </w:rPr>
        <w:t>rtance</w:t>
      </w:r>
      <w:proofErr w:type="spellEnd"/>
      <w:r w:rsidR="00D408F0" w:rsidRPr="00AC0AF7">
        <w:rPr>
          <w:rStyle w:val="apple-style-span"/>
          <w:lang w:val="en-CA"/>
        </w:rPr>
        <w:t xml:space="preserve"> </w:t>
      </w:r>
      <w:proofErr w:type="spellStart"/>
      <w:r w:rsidR="00D408F0" w:rsidRPr="00AC0AF7">
        <w:rPr>
          <w:rStyle w:val="apple-style-span"/>
          <w:lang w:val="en-CA"/>
        </w:rPr>
        <w:t>historique</w:t>
      </w:r>
      <w:proofErr w:type="spellEnd"/>
      <w:r w:rsidR="00D408F0" w:rsidRPr="00AC0AF7">
        <w:rPr>
          <w:rStyle w:val="apple-style-span"/>
          <w:lang w:val="en-CA"/>
        </w:rPr>
        <w:t xml:space="preserve"> des livres </w:t>
      </w:r>
      <w:proofErr w:type="spellStart"/>
      <w:r w:rsidR="00D408F0" w:rsidRPr="00AC0AF7">
        <w:rPr>
          <w:rStyle w:val="apple-style-span"/>
          <w:lang w:val="en-CA"/>
        </w:rPr>
        <w:t>d’H</w:t>
      </w:r>
      <w:r w:rsidR="00582F4F">
        <w:rPr>
          <w:rStyle w:val="apple-style-span"/>
          <w:lang w:val="en-CA"/>
        </w:rPr>
        <w:t>eures</w:t>
      </w:r>
      <w:proofErr w:type="spellEnd"/>
      <w:r w:rsidRPr="00AC0AF7">
        <w:rPr>
          <w:rStyle w:val="apple-style-span"/>
          <w:lang w:val="en-CA"/>
        </w:rPr>
        <w:t xml:space="preserve"> </w:t>
      </w:r>
      <w:proofErr w:type="spellStart"/>
      <w:proofErr w:type="gramStart"/>
      <w:r w:rsidRPr="00AC0AF7">
        <w:rPr>
          <w:rStyle w:val="apple-style-span"/>
          <w:lang w:val="en-CA"/>
        </w:rPr>
        <w:t>que</w:t>
      </w:r>
      <w:proofErr w:type="spellEnd"/>
      <w:r w:rsidRPr="00AC0AF7">
        <w:rPr>
          <w:rStyle w:val="apple-style-span"/>
          <w:lang w:val="en-CA"/>
        </w:rPr>
        <w:t> :</w:t>
      </w:r>
      <w:proofErr w:type="gramEnd"/>
      <w:r w:rsidRPr="00AC0AF7">
        <w:rPr>
          <w:rStyle w:val="apple-style-span"/>
          <w:lang w:val="en-CA"/>
        </w:rPr>
        <w:t xml:space="preserve"> « the goal of prayer was salvation, for themselves and others whom they prayed. They knew that prayer redeemed them and saved their </w:t>
      </w:r>
      <w:r w:rsidRPr="00AC0AF7">
        <w:rPr>
          <w:rStyle w:val="apple-style-span"/>
          <w:lang w:val="en-CA"/>
        </w:rPr>
        <w:lastRenderedPageBreak/>
        <w:t xml:space="preserve">souls. It was this that gave the Books of Hours its ultimate lifesaving </w:t>
      </w:r>
      <w:r w:rsidR="00582F4F" w:rsidRPr="00AC0AF7">
        <w:rPr>
          <w:rStyle w:val="apple-style-span"/>
          <w:lang w:val="en-CA"/>
        </w:rPr>
        <w:t>significance</w:t>
      </w:r>
      <w:r w:rsidRPr="00AC0AF7">
        <w:rPr>
          <w:rStyle w:val="apple-style-span"/>
          <w:lang w:val="en-CA"/>
        </w:rPr>
        <w:t> »</w:t>
      </w:r>
      <w:r w:rsidRPr="00FE61B7">
        <w:rPr>
          <w:rStyle w:val="Appelnotedebasdep"/>
        </w:rPr>
        <w:footnoteReference w:id="37"/>
      </w:r>
      <w:r w:rsidRPr="00AC0AF7">
        <w:rPr>
          <w:rStyle w:val="apple-style-span"/>
          <w:lang w:val="en-CA"/>
        </w:rPr>
        <w:t xml:space="preserve">. </w:t>
      </w:r>
      <w:r w:rsidR="001F3047" w:rsidRPr="00FE61B7">
        <w:rPr>
          <w:rStyle w:val="apple-style-span"/>
        </w:rPr>
        <w:t>U</w:t>
      </w:r>
      <w:r w:rsidRPr="00FE61B7">
        <w:rPr>
          <w:rStyle w:val="apple-style-span"/>
        </w:rPr>
        <w:t>n des points fondamentaux des fut</w:t>
      </w:r>
      <w:r w:rsidR="00B32CB4" w:rsidRPr="00FE61B7">
        <w:rPr>
          <w:rStyle w:val="apple-style-span"/>
        </w:rPr>
        <w:t xml:space="preserve">ures réformes protestantes a été </w:t>
      </w:r>
      <w:r w:rsidR="001F3047" w:rsidRPr="00FE61B7">
        <w:rPr>
          <w:rStyle w:val="apple-style-span"/>
        </w:rPr>
        <w:t>justement la capacité de chacun</w:t>
      </w:r>
      <w:r w:rsidRPr="00FE61B7">
        <w:rPr>
          <w:rStyle w:val="apple-style-span"/>
        </w:rPr>
        <w:t xml:space="preserve"> de lire la Bible et de faire sa propre version de la religion. Alors, à partir</w:t>
      </w:r>
      <w:r w:rsidR="001F3047" w:rsidRPr="00FE61B7">
        <w:rPr>
          <w:rStyle w:val="apple-style-span"/>
        </w:rPr>
        <w:t xml:space="preserve"> du XVI</w:t>
      </w:r>
      <w:r w:rsidRPr="00FE61B7">
        <w:rPr>
          <w:rStyle w:val="apple-style-span"/>
          <w:vertAlign w:val="superscript"/>
        </w:rPr>
        <w:t>e</w:t>
      </w:r>
      <w:r w:rsidRPr="00FE61B7">
        <w:rPr>
          <w:rStyle w:val="apple-style-span"/>
        </w:rPr>
        <w:t xml:space="preserve"> siècle, les protestants </w:t>
      </w:r>
      <w:r w:rsidR="00B32CB4" w:rsidRPr="00FE61B7">
        <w:rPr>
          <w:rStyle w:val="apple-style-span"/>
        </w:rPr>
        <w:t xml:space="preserve">ont eu </w:t>
      </w:r>
      <w:r w:rsidRPr="00FE61B7">
        <w:rPr>
          <w:rStyle w:val="apple-style-span"/>
        </w:rPr>
        <w:t>le droit de faire leur religion personnelle sans être critiqués par une église dirigeante jugée inutile et quasi inexistante de toute façon dans les religions protestantes. Ainsi, les craintes des clercs étaient parfaitement justifiées puisque la religion catholique a commencé à perdre beaucoup de terrain à cette époque.</w:t>
      </w:r>
    </w:p>
    <w:p w:rsidR="00DC4F55" w:rsidRPr="00E86420" w:rsidRDefault="00DC4F55" w:rsidP="00F04FC5">
      <w:pPr>
        <w:spacing w:line="360" w:lineRule="auto"/>
        <w:ind w:firstLine="708"/>
        <w:jc w:val="both"/>
        <w:rPr>
          <w:rStyle w:val="apple-style-span"/>
        </w:rPr>
      </w:pPr>
      <w:r w:rsidRPr="00FE61B7">
        <w:rPr>
          <w:rStyle w:val="apple-style-span"/>
        </w:rPr>
        <w:t>D’autre part, le fait de ne pa</w:t>
      </w:r>
      <w:r w:rsidR="001F3047" w:rsidRPr="00FE61B7">
        <w:rPr>
          <w:rStyle w:val="apple-style-span"/>
        </w:rPr>
        <w:t>s avoir recours à la Bible au XIV</w:t>
      </w:r>
      <w:r w:rsidRPr="00FE61B7">
        <w:rPr>
          <w:rStyle w:val="apple-style-span"/>
          <w:vertAlign w:val="superscript"/>
        </w:rPr>
        <w:t>e</w:t>
      </w:r>
      <w:r w:rsidRPr="00FE61B7">
        <w:rPr>
          <w:rStyle w:val="apple-style-span"/>
        </w:rPr>
        <w:t xml:space="preserve"> siècle implique aussi ne pas avoir besoin de l’interm</w:t>
      </w:r>
      <w:r w:rsidR="00B32CB4" w:rsidRPr="00FE61B7">
        <w:rPr>
          <w:rStyle w:val="apple-style-span"/>
        </w:rPr>
        <w:t>édiaire de l’Église. A</w:t>
      </w:r>
      <w:r w:rsidRPr="00FE61B7">
        <w:rPr>
          <w:rStyle w:val="apple-style-span"/>
        </w:rPr>
        <w:t xml:space="preserve">uparavant, </w:t>
      </w:r>
      <w:r w:rsidR="004C4E79" w:rsidRPr="00FE61B7">
        <w:rPr>
          <w:rStyle w:val="apple-style-span"/>
        </w:rPr>
        <w:t>il était absolument nécessaire pour les laïcs</w:t>
      </w:r>
      <w:r w:rsidRPr="00FE61B7">
        <w:rPr>
          <w:rStyle w:val="apple-style-span"/>
        </w:rPr>
        <w:t xml:space="preserve"> d’aller à l’église pour être en contact avec Dieu alor</w:t>
      </w:r>
      <w:r w:rsidR="004C4E79" w:rsidRPr="00FE61B7">
        <w:rPr>
          <w:rStyle w:val="apple-style-span"/>
        </w:rPr>
        <w:t xml:space="preserve">s que les moines et les frères </w:t>
      </w:r>
      <w:r w:rsidRPr="00FE61B7">
        <w:rPr>
          <w:rStyle w:val="apple-style-span"/>
        </w:rPr>
        <w:t>étaient en continuel contact avec le Divin</w:t>
      </w:r>
      <w:r w:rsidR="004C4E79" w:rsidRPr="00FE61B7">
        <w:rPr>
          <w:rStyle w:val="apple-style-span"/>
        </w:rPr>
        <w:t xml:space="preserve"> par leur méditation. D</w:t>
      </w:r>
      <w:r w:rsidRPr="00FE61B7">
        <w:rPr>
          <w:rStyle w:val="apple-style-span"/>
        </w:rPr>
        <w:t xml:space="preserve">ans quelques monastères, on retrouve des fresques dans les chambres des moines qui les aidaient dans leur </w:t>
      </w:r>
      <w:r w:rsidR="004C4E79" w:rsidRPr="00FE61B7">
        <w:rPr>
          <w:rStyle w:val="apple-style-span"/>
        </w:rPr>
        <w:t>méditation. Grâce aux livres d’Heures, les laïcs pouvaien</w:t>
      </w:r>
      <w:r w:rsidRPr="00FE61B7">
        <w:rPr>
          <w:rStyle w:val="apple-style-span"/>
        </w:rPr>
        <w:t>t faire</w:t>
      </w:r>
      <w:r w:rsidR="00582F4F">
        <w:rPr>
          <w:rStyle w:val="apple-style-span"/>
        </w:rPr>
        <w:t xml:space="preserve"> de même</w:t>
      </w:r>
      <w:r w:rsidRPr="00FE61B7">
        <w:rPr>
          <w:rStyle w:val="apple-style-span"/>
        </w:rPr>
        <w:t xml:space="preserve">. </w:t>
      </w:r>
      <w:r w:rsidRPr="00AC0AF7">
        <w:rPr>
          <w:rStyle w:val="apple-style-span"/>
          <w:lang w:val="en-CA"/>
        </w:rPr>
        <w:t>Or, « Books of Hours bestowed direct, democratic, and potentially uninterrupted access to God, the Virgin Mary, and the saints »</w:t>
      </w:r>
      <w:r w:rsidRPr="00FE61B7">
        <w:rPr>
          <w:rStyle w:val="Appelnotedebasdep"/>
        </w:rPr>
        <w:footnoteReference w:id="38"/>
      </w:r>
      <w:r w:rsidRPr="00AC0AF7">
        <w:rPr>
          <w:rStyle w:val="apple-style-span"/>
          <w:lang w:val="en-CA"/>
        </w:rPr>
        <w:t>.</w:t>
      </w:r>
      <w:r w:rsidR="00E86420">
        <w:rPr>
          <w:rStyle w:val="apple-style-span"/>
          <w:lang w:val="en-CA"/>
        </w:rPr>
        <w:t xml:space="preserve"> </w:t>
      </w:r>
      <w:r w:rsidR="00E86420" w:rsidRPr="00E86420">
        <w:rPr>
          <w:rStyle w:val="apple-style-span"/>
        </w:rPr>
        <w:t>Pour toutes ces raisons, j’ai choisi ce type de document à des fins d’</w:t>
      </w:r>
      <w:r w:rsidR="00E86420">
        <w:rPr>
          <w:rStyle w:val="apple-style-span"/>
        </w:rPr>
        <w:t>études pour ce mémoire. Il s’agit d’une source médiévale qui fait partie de la tradition culturelle et religieuse de cette époque en même temps qu’elle apporte certaines nouveautés dans la manière dont les gens vivaient leur religiosité. En plus, tellement de gens ont eu en leur possession ce type de document qu’il est plus aisé d’effectuer une étude sur l’histoire culturelle du Moyen Âge à l’aide de celui-ci.</w:t>
      </w:r>
      <w:r w:rsidR="00556964">
        <w:rPr>
          <w:rStyle w:val="apple-style-span"/>
        </w:rPr>
        <w:t xml:space="preserve"> Les livres d’Heures sont également tous très colorés facilitant ainsi l’analyse des différentes couleurs même si le sujet est difficile d’approche.</w:t>
      </w:r>
    </w:p>
    <w:p w:rsidR="00376EFE" w:rsidRPr="00AC0AF7" w:rsidRDefault="00376EFE" w:rsidP="00F04FC5">
      <w:pPr>
        <w:pStyle w:val="Titre1"/>
        <w:spacing w:line="360" w:lineRule="auto"/>
        <w:jc w:val="both"/>
        <w:rPr>
          <w:rFonts w:ascii="Times New Roman" w:hAnsi="Times New Roman" w:cs="Times New Roman"/>
          <w:color w:val="auto"/>
        </w:rPr>
      </w:pPr>
      <w:bookmarkStart w:id="11" w:name="_Toc401478192"/>
      <w:r w:rsidRPr="00AC0AF7">
        <w:rPr>
          <w:rFonts w:ascii="Times New Roman" w:hAnsi="Times New Roman" w:cs="Times New Roman"/>
          <w:color w:val="auto"/>
        </w:rPr>
        <w:t>État de la question</w:t>
      </w:r>
      <w:bookmarkEnd w:id="11"/>
    </w:p>
    <w:p w:rsidR="00376EFE" w:rsidRPr="00FE61B7" w:rsidRDefault="00376EFE" w:rsidP="00F04FC5">
      <w:pPr>
        <w:pStyle w:val="Titre2"/>
        <w:spacing w:line="360" w:lineRule="auto"/>
        <w:jc w:val="both"/>
        <w:rPr>
          <w:rFonts w:ascii="Times New Roman" w:hAnsi="Times New Roman" w:cs="Times New Roman"/>
          <w:color w:val="auto"/>
          <w:sz w:val="24"/>
          <w:szCs w:val="24"/>
        </w:rPr>
      </w:pPr>
      <w:bookmarkStart w:id="12" w:name="_Toc401478193"/>
      <w:r w:rsidRPr="00FE61B7">
        <w:rPr>
          <w:rFonts w:ascii="Times New Roman" w:hAnsi="Times New Roman" w:cs="Times New Roman"/>
          <w:color w:val="auto"/>
          <w:sz w:val="24"/>
          <w:szCs w:val="24"/>
        </w:rPr>
        <w:t>Difficultés liées à un état de la question</w:t>
      </w:r>
      <w:bookmarkEnd w:id="12"/>
    </w:p>
    <w:p w:rsidR="00376EFE" w:rsidRPr="002F68B4" w:rsidRDefault="00376EFE" w:rsidP="00F04FC5">
      <w:pPr>
        <w:spacing w:line="360" w:lineRule="auto"/>
        <w:jc w:val="both"/>
      </w:pPr>
      <w:r w:rsidRPr="00FE61B7">
        <w:tab/>
        <w:t>J’aimerais commencer cet état de la question par une mise en situation sur les difficultés liées à la recherche sur la symbolique des couleurs. Il ne faut pas se le cacher</w:t>
      </w:r>
      <w:r w:rsidR="00556964">
        <w:t>,</w:t>
      </w:r>
      <w:r w:rsidRPr="00FE61B7">
        <w:t xml:space="preserve"> étudier </w:t>
      </w:r>
      <w:r w:rsidR="002F68B4">
        <w:t xml:space="preserve">ce thème </w:t>
      </w:r>
      <w:r w:rsidRPr="00FE61B7">
        <w:t xml:space="preserve">d’un point de vue culturel n’est pas une entreprise aisée. Un historien doit faire face à plusieurs obstacles lorsqu’il doit analyser les couleurs. Celui qui explique bien la situation et qui est la </w:t>
      </w:r>
      <w:r w:rsidRPr="00FE61B7">
        <w:lastRenderedPageBreak/>
        <w:t xml:space="preserve">référence la plus fiable en la matière est Michel Pastoureau avec trois de ses ouvrages qui seront cités très souvent dans ce mémoire : </w:t>
      </w:r>
      <w:r w:rsidRPr="00FE61B7">
        <w:rPr>
          <w:i/>
        </w:rPr>
        <w:t xml:space="preserve">Une histoire symbolique Moyen Âge occidental, Bleu : Histoire d’une couleur </w:t>
      </w:r>
      <w:r w:rsidRPr="00FE61B7">
        <w:t xml:space="preserve">et </w:t>
      </w:r>
      <w:r w:rsidRPr="00FE61B7">
        <w:rPr>
          <w:i/>
        </w:rPr>
        <w:t>Noir : Histoire d’une couleur</w:t>
      </w:r>
      <w:r w:rsidRPr="00FE61B7">
        <w:t xml:space="preserve">. Il y </w:t>
      </w:r>
      <w:r w:rsidR="005F56DC">
        <w:t xml:space="preserve">a </w:t>
      </w:r>
      <w:r w:rsidRPr="00FE61B7">
        <w:t xml:space="preserve">aussi John Gage qui s’est intéressé aux complications que l’on retrouve quand on fait des recherches sur la symbolique des couleurs, mais dans une moindre mesure par rapport à ce qu’a écrit Pastoureau. </w:t>
      </w:r>
      <w:r w:rsidRPr="002F68B4">
        <w:t xml:space="preserve">Il écrit tout de même dans </w:t>
      </w:r>
      <w:r w:rsidR="002F68B4" w:rsidRPr="002F68B4">
        <w:t xml:space="preserve">son </w:t>
      </w:r>
      <w:r w:rsidRPr="002F68B4">
        <w:t xml:space="preserve">livre </w:t>
      </w:r>
      <w:proofErr w:type="spellStart"/>
      <w:r w:rsidRPr="002F68B4">
        <w:rPr>
          <w:i/>
        </w:rPr>
        <w:t>Color</w:t>
      </w:r>
      <w:proofErr w:type="spellEnd"/>
      <w:r w:rsidRPr="002F68B4">
        <w:rPr>
          <w:i/>
        </w:rPr>
        <w:t xml:space="preserve"> and </w:t>
      </w:r>
      <w:proofErr w:type="spellStart"/>
      <w:r w:rsidRPr="002F68B4">
        <w:rPr>
          <w:i/>
        </w:rPr>
        <w:t>Meaning</w:t>
      </w:r>
      <w:proofErr w:type="spellEnd"/>
      <w:r w:rsidRPr="002F68B4">
        <w:rPr>
          <w:i/>
        </w:rPr>
        <w:t> : A</w:t>
      </w:r>
      <w:r w:rsidR="002F68B4">
        <w:rPr>
          <w:i/>
        </w:rPr>
        <w:t xml:space="preserve">rt, Science and </w:t>
      </w:r>
      <w:proofErr w:type="spellStart"/>
      <w:r w:rsidR="002F68B4">
        <w:rPr>
          <w:i/>
        </w:rPr>
        <w:t>Symbolism</w:t>
      </w:r>
      <w:proofErr w:type="spellEnd"/>
      <w:r w:rsidR="002F68B4">
        <w:t> :</w:t>
      </w:r>
    </w:p>
    <w:p w:rsidR="00376EFE" w:rsidRPr="00AC0AF7" w:rsidRDefault="00376EFE" w:rsidP="00F04FC5">
      <w:pPr>
        <w:spacing w:line="360" w:lineRule="auto"/>
        <w:ind w:left="1134" w:right="1134"/>
        <w:jc w:val="both"/>
        <w:rPr>
          <w:sz w:val="20"/>
          <w:szCs w:val="20"/>
          <w:lang w:val="en-CA"/>
        </w:rPr>
      </w:pPr>
      <w:r w:rsidRPr="00AC0AF7">
        <w:rPr>
          <w:sz w:val="20"/>
          <w:szCs w:val="20"/>
          <w:lang w:val="en-CA"/>
        </w:rPr>
        <w:t xml:space="preserve">Like Michel </w:t>
      </w:r>
      <w:proofErr w:type="spellStart"/>
      <w:r w:rsidRPr="00AC0AF7">
        <w:rPr>
          <w:sz w:val="20"/>
          <w:szCs w:val="20"/>
          <w:lang w:val="en-CA"/>
        </w:rPr>
        <w:t>Pastoureau</w:t>
      </w:r>
      <w:proofErr w:type="spellEnd"/>
      <w:r w:rsidRPr="00AC0AF7">
        <w:rPr>
          <w:sz w:val="20"/>
          <w:szCs w:val="20"/>
          <w:lang w:val="en-CA"/>
        </w:rPr>
        <w:t>, I believe that the study of colour in Western art must proceed along broadly anthropological lines. But in many cases its raw materials and artefacts and their documentation are more sophisticated and complex than those familiar to anthropologists, so that their methods cannot always be usefully brought to bear</w:t>
      </w:r>
      <w:r w:rsidRPr="00FE61B7">
        <w:rPr>
          <w:rStyle w:val="Appelnotedebasdep"/>
          <w:sz w:val="20"/>
          <w:szCs w:val="20"/>
        </w:rPr>
        <w:footnoteReference w:id="39"/>
      </w:r>
      <w:r w:rsidRPr="00AC0AF7">
        <w:rPr>
          <w:sz w:val="20"/>
          <w:szCs w:val="20"/>
          <w:lang w:val="en-CA"/>
        </w:rPr>
        <w:t>.</w:t>
      </w:r>
    </w:p>
    <w:p w:rsidR="00376EFE" w:rsidRPr="00FE61B7" w:rsidRDefault="00376EFE" w:rsidP="00F04FC5">
      <w:pPr>
        <w:spacing w:line="360" w:lineRule="auto"/>
        <w:jc w:val="both"/>
      </w:pPr>
      <w:r w:rsidRPr="00FE61B7">
        <w:t>Ces deux historiens croient fermement qu’une histoire des couleurs est maintenant nécessaire et que les historiens de l’art ont laissé trop longtemps de côté cet aspect de leur domaine d’étude pour de nombreuses raisons qui seront maintenant évoquées. C’est évidemment Pastoureau qui explique le mieux ces problèmes dans le premier livre qui a été cité un peu plus haut. Il en discute également dans ses deux autres livres, mais c’est vraiment dans le premier qu’il établit et explique en profondeur les différents domaines de difficultés : soient documentaires, méthodologiques et épistémologiques.</w:t>
      </w:r>
    </w:p>
    <w:p w:rsidR="00376EFE" w:rsidRPr="00FE61B7" w:rsidRDefault="00376EFE" w:rsidP="00F04FC5">
      <w:pPr>
        <w:spacing w:line="360" w:lineRule="auto"/>
        <w:jc w:val="both"/>
      </w:pPr>
      <w:r w:rsidRPr="00FE61B7">
        <w:tab/>
        <w:t>En ce qui a trait aux complications documentaires, Pastoureau établit le problème de base : nous regardons des couleurs vieilles de plusieurs siècles avec des yeux de personnes vivant au XXI</w:t>
      </w:r>
      <w:r w:rsidRPr="00FE61B7">
        <w:rPr>
          <w:vertAlign w:val="superscript"/>
        </w:rPr>
        <w:t>e</w:t>
      </w:r>
      <w:r w:rsidRPr="00FE61B7">
        <w:t xml:space="preserve"> siècle. Il écrit sur ce point :</w:t>
      </w:r>
    </w:p>
    <w:p w:rsidR="00376EFE" w:rsidRPr="00FE61B7" w:rsidRDefault="00376EFE" w:rsidP="00F04FC5">
      <w:pPr>
        <w:spacing w:line="360" w:lineRule="auto"/>
        <w:ind w:left="1134" w:right="1134"/>
        <w:jc w:val="both"/>
        <w:rPr>
          <w:sz w:val="20"/>
        </w:rPr>
      </w:pPr>
      <w:r w:rsidRPr="00FE61B7">
        <w:rPr>
          <w:sz w:val="20"/>
        </w:rPr>
        <w:t xml:space="preserve">Les premières difficultés tiennent à la multiplicité des supports de la couleur et à l’état dans lequel chacun nous a été conservé. Toutefois, avant toute enquête sur ces supports, l’historien doit impérativement se souvenir qu’il voit les objets et les images en couleurs </w:t>
      </w:r>
      <w:r w:rsidR="005F56DC">
        <w:rPr>
          <w:sz w:val="20"/>
        </w:rPr>
        <w:t>te</w:t>
      </w:r>
      <w:r w:rsidR="002F68B4">
        <w:rPr>
          <w:sz w:val="20"/>
        </w:rPr>
        <w:t>l</w:t>
      </w:r>
      <w:r w:rsidR="005F56DC">
        <w:rPr>
          <w:sz w:val="20"/>
        </w:rPr>
        <w:t xml:space="preserve"> </w:t>
      </w:r>
      <w:r w:rsidRPr="00FE61B7">
        <w:rPr>
          <w:sz w:val="20"/>
        </w:rPr>
        <w:t xml:space="preserve">que les siècles passés nous </w:t>
      </w:r>
      <w:r w:rsidR="005F56DC">
        <w:rPr>
          <w:sz w:val="20"/>
        </w:rPr>
        <w:t xml:space="preserve">les </w:t>
      </w:r>
      <w:r w:rsidRPr="00FE61B7">
        <w:rPr>
          <w:sz w:val="20"/>
        </w:rPr>
        <w:t>ont transmis non pas dans leur état d’origine, mais tels que le temps les a faits</w:t>
      </w:r>
      <w:r w:rsidRPr="00FE61B7">
        <w:rPr>
          <w:rStyle w:val="Appelnotedebasdep"/>
          <w:sz w:val="20"/>
        </w:rPr>
        <w:footnoteReference w:id="40"/>
      </w:r>
      <w:r w:rsidRPr="00FE61B7">
        <w:rPr>
          <w:sz w:val="20"/>
        </w:rPr>
        <w:t>.</w:t>
      </w:r>
    </w:p>
    <w:p w:rsidR="00376EFE" w:rsidRPr="00FE61B7" w:rsidRDefault="00376EFE" w:rsidP="00F04FC5">
      <w:pPr>
        <w:spacing w:line="360" w:lineRule="auto"/>
        <w:jc w:val="both"/>
      </w:pPr>
      <w:r w:rsidRPr="00FE61B7">
        <w:t xml:space="preserve">Nous savons de source sûre que l’Europe médiévale était un monde très coloré grâce aux descriptions que l’on retrouve dans la littérature de cette époque. Mais, le temps a fait des ravages dans bien des cas. Bon nombre d’éléments dans l’art, l’architecture, dans les manuscrits, etc. ont </w:t>
      </w:r>
      <w:r w:rsidRPr="00FE61B7">
        <w:lastRenderedPageBreak/>
        <w:t>perdu beaucoup de leurs couleurs d’origine et, même si des laboratoires tentent de remédier à ce problème à l’aide de leurs techniques de restauration, cette entreprise est dangereuse selon Pastoureau. De toute façon, pour ce dernier, la détérioration de la couleur est un fait historique en soi qui ne doit absolument pas être négligé et ces « restaurateurs » font preuve d’un certain « positivisme scientifique »</w:t>
      </w:r>
      <w:r w:rsidRPr="00FE61B7">
        <w:rPr>
          <w:rStyle w:val="Appelnotedebasdep"/>
        </w:rPr>
        <w:footnoteReference w:id="41"/>
      </w:r>
      <w:r w:rsidRPr="00FE61B7">
        <w:t xml:space="preserve">. Mieux vaut étudier le document </w:t>
      </w:r>
      <w:r w:rsidR="002F68B4">
        <w:t xml:space="preserve">tel quel </w:t>
      </w:r>
      <w:r w:rsidRPr="00FE61B7">
        <w:t xml:space="preserve">plutôt que de le restaurer et, ainsi, endommager un document qui possède une grande quantité d’informations même si celui-ci est abimé. Il existe un exemple bien simple de détérioration : celui de la couleur bleue. Celle-ci est généralement créée à partir d’une pierre semi-précieuse, le lapis-lazuli, comme le confirme Philip Ball dans son livre </w:t>
      </w:r>
      <w:r w:rsidRPr="00FE61B7">
        <w:rPr>
          <w:i/>
        </w:rPr>
        <w:t>Histoire vivante des couleurs : 5000 ans de peinture racontée par des pigments</w:t>
      </w:r>
      <w:r w:rsidRPr="00FE61B7">
        <w:t xml:space="preserve">. Mais, son usage est devenu de plus en plus régulier </w:t>
      </w:r>
      <w:r w:rsidR="002F68B4">
        <w:t xml:space="preserve">seulement </w:t>
      </w:r>
      <w:r w:rsidRPr="00FE61B7">
        <w:t>à partir du XIV</w:t>
      </w:r>
      <w:r w:rsidRPr="00FE61B7">
        <w:rPr>
          <w:vertAlign w:val="superscript"/>
        </w:rPr>
        <w:t>e</w:t>
      </w:r>
      <w:r w:rsidRPr="00FE61B7">
        <w:t xml:space="preserve"> siècle. </w:t>
      </w:r>
      <w:r w:rsidR="00CF73EF">
        <w:t xml:space="preserve">Plus de détails seront donnés dans la section sur la création des pigments. </w:t>
      </w:r>
      <w:r w:rsidRPr="00FE61B7">
        <w:t>La plupart du temps, on se servait de l’azurite. Ball écrit sur ce point : « Un bleu moins cher, mais pas bon marché pour cela, était l’azurite minérale, une forme de carbonate de cuivre basique »</w:t>
      </w:r>
      <w:r w:rsidRPr="00FE61B7">
        <w:rPr>
          <w:rStyle w:val="Appelnotedebasdep"/>
        </w:rPr>
        <w:footnoteReference w:id="42"/>
      </w:r>
      <w:r w:rsidRPr="00FE61B7">
        <w:t xml:space="preserve">. Le pigment fabriqué à partir de l’azurite est un bleu possédant une légère teinte verte. Dans sa composition chimique, ce minerai contient du cuivre comme mentionné précédemment. On comprend ainsi que ce pigment à tendance à devenir vert lorsqu’il est en contact prolongé avec l’humidité. Pour en revenir à ce que Pastoureau a écrit, si on se retrouve en face d’un manuscrit mal conservé, il est possible que des teintes de vert soient en réalité du bleu. </w:t>
      </w:r>
      <w:r w:rsidR="00CF73EF">
        <w:t>Dépendamment</w:t>
      </w:r>
      <w:r w:rsidRPr="00FE61B7">
        <w:t xml:space="preserve"> de la situation, nous pouvons éviter ce piège en analysant bien la situation. Nous verrons plus tard que la couleur de la Vierge Marie est le bleu à la fin du Moyen Âge. Alors, si on trouve par exemple une Vierge Marie en vert dans un document quelconque, on comprend qu’il y a un problème qui n’en est pas en soi. On sait à partir des écrits de Ball que l’azurite a été utilisée pour faire ce pigment et on peut ainsi procéder avec précaution à l’analyse </w:t>
      </w:r>
      <w:r w:rsidR="00CF73EF">
        <w:t xml:space="preserve">de </w:t>
      </w:r>
      <w:r w:rsidRPr="00FE61B7">
        <w:t>cette couleur en sachant que c’est le bleu qui devrait être à la place du vert. Ainsi, en étant bien prudents, nous pouvons déterminer l’historique des couleurs comme Pastoureau nous demande de le faire. Pour le livre d’Heures du maître de Jean d’Albret, le document est en assez bon état. On remarque une légère dégradation des images, signe que le document n’a sûrement pas été retouché, puisqu’on retrouve des petites taches blanches dans certaines enluminures. Nous n’aurons donc pas à envisager ce problème dans le cadre de ce mémoire.</w:t>
      </w:r>
    </w:p>
    <w:p w:rsidR="00376EFE" w:rsidRPr="00FE61B7" w:rsidRDefault="00376EFE" w:rsidP="00F04FC5">
      <w:pPr>
        <w:spacing w:line="360" w:lineRule="auto"/>
        <w:jc w:val="both"/>
      </w:pPr>
      <w:r w:rsidRPr="00FE61B7">
        <w:lastRenderedPageBreak/>
        <w:tab/>
        <w:t>Un autre fait sur lequel Pastoureau porte son attention à propos des difficultés documentaires est celui de l’éclai</w:t>
      </w:r>
      <w:r w:rsidR="003A416E">
        <w:t>rage. Il ne fait aucun doute à s</w:t>
      </w:r>
      <w:r w:rsidRPr="00FE61B7">
        <w:t xml:space="preserve">on sens que celui d’aujourd’hui est très différent de celui du Moyen Âge et il se plaint encore une fois des restaurations faites alors que personne ne prend </w:t>
      </w:r>
      <w:r w:rsidR="003A416E">
        <w:t xml:space="preserve">pas </w:t>
      </w:r>
      <w:r w:rsidRPr="00FE61B7">
        <w:t>en compte la différence des types d’éclairage entre aujourd’hui et le Moyen Âge. Il écrit justement : « La torche, la lampe à l’huile, la chandelle, le cierge, la bougie produisent une lumière qui n’est pas celle que procure le courant électrique. Quel historien des images, des œuvres d’art o</w:t>
      </w:r>
      <w:r w:rsidR="00463314">
        <w:t>u des monuments en tient compte?</w:t>
      </w:r>
      <w:r w:rsidR="00162703">
        <w:t> </w:t>
      </w:r>
      <w:r w:rsidRPr="00FE61B7">
        <w:t>»</w:t>
      </w:r>
      <w:r w:rsidRPr="00FE61B7">
        <w:rPr>
          <w:rStyle w:val="Appelnotedebasdep"/>
        </w:rPr>
        <w:footnoteReference w:id="43"/>
      </w:r>
      <w:r w:rsidRPr="00FE61B7">
        <w:t xml:space="preserve"> </w:t>
      </w:r>
      <w:proofErr w:type="gramStart"/>
      <w:r w:rsidRPr="00FE61B7">
        <w:t>et</w:t>
      </w:r>
      <w:proofErr w:type="gramEnd"/>
      <w:r w:rsidRPr="00FE61B7">
        <w:t xml:space="preserve"> « Que voit-on réellement des couleurs de Michel-Ange avec nos éclairages de l’an 2004? La trahison n’est-elle pas plus grande que les transformations opérées lentement par le temps et par les hommes entre le XVI</w:t>
      </w:r>
      <w:r w:rsidRPr="00FE61B7">
        <w:rPr>
          <w:vertAlign w:val="superscript"/>
        </w:rPr>
        <w:t>e</w:t>
      </w:r>
      <w:r w:rsidRPr="00FE61B7">
        <w:t xml:space="preserve"> siècle et le XIX</w:t>
      </w:r>
      <w:r w:rsidRPr="00FE61B7">
        <w:rPr>
          <w:vertAlign w:val="superscript"/>
        </w:rPr>
        <w:t>e</w:t>
      </w:r>
      <w:r w:rsidRPr="00FE61B7">
        <w:t xml:space="preserve"> siècle?»</w:t>
      </w:r>
      <w:r w:rsidRPr="00FE61B7">
        <w:rPr>
          <w:rStyle w:val="Appelnotedebasdep"/>
        </w:rPr>
        <w:footnoteReference w:id="44"/>
      </w:r>
      <w:r w:rsidRPr="00FE61B7">
        <w:t>. Sur ce dernier point, il serait intéressant d’étudier cela dans les livres d’Heures puisque l’on sait que le but était de créer un effet de mouvement dans les images pour aider le croyant à méditer. Il est évident que nous ne pouvons pas voir cela avec l’éclairage d’aujourd’hui qui nous donne une lumière constamment stable. Mais, au Moyen Âge, la base de tout éclairage était le feu qui donnait une luminosité vacillante. Cet peut-être un aspect qui aidait justement les gens à voir les images bougées pendant leur prière.</w:t>
      </w:r>
    </w:p>
    <w:p w:rsidR="00376EFE" w:rsidRPr="00FE61B7" w:rsidRDefault="00376EFE" w:rsidP="00F04FC5">
      <w:pPr>
        <w:spacing w:line="360" w:lineRule="auto"/>
        <w:jc w:val="both"/>
      </w:pPr>
      <w:r w:rsidRPr="00FE61B7">
        <w:tab/>
        <w:t>Pour l’instant, nous avons surtout discuté des problèmes liés aux sources, mais pires sont le cas des différentes publications de sources et les travaux historiques. Depuis le XVI</w:t>
      </w:r>
      <w:r w:rsidRPr="00FE61B7">
        <w:rPr>
          <w:vertAlign w:val="superscript"/>
        </w:rPr>
        <w:t>e</w:t>
      </w:r>
      <w:r w:rsidRPr="00FE61B7">
        <w:t xml:space="preserve"> siècle, les images présentes dans ces livres sont généralement publiées en noir et blanc. Pastoureau écrit sur ce point : </w:t>
      </w:r>
    </w:p>
    <w:p w:rsidR="00376EFE" w:rsidRPr="00FE61B7" w:rsidRDefault="00376EFE" w:rsidP="00F04FC5">
      <w:pPr>
        <w:spacing w:line="360" w:lineRule="auto"/>
        <w:ind w:left="1134" w:right="1134"/>
        <w:jc w:val="both"/>
        <w:rPr>
          <w:sz w:val="20"/>
        </w:rPr>
      </w:pPr>
      <w:r w:rsidRPr="00FE61B7">
        <w:rPr>
          <w:sz w:val="20"/>
        </w:rPr>
        <w:t>Habitués à travailler à partir de documents, de livres, de périodiques et d’iconothèques où dominaient très largement les images en noir et blanc, les historiens (et les historiens de l’art peut-être encore plus que les autres) ont, jusqu’à une date récente, pensé et étudié le Moyen Âge soit comme un monde fait de gris, de noirs et de blancs, soit comme un univers d’où la couleur était totalement absente</w:t>
      </w:r>
      <w:r w:rsidR="00AB67ED">
        <w:rPr>
          <w:rStyle w:val="Appelnotedebasdep"/>
          <w:sz w:val="20"/>
        </w:rPr>
        <w:footnoteReference w:id="45"/>
      </w:r>
      <w:r w:rsidRPr="00FE61B7">
        <w:rPr>
          <w:sz w:val="20"/>
        </w:rPr>
        <w:t>.</w:t>
      </w:r>
    </w:p>
    <w:p w:rsidR="00376EFE" w:rsidRPr="00FE61B7" w:rsidRDefault="00376EFE" w:rsidP="00F04FC5">
      <w:pPr>
        <w:spacing w:line="360" w:lineRule="auto"/>
        <w:jc w:val="both"/>
      </w:pPr>
      <w:r w:rsidRPr="00FE61B7">
        <w:t xml:space="preserve">La raison de ce choix est bien simple : le coût. Publier un ouvrage avec seulement des images en couleur est extrêmement coûteux pour l’éditeur. Le prix des livres augmente donc en conséquence. Le choix des éditeurs se porte ainsi souvent sur deux choix : la limitation ou l’élimination des images colorées dans leur publication. Cependant, malgré la plainte de </w:t>
      </w:r>
      <w:r w:rsidRPr="00FE61B7">
        <w:lastRenderedPageBreak/>
        <w:t>Pastoureau sur l’inaccessibilité des documents originaux en couleur, les choses ont sûrement bien changé depuis la première publication d’</w:t>
      </w:r>
      <w:r w:rsidRPr="00FE61B7">
        <w:rPr>
          <w:i/>
        </w:rPr>
        <w:t>Une histoire symbolique du Moyen Âge occidental</w:t>
      </w:r>
      <w:r w:rsidRPr="00FE61B7">
        <w:t xml:space="preserve"> en 2004. À ce moment, il était difficile selon Pastoureau pour un historien ou un élève d’avoir accès à des documents colorés, raison pour laquelle plusieurs abandonnaient leur recherche, mais on retrouve actuellement une meilleure accessibilité à ceux-ci grâce aux différentes entreprises de numérisation et de publication sur l’</w:t>
      </w:r>
      <w:r w:rsidR="005F56DC">
        <w:t>I</w:t>
      </w:r>
      <w:r w:rsidRPr="00FE61B7">
        <w:t xml:space="preserve">nternet. Pour le livre d’Heures du maître de Jean d’Albret, la chance </w:t>
      </w:r>
      <w:r w:rsidR="00AB67ED">
        <w:t>présente</w:t>
      </w:r>
      <w:r w:rsidRPr="00FE61B7">
        <w:t xml:space="preserve"> pour trouver ce recueil de prières aussi près de mon domicile et de pouvoir être en contact direct avec un document vieux de cinq siècles. Avec l’Internet, il a été plus facile de trouver des images en couleur sur lesquelles il était possible de tester les théorie</w:t>
      </w:r>
      <w:r w:rsidR="00AB67ED">
        <w:t>s évoquées dans ce mémoire. Néanmoins</w:t>
      </w:r>
      <w:r w:rsidRPr="00FE61B7">
        <w:t xml:space="preserve">, il faut tout de même rester prudent puisque les images numérisées et imprimées </w:t>
      </w:r>
      <w:r w:rsidR="00AB67ED">
        <w:t>ne rendent pas toujours</w:t>
      </w:r>
      <w:r w:rsidRPr="00FE61B7">
        <w:t xml:space="preserve"> justice à la pièce d’origine. Il est toujours préférable de voir cette dernière. Aujourd’hui, une histoire symbolique des couleurs reste difficile, mais elle est quand même plus facile qu’il y a une décennie. Les étudiants et les chercheurs qui abandonnaient leur recherche selon Pastoureau n’ont plus comme excuse l’inaccessibilité aux documents colorés maintenant. De meilleures solutions existent</w:t>
      </w:r>
      <w:r w:rsidR="00AB67ED">
        <w:t xml:space="preserve"> actuellement</w:t>
      </w:r>
      <w:r w:rsidRPr="00FE61B7">
        <w:t xml:space="preserve"> et il existe toujours un moyen de s’organiser en étant ingénieux.</w:t>
      </w:r>
    </w:p>
    <w:p w:rsidR="00376EFE" w:rsidRPr="00FE61B7" w:rsidRDefault="00376EFE" w:rsidP="00F04FC5">
      <w:pPr>
        <w:spacing w:line="360" w:lineRule="auto"/>
        <w:jc w:val="both"/>
      </w:pPr>
      <w:r w:rsidRPr="00FE61B7">
        <w:tab/>
        <w:t>Ensuite, il existe également des difficultés méthodologiques. La question principale qu’on doit absolument se poser quand il est question des couleurs est : comment doit-on aborder celles-ci dans une image médiévale? Pastoureau définit bien les bases de la méthodologie de l’histoire des couleurs quand il écrit : « Avec la couleur, en effet, tous les problèmes ― matériels, techniques, chimiques, iconographiques, artistiques, symboliques ― se posent en même temps »</w:t>
      </w:r>
      <w:r w:rsidRPr="00FE61B7">
        <w:rPr>
          <w:rStyle w:val="Appelnotedebasdep"/>
        </w:rPr>
        <w:footnoteReference w:id="46"/>
      </w:r>
      <w:r w:rsidRPr="00FE61B7">
        <w:t>. Étudier la couleur, c’est regarder dans toutes les directions en même temps. Nous verrons justement cela plus tard</w:t>
      </w:r>
      <w:r w:rsidR="00AB67ED">
        <w:t xml:space="preserve"> lorsque nous effectuerons l’analyse des images du livre d’Heures du maître de Jean d’Albret</w:t>
      </w:r>
      <w:r w:rsidRPr="00FE61B7">
        <w:t xml:space="preserve">. Les réponses aux différentes problématiques se trouveront autant dans l’art, l’architecture, les manuscrits, la littérature et même dans le vestimentaire. Il faudra même prendre en note l’absence de certaines couleurs. Nous devons être ouverts à de nombreuses possibilités lorsque nous étudions les couleurs. Mais, l’aspect sur lequel il faut être le plus prudent est la véritable signification des couleurs comme l’explique encore une fois Pastoureau : </w:t>
      </w:r>
    </w:p>
    <w:p w:rsidR="00376EFE" w:rsidRPr="00FE61B7" w:rsidRDefault="00376EFE" w:rsidP="00F04FC5">
      <w:pPr>
        <w:spacing w:line="360" w:lineRule="auto"/>
        <w:ind w:left="1134" w:right="1134"/>
        <w:jc w:val="both"/>
        <w:rPr>
          <w:sz w:val="20"/>
        </w:rPr>
      </w:pPr>
      <w:r w:rsidRPr="00FE61B7">
        <w:rPr>
          <w:sz w:val="20"/>
        </w:rPr>
        <w:lastRenderedPageBreak/>
        <w:t>L’image médiévale ne « photographie » jamais la réalité. Elle n’est absolument pas faite pour cela, ni dans le domaine des formes ni dans celui des couleurs. Croire, par exemple, qu’un vêtement rouge prenant la place dans une miniature du XIII</w:t>
      </w:r>
      <w:r w:rsidRPr="00FE61B7">
        <w:rPr>
          <w:sz w:val="20"/>
          <w:vertAlign w:val="superscript"/>
        </w:rPr>
        <w:t>e</w:t>
      </w:r>
      <w:r w:rsidRPr="00FE61B7">
        <w:rPr>
          <w:sz w:val="20"/>
        </w:rPr>
        <w:t xml:space="preserve"> siècle ou dans un vitrail du XV</w:t>
      </w:r>
      <w:r w:rsidRPr="00FE61B7">
        <w:rPr>
          <w:sz w:val="20"/>
          <w:vertAlign w:val="superscript"/>
        </w:rPr>
        <w:t>e</w:t>
      </w:r>
      <w:r w:rsidRPr="00FE61B7">
        <w:rPr>
          <w:sz w:val="20"/>
        </w:rPr>
        <w:t xml:space="preserve"> siècle représente un vêtement véritable, qui a réellement été rouge, est à la fois naïf, anachronique et faux</w:t>
      </w:r>
      <w:r w:rsidRPr="00FE61B7">
        <w:rPr>
          <w:rStyle w:val="Appelnotedebasdep"/>
          <w:sz w:val="20"/>
        </w:rPr>
        <w:footnoteReference w:id="47"/>
      </w:r>
      <w:r w:rsidRPr="00FE61B7">
        <w:rPr>
          <w:sz w:val="20"/>
        </w:rPr>
        <w:t>.</w:t>
      </w:r>
    </w:p>
    <w:p w:rsidR="00376EFE" w:rsidRPr="00FE61B7" w:rsidRDefault="00376EFE" w:rsidP="00F04FC5">
      <w:pPr>
        <w:spacing w:line="360" w:lineRule="auto"/>
        <w:jc w:val="both"/>
      </w:pPr>
      <w:r w:rsidRPr="00FE61B7">
        <w:t>L’historien des couleurs doit comprendre dès le départ de ses recherches que chaque couleur utilisée sur un support véhicule un message jusqu’à son observateur et elles ont été placées là pour une bonne raison.</w:t>
      </w:r>
    </w:p>
    <w:p w:rsidR="00376EFE" w:rsidRPr="00FE61B7" w:rsidRDefault="00376EFE" w:rsidP="00F04FC5">
      <w:pPr>
        <w:spacing w:line="360" w:lineRule="auto"/>
        <w:jc w:val="both"/>
      </w:pPr>
      <w:r w:rsidRPr="00FE61B7">
        <w:tab/>
        <w:t>Et c’est justement ici que rentrent en ligne de compte les difficultés épistémologiques puisque nous sommes nous-mêmes des observateurs de ces images médiévales, mais des observateurs du XXI</w:t>
      </w:r>
      <w:r w:rsidRPr="00FE61B7">
        <w:rPr>
          <w:vertAlign w:val="superscript"/>
        </w:rPr>
        <w:t>e</w:t>
      </w:r>
      <w:r w:rsidRPr="00FE61B7">
        <w:t xml:space="preserve"> siècle. Nous possédons tous des idées préconçues par rapport aux différentes symboliques des couleurs. Le danger est de reporter ce que nous croyons savoir sur les couleurs sur des images datant du Moyen Âge. Les gens ne les percevaient pas du tout de la même façon. Un exemple est celui du rouge qui est sans aucun doute la couleur de</w:t>
      </w:r>
      <w:r w:rsidR="00E14B7D">
        <w:t xml:space="preserve"> l’amour aujourd’hui. C</w:t>
      </w:r>
      <w:r w:rsidRPr="00FE61B7">
        <w:t>’est loin d’être le même cas au Moyen Âge puisque c’est le bleu qui remplit ce rôle ce que nous explorerons plus tard dans ce mémoire. Il faut absolument garder un état d’esprit ouvert et se mettre à la place d’une personne qui a vécu bien des siècles avant nous et qui n’avait pas les mêmes méthodes de pensée que nous. Quelques couleurs ont gardé sensiblement le même sens profond jusqu’à nos jours, mais, pour les autres, nous pouvons être agréablement surpris par le contraste qui existe entre notre époque et celle du Moyen Âge. Encore, pendant cette dernière période, la symbolique des couleurs est changeante et il faut être prudent quant à la période que nous sommes en train d’étudier.</w:t>
      </w:r>
    </w:p>
    <w:p w:rsidR="00376EFE" w:rsidRPr="00FE61B7" w:rsidRDefault="00376EFE" w:rsidP="00F04FC5">
      <w:pPr>
        <w:spacing w:line="360" w:lineRule="auto"/>
        <w:jc w:val="both"/>
      </w:pPr>
      <w:r w:rsidRPr="00FE61B7">
        <w:tab/>
        <w:t>Pour toutes ces raisons, l’historien craint l’étude des couleurs. Il s’agit d’un ensemble de facteurs qui fait en sorte que c’est un domaine de la culture médiévale très complexe et difficile d’approche. Mais, c’est ce qui fait qu’il s’agit d’un domaine d’études tellement passionnant. La couleur touche à plusieurs aspects de la vie quotidienne au Moyen Âge. Comme l’explique Pastoureau dans la conclusion de cette section de son livre,</w:t>
      </w:r>
    </w:p>
    <w:p w:rsidR="00376EFE" w:rsidRPr="00FE61B7" w:rsidRDefault="00376EFE" w:rsidP="00F04FC5">
      <w:pPr>
        <w:spacing w:line="360" w:lineRule="auto"/>
        <w:ind w:left="1134" w:right="1134"/>
        <w:jc w:val="both"/>
        <w:rPr>
          <w:sz w:val="20"/>
          <w:szCs w:val="20"/>
        </w:rPr>
      </w:pPr>
      <w:r w:rsidRPr="00FE61B7">
        <w:rPr>
          <w:sz w:val="20"/>
          <w:szCs w:val="20"/>
        </w:rPr>
        <w:t xml:space="preserve">Pour entreprendre celle-ci [l’histoire des couleurs], le travail de l’historien est double. D’une part il lui faut essayer de cerner ce qu’a pu être l’univers des couleurs pour les </w:t>
      </w:r>
      <w:r w:rsidRPr="00FE61B7">
        <w:rPr>
          <w:sz w:val="20"/>
          <w:szCs w:val="20"/>
        </w:rPr>
        <w:lastRenderedPageBreak/>
        <w:t>sociétés médiévales, en prenant compte toutes les composantes de cet univers : le lexique et les faites de nomination, la chimie des pigments et les techniques de teinture, les systèmes vestimentaires et les codes qui les sous-tendent, la place de la couleur dans la vie quotidienne et dans la culture médiévale, les règlements émanant des autorités, les moralisations des hommes d’Église, les spéculations des hommes de science, les créations des hommes de l’art</w:t>
      </w:r>
      <w:r w:rsidRPr="00FE61B7">
        <w:rPr>
          <w:rStyle w:val="Appelnotedebasdep"/>
          <w:sz w:val="20"/>
          <w:szCs w:val="20"/>
        </w:rPr>
        <w:footnoteReference w:id="48"/>
      </w:r>
      <w:r w:rsidRPr="00FE61B7">
        <w:rPr>
          <w:sz w:val="20"/>
          <w:szCs w:val="20"/>
        </w:rPr>
        <w:t>.</w:t>
      </w:r>
    </w:p>
    <w:p w:rsidR="00AA6EA5" w:rsidRPr="00FE61B7" w:rsidRDefault="00376EFE" w:rsidP="00F04FC5">
      <w:pPr>
        <w:spacing w:line="360" w:lineRule="auto"/>
        <w:jc w:val="both"/>
      </w:pPr>
      <w:r w:rsidRPr="00FE61B7">
        <w:t>Je me suis justement efforcé de faire toutes ces choses dans ce mémoire avec le meilleur de capacité.</w:t>
      </w:r>
      <w:r w:rsidR="000E58B2" w:rsidRPr="00FE61B7">
        <w:t xml:space="preserve"> </w:t>
      </w:r>
    </w:p>
    <w:p w:rsidR="00376EFE" w:rsidRPr="00FE61B7" w:rsidRDefault="000E58B2" w:rsidP="00F04FC5">
      <w:pPr>
        <w:spacing w:line="360" w:lineRule="auto"/>
        <w:ind w:firstLine="708"/>
        <w:jc w:val="both"/>
      </w:pPr>
      <w:r w:rsidRPr="00FE61B7">
        <w:t>Dans la prochaine section, je ferai un état de la question même si on ne retrouve pas beaucoup d’auteurs qui analysent les couleurs. Il ne sera plus tellement question de Michel Pastoureau dans ce chapitre. Un état de la question de cet auteur serait redondant puisqu</w:t>
      </w:r>
      <w:r w:rsidR="005F56DC">
        <w:t>’</w:t>
      </w:r>
      <w:r w:rsidRPr="00FE61B7">
        <w:t>il sera à maintes reprises question de lui dans cette étude. Dans la section «</w:t>
      </w:r>
      <w:r w:rsidR="005D7A47">
        <w:t> </w:t>
      </w:r>
      <w:r w:rsidRPr="00FE61B7">
        <w:t>Couleur</w:t>
      </w:r>
      <w:r w:rsidR="005D7A47">
        <w:t> </w:t>
      </w:r>
      <w:r w:rsidRPr="00FE61B7">
        <w:t xml:space="preserve">» du contexte historique, on retrouve déjà un petit état de la question portant sur Pastoureau. </w:t>
      </w:r>
      <w:r w:rsidR="00AA6EA5" w:rsidRPr="00FE61B7">
        <w:t>Le cas de Philip Ball est similaire. Il est souvent mentionné dans la section destiné</w:t>
      </w:r>
      <w:r w:rsidR="005F56DC">
        <w:t>e</w:t>
      </w:r>
      <w:r w:rsidR="00AA6EA5" w:rsidRPr="00FE61B7">
        <w:t xml:space="preserve"> aux pigments. Son ouvrage </w:t>
      </w:r>
      <w:r w:rsidR="00AA6EA5" w:rsidRPr="00FE61B7">
        <w:rPr>
          <w:i/>
        </w:rPr>
        <w:t>Histoire vivante des couleurs : 5000 ans de peinture racontée par les pigments</w:t>
      </w:r>
      <w:r w:rsidR="00AA6EA5" w:rsidRPr="00FE61B7">
        <w:t xml:space="preserve"> ne se concentre pas sur la symbolique des couleurs</w:t>
      </w:r>
      <w:r w:rsidR="005D7A47">
        <w:t>,</w:t>
      </w:r>
      <w:r w:rsidR="00AA6EA5" w:rsidRPr="00FE61B7">
        <w:t xml:space="preserve"> mais sur la fabrication de celle</w:t>
      </w:r>
      <w:r w:rsidR="00E14B7D">
        <w:t>s</w:t>
      </w:r>
      <w:r w:rsidR="00AA6EA5" w:rsidRPr="00FE61B7">
        <w:t xml:space="preserve">-ci de l’Antiquité jusqu’à nos jours. Pour l’historien qui s’intéresse à ce sujet, ce livre est la base de toutes études. </w:t>
      </w:r>
      <w:r w:rsidRPr="00FE61B7">
        <w:t>Je voudrais m’attarder sur les autres auteurs qui amènent certaines nuances dans les prochaines sections</w:t>
      </w:r>
      <w:r w:rsidR="00AA6EA5" w:rsidRPr="00FE61B7">
        <w:t xml:space="preserve"> et qui n’ont malheureusement pas eu autant de mentions que Michel Pastoureau</w:t>
      </w:r>
      <w:r w:rsidRPr="00FE61B7">
        <w:t>.</w:t>
      </w:r>
    </w:p>
    <w:p w:rsidR="00376EFE" w:rsidRPr="00FE61B7" w:rsidRDefault="00376EFE" w:rsidP="00F04FC5">
      <w:pPr>
        <w:pStyle w:val="Titre2"/>
        <w:spacing w:line="360" w:lineRule="auto"/>
        <w:jc w:val="both"/>
        <w:rPr>
          <w:rFonts w:ascii="Times New Roman" w:hAnsi="Times New Roman" w:cs="Times New Roman"/>
          <w:color w:val="auto"/>
          <w:sz w:val="24"/>
          <w:szCs w:val="24"/>
        </w:rPr>
      </w:pPr>
      <w:bookmarkStart w:id="13" w:name="_Toc401478194"/>
      <w:r w:rsidRPr="00FE61B7">
        <w:rPr>
          <w:rFonts w:ascii="Times New Roman" w:hAnsi="Times New Roman" w:cs="Times New Roman"/>
          <w:color w:val="auto"/>
          <w:sz w:val="24"/>
          <w:szCs w:val="24"/>
        </w:rPr>
        <w:t>John Gage</w:t>
      </w:r>
      <w:bookmarkEnd w:id="13"/>
    </w:p>
    <w:p w:rsidR="006E74C4" w:rsidRPr="00FE61B7" w:rsidRDefault="00376EFE" w:rsidP="00F04FC5">
      <w:pPr>
        <w:spacing w:line="360" w:lineRule="auto"/>
        <w:jc w:val="both"/>
        <w:rPr>
          <w:rStyle w:val="apple-style-span"/>
        </w:rPr>
      </w:pPr>
      <w:r w:rsidRPr="00FE61B7">
        <w:rPr>
          <w:rStyle w:val="apple-style-span"/>
        </w:rPr>
        <w:tab/>
        <w:t xml:space="preserve">Un de ceux qui </w:t>
      </w:r>
      <w:r w:rsidR="005F56DC">
        <w:rPr>
          <w:rStyle w:val="apple-style-span"/>
        </w:rPr>
        <w:t>ont</w:t>
      </w:r>
      <w:r w:rsidRPr="00FE61B7">
        <w:rPr>
          <w:rStyle w:val="apple-style-span"/>
        </w:rPr>
        <w:t xml:space="preserve"> travaillé sur les couleurs est John Gage</w:t>
      </w:r>
      <w:r w:rsidR="00C7140C" w:rsidRPr="00FE61B7">
        <w:rPr>
          <w:rStyle w:val="apple-style-span"/>
        </w:rPr>
        <w:t>, un ancien directeur du département de l’histoire de l’art de l’Université de Cambridge qui est décédé en 2012</w:t>
      </w:r>
      <w:r w:rsidRPr="00FE61B7">
        <w:rPr>
          <w:rStyle w:val="apple-style-span"/>
        </w:rPr>
        <w:t xml:space="preserve">. </w:t>
      </w:r>
      <w:r w:rsidR="008B32EE">
        <w:rPr>
          <w:rStyle w:val="apple-style-span"/>
        </w:rPr>
        <w:t xml:space="preserve">À mon sens, il n’a pas réellement fait des avancés historiographiques sur les couleurs pendant la période médiévale. </w:t>
      </w:r>
      <w:r w:rsidRPr="00FE61B7">
        <w:rPr>
          <w:rStyle w:val="apple-style-span"/>
        </w:rPr>
        <w:t>La raison principale de ce manque est qu’il s’</w:t>
      </w:r>
      <w:r w:rsidR="00C7140C" w:rsidRPr="00FE61B7">
        <w:rPr>
          <w:rStyle w:val="apple-style-span"/>
        </w:rPr>
        <w:t>est intéressé</w:t>
      </w:r>
      <w:r w:rsidRPr="00FE61B7">
        <w:rPr>
          <w:rStyle w:val="apple-style-span"/>
        </w:rPr>
        <w:t xml:space="preserve"> à la couleur dans l’art </w:t>
      </w:r>
      <w:r w:rsidR="008B32EE">
        <w:rPr>
          <w:rStyle w:val="apple-style-span"/>
        </w:rPr>
        <w:t>à travers toute l’Histoire en se concentrant</w:t>
      </w:r>
      <w:r w:rsidRPr="00FE61B7">
        <w:rPr>
          <w:rStyle w:val="apple-style-span"/>
        </w:rPr>
        <w:t xml:space="preserve"> principalement sur l’époque moderne et contemporaine. Dans ces ouvrages, on ne retrouve</w:t>
      </w:r>
      <w:r w:rsidR="008B32EE">
        <w:rPr>
          <w:rStyle w:val="apple-style-span"/>
        </w:rPr>
        <w:t xml:space="preserve"> généralement</w:t>
      </w:r>
      <w:r w:rsidRPr="00FE61B7">
        <w:rPr>
          <w:rStyle w:val="apple-style-span"/>
        </w:rPr>
        <w:t xml:space="preserve"> que quelques chapitres portant sur la période médiévale. </w:t>
      </w:r>
      <w:r w:rsidR="00C7140C" w:rsidRPr="00FE61B7">
        <w:rPr>
          <w:rStyle w:val="apple-style-span"/>
        </w:rPr>
        <w:t xml:space="preserve">Pour ce qui est des autres périodes historiques, sa contribution est hautement importante pour tous ceux qui voudraient étudier dans ce domaine. Il a notamment écrit </w:t>
      </w:r>
      <w:r w:rsidR="00044D5B" w:rsidRPr="00FE61B7">
        <w:rPr>
          <w:rStyle w:val="apple-style-span"/>
          <w:i/>
        </w:rPr>
        <w:t>Couleur et Culture : Usages et significations de la couleur de l’Antiquité à l’abstraction</w:t>
      </w:r>
      <w:r w:rsidR="00044D5B" w:rsidRPr="00FE61B7">
        <w:rPr>
          <w:rStyle w:val="apple-style-span"/>
        </w:rPr>
        <w:t xml:space="preserve"> (première édition en anglais en 1993), </w:t>
      </w:r>
      <w:proofErr w:type="spellStart"/>
      <w:r w:rsidR="00C7140C" w:rsidRPr="00FE61B7">
        <w:rPr>
          <w:rStyle w:val="apple-style-span"/>
          <w:i/>
        </w:rPr>
        <w:t>Color</w:t>
      </w:r>
      <w:proofErr w:type="spellEnd"/>
      <w:r w:rsidR="00C7140C" w:rsidRPr="00FE61B7">
        <w:rPr>
          <w:rStyle w:val="apple-style-span"/>
          <w:i/>
        </w:rPr>
        <w:t xml:space="preserve"> and </w:t>
      </w:r>
      <w:proofErr w:type="spellStart"/>
      <w:r w:rsidR="00C7140C" w:rsidRPr="00FE61B7">
        <w:rPr>
          <w:rStyle w:val="apple-style-span"/>
          <w:i/>
        </w:rPr>
        <w:t>Meaning</w:t>
      </w:r>
      <w:proofErr w:type="spellEnd"/>
      <w:r w:rsidR="00C7140C" w:rsidRPr="00FE61B7">
        <w:rPr>
          <w:rStyle w:val="apple-style-span"/>
          <w:i/>
        </w:rPr>
        <w:t xml:space="preserve"> : Art, Science, and </w:t>
      </w:r>
      <w:proofErr w:type="spellStart"/>
      <w:r w:rsidR="00C7140C" w:rsidRPr="00FE61B7">
        <w:rPr>
          <w:rStyle w:val="apple-style-span"/>
          <w:i/>
        </w:rPr>
        <w:t>Symbolism</w:t>
      </w:r>
      <w:proofErr w:type="spellEnd"/>
      <w:r w:rsidR="00044D5B" w:rsidRPr="00FE61B7">
        <w:rPr>
          <w:rStyle w:val="apple-style-span"/>
        </w:rPr>
        <w:t xml:space="preserve"> (1999) et </w:t>
      </w:r>
      <w:r w:rsidR="00044D5B" w:rsidRPr="00FE61B7">
        <w:rPr>
          <w:rStyle w:val="apple-style-span"/>
          <w:i/>
        </w:rPr>
        <w:t xml:space="preserve">La Couleur </w:t>
      </w:r>
      <w:r w:rsidR="00044D5B" w:rsidRPr="00FE61B7">
        <w:rPr>
          <w:rStyle w:val="apple-style-span"/>
          <w:i/>
        </w:rPr>
        <w:lastRenderedPageBreak/>
        <w:t>dans l’art</w:t>
      </w:r>
      <w:r w:rsidR="00044D5B" w:rsidRPr="00FE61B7">
        <w:rPr>
          <w:rStyle w:val="apple-style-span"/>
        </w:rPr>
        <w:t xml:space="preserve"> (première édition en anglais en 2006)</w:t>
      </w:r>
      <w:r w:rsidR="00202526" w:rsidRPr="00FE61B7">
        <w:rPr>
          <w:rStyle w:val="apple-style-span"/>
        </w:rPr>
        <w:t xml:space="preserve">. Dans le premier ouvrage </w:t>
      </w:r>
      <w:r w:rsidR="00202526" w:rsidRPr="00FE61B7">
        <w:rPr>
          <w:rStyle w:val="apple-style-span"/>
          <w:i/>
        </w:rPr>
        <w:t>Couleur et Culture</w:t>
      </w:r>
      <w:r w:rsidR="00202526" w:rsidRPr="00FE61B7">
        <w:rPr>
          <w:rStyle w:val="apple-style-span"/>
        </w:rPr>
        <w:t>, Gage fait une étude de cas dans le quatrième chapitre qui se nomme «</w:t>
      </w:r>
      <w:r w:rsidR="005D7A47">
        <w:rPr>
          <w:rStyle w:val="apple-style-span"/>
        </w:rPr>
        <w:t> </w:t>
      </w:r>
      <w:r w:rsidR="00202526" w:rsidRPr="00FE61B7">
        <w:rPr>
          <w:rStyle w:val="apple-style-span"/>
        </w:rPr>
        <w:t>L’esthétique de Saint-Denis</w:t>
      </w:r>
      <w:r w:rsidR="005D7A47">
        <w:rPr>
          <w:rStyle w:val="apple-style-span"/>
        </w:rPr>
        <w:t> </w:t>
      </w:r>
      <w:r w:rsidR="00202526" w:rsidRPr="00FE61B7">
        <w:rPr>
          <w:rStyle w:val="apple-style-span"/>
        </w:rPr>
        <w:t xml:space="preserve">». Celle-ci est très intéressante puisque Suger, abbé de Saint-Denis qui a écrit le </w:t>
      </w:r>
      <w:r w:rsidR="00202526" w:rsidRPr="00FE61B7">
        <w:rPr>
          <w:rStyle w:val="apple-style-span"/>
          <w:i/>
        </w:rPr>
        <w:t xml:space="preserve">De </w:t>
      </w:r>
      <w:proofErr w:type="spellStart"/>
      <w:r w:rsidR="00202526" w:rsidRPr="00FE61B7">
        <w:rPr>
          <w:rStyle w:val="apple-style-span"/>
          <w:i/>
        </w:rPr>
        <w:t>Consecratione</w:t>
      </w:r>
      <w:proofErr w:type="spellEnd"/>
      <w:r w:rsidR="00202526" w:rsidRPr="00FE61B7">
        <w:rPr>
          <w:rStyle w:val="apple-style-span"/>
        </w:rPr>
        <w:t>, entame une reconstruction de son abbaye. Nous discuterons justement de ce personnage historique dans la section portant sur la symbolique de l’or. Étrangement, le discours de cet abbé est contraire à la réalité comme nous le démontre Gage. Bien que Suger semble obsédé par l’idée</w:t>
      </w:r>
      <w:r w:rsidR="00AD07F6" w:rsidRPr="00FE61B7">
        <w:rPr>
          <w:rStyle w:val="apple-style-span"/>
        </w:rPr>
        <w:t xml:space="preserve"> de la lumière comme nous le démontre son ouvrage, Gage affirme que cette abbaye était étrangement sombre. «</w:t>
      </w:r>
      <w:r w:rsidR="005D7A47">
        <w:rPr>
          <w:rStyle w:val="apple-style-span"/>
        </w:rPr>
        <w:t> </w:t>
      </w:r>
      <w:r w:rsidR="00AD07F6" w:rsidRPr="00FE61B7">
        <w:rPr>
          <w:rStyle w:val="apple-style-span"/>
        </w:rPr>
        <w:t>Si la fascination de Suger pour la lumière trahissait somme toute une attitude conventionnelle et presque dépassé</w:t>
      </w:r>
      <w:r w:rsidR="005F56DC">
        <w:rPr>
          <w:rStyle w:val="apple-style-span"/>
        </w:rPr>
        <w:t>e</w:t>
      </w:r>
      <w:r w:rsidR="00AD07F6" w:rsidRPr="00FE61B7">
        <w:rPr>
          <w:rStyle w:val="apple-style-span"/>
        </w:rPr>
        <w:t>, doit-on attribuer l’obscurité mystérieuse qu’il créa à Saint-Denis à une logique moins futile que son goût pour l’ostentation?»</w:t>
      </w:r>
      <w:r w:rsidR="00AD07F6" w:rsidRPr="00FE61B7">
        <w:rPr>
          <w:rStyle w:val="Appelnotedebasdep"/>
        </w:rPr>
        <w:footnoteReference w:id="49"/>
      </w:r>
      <w:r w:rsidR="00AD07F6" w:rsidRPr="00FE61B7">
        <w:rPr>
          <w:rStyle w:val="apple-style-span"/>
        </w:rPr>
        <w:t xml:space="preserve">. Il confirme le même fait dans son autre livre </w:t>
      </w:r>
      <w:r w:rsidR="00AD07F6" w:rsidRPr="00FE61B7">
        <w:rPr>
          <w:rStyle w:val="apple-style-span"/>
          <w:i/>
        </w:rPr>
        <w:t>La Couleur dans l’art</w:t>
      </w:r>
      <w:r w:rsidR="000E58B2" w:rsidRPr="00FE61B7">
        <w:rPr>
          <w:rStyle w:val="apple-style-span"/>
        </w:rPr>
        <w:t xml:space="preserve"> et c’est d’ailleurs la seule chose dont il discute à propos du Moyen Âge dans ce livre</w:t>
      </w:r>
      <w:r w:rsidR="00AD07F6" w:rsidRPr="00FE61B7">
        <w:rPr>
          <w:rStyle w:val="apple-style-span"/>
        </w:rPr>
        <w:t>. Pourquoi faisait</w:t>
      </w:r>
      <w:r w:rsidR="005F56DC">
        <w:rPr>
          <w:rStyle w:val="apple-style-span"/>
        </w:rPr>
        <w:t>-il</w:t>
      </w:r>
      <w:r w:rsidR="00AD07F6" w:rsidRPr="00FE61B7">
        <w:rPr>
          <w:rStyle w:val="apple-style-span"/>
        </w:rPr>
        <w:t xml:space="preserve"> si sombre dans cette abbaye? Parce que les vitraux étaient principalement fabriqu</w:t>
      </w:r>
      <w:r w:rsidR="005F56DC">
        <w:rPr>
          <w:rStyle w:val="apple-style-span"/>
        </w:rPr>
        <w:t>és</w:t>
      </w:r>
      <w:r w:rsidR="00AD07F6" w:rsidRPr="00FE61B7">
        <w:rPr>
          <w:rStyle w:val="apple-style-span"/>
        </w:rPr>
        <w:t xml:space="preserve"> avec du verre bleu. Gage écrit sur ce point : </w:t>
      </w:r>
    </w:p>
    <w:p w:rsidR="00376EFE" w:rsidRPr="00FE61B7" w:rsidRDefault="00AD07F6" w:rsidP="00F04FC5">
      <w:pPr>
        <w:spacing w:line="360" w:lineRule="auto"/>
        <w:ind w:left="1134" w:right="1134"/>
        <w:jc w:val="both"/>
        <w:rPr>
          <w:rStyle w:val="apple-style-span"/>
          <w:sz w:val="20"/>
          <w:szCs w:val="20"/>
        </w:rPr>
      </w:pPr>
      <w:r w:rsidRPr="00FE61B7">
        <w:rPr>
          <w:rStyle w:val="apple-style-span"/>
          <w:sz w:val="20"/>
          <w:szCs w:val="20"/>
        </w:rPr>
        <w:t>Le bleu était considéré, du point de vu</w:t>
      </w:r>
      <w:r w:rsidR="006E74C4" w:rsidRPr="00FE61B7">
        <w:rPr>
          <w:rStyle w:val="apple-style-span"/>
          <w:sz w:val="20"/>
          <w:szCs w:val="20"/>
        </w:rPr>
        <w:t>e conceptuel, comme la couleur la plus sombre après le noir, et il y a de bonnes raisons de penser que ce verre français du début du Moyen Âge était conçu pour créer une obscurité impénétrable et laissant en même temps passer la lumière, semblable au Dieu insondable de la théologie de l’époque</w:t>
      </w:r>
      <w:r w:rsidRPr="00FE61B7">
        <w:rPr>
          <w:rStyle w:val="Appelnotedebasdep"/>
          <w:i/>
          <w:sz w:val="20"/>
          <w:szCs w:val="20"/>
        </w:rPr>
        <w:footnoteReference w:id="50"/>
      </w:r>
      <w:r w:rsidRPr="00FE61B7">
        <w:rPr>
          <w:rStyle w:val="apple-style-span"/>
          <w:sz w:val="20"/>
          <w:szCs w:val="20"/>
        </w:rPr>
        <w:t>.</w:t>
      </w:r>
    </w:p>
    <w:p w:rsidR="00C84DC5" w:rsidRPr="00FE61B7" w:rsidRDefault="006E74C4" w:rsidP="00F04FC5">
      <w:pPr>
        <w:spacing w:line="360" w:lineRule="auto"/>
        <w:jc w:val="both"/>
        <w:rPr>
          <w:rStyle w:val="apple-style-span"/>
        </w:rPr>
      </w:pPr>
      <w:r w:rsidRPr="00FE61B7">
        <w:rPr>
          <w:rStyle w:val="apple-style-span"/>
        </w:rPr>
        <w:t>Cette dernière affirmation possède une grande importance puisque</w:t>
      </w:r>
      <w:r w:rsidR="0004360A">
        <w:rPr>
          <w:rStyle w:val="apple-style-span"/>
        </w:rPr>
        <w:t xml:space="preserve"> nous reviendrons sur la </w:t>
      </w:r>
      <w:r w:rsidRPr="00FE61B7">
        <w:rPr>
          <w:rStyle w:val="apple-style-span"/>
        </w:rPr>
        <w:t>ressem</w:t>
      </w:r>
      <w:r w:rsidR="0004360A">
        <w:rPr>
          <w:rStyle w:val="apple-style-span"/>
        </w:rPr>
        <w:t>blance entre le bleu et le noir</w:t>
      </w:r>
      <w:r w:rsidRPr="00FE61B7">
        <w:rPr>
          <w:rStyle w:val="apple-style-span"/>
        </w:rPr>
        <w:t xml:space="preserve"> lors</w:t>
      </w:r>
      <w:r w:rsidR="0004360A">
        <w:rPr>
          <w:rStyle w:val="apple-style-span"/>
        </w:rPr>
        <w:t>que</w:t>
      </w:r>
      <w:r w:rsidRPr="00FE61B7">
        <w:rPr>
          <w:rStyle w:val="apple-style-span"/>
        </w:rPr>
        <w:t xml:space="preserve"> nous analyserons la</w:t>
      </w:r>
      <w:r w:rsidR="005B797F">
        <w:rPr>
          <w:rStyle w:val="apple-style-span"/>
        </w:rPr>
        <w:t xml:space="preserve"> signification</w:t>
      </w:r>
      <w:r w:rsidRPr="00FE61B7">
        <w:rPr>
          <w:rStyle w:val="apple-style-span"/>
        </w:rPr>
        <w:t xml:space="preserve"> de la couleur bleue. Également, quand il sera question plus tard du discours de Suger, il faudra garder à l’esprit que son discours n’</w:t>
      </w:r>
      <w:r w:rsidR="00323CE5" w:rsidRPr="00FE61B7">
        <w:rPr>
          <w:rStyle w:val="apple-style-span"/>
        </w:rPr>
        <w:t>est pas tout à fait véridique</w:t>
      </w:r>
      <w:r w:rsidRPr="00FE61B7">
        <w:rPr>
          <w:rStyle w:val="apple-style-span"/>
        </w:rPr>
        <w:t xml:space="preserve"> et que ce dernier </w:t>
      </w:r>
      <w:r w:rsidR="004831C6">
        <w:rPr>
          <w:rStyle w:val="apple-style-span"/>
        </w:rPr>
        <w:t>provient</w:t>
      </w:r>
      <w:r w:rsidRPr="00FE61B7">
        <w:rPr>
          <w:rStyle w:val="apple-style-span"/>
        </w:rPr>
        <w:t xml:space="preserve"> d’un style littéraire qui était omniprésent parmi les membres du clergé, soit</w:t>
      </w:r>
      <w:r w:rsidR="004831C6">
        <w:rPr>
          <w:rStyle w:val="apple-style-span"/>
        </w:rPr>
        <w:t xml:space="preserve"> l’exagération de la beauté d’un lieu</w:t>
      </w:r>
      <w:r w:rsidRPr="00FE61B7">
        <w:rPr>
          <w:rStyle w:val="apple-style-span"/>
        </w:rPr>
        <w:t>.</w:t>
      </w:r>
      <w:r w:rsidR="00323CE5" w:rsidRPr="00FE61B7">
        <w:rPr>
          <w:rStyle w:val="apple-style-span"/>
        </w:rPr>
        <w:t xml:space="preserve"> L’important à retenir ici selon Gage est</w:t>
      </w:r>
      <w:r w:rsidR="00C84DC5" w:rsidRPr="00FE61B7">
        <w:rPr>
          <w:rStyle w:val="apple-style-span"/>
        </w:rPr>
        <w:t> :</w:t>
      </w:r>
    </w:p>
    <w:p w:rsidR="00C84DC5" w:rsidRPr="00FE61B7" w:rsidRDefault="004831C6" w:rsidP="00F04FC5">
      <w:pPr>
        <w:spacing w:line="360" w:lineRule="auto"/>
        <w:ind w:left="1134" w:right="1134"/>
        <w:jc w:val="both"/>
        <w:rPr>
          <w:rStyle w:val="apple-style-span"/>
          <w:sz w:val="20"/>
          <w:szCs w:val="20"/>
        </w:rPr>
      </w:pPr>
      <w:r>
        <w:rPr>
          <w:rStyle w:val="apple-style-span"/>
          <w:sz w:val="20"/>
          <w:szCs w:val="20"/>
        </w:rPr>
        <w:t>L</w:t>
      </w:r>
      <w:r w:rsidR="00323CE5" w:rsidRPr="00FE61B7">
        <w:rPr>
          <w:rStyle w:val="apple-style-span"/>
          <w:sz w:val="20"/>
          <w:szCs w:val="20"/>
        </w:rPr>
        <w:t xml:space="preserve">es valeurs artistiques du Moyen Âge dépendaient des caractères à la fois physiques et métaphysiques des matériaux bruts. Les gens d’alors n’étaient pas indifférents à l’attrait </w:t>
      </w:r>
      <w:r w:rsidR="00323CE5" w:rsidRPr="00FE61B7">
        <w:rPr>
          <w:rStyle w:val="apple-style-span"/>
          <w:sz w:val="20"/>
          <w:szCs w:val="20"/>
        </w:rPr>
        <w:lastRenderedPageBreak/>
        <w:t>de la richesse et, comme les écrits de Suger l’insinuent, une propagande personnelle s’appuyant sur des valeurs monétaires pouvait s’avérer efficace</w:t>
      </w:r>
      <w:r w:rsidR="00323CE5" w:rsidRPr="00FE61B7">
        <w:rPr>
          <w:rStyle w:val="Appelnotedebasdep"/>
          <w:sz w:val="20"/>
          <w:szCs w:val="20"/>
        </w:rPr>
        <w:footnoteReference w:id="51"/>
      </w:r>
      <w:r w:rsidR="00323CE5" w:rsidRPr="00FE61B7">
        <w:rPr>
          <w:rStyle w:val="apple-style-span"/>
          <w:sz w:val="20"/>
          <w:szCs w:val="20"/>
        </w:rPr>
        <w:t>.</w:t>
      </w:r>
      <w:r w:rsidR="00C84DC5" w:rsidRPr="00FE61B7">
        <w:rPr>
          <w:rStyle w:val="apple-style-span"/>
          <w:sz w:val="20"/>
          <w:szCs w:val="20"/>
        </w:rPr>
        <w:t xml:space="preserve"> </w:t>
      </w:r>
    </w:p>
    <w:p w:rsidR="006E74C4" w:rsidRPr="00FE61B7" w:rsidRDefault="00C84DC5" w:rsidP="00F04FC5">
      <w:pPr>
        <w:spacing w:line="360" w:lineRule="auto"/>
        <w:jc w:val="both"/>
        <w:rPr>
          <w:rStyle w:val="apple-style-span"/>
        </w:rPr>
      </w:pPr>
      <w:r w:rsidRPr="00FE61B7">
        <w:rPr>
          <w:rStyle w:val="apple-style-span"/>
        </w:rPr>
        <w:t>En résumé, les gens étaient sensibles à ce qu’ils voyaient et la beauté était attrayante. Raison pour laquelle il est intéressant d’étudier les couleurs, car elle rajoute de la beauté à tout objet, et la perception que le</w:t>
      </w:r>
      <w:r w:rsidR="005F56DC">
        <w:rPr>
          <w:rStyle w:val="apple-style-span"/>
        </w:rPr>
        <w:t>s</w:t>
      </w:r>
      <w:r w:rsidRPr="00FE61B7">
        <w:rPr>
          <w:rStyle w:val="apple-style-span"/>
        </w:rPr>
        <w:t xml:space="preserve"> gens en avai</w:t>
      </w:r>
      <w:r w:rsidR="005F56DC">
        <w:rPr>
          <w:rStyle w:val="apple-style-span"/>
        </w:rPr>
        <w:t>en</w:t>
      </w:r>
      <w:r w:rsidRPr="00FE61B7">
        <w:rPr>
          <w:rStyle w:val="apple-style-span"/>
        </w:rPr>
        <w:t>t.</w:t>
      </w:r>
    </w:p>
    <w:p w:rsidR="00445F2E" w:rsidRPr="00FE61B7" w:rsidRDefault="00C84DC5" w:rsidP="00F04FC5">
      <w:pPr>
        <w:spacing w:line="360" w:lineRule="auto"/>
        <w:jc w:val="both"/>
        <w:rPr>
          <w:rStyle w:val="apple-style-span"/>
        </w:rPr>
      </w:pPr>
      <w:r w:rsidRPr="00FE61B7">
        <w:rPr>
          <w:rStyle w:val="apple-style-span"/>
        </w:rPr>
        <w:tab/>
        <w:t>Dans le cinquième chapitre,</w:t>
      </w:r>
      <w:r w:rsidR="00445F2E" w:rsidRPr="00FE61B7">
        <w:rPr>
          <w:rStyle w:val="apple-style-span"/>
        </w:rPr>
        <w:t xml:space="preserve"> Gage s’intéresse à l’héraldique médiévale tout comme Pastoureau. C’est dans cette stratégie d’affirmation dynastique que le système des couleurs s’est stabilisé</w:t>
      </w:r>
      <w:r w:rsidR="00445F2E" w:rsidRPr="00FE61B7">
        <w:rPr>
          <w:rStyle w:val="Appelnotedebasdep"/>
        </w:rPr>
        <w:footnoteReference w:id="52"/>
      </w:r>
      <w:r w:rsidR="00445F2E" w:rsidRPr="00FE61B7">
        <w:rPr>
          <w:rStyle w:val="apple-style-span"/>
        </w:rPr>
        <w:t xml:space="preserve"> et il est évident que la symbolique des différentes couleurs provient, en plus des blasons, des vêtements. Il écrit sur ce point : </w:t>
      </w:r>
    </w:p>
    <w:p w:rsidR="00C84DC5" w:rsidRPr="00FE61B7" w:rsidRDefault="00445F2E" w:rsidP="00F04FC5">
      <w:pPr>
        <w:spacing w:line="360" w:lineRule="auto"/>
        <w:ind w:left="1134" w:right="1134"/>
        <w:jc w:val="both"/>
        <w:rPr>
          <w:rStyle w:val="apple-style-span"/>
          <w:sz w:val="20"/>
          <w:szCs w:val="20"/>
        </w:rPr>
      </w:pPr>
      <w:r w:rsidRPr="00FE61B7">
        <w:rPr>
          <w:rStyle w:val="apple-style-span"/>
          <w:sz w:val="20"/>
          <w:szCs w:val="20"/>
        </w:rPr>
        <w:t>Comme nous pouvons évidemment nous y attendre, les valeurs morales de l’héraldique s’exprimèrent tout d’abord par le vêtement : l’</w:t>
      </w:r>
      <w:r w:rsidRPr="00FE61B7">
        <w:rPr>
          <w:rStyle w:val="apple-style-span"/>
          <w:i/>
          <w:sz w:val="20"/>
          <w:szCs w:val="20"/>
        </w:rPr>
        <w:t>Ordre de Chevalerie</w:t>
      </w:r>
      <w:r w:rsidRPr="00FE61B7">
        <w:rPr>
          <w:rStyle w:val="apple-style-span"/>
          <w:sz w:val="20"/>
          <w:szCs w:val="20"/>
        </w:rPr>
        <w:t>, un célèbre poème français du milieu du XIII</w:t>
      </w:r>
      <w:r w:rsidRPr="00FE61B7">
        <w:rPr>
          <w:rStyle w:val="apple-style-span"/>
          <w:sz w:val="20"/>
          <w:szCs w:val="20"/>
          <w:vertAlign w:val="superscript"/>
        </w:rPr>
        <w:t>e</w:t>
      </w:r>
      <w:r w:rsidRPr="00FE61B7">
        <w:rPr>
          <w:rStyle w:val="apple-style-span"/>
          <w:sz w:val="20"/>
          <w:szCs w:val="20"/>
        </w:rPr>
        <w:t xml:space="preserve"> siècle, décrit la façon dont le chevalier, lors de sa cérémonie d’investiture, revêtait une tunique blanche pour montrer la pureté de son corps, puis un manteau rouge écarlate pour se rappeler le devoir qui lui incombait de verser le sang afin de défendre l’Église. […] il se parait d’une ceinture blanche en signe de chasteté</w:t>
      </w:r>
      <w:r w:rsidR="00B81B5C" w:rsidRPr="00FE61B7">
        <w:rPr>
          <w:rStyle w:val="Appelnotedebasdep"/>
          <w:sz w:val="20"/>
          <w:szCs w:val="20"/>
        </w:rPr>
        <w:footnoteReference w:id="53"/>
      </w:r>
      <w:r w:rsidRPr="00FE61B7">
        <w:rPr>
          <w:rStyle w:val="apple-style-span"/>
          <w:sz w:val="20"/>
          <w:szCs w:val="20"/>
        </w:rPr>
        <w:t>.</w:t>
      </w:r>
    </w:p>
    <w:p w:rsidR="00445F2E" w:rsidRPr="00FE61B7" w:rsidRDefault="00B81B5C" w:rsidP="00F04FC5">
      <w:pPr>
        <w:spacing w:line="360" w:lineRule="auto"/>
        <w:jc w:val="both"/>
        <w:rPr>
          <w:rStyle w:val="apple-style-span"/>
        </w:rPr>
      </w:pPr>
      <w:r w:rsidRPr="00FE61B7">
        <w:rPr>
          <w:rStyle w:val="apple-style-span"/>
        </w:rPr>
        <w:t>Si on comprend bien le sens de cette dernière affirmation, on sait que l’on portait une certaine couleur, sur ses vêtements ou son blason, pour une certaine raison et, rarement, cela était un choix arbitraire. Dans l’analyse de source, nous verrons que beaucoup de significations se sont transférées du vêtement et de l’héraldique vers le manuscrit.</w:t>
      </w:r>
    </w:p>
    <w:p w:rsidR="00B81B5C" w:rsidRPr="00FE61B7" w:rsidRDefault="00B81B5C" w:rsidP="00F04FC5">
      <w:pPr>
        <w:spacing w:line="360" w:lineRule="auto"/>
        <w:jc w:val="both"/>
        <w:rPr>
          <w:rStyle w:val="apple-style-span"/>
        </w:rPr>
      </w:pPr>
      <w:r w:rsidRPr="00FE61B7">
        <w:rPr>
          <w:rStyle w:val="apple-style-span"/>
        </w:rPr>
        <w:tab/>
      </w:r>
      <w:r w:rsidR="00790E4C" w:rsidRPr="00FE61B7">
        <w:rPr>
          <w:rStyle w:val="apple-style-span"/>
        </w:rPr>
        <w:t xml:space="preserve">Dans </w:t>
      </w:r>
      <w:proofErr w:type="spellStart"/>
      <w:r w:rsidR="00790E4C" w:rsidRPr="00FE61B7">
        <w:rPr>
          <w:rStyle w:val="apple-style-span"/>
          <w:i/>
        </w:rPr>
        <w:t>Color</w:t>
      </w:r>
      <w:proofErr w:type="spellEnd"/>
      <w:r w:rsidR="00790E4C" w:rsidRPr="00FE61B7">
        <w:rPr>
          <w:rStyle w:val="apple-style-span"/>
          <w:i/>
        </w:rPr>
        <w:t xml:space="preserve"> and </w:t>
      </w:r>
      <w:proofErr w:type="spellStart"/>
      <w:r w:rsidR="00790E4C" w:rsidRPr="00FE61B7">
        <w:rPr>
          <w:rStyle w:val="apple-style-span"/>
          <w:i/>
        </w:rPr>
        <w:t>Meaning</w:t>
      </w:r>
      <w:proofErr w:type="spellEnd"/>
      <w:r w:rsidR="00790E4C" w:rsidRPr="00FE61B7">
        <w:rPr>
          <w:rStyle w:val="apple-style-span"/>
          <w:i/>
        </w:rPr>
        <w:t xml:space="preserve"> : Art, Science, and </w:t>
      </w:r>
      <w:proofErr w:type="spellStart"/>
      <w:r w:rsidR="00790E4C" w:rsidRPr="00FE61B7">
        <w:rPr>
          <w:rStyle w:val="apple-style-span"/>
          <w:i/>
        </w:rPr>
        <w:t>Symbolism</w:t>
      </w:r>
      <w:proofErr w:type="spellEnd"/>
      <w:r w:rsidR="00790E4C" w:rsidRPr="00FE61B7">
        <w:rPr>
          <w:rStyle w:val="apple-style-span"/>
        </w:rPr>
        <w:t>, il s’intéresse encore moins aux couleurs pendant le Moyen Âge.</w:t>
      </w:r>
      <w:r w:rsidR="00F54615" w:rsidRPr="00FE61B7">
        <w:rPr>
          <w:rStyle w:val="apple-style-span"/>
        </w:rPr>
        <w:t xml:space="preserve"> Quelques pages d’un chapitre y sont consacré</w:t>
      </w:r>
      <w:r w:rsidR="005F56DC">
        <w:rPr>
          <w:rStyle w:val="apple-style-span"/>
        </w:rPr>
        <w:t>e</w:t>
      </w:r>
      <w:r w:rsidR="00F54615" w:rsidRPr="00FE61B7">
        <w:rPr>
          <w:rStyle w:val="apple-style-span"/>
        </w:rPr>
        <w:t>s et beaucoup de ses affirmations sont les mêmes que celles de Pastoureau. Pour lui, les couleurs primaires utilisées pendant le Moyen Âge sont le noir, blanc, rouge, jaune, bleu et le vert</w:t>
      </w:r>
      <w:r w:rsidR="00F54615" w:rsidRPr="00FE61B7">
        <w:rPr>
          <w:rStyle w:val="Appelnotedebasdep"/>
        </w:rPr>
        <w:footnoteReference w:id="54"/>
      </w:r>
      <w:r w:rsidR="00F54615" w:rsidRPr="00FE61B7">
        <w:rPr>
          <w:rStyle w:val="apple-style-span"/>
        </w:rPr>
        <w:t xml:space="preserve">. Il base la plupart de ce qu’il </w:t>
      </w:r>
      <w:r w:rsidR="004831C6">
        <w:rPr>
          <w:rStyle w:val="apple-style-span"/>
        </w:rPr>
        <w:t>explique</w:t>
      </w:r>
      <w:r w:rsidR="00F54615" w:rsidRPr="00FE61B7">
        <w:rPr>
          <w:rStyle w:val="apple-style-span"/>
        </w:rPr>
        <w:t xml:space="preserve"> sur la prémisse établie dans un des écrits d’Innocent</w:t>
      </w:r>
      <w:r w:rsidR="005D7A47">
        <w:rPr>
          <w:rStyle w:val="apple-style-span"/>
        </w:rPr>
        <w:t> </w:t>
      </w:r>
      <w:r w:rsidR="00F54615" w:rsidRPr="00FE61B7">
        <w:rPr>
          <w:rStyle w:val="apple-style-span"/>
        </w:rPr>
        <w:t>III</w:t>
      </w:r>
      <w:r w:rsidR="008E68C1" w:rsidRPr="00FE61B7">
        <w:rPr>
          <w:rStyle w:val="apple-style-span"/>
        </w:rPr>
        <w:t>, mais il ne discute que très peu de la symbolique des couleurs</w:t>
      </w:r>
      <w:r w:rsidR="00F54615" w:rsidRPr="00FE61B7">
        <w:rPr>
          <w:rStyle w:val="apple-style-span"/>
        </w:rPr>
        <w:t xml:space="preserve">. </w:t>
      </w:r>
      <w:r w:rsidR="008E68C1" w:rsidRPr="00FE61B7">
        <w:rPr>
          <w:rStyle w:val="apple-style-span"/>
        </w:rPr>
        <w:t xml:space="preserve">En réalité, il n’est question que du rouge et du bleu. </w:t>
      </w:r>
      <w:r w:rsidR="00F54615" w:rsidRPr="00FE61B7">
        <w:rPr>
          <w:rStyle w:val="apple-style-span"/>
        </w:rPr>
        <w:t>N</w:t>
      </w:r>
      <w:r w:rsidR="008E68C1" w:rsidRPr="00FE61B7">
        <w:rPr>
          <w:rStyle w:val="apple-style-span"/>
        </w:rPr>
        <w:t xml:space="preserve">ous </w:t>
      </w:r>
      <w:r w:rsidR="00F54615" w:rsidRPr="00FE61B7">
        <w:rPr>
          <w:rStyle w:val="apple-style-span"/>
        </w:rPr>
        <w:t xml:space="preserve">reparlerons </w:t>
      </w:r>
      <w:r w:rsidR="008E68C1" w:rsidRPr="00FE61B7">
        <w:rPr>
          <w:rStyle w:val="apple-style-span"/>
        </w:rPr>
        <w:t xml:space="preserve">de l’œuvre de ce pape </w:t>
      </w:r>
      <w:r w:rsidR="00F54615" w:rsidRPr="00FE61B7">
        <w:rPr>
          <w:rStyle w:val="apple-style-span"/>
        </w:rPr>
        <w:t>plus tard dans l’analyse de source</w:t>
      </w:r>
      <w:r w:rsidR="008E68C1" w:rsidRPr="00FE61B7">
        <w:rPr>
          <w:rStyle w:val="apple-style-span"/>
        </w:rPr>
        <w:t xml:space="preserve"> puisqu’il est </w:t>
      </w:r>
      <w:r w:rsidR="008E68C1" w:rsidRPr="00FE61B7">
        <w:rPr>
          <w:rStyle w:val="apple-style-span"/>
        </w:rPr>
        <w:lastRenderedPageBreak/>
        <w:t>souvent cité dans les études portant sur les couleurs</w:t>
      </w:r>
      <w:r w:rsidR="00F54615" w:rsidRPr="00FE61B7">
        <w:rPr>
          <w:rStyle w:val="apple-style-span"/>
        </w:rPr>
        <w:t>. Cet ouvrage</w:t>
      </w:r>
      <w:r w:rsidR="004831C6">
        <w:rPr>
          <w:rStyle w:val="apple-style-span"/>
        </w:rPr>
        <w:t xml:space="preserve"> de Gage</w:t>
      </w:r>
      <w:r w:rsidR="00F54615" w:rsidRPr="00FE61B7">
        <w:rPr>
          <w:rStyle w:val="apple-style-span"/>
        </w:rPr>
        <w:t xml:space="preserve"> n’avance malheureusement pas de nouvelles idées par rapport à ce qu’a écrit Pastoureau.</w:t>
      </w:r>
    </w:p>
    <w:p w:rsidR="009B15EB" w:rsidRPr="00FE61B7" w:rsidRDefault="009B15EB" w:rsidP="00F04FC5">
      <w:pPr>
        <w:pStyle w:val="Titre2"/>
        <w:spacing w:line="360" w:lineRule="auto"/>
        <w:jc w:val="both"/>
        <w:rPr>
          <w:rStyle w:val="apple-style-span"/>
          <w:rFonts w:ascii="Times New Roman" w:hAnsi="Times New Roman" w:cs="Times New Roman"/>
          <w:color w:val="auto"/>
          <w:sz w:val="24"/>
          <w:szCs w:val="24"/>
        </w:rPr>
      </w:pPr>
      <w:bookmarkStart w:id="14" w:name="_Toc401478195"/>
      <w:r w:rsidRPr="00FE61B7">
        <w:rPr>
          <w:rStyle w:val="apple-style-span"/>
          <w:rFonts w:ascii="Times New Roman" w:hAnsi="Times New Roman" w:cs="Times New Roman"/>
          <w:color w:val="auto"/>
          <w:sz w:val="24"/>
          <w:szCs w:val="24"/>
        </w:rPr>
        <w:t>Articles</w:t>
      </w:r>
      <w:bookmarkEnd w:id="14"/>
    </w:p>
    <w:p w:rsidR="009B15EB" w:rsidRPr="00FE61B7" w:rsidRDefault="009B15EB" w:rsidP="00F04FC5">
      <w:pPr>
        <w:pStyle w:val="Titre3"/>
        <w:spacing w:line="360" w:lineRule="auto"/>
        <w:jc w:val="both"/>
        <w:rPr>
          <w:rFonts w:ascii="Times New Roman" w:hAnsi="Times New Roman" w:cs="Times New Roman"/>
          <w:b w:val="0"/>
          <w:i/>
          <w:color w:val="auto"/>
          <w:u w:val="single"/>
        </w:rPr>
      </w:pPr>
      <w:bookmarkStart w:id="15" w:name="_Toc401478196"/>
      <w:r w:rsidRPr="00FE61B7">
        <w:rPr>
          <w:rFonts w:ascii="Times New Roman" w:hAnsi="Times New Roman" w:cs="Times New Roman"/>
          <w:b w:val="0"/>
          <w:i/>
          <w:color w:val="auto"/>
          <w:u w:val="single"/>
        </w:rPr>
        <w:t>Christel Meier</w:t>
      </w:r>
      <w:bookmarkEnd w:id="15"/>
    </w:p>
    <w:p w:rsidR="009B15EB" w:rsidRPr="00FE61B7" w:rsidRDefault="00250BF5" w:rsidP="00F04FC5">
      <w:pPr>
        <w:spacing w:line="360" w:lineRule="auto"/>
        <w:jc w:val="both"/>
      </w:pPr>
      <w:r w:rsidRPr="00FE61B7">
        <w:tab/>
      </w:r>
      <w:r w:rsidR="00A85EA2" w:rsidRPr="00FE61B7">
        <w:t>Cette auteu</w:t>
      </w:r>
      <w:r w:rsidR="00AB78E9" w:rsidRPr="00FE61B7">
        <w:t>re a écrit un article en 2001 où</w:t>
      </w:r>
      <w:r w:rsidR="00A85EA2" w:rsidRPr="00FE61B7">
        <w:t xml:space="preserve"> elle discute des symboliques des couleurs selon trois points de vue : soit liturgique, héraldiques et allégorique. </w:t>
      </w:r>
      <w:proofErr w:type="spellStart"/>
      <w:proofErr w:type="gramStart"/>
      <w:r w:rsidR="00336206">
        <w:rPr>
          <w:lang w:val="en-CA"/>
        </w:rPr>
        <w:t>Celui</w:t>
      </w:r>
      <w:proofErr w:type="spellEnd"/>
      <w:r w:rsidR="00A85EA2" w:rsidRPr="00AC0AF7">
        <w:rPr>
          <w:lang w:val="en-CA"/>
        </w:rPr>
        <w:t xml:space="preserve">-ci se </w:t>
      </w:r>
      <w:proofErr w:type="spellStart"/>
      <w:r w:rsidR="00A85EA2" w:rsidRPr="00AC0AF7">
        <w:rPr>
          <w:lang w:val="en-CA"/>
        </w:rPr>
        <w:t>nomme</w:t>
      </w:r>
      <w:proofErr w:type="spellEnd"/>
      <w:r w:rsidR="00A85EA2" w:rsidRPr="00AC0AF7">
        <w:rPr>
          <w:lang w:val="en-CA"/>
        </w:rPr>
        <w:t xml:space="preserve"> </w:t>
      </w:r>
      <w:r w:rsidR="00A85EA2" w:rsidRPr="00AC0AF7">
        <w:rPr>
          <w:i/>
          <w:lang w:val="en-CA"/>
        </w:rPr>
        <w:t>The Colourful Middle Ages.</w:t>
      </w:r>
      <w:proofErr w:type="gramEnd"/>
      <w:r w:rsidR="00A85EA2" w:rsidRPr="00AC0AF7">
        <w:rPr>
          <w:i/>
          <w:lang w:val="en-CA"/>
        </w:rPr>
        <w:t xml:space="preserve"> </w:t>
      </w:r>
      <w:proofErr w:type="gramStart"/>
      <w:r w:rsidR="00A85EA2" w:rsidRPr="00AC0AF7">
        <w:rPr>
          <w:i/>
          <w:lang w:val="en-CA"/>
        </w:rPr>
        <w:t>Anthropological, Social, and Literary Dimensions of Colour Symbolism and Colour Hermeneutics</w:t>
      </w:r>
      <w:r w:rsidR="00A85EA2" w:rsidRPr="00AC0AF7">
        <w:rPr>
          <w:lang w:val="en-CA"/>
        </w:rPr>
        <w:t>.</w:t>
      </w:r>
      <w:proofErr w:type="gramEnd"/>
      <w:r w:rsidR="00A85EA2" w:rsidRPr="00AC0AF7">
        <w:rPr>
          <w:lang w:val="en-CA"/>
        </w:rPr>
        <w:t xml:space="preserve"> </w:t>
      </w:r>
      <w:r w:rsidR="00A85EA2" w:rsidRPr="00FE61B7">
        <w:t>Pour ce qui est des couleurs liturgiques, elle base son explication sur Innocent</w:t>
      </w:r>
      <w:r w:rsidR="005D7A47">
        <w:t> </w:t>
      </w:r>
      <w:r w:rsidR="00A85EA2" w:rsidRPr="00FE61B7">
        <w:t>III tout comme Pastoureau et Gage. Toutefois, lorsqu’elle discute de l’héraldique, elle établit un schéma simple pour comprendre les différentes significations attachées aux couleurs. L’or, le rouge, le bleu</w:t>
      </w:r>
      <w:r w:rsidR="005F56DC">
        <w:t xml:space="preserve"> </w:t>
      </w:r>
      <w:r w:rsidR="00A85EA2" w:rsidRPr="00FE61B7">
        <w:t xml:space="preserve">azur, le noir, le vert, le pourpre et l’argent signifient respectivement richesse, </w:t>
      </w:r>
      <w:r w:rsidR="00244BFD" w:rsidRPr="00FE61B7">
        <w:t>dignité, loyauté, simplicité, allégresse, abondance de biens et pureté</w:t>
      </w:r>
      <w:r w:rsidR="007D1174" w:rsidRPr="00FE61B7">
        <w:rPr>
          <w:rStyle w:val="Appelnotedebasdep"/>
        </w:rPr>
        <w:footnoteReference w:id="55"/>
      </w:r>
      <w:r w:rsidR="00244BFD" w:rsidRPr="00FE61B7">
        <w:t>. Comme on peut le remarquer, ces dernières symboliques sont en grande partie des vertus séculières</w:t>
      </w:r>
      <w:r w:rsidR="00101484" w:rsidRPr="00FE61B7">
        <w:t>, mais dont certaines sont hautement attaché</w:t>
      </w:r>
      <w:r w:rsidR="005F56DC">
        <w:t>e</w:t>
      </w:r>
      <w:r w:rsidR="00101484" w:rsidRPr="00FE61B7">
        <w:t>s à des vertus religieuses.</w:t>
      </w:r>
      <w:r w:rsidR="00D65C4C" w:rsidRPr="00FE61B7">
        <w:t xml:space="preserve"> Ensuite, elle établit un </w:t>
      </w:r>
      <w:r w:rsidR="007D1174" w:rsidRPr="00FE61B7">
        <w:t xml:space="preserve">autre </w:t>
      </w:r>
      <w:r w:rsidR="00D65C4C" w:rsidRPr="00FE61B7">
        <w:t>schéma, semblable à celui de l’héraldique, sur les différentes phases de l’</w:t>
      </w:r>
      <w:r w:rsidR="007D1174" w:rsidRPr="00FE61B7">
        <w:t>amour courtois. Celles-ci correspondent au commencement de l’amour (dans l’ignorance), aux premières affections, à l’amour torride, à l’amour éternel, à l’union, à la séparation pour différentes causes. À chacune de ses étapes, une couleur y est attachée. Elles coïncident respectivement au vert, blanc, rouge, bleu, jaune et noir</w:t>
      </w:r>
      <w:r w:rsidR="007D1174" w:rsidRPr="00FE61B7">
        <w:rPr>
          <w:rStyle w:val="Appelnotedebasdep"/>
        </w:rPr>
        <w:footnoteReference w:id="56"/>
      </w:r>
      <w:r w:rsidR="007D1174" w:rsidRPr="00FE61B7">
        <w:t>. Ce qui est intéressant dans cet article est le fait que différentes symboliques provenant de différents domaines d’études se regroupent. Par exemple, la Vierge Marie, dont le manteau à la fin du Moyen Âge est souvent bleu, est le personnage par excellence qui représente la loyauté et l’amour éternel, deux aspects que l’on retrouve dans l’héraldique et l’amour courtois.</w:t>
      </w:r>
      <w:r w:rsidR="00FB0F24" w:rsidRPr="00FE61B7">
        <w:t xml:space="preserve"> Même chose pour le vert auquel une forte symbolique de la jeunesse y est liée. Allégresse et ignorance sont des aspects inhérents aux comportements des adolescents et des jeunes adultes.</w:t>
      </w:r>
      <w:r w:rsidR="002E0540" w:rsidRPr="00FE61B7">
        <w:t xml:space="preserve"> Cet article, les ouvrages de Pastoureau et Gage également, était vraiment révélateur sur ce point que nous pouvons expliquer les </w:t>
      </w:r>
      <w:r w:rsidR="005B797F">
        <w:t xml:space="preserve">significations </w:t>
      </w:r>
      <w:r w:rsidR="002E0540" w:rsidRPr="00FE61B7">
        <w:t xml:space="preserve">des couleurs se trouvant </w:t>
      </w:r>
      <w:r w:rsidR="002E0540" w:rsidRPr="00FE61B7">
        <w:lastRenderedPageBreak/>
        <w:t>dans les manuscrits en analysant plusieurs domaines d’études : soit l’architecture, la littérature, l’héraldique et le vestimentaire.</w:t>
      </w:r>
    </w:p>
    <w:p w:rsidR="00D0575A" w:rsidRPr="00FE61B7" w:rsidRDefault="00D0575A" w:rsidP="00F04FC5">
      <w:pPr>
        <w:pStyle w:val="Titre3"/>
        <w:spacing w:line="360" w:lineRule="auto"/>
        <w:jc w:val="both"/>
        <w:rPr>
          <w:rFonts w:ascii="Times New Roman" w:hAnsi="Times New Roman" w:cs="Times New Roman"/>
          <w:b w:val="0"/>
          <w:i/>
          <w:color w:val="auto"/>
          <w:u w:val="single"/>
        </w:rPr>
      </w:pPr>
      <w:bookmarkStart w:id="16" w:name="_Toc401478197"/>
      <w:r w:rsidRPr="00FE61B7">
        <w:rPr>
          <w:rFonts w:ascii="Times New Roman" w:hAnsi="Times New Roman" w:cs="Times New Roman"/>
          <w:b w:val="0"/>
          <w:i/>
          <w:color w:val="auto"/>
          <w:u w:val="single"/>
        </w:rPr>
        <w:t xml:space="preserve">Heather </w:t>
      </w:r>
      <w:proofErr w:type="spellStart"/>
      <w:r w:rsidRPr="00FE61B7">
        <w:rPr>
          <w:rFonts w:ascii="Times New Roman" w:hAnsi="Times New Roman" w:cs="Times New Roman"/>
          <w:b w:val="0"/>
          <w:i/>
          <w:color w:val="auto"/>
          <w:u w:val="single"/>
        </w:rPr>
        <w:t>Pulliam</w:t>
      </w:r>
      <w:bookmarkEnd w:id="16"/>
      <w:proofErr w:type="spellEnd"/>
    </w:p>
    <w:p w:rsidR="00AD6C16" w:rsidRPr="00FE61B7" w:rsidRDefault="00D0575A" w:rsidP="00F04FC5">
      <w:pPr>
        <w:spacing w:line="360" w:lineRule="auto"/>
        <w:jc w:val="both"/>
      </w:pPr>
      <w:r w:rsidRPr="00FE61B7">
        <w:tab/>
      </w:r>
      <w:r w:rsidR="00AB78E9" w:rsidRPr="00FE61B7">
        <w:t>Dans son article «</w:t>
      </w:r>
      <w:r w:rsidR="005D7A47">
        <w:t> </w:t>
      </w:r>
      <w:proofErr w:type="spellStart"/>
      <w:r w:rsidR="00AB78E9" w:rsidRPr="00FE61B7">
        <w:t>Color</w:t>
      </w:r>
      <w:proofErr w:type="spellEnd"/>
      <w:r w:rsidR="005D7A47">
        <w:t> </w:t>
      </w:r>
      <w:r w:rsidR="00AB78E9" w:rsidRPr="00FE61B7">
        <w:t xml:space="preserve">», </w:t>
      </w:r>
      <w:r w:rsidR="007306F4">
        <w:t xml:space="preserve">Heather </w:t>
      </w:r>
      <w:proofErr w:type="spellStart"/>
      <w:r w:rsidR="00AB78E9" w:rsidRPr="00FE61B7">
        <w:t>Pulliam</w:t>
      </w:r>
      <w:proofErr w:type="spellEnd"/>
      <w:r w:rsidR="00AB78E9" w:rsidRPr="00FE61B7">
        <w:t xml:space="preserve"> discute de plusieurs faits intéressants. Par exemple, dans la première section de son travail, elle définit une méthode de travail lorsqu’on veut s’intéresser aux couleurs du Moyen Âge. Elle affirme, tout comme Pastoureau, que ce n’est pas le sujet le plus aisé à étudier</w:t>
      </w:r>
      <w:r w:rsidR="007306F4">
        <w:t xml:space="preserve"> et qu’il est impossible </w:t>
      </w:r>
      <w:r w:rsidR="00AD6C16" w:rsidRPr="00FE61B7">
        <w:t>d’écrire une histoire générale de la couleur. Trop de choses entre</w:t>
      </w:r>
      <w:r w:rsidR="005F56DC">
        <w:t>nt</w:t>
      </w:r>
      <w:r w:rsidR="00AD6C16" w:rsidRPr="00FE61B7">
        <w:t xml:space="preserve"> en ligne de compte : l’époque, le lieu, la culture, etc. </w:t>
      </w:r>
      <w:r w:rsidR="00AD6C16" w:rsidRPr="00AC0AF7">
        <w:rPr>
          <w:lang w:val="en-CA"/>
        </w:rPr>
        <w:t xml:space="preserve">Pulliam </w:t>
      </w:r>
      <w:proofErr w:type="spellStart"/>
      <w:r w:rsidR="00AD6C16" w:rsidRPr="00AC0AF7">
        <w:rPr>
          <w:lang w:val="en-CA"/>
        </w:rPr>
        <w:t>écrit</w:t>
      </w:r>
      <w:proofErr w:type="spellEnd"/>
      <w:r w:rsidR="00AD6C16" w:rsidRPr="00AC0AF7">
        <w:rPr>
          <w:lang w:val="en-CA"/>
        </w:rPr>
        <w:t xml:space="preserve"> </w:t>
      </w:r>
      <w:proofErr w:type="spellStart"/>
      <w:r w:rsidR="00AD6C16" w:rsidRPr="00AC0AF7">
        <w:rPr>
          <w:lang w:val="en-CA"/>
        </w:rPr>
        <w:t>sur</w:t>
      </w:r>
      <w:proofErr w:type="spellEnd"/>
      <w:r w:rsidR="00AD6C16" w:rsidRPr="00AC0AF7">
        <w:rPr>
          <w:lang w:val="en-CA"/>
        </w:rPr>
        <w:t xml:space="preserve"> </w:t>
      </w:r>
      <w:proofErr w:type="spellStart"/>
      <w:r w:rsidR="00AD6C16" w:rsidRPr="00AC0AF7">
        <w:rPr>
          <w:lang w:val="en-CA"/>
        </w:rPr>
        <w:t>ce</w:t>
      </w:r>
      <w:proofErr w:type="spellEnd"/>
      <w:r w:rsidR="00AD6C16" w:rsidRPr="00AC0AF7">
        <w:rPr>
          <w:lang w:val="en-CA"/>
        </w:rPr>
        <w:t xml:space="preserve"> </w:t>
      </w:r>
      <w:proofErr w:type="gramStart"/>
      <w:r w:rsidR="00AD6C16" w:rsidRPr="00AC0AF7">
        <w:rPr>
          <w:lang w:val="en-CA"/>
        </w:rPr>
        <w:t>point :</w:t>
      </w:r>
      <w:proofErr w:type="gramEnd"/>
      <w:r w:rsidR="00AD6C16" w:rsidRPr="00AC0AF7">
        <w:rPr>
          <w:lang w:val="en-CA"/>
        </w:rPr>
        <w:t xml:space="preserve"> «</w:t>
      </w:r>
      <w:r w:rsidR="005D7A47">
        <w:rPr>
          <w:lang w:val="en-CA"/>
        </w:rPr>
        <w:t> </w:t>
      </w:r>
      <w:r w:rsidR="00AD6C16" w:rsidRPr="00AC0AF7">
        <w:rPr>
          <w:lang w:val="en-CA"/>
        </w:rPr>
        <w:t>Because the meanings of color is fluid and needs so much contextualization, only a few general trends can be identified in such a short essay</w:t>
      </w:r>
      <w:r w:rsidR="005D7A47">
        <w:rPr>
          <w:lang w:val="en-CA"/>
        </w:rPr>
        <w:t> </w:t>
      </w:r>
      <w:r w:rsidR="00AD6C16" w:rsidRPr="00AC0AF7">
        <w:rPr>
          <w:lang w:val="en-CA"/>
        </w:rPr>
        <w:t>»</w:t>
      </w:r>
      <w:r w:rsidR="00AD6C16" w:rsidRPr="00FE61B7">
        <w:rPr>
          <w:rStyle w:val="Appelnotedebasdep"/>
        </w:rPr>
        <w:footnoteReference w:id="57"/>
      </w:r>
      <w:r w:rsidR="00AD6C16" w:rsidRPr="00AC0AF7">
        <w:rPr>
          <w:lang w:val="en-CA"/>
        </w:rPr>
        <w:t xml:space="preserve">. </w:t>
      </w:r>
      <w:r w:rsidR="00AD6C16" w:rsidRPr="00FE61B7">
        <w:t>C’est à travers plusieurs études de cas que l’on peut véritablement cern</w:t>
      </w:r>
      <w:r w:rsidR="005F56DC">
        <w:t>er</w:t>
      </w:r>
      <w:r w:rsidR="00AD6C16" w:rsidRPr="00FE61B7">
        <w:t xml:space="preserve"> la véritable symbolique des couleurs. Elle </w:t>
      </w:r>
      <w:r w:rsidR="00370D78" w:rsidRPr="00FE61B7">
        <w:t>est une des rares personnes qui critique</w:t>
      </w:r>
      <w:r w:rsidR="00AD6C16" w:rsidRPr="00FE61B7">
        <w:t xml:space="preserve"> Pastoureau à ce sujet puisqu’elle écrit : </w:t>
      </w:r>
    </w:p>
    <w:p w:rsidR="00D0575A" w:rsidRPr="00AC0AF7" w:rsidRDefault="00AD6C16" w:rsidP="003F6957">
      <w:pPr>
        <w:spacing w:line="360" w:lineRule="auto"/>
        <w:ind w:left="1134" w:right="1134"/>
        <w:jc w:val="both"/>
        <w:rPr>
          <w:sz w:val="20"/>
          <w:szCs w:val="20"/>
          <w:lang w:val="en-CA"/>
        </w:rPr>
      </w:pPr>
      <w:r w:rsidRPr="00AC0AF7">
        <w:rPr>
          <w:sz w:val="20"/>
          <w:szCs w:val="20"/>
          <w:lang w:val="en-CA"/>
        </w:rPr>
        <w:t xml:space="preserve">Worryingly, a few recent publications have applied the findings of </w:t>
      </w:r>
      <w:proofErr w:type="spellStart"/>
      <w:r w:rsidRPr="00AC0AF7">
        <w:rPr>
          <w:sz w:val="20"/>
          <w:szCs w:val="20"/>
          <w:lang w:val="en-CA"/>
        </w:rPr>
        <w:t>Pastoureau</w:t>
      </w:r>
      <w:proofErr w:type="spellEnd"/>
      <w:r w:rsidRPr="00AC0AF7">
        <w:rPr>
          <w:sz w:val="20"/>
          <w:szCs w:val="20"/>
          <w:lang w:val="en-CA"/>
        </w:rPr>
        <w:t xml:space="preserve">, whose writings primarily deal with the High and Late Middle Ages, to the entire medieval period. Relatively little has been written on the use of color in art from the eight through the eleventh centuries, and while </w:t>
      </w:r>
      <w:proofErr w:type="spellStart"/>
      <w:r w:rsidRPr="00AC0AF7">
        <w:rPr>
          <w:sz w:val="20"/>
          <w:szCs w:val="20"/>
          <w:lang w:val="en-CA"/>
        </w:rPr>
        <w:t>Pastoureau’s</w:t>
      </w:r>
      <w:proofErr w:type="spellEnd"/>
      <w:r w:rsidRPr="00AC0AF7">
        <w:rPr>
          <w:sz w:val="20"/>
          <w:szCs w:val="20"/>
          <w:lang w:val="en-CA"/>
        </w:rPr>
        <w:t xml:space="preserve"> </w:t>
      </w:r>
      <w:r w:rsidR="00370D78" w:rsidRPr="00AC0AF7">
        <w:rPr>
          <w:sz w:val="20"/>
          <w:szCs w:val="20"/>
          <w:lang w:val="en-CA"/>
        </w:rPr>
        <w:t>publications on the later medieval period have been invaluable, the few comments he makes on the earlier period need to be taken with a grain of salt</w:t>
      </w:r>
      <w:r w:rsidR="00370D78" w:rsidRPr="00FE61B7">
        <w:rPr>
          <w:rStyle w:val="Appelnotedebasdep"/>
          <w:sz w:val="20"/>
          <w:szCs w:val="20"/>
        </w:rPr>
        <w:footnoteReference w:id="58"/>
      </w:r>
      <w:r w:rsidR="00370D78" w:rsidRPr="00AC0AF7">
        <w:rPr>
          <w:sz w:val="20"/>
          <w:szCs w:val="20"/>
          <w:lang w:val="en-CA"/>
        </w:rPr>
        <w:t>.</w:t>
      </w:r>
    </w:p>
    <w:p w:rsidR="00370D78" w:rsidRPr="00FE61B7" w:rsidRDefault="00370D78" w:rsidP="009868DA">
      <w:pPr>
        <w:spacing w:line="360" w:lineRule="auto"/>
        <w:jc w:val="both"/>
      </w:pPr>
      <w:r w:rsidRPr="00FE61B7">
        <w:t xml:space="preserve">Dans une autre section, elle s’attarde à une étude de cas, celle d’un manuscrit des </w:t>
      </w:r>
      <w:r w:rsidRPr="00FE61B7">
        <w:rPr>
          <w:i/>
        </w:rPr>
        <w:t xml:space="preserve">Évangiles de </w:t>
      </w:r>
      <w:proofErr w:type="spellStart"/>
      <w:r w:rsidRPr="00FE61B7">
        <w:rPr>
          <w:i/>
        </w:rPr>
        <w:t>Lindisfarne</w:t>
      </w:r>
      <w:proofErr w:type="spellEnd"/>
      <w:r w:rsidRPr="00FE61B7">
        <w:t xml:space="preserve">. </w:t>
      </w:r>
      <w:proofErr w:type="spellStart"/>
      <w:r w:rsidRPr="00AC0AF7">
        <w:rPr>
          <w:lang w:val="en-CA"/>
        </w:rPr>
        <w:t>Une</w:t>
      </w:r>
      <w:proofErr w:type="spellEnd"/>
      <w:r w:rsidRPr="00AC0AF7">
        <w:rPr>
          <w:lang w:val="en-CA"/>
        </w:rPr>
        <w:t xml:space="preserve"> des conclusions de </w:t>
      </w:r>
      <w:proofErr w:type="spellStart"/>
      <w:r w:rsidRPr="00AC0AF7">
        <w:rPr>
          <w:lang w:val="en-CA"/>
        </w:rPr>
        <w:t>cette</w:t>
      </w:r>
      <w:proofErr w:type="spellEnd"/>
      <w:r w:rsidRPr="00AC0AF7">
        <w:rPr>
          <w:lang w:val="en-CA"/>
        </w:rPr>
        <w:t xml:space="preserve"> </w:t>
      </w:r>
      <w:r w:rsidR="007306F4">
        <w:rPr>
          <w:lang w:val="en-CA"/>
        </w:rPr>
        <w:t xml:space="preserve">analyse </w:t>
      </w:r>
      <w:proofErr w:type="spellStart"/>
      <w:r w:rsidRPr="00AC0AF7">
        <w:rPr>
          <w:lang w:val="en-CA"/>
        </w:rPr>
        <w:t>est</w:t>
      </w:r>
      <w:proofErr w:type="spellEnd"/>
      <w:r w:rsidRPr="00AC0AF7">
        <w:rPr>
          <w:lang w:val="en-CA"/>
        </w:rPr>
        <w:t xml:space="preserve"> la </w:t>
      </w:r>
      <w:proofErr w:type="spellStart"/>
      <w:proofErr w:type="gramStart"/>
      <w:r w:rsidRPr="00AC0AF7">
        <w:rPr>
          <w:lang w:val="en-CA"/>
        </w:rPr>
        <w:t>suivante</w:t>
      </w:r>
      <w:proofErr w:type="spellEnd"/>
      <w:r w:rsidRPr="00AC0AF7">
        <w:rPr>
          <w:lang w:val="en-CA"/>
        </w:rPr>
        <w:t> :</w:t>
      </w:r>
      <w:proofErr w:type="gramEnd"/>
      <w:r w:rsidRPr="00AC0AF7">
        <w:rPr>
          <w:lang w:val="en-CA"/>
        </w:rPr>
        <w:t xml:space="preserve"> «</w:t>
      </w:r>
      <w:r w:rsidR="005D7A47">
        <w:rPr>
          <w:lang w:val="en-CA"/>
        </w:rPr>
        <w:t> </w:t>
      </w:r>
      <w:r w:rsidRPr="00AC0AF7">
        <w:rPr>
          <w:lang w:val="en-CA"/>
        </w:rPr>
        <w:t>Blue and green were both seen as celestials colors symbolizing heaven and the gospels</w:t>
      </w:r>
      <w:r w:rsidR="005D7A47">
        <w:rPr>
          <w:lang w:val="en-CA"/>
        </w:rPr>
        <w:t> </w:t>
      </w:r>
      <w:r w:rsidRPr="00AC0AF7">
        <w:rPr>
          <w:lang w:val="en-CA"/>
        </w:rPr>
        <w:t>»</w:t>
      </w:r>
      <w:r w:rsidRPr="00FE61B7">
        <w:rPr>
          <w:rStyle w:val="Appelnotedebasdep"/>
        </w:rPr>
        <w:footnoteReference w:id="59"/>
      </w:r>
      <w:r w:rsidRPr="00AC0AF7">
        <w:rPr>
          <w:lang w:val="en-CA"/>
        </w:rPr>
        <w:t xml:space="preserve">. </w:t>
      </w:r>
      <w:r w:rsidRPr="00FE61B7">
        <w:t>Cependant, comme il s’agit d’un manuscrit VIII</w:t>
      </w:r>
      <w:r w:rsidRPr="00FE61B7">
        <w:rPr>
          <w:vertAlign w:val="superscript"/>
        </w:rPr>
        <w:t>e</w:t>
      </w:r>
      <w:r w:rsidRPr="00FE61B7">
        <w:t xml:space="preserve"> siècle, en plus de provenir du royaume de Northumbrie, je n’ai pas jugé </w:t>
      </w:r>
      <w:r w:rsidR="00763C1B" w:rsidRPr="00FE61B7">
        <w:t>nécessaire</w:t>
      </w:r>
      <w:r w:rsidRPr="00FE61B7">
        <w:t xml:space="preserve"> d’appliquer les conclusions de cette étude dans ce mémoire.</w:t>
      </w:r>
      <w:r w:rsidR="00763C1B" w:rsidRPr="00FE61B7">
        <w:t xml:space="preserve"> Ce qu</w:t>
      </w:r>
      <w:r w:rsidR="005F56DC">
        <w:t>’il</w:t>
      </w:r>
      <w:r w:rsidR="00763C1B" w:rsidRPr="00FE61B7">
        <w:t xml:space="preserve"> est nécessaire de se rappeler ici est qu’il faut s’intéresser à un aspect précis de la symbolique des couleurs et</w:t>
      </w:r>
      <w:r w:rsidR="00E56B38" w:rsidRPr="00FE61B7">
        <w:t xml:space="preserve"> surtout</w:t>
      </w:r>
      <w:r w:rsidR="00763C1B" w:rsidRPr="00FE61B7">
        <w:t xml:space="preserve"> éviter de faire des généralisations.</w:t>
      </w:r>
    </w:p>
    <w:p w:rsidR="00D0575A" w:rsidRPr="00FE61B7" w:rsidRDefault="00D0575A" w:rsidP="009868DA">
      <w:pPr>
        <w:pStyle w:val="Titre2"/>
        <w:spacing w:line="360" w:lineRule="auto"/>
        <w:jc w:val="both"/>
        <w:rPr>
          <w:rFonts w:ascii="Times New Roman" w:hAnsi="Times New Roman" w:cs="Times New Roman"/>
          <w:color w:val="auto"/>
          <w:sz w:val="24"/>
          <w:szCs w:val="24"/>
        </w:rPr>
      </w:pPr>
      <w:bookmarkStart w:id="17" w:name="_Toc401478198"/>
      <w:proofErr w:type="spellStart"/>
      <w:r w:rsidRPr="00FE61B7">
        <w:rPr>
          <w:rFonts w:ascii="Times New Roman" w:hAnsi="Times New Roman" w:cs="Times New Roman"/>
          <w:color w:val="auto"/>
          <w:sz w:val="24"/>
          <w:szCs w:val="24"/>
        </w:rPr>
        <w:t>Farbe</w:t>
      </w:r>
      <w:proofErr w:type="spellEnd"/>
      <w:r w:rsidRPr="00FE61B7">
        <w:rPr>
          <w:rFonts w:ascii="Times New Roman" w:hAnsi="Times New Roman" w:cs="Times New Roman"/>
          <w:color w:val="auto"/>
          <w:sz w:val="24"/>
          <w:szCs w:val="24"/>
        </w:rPr>
        <w:t xml:space="preserve"> </w:t>
      </w:r>
      <w:proofErr w:type="spellStart"/>
      <w:r w:rsidRPr="00FE61B7">
        <w:rPr>
          <w:rFonts w:ascii="Times New Roman" w:hAnsi="Times New Roman" w:cs="Times New Roman"/>
          <w:color w:val="auto"/>
          <w:sz w:val="24"/>
          <w:szCs w:val="24"/>
        </w:rPr>
        <w:t>im</w:t>
      </w:r>
      <w:proofErr w:type="spellEnd"/>
      <w:r w:rsidRPr="00FE61B7">
        <w:rPr>
          <w:rFonts w:ascii="Times New Roman" w:hAnsi="Times New Roman" w:cs="Times New Roman"/>
          <w:color w:val="auto"/>
          <w:sz w:val="24"/>
          <w:szCs w:val="24"/>
        </w:rPr>
        <w:t xml:space="preserve"> </w:t>
      </w:r>
      <w:proofErr w:type="spellStart"/>
      <w:r w:rsidRPr="00FE61B7">
        <w:rPr>
          <w:rFonts w:ascii="Times New Roman" w:hAnsi="Times New Roman" w:cs="Times New Roman"/>
          <w:color w:val="auto"/>
          <w:sz w:val="24"/>
          <w:szCs w:val="24"/>
        </w:rPr>
        <w:t>Mittelalter</w:t>
      </w:r>
      <w:bookmarkEnd w:id="17"/>
      <w:proofErr w:type="spellEnd"/>
    </w:p>
    <w:p w:rsidR="00D0575A" w:rsidRPr="00FE61B7" w:rsidRDefault="00497DE0" w:rsidP="009868DA">
      <w:pPr>
        <w:spacing w:line="360" w:lineRule="auto"/>
        <w:jc w:val="both"/>
      </w:pPr>
      <w:r w:rsidRPr="00FE61B7">
        <w:tab/>
      </w:r>
      <w:proofErr w:type="spellStart"/>
      <w:r w:rsidR="00D832AE" w:rsidRPr="00FE61B7">
        <w:rPr>
          <w:i/>
        </w:rPr>
        <w:t>Farbe</w:t>
      </w:r>
      <w:proofErr w:type="spellEnd"/>
      <w:r w:rsidR="00D832AE" w:rsidRPr="00FE61B7">
        <w:rPr>
          <w:i/>
        </w:rPr>
        <w:t xml:space="preserve"> </w:t>
      </w:r>
      <w:proofErr w:type="spellStart"/>
      <w:r w:rsidR="00D832AE" w:rsidRPr="00FE61B7">
        <w:rPr>
          <w:i/>
        </w:rPr>
        <w:t>im</w:t>
      </w:r>
      <w:proofErr w:type="spellEnd"/>
      <w:r w:rsidR="00D832AE" w:rsidRPr="00FE61B7">
        <w:rPr>
          <w:i/>
        </w:rPr>
        <w:t xml:space="preserve"> </w:t>
      </w:r>
      <w:proofErr w:type="spellStart"/>
      <w:r w:rsidR="00D832AE" w:rsidRPr="00FE61B7">
        <w:rPr>
          <w:i/>
        </w:rPr>
        <w:t>Mittelalter</w:t>
      </w:r>
      <w:proofErr w:type="spellEnd"/>
      <w:r w:rsidR="00D832AE" w:rsidRPr="00FE61B7">
        <w:rPr>
          <w:i/>
        </w:rPr>
        <w:t xml:space="preserve">: </w:t>
      </w:r>
      <w:proofErr w:type="spellStart"/>
      <w:r w:rsidR="00D832AE" w:rsidRPr="00FE61B7">
        <w:rPr>
          <w:i/>
        </w:rPr>
        <w:t>Materialität</w:t>
      </w:r>
      <w:proofErr w:type="spellEnd"/>
      <w:r w:rsidR="00D832AE" w:rsidRPr="00FE61B7">
        <w:rPr>
          <w:i/>
        </w:rPr>
        <w:t xml:space="preserve"> – </w:t>
      </w:r>
      <w:proofErr w:type="spellStart"/>
      <w:r w:rsidR="00D832AE" w:rsidRPr="00FE61B7">
        <w:rPr>
          <w:i/>
        </w:rPr>
        <w:t>Medialität</w:t>
      </w:r>
      <w:proofErr w:type="spellEnd"/>
      <w:r w:rsidR="00D832AE" w:rsidRPr="00FE61B7">
        <w:rPr>
          <w:i/>
        </w:rPr>
        <w:t xml:space="preserve"> – </w:t>
      </w:r>
      <w:proofErr w:type="spellStart"/>
      <w:r w:rsidR="00D832AE" w:rsidRPr="00FE61B7">
        <w:rPr>
          <w:i/>
        </w:rPr>
        <w:t>Semantik</w:t>
      </w:r>
      <w:proofErr w:type="spellEnd"/>
      <w:r w:rsidR="00CE5D86" w:rsidRPr="00FE61B7">
        <w:rPr>
          <w:i/>
        </w:rPr>
        <w:tab/>
      </w:r>
      <w:r w:rsidR="00D832AE" w:rsidRPr="00FE61B7">
        <w:t xml:space="preserve"> est un ouvrage regroupant plusieurs travaux qui ont été présenté</w:t>
      </w:r>
      <w:r w:rsidR="005F56DC">
        <w:t>s</w:t>
      </w:r>
      <w:r w:rsidR="00D832AE" w:rsidRPr="00FE61B7">
        <w:t xml:space="preserve"> dans le cadre d’un symposium dans la ville de Bamberg le </w:t>
      </w:r>
      <w:r w:rsidR="00D832AE" w:rsidRPr="00FE61B7">
        <w:lastRenderedPageBreak/>
        <w:t>5 mars 2009.</w:t>
      </w:r>
      <w:r w:rsidR="00A2033A" w:rsidRPr="00FE61B7">
        <w:t xml:space="preserve"> </w:t>
      </w:r>
      <w:r w:rsidR="001771C9" w:rsidRPr="00FE61B7">
        <w:t>Pour celui qui veut étudier les couleurs du Moyen Âge, peu importe l’époque et la région, ce livre est essentiel puisqu’on trouve de tout dans ce dernier.</w:t>
      </w:r>
      <w:r w:rsidR="009868DA" w:rsidRPr="00FE61B7">
        <w:t xml:space="preserve"> Les champs d’études de ce livre </w:t>
      </w:r>
      <w:r w:rsidR="009A3335" w:rsidRPr="00FE61B7">
        <w:t>sont divers</w:t>
      </w:r>
      <w:r w:rsidR="009868DA" w:rsidRPr="00FE61B7">
        <w:t xml:space="preserve"> et quelques chapitres ont retenu notre attention.</w:t>
      </w:r>
      <w:r w:rsidR="009A3335" w:rsidRPr="00FE61B7">
        <w:t xml:space="preserve"> Tout d’abord, on retrouve </w:t>
      </w:r>
      <w:r w:rsidR="00A20996" w:rsidRPr="00FE61B7">
        <w:t>«</w:t>
      </w:r>
      <w:r w:rsidR="005D7A47">
        <w:t> </w:t>
      </w:r>
      <w:proofErr w:type="spellStart"/>
      <w:r w:rsidR="009A3335" w:rsidRPr="00FE61B7">
        <w:t>Kunst</w:t>
      </w:r>
      <w:proofErr w:type="spellEnd"/>
      <w:r w:rsidR="009A3335" w:rsidRPr="00FE61B7">
        <w:t xml:space="preserve"> et </w:t>
      </w:r>
      <w:proofErr w:type="spellStart"/>
      <w:r w:rsidR="009A3335" w:rsidRPr="00FE61B7">
        <w:t>Kultur</w:t>
      </w:r>
      <w:proofErr w:type="spellEnd"/>
      <w:r w:rsidR="009A3335" w:rsidRPr="00FE61B7">
        <w:t xml:space="preserve"> </w:t>
      </w:r>
      <w:proofErr w:type="spellStart"/>
      <w:r w:rsidR="009A3335" w:rsidRPr="00FE61B7">
        <w:t>im</w:t>
      </w:r>
      <w:proofErr w:type="spellEnd"/>
      <w:r w:rsidR="009A3335" w:rsidRPr="00FE61B7">
        <w:t xml:space="preserve"> </w:t>
      </w:r>
      <w:proofErr w:type="spellStart"/>
      <w:r w:rsidR="009A3335" w:rsidRPr="00FE61B7">
        <w:t>Mittelalter</w:t>
      </w:r>
      <w:proofErr w:type="spellEnd"/>
      <w:r w:rsidR="009A3335" w:rsidRPr="00FE61B7">
        <w:t xml:space="preserve"> : </w:t>
      </w:r>
      <w:proofErr w:type="spellStart"/>
      <w:r w:rsidR="009A3335" w:rsidRPr="00FE61B7">
        <w:t>Farbschemata</w:t>
      </w:r>
      <w:proofErr w:type="spellEnd"/>
      <w:r w:rsidR="009A3335" w:rsidRPr="00FE61B7">
        <w:t xml:space="preserve"> </w:t>
      </w:r>
      <w:proofErr w:type="spellStart"/>
      <w:r w:rsidR="009A3335" w:rsidRPr="00FE61B7">
        <w:t>und</w:t>
      </w:r>
      <w:proofErr w:type="spellEnd"/>
      <w:r w:rsidR="009A3335" w:rsidRPr="00FE61B7">
        <w:t xml:space="preserve"> </w:t>
      </w:r>
      <w:proofErr w:type="spellStart"/>
      <w:r w:rsidR="009A3335" w:rsidRPr="00FE61B7">
        <w:t>Farbsymbole</w:t>
      </w:r>
      <w:proofErr w:type="spellEnd"/>
      <w:r w:rsidR="00A20996" w:rsidRPr="00FE61B7">
        <w:t>»</w:t>
      </w:r>
      <w:r w:rsidR="009A3335" w:rsidRPr="00FE61B7">
        <w:t xml:space="preserve"> (Art et culture au Moyen Âge : le schéma et symbole de la couleur) de Marina Linares. En gros, il s’agit d’un travail très similaire à ceux que produisent Pastoureau. </w:t>
      </w:r>
      <w:r w:rsidR="00260067" w:rsidRPr="00FE61B7">
        <w:t xml:space="preserve">Son chapitre possède la même structure de travail que ce dernier. </w:t>
      </w:r>
      <w:r w:rsidR="009A3335" w:rsidRPr="00FE61B7">
        <w:t xml:space="preserve">Elle introduit les différents problèmes de l’analyse des couleurs au Moyen Âge pour, ensuite, établir la symbolique des différentes couleurs. Sur ce point, aucune nouveauté n’est apportée et il serait inutile de se répéter ici. À la fin, elle remarque </w:t>
      </w:r>
      <w:r w:rsidR="00260067" w:rsidRPr="00FE61B7">
        <w:t xml:space="preserve">également </w:t>
      </w:r>
      <w:r w:rsidR="009A3335" w:rsidRPr="00FE61B7">
        <w:t>que l’Empire devient de plus en plus monochrome</w:t>
      </w:r>
      <w:r w:rsidR="00260067" w:rsidRPr="00FE61B7">
        <w:t>. C’est un chapitre qui offre une bonne alternative et une bonne introduction aux travaux de Pastoureau, quoique moins complet, même si Linares ne cite pas celui-ci dans son travail.</w:t>
      </w:r>
    </w:p>
    <w:p w:rsidR="00260067" w:rsidRPr="00FE61B7" w:rsidRDefault="00787DDE" w:rsidP="009868DA">
      <w:pPr>
        <w:spacing w:line="360" w:lineRule="auto"/>
        <w:jc w:val="both"/>
      </w:pPr>
      <w:r w:rsidRPr="00FE61B7">
        <w:tab/>
      </w:r>
      <w:r w:rsidR="00A20996" w:rsidRPr="00FE61B7">
        <w:t xml:space="preserve">Un autre chapitre important est celui de Jürgen </w:t>
      </w:r>
      <w:proofErr w:type="spellStart"/>
      <w:r w:rsidR="00A20996" w:rsidRPr="00FE61B7">
        <w:t>Bärsch</w:t>
      </w:r>
      <w:proofErr w:type="spellEnd"/>
      <w:r w:rsidR="00A20996" w:rsidRPr="00FE61B7">
        <w:t>. Dans «</w:t>
      </w:r>
      <w:r w:rsidR="005D7A47">
        <w:t> </w:t>
      </w:r>
      <w:proofErr w:type="spellStart"/>
      <w:r w:rsidR="00A20996" w:rsidRPr="00FE61B7">
        <w:t>Farbiger</w:t>
      </w:r>
      <w:proofErr w:type="spellEnd"/>
      <w:r w:rsidR="00A20996" w:rsidRPr="00FE61B7">
        <w:t xml:space="preserve"> </w:t>
      </w:r>
      <w:proofErr w:type="spellStart"/>
      <w:r w:rsidR="00A20996" w:rsidRPr="00FE61B7">
        <w:t>Gottesdienst</w:t>
      </w:r>
      <w:proofErr w:type="spellEnd"/>
      <w:r w:rsidR="00A20996" w:rsidRPr="00FE61B7">
        <w:t xml:space="preserve"> : Zur </w:t>
      </w:r>
      <w:proofErr w:type="spellStart"/>
      <w:r w:rsidR="00A20996" w:rsidRPr="00FE61B7">
        <w:t>Bedeutung</w:t>
      </w:r>
      <w:proofErr w:type="spellEnd"/>
      <w:r w:rsidR="00A20996" w:rsidRPr="00FE61B7">
        <w:t xml:space="preserve"> der </w:t>
      </w:r>
      <w:proofErr w:type="spellStart"/>
      <w:r w:rsidR="00A20996" w:rsidRPr="00FE61B7">
        <w:t>liturgischen</w:t>
      </w:r>
      <w:proofErr w:type="spellEnd"/>
      <w:r w:rsidR="00A20996" w:rsidRPr="00FE61B7">
        <w:t xml:space="preserve"> </w:t>
      </w:r>
      <w:proofErr w:type="spellStart"/>
      <w:r w:rsidR="00A20996" w:rsidRPr="00FE61B7">
        <w:t>Farben</w:t>
      </w:r>
      <w:proofErr w:type="spellEnd"/>
      <w:r w:rsidR="00A20996" w:rsidRPr="00FE61B7">
        <w:t xml:space="preserve"> in </w:t>
      </w:r>
      <w:proofErr w:type="spellStart"/>
      <w:r w:rsidR="00A20996" w:rsidRPr="00FE61B7">
        <w:t>Vollzug</w:t>
      </w:r>
      <w:proofErr w:type="spellEnd"/>
      <w:r w:rsidR="00A20996" w:rsidRPr="00FE61B7">
        <w:t xml:space="preserve"> </w:t>
      </w:r>
      <w:proofErr w:type="spellStart"/>
      <w:r w:rsidR="00A20996" w:rsidRPr="00FE61B7">
        <w:t>und</w:t>
      </w:r>
      <w:proofErr w:type="spellEnd"/>
      <w:r w:rsidR="00A20996" w:rsidRPr="00FE61B7">
        <w:t xml:space="preserve"> </w:t>
      </w:r>
      <w:proofErr w:type="spellStart"/>
      <w:r w:rsidR="00A20996" w:rsidRPr="00FE61B7">
        <w:t>Wahrnehmung</w:t>
      </w:r>
      <w:proofErr w:type="spellEnd"/>
      <w:r w:rsidR="00A20996" w:rsidRPr="00FE61B7">
        <w:t xml:space="preserve"> der Liturgie </w:t>
      </w:r>
      <w:proofErr w:type="spellStart"/>
      <w:r w:rsidR="00A20996" w:rsidRPr="00FE61B7">
        <w:t>im</w:t>
      </w:r>
      <w:proofErr w:type="spellEnd"/>
      <w:r w:rsidR="00A20996" w:rsidRPr="00FE61B7">
        <w:t xml:space="preserve"> </w:t>
      </w:r>
      <w:proofErr w:type="spellStart"/>
      <w:r w:rsidR="00A20996" w:rsidRPr="00FE61B7">
        <w:t>späten</w:t>
      </w:r>
      <w:proofErr w:type="spellEnd"/>
      <w:r w:rsidR="00A20996" w:rsidRPr="00FE61B7">
        <w:t xml:space="preserve"> </w:t>
      </w:r>
      <w:proofErr w:type="spellStart"/>
      <w:r w:rsidR="00A20996" w:rsidRPr="00FE61B7">
        <w:t>Mittelalter</w:t>
      </w:r>
      <w:proofErr w:type="spellEnd"/>
      <w:r w:rsidR="005D7A47">
        <w:t> </w:t>
      </w:r>
      <w:r w:rsidR="00A20996" w:rsidRPr="00FE61B7">
        <w:t>» (Le culte coloré</w:t>
      </w:r>
      <w:r w:rsidR="005D7A47">
        <w:t> </w:t>
      </w:r>
      <w:r w:rsidR="00A20996" w:rsidRPr="00FE61B7">
        <w:t>: Sur l</w:t>
      </w:r>
      <w:r w:rsidR="005D7A47">
        <w:t>’</w:t>
      </w:r>
      <w:r w:rsidR="00A20996" w:rsidRPr="00FE61B7">
        <w:t>importance des couleurs liturgiques dans l</w:t>
      </w:r>
      <w:r w:rsidR="005D7A47">
        <w:t>’</w:t>
      </w:r>
      <w:r w:rsidR="00A20996" w:rsidRPr="00FE61B7">
        <w:t>exécution et la perception de la liturgie à la fin du Moyen Âge), il s’intéresse principalement à la couleur dans le déroulement du culte chrétien. Bien évidemment, il est question de la référence par excellence en la matière </w:t>
      </w:r>
      <w:r w:rsidR="00E971B3" w:rsidRPr="00FE61B7">
        <w:t>: Innocent</w:t>
      </w:r>
      <w:r w:rsidR="005D7A47">
        <w:t> </w:t>
      </w:r>
      <w:r w:rsidR="00E971B3" w:rsidRPr="00FE61B7">
        <w:t xml:space="preserve">III. Sa conclusion est la suivante : </w:t>
      </w:r>
      <w:r w:rsidR="00A20996" w:rsidRPr="00FE61B7">
        <w:t xml:space="preserve">l’utilisation des couleurs dans la liturgie à </w:t>
      </w:r>
      <w:proofErr w:type="spellStart"/>
      <w:r w:rsidR="00A20996" w:rsidRPr="00FE61B7">
        <w:t>hétérogénéiser</w:t>
      </w:r>
      <w:proofErr w:type="spellEnd"/>
      <w:r w:rsidR="00A20996" w:rsidRPr="00FE61B7">
        <w:t xml:space="preserve"> l’art</w:t>
      </w:r>
      <w:r w:rsidR="00A20996" w:rsidRPr="00FE61B7">
        <w:rPr>
          <w:rStyle w:val="Appelnotedebasdep"/>
        </w:rPr>
        <w:footnoteReference w:id="60"/>
      </w:r>
      <w:r w:rsidR="00A20996" w:rsidRPr="00FE61B7">
        <w:t>. Les couleurs dans les différentes créations artistiques se sont diversifiées</w:t>
      </w:r>
      <w:r w:rsidR="00E971B3" w:rsidRPr="00FE61B7">
        <w:t>. Nous avons justement vu, à travers le contexte historique de ce mémoire, que tout a été fait par les religieux pour que les croyants s’impliquent davantage dans les différentes facettes de la religion chrétienne. L’iconographie s’est enrichi</w:t>
      </w:r>
      <w:r w:rsidR="005F56DC">
        <w:t>e</w:t>
      </w:r>
      <w:r w:rsidR="00E971B3" w:rsidRPr="00FE61B7">
        <w:t xml:space="preserve"> de ce désir et, du même coup, l’utilisation des couleurs dans les images s’en est vue bonifier. En résumé, ce chapitre est utile puisqu’il nous informe qu’il ne faut pas négliger l’impact du déroulement du culte chrétien dans la vie de tous les jours au Moyen Âge. Il changeait les comportements des gens et l’impact fut très grand sur la manière dont on créait les images.</w:t>
      </w:r>
    </w:p>
    <w:p w:rsidR="00E971B3" w:rsidRPr="00FE61B7" w:rsidRDefault="00E971B3" w:rsidP="009868DA">
      <w:pPr>
        <w:spacing w:line="360" w:lineRule="auto"/>
        <w:jc w:val="both"/>
      </w:pPr>
      <w:r w:rsidRPr="00FE61B7">
        <w:tab/>
      </w:r>
      <w:r w:rsidR="00FE61B7" w:rsidRPr="00FE61B7">
        <w:t>Pour les deux derniers chapitres</w:t>
      </w:r>
      <w:r w:rsidR="00825638" w:rsidRPr="00FE61B7">
        <w:t>, «</w:t>
      </w:r>
      <w:r w:rsidR="005D7A47">
        <w:t> </w:t>
      </w:r>
      <w:r w:rsidR="00825638" w:rsidRPr="00FE61B7">
        <w:t xml:space="preserve">Die </w:t>
      </w:r>
      <w:proofErr w:type="spellStart"/>
      <w:r w:rsidR="00825638" w:rsidRPr="00FE61B7">
        <w:t>Farben</w:t>
      </w:r>
      <w:proofErr w:type="spellEnd"/>
      <w:r w:rsidR="00825638" w:rsidRPr="00FE61B7">
        <w:t xml:space="preserve"> des </w:t>
      </w:r>
      <w:proofErr w:type="spellStart"/>
      <w:r w:rsidR="00825638" w:rsidRPr="00FE61B7">
        <w:t>Goldes</w:t>
      </w:r>
      <w:proofErr w:type="spellEnd"/>
      <w:r w:rsidR="00825638" w:rsidRPr="00FE61B7">
        <w:t xml:space="preserve"> : </w:t>
      </w:r>
      <w:proofErr w:type="spellStart"/>
      <w:r w:rsidR="00825638" w:rsidRPr="00FE61B7">
        <w:t>Glanzvergoldung</w:t>
      </w:r>
      <w:proofErr w:type="spellEnd"/>
      <w:r w:rsidR="00825638" w:rsidRPr="00FE61B7">
        <w:t xml:space="preserve"> in der </w:t>
      </w:r>
      <w:proofErr w:type="spellStart"/>
      <w:r w:rsidR="00825638" w:rsidRPr="00FE61B7">
        <w:t>Buchmalerei</w:t>
      </w:r>
      <w:proofErr w:type="spellEnd"/>
      <w:r w:rsidR="00825638" w:rsidRPr="00FE61B7">
        <w:t xml:space="preserve"> des </w:t>
      </w:r>
      <w:proofErr w:type="spellStart"/>
      <w:r w:rsidR="00825638" w:rsidRPr="00FE61B7">
        <w:t>Mittelalters</w:t>
      </w:r>
      <w:proofErr w:type="spellEnd"/>
      <w:r w:rsidR="005D7A47">
        <w:t> </w:t>
      </w:r>
      <w:r w:rsidR="00825638" w:rsidRPr="00FE61B7">
        <w:t xml:space="preserve">» </w:t>
      </w:r>
      <w:r w:rsidR="00FE61B7" w:rsidRPr="00FE61B7">
        <w:t>(Les couleurs de l’or</w:t>
      </w:r>
      <w:r w:rsidR="005D7A47">
        <w:t> </w:t>
      </w:r>
      <w:r w:rsidR="00FE61B7" w:rsidRPr="00FE61B7">
        <w:t xml:space="preserve">: la dorure brillante dans l’enluminure du </w:t>
      </w:r>
      <w:r w:rsidR="00FE61B7" w:rsidRPr="00FE61B7">
        <w:lastRenderedPageBreak/>
        <w:t xml:space="preserve">Moyen Âge) </w:t>
      </w:r>
      <w:r w:rsidR="00825638" w:rsidRPr="00FE61B7">
        <w:t xml:space="preserve">d’Anna </w:t>
      </w:r>
      <w:proofErr w:type="spellStart"/>
      <w:r w:rsidR="00825638" w:rsidRPr="00FE61B7">
        <w:t>Bartl</w:t>
      </w:r>
      <w:proofErr w:type="spellEnd"/>
      <w:r w:rsidR="00825638" w:rsidRPr="00FE61B7">
        <w:t xml:space="preserve"> et Manfred </w:t>
      </w:r>
      <w:proofErr w:type="spellStart"/>
      <w:r w:rsidR="00825638" w:rsidRPr="00FE61B7">
        <w:t>Lautenschlager</w:t>
      </w:r>
      <w:proofErr w:type="spellEnd"/>
      <w:r w:rsidR="00825638" w:rsidRPr="00FE61B7">
        <w:t xml:space="preserve"> </w:t>
      </w:r>
      <w:r w:rsidR="00FE61B7" w:rsidRPr="00FE61B7">
        <w:t>et « </w:t>
      </w:r>
      <w:proofErr w:type="spellStart"/>
      <w:r w:rsidR="00FE61B7" w:rsidRPr="00FE61B7">
        <w:t>Purpurismum</w:t>
      </w:r>
      <w:proofErr w:type="spellEnd"/>
      <w:r w:rsidR="00FE61B7" w:rsidRPr="00FE61B7">
        <w:t xml:space="preserve"> in </w:t>
      </w:r>
      <w:proofErr w:type="spellStart"/>
      <w:r w:rsidR="00FE61B7" w:rsidRPr="00FE61B7">
        <w:t>martyrio</w:t>
      </w:r>
      <w:proofErr w:type="spellEnd"/>
      <w:r w:rsidR="00FE61B7" w:rsidRPr="00FE61B7">
        <w:t xml:space="preserve"> : Die </w:t>
      </w:r>
      <w:proofErr w:type="spellStart"/>
      <w:r w:rsidR="00FE61B7" w:rsidRPr="00FE61B7">
        <w:t>Farbe</w:t>
      </w:r>
      <w:proofErr w:type="spellEnd"/>
      <w:r w:rsidR="00FE61B7" w:rsidRPr="00FE61B7">
        <w:t xml:space="preserve"> des Blutes in </w:t>
      </w:r>
      <w:proofErr w:type="spellStart"/>
      <w:r w:rsidR="00FE61B7" w:rsidRPr="00FE61B7">
        <w:t>mittelalterlichen</w:t>
      </w:r>
      <w:proofErr w:type="spellEnd"/>
      <w:r w:rsidR="00FE61B7" w:rsidRPr="00FE61B7">
        <w:t xml:space="preserve"> </w:t>
      </w:r>
      <w:proofErr w:type="spellStart"/>
      <w:r w:rsidR="00FE61B7" w:rsidRPr="00FE61B7">
        <w:t>Handschriften</w:t>
      </w:r>
      <w:proofErr w:type="spellEnd"/>
      <w:r w:rsidR="00FE61B7" w:rsidRPr="00FE61B7">
        <w:t xml:space="preserve"> » (</w:t>
      </w:r>
      <w:proofErr w:type="spellStart"/>
      <w:r w:rsidR="00FE61B7" w:rsidRPr="00FE61B7">
        <w:t>Purpurismum</w:t>
      </w:r>
      <w:proofErr w:type="spellEnd"/>
      <w:r w:rsidR="00FE61B7" w:rsidRPr="00FE61B7">
        <w:t xml:space="preserve"> in </w:t>
      </w:r>
      <w:proofErr w:type="spellStart"/>
      <w:r w:rsidR="00FE61B7" w:rsidRPr="00FE61B7">
        <w:t>martyrio</w:t>
      </w:r>
      <w:proofErr w:type="spellEnd"/>
      <w:r w:rsidR="00162703">
        <w:t> </w:t>
      </w:r>
      <w:r w:rsidR="00FE61B7" w:rsidRPr="00FE61B7">
        <w:t>: La couleur du sang dans les manuscrits</w:t>
      </w:r>
      <w:r w:rsidR="00FE61B7">
        <w:t xml:space="preserve"> médiévaux</w:t>
      </w:r>
      <w:r w:rsidR="00567DEA">
        <w:t xml:space="preserve">) de Patrizia </w:t>
      </w:r>
      <w:proofErr w:type="spellStart"/>
      <w:r w:rsidR="00567DEA">
        <w:t>Carmassi</w:t>
      </w:r>
      <w:proofErr w:type="spellEnd"/>
      <w:r w:rsidR="00567DEA">
        <w:t>, j</w:t>
      </w:r>
      <w:r w:rsidR="00FE61B7" w:rsidRPr="00FE61B7">
        <w:t xml:space="preserve">e ne veux pas trop en discuter pour l’instant puisqu’ils seront </w:t>
      </w:r>
      <w:r w:rsidR="00455461">
        <w:t xml:space="preserve">cités et </w:t>
      </w:r>
      <w:r w:rsidR="00FE61B7" w:rsidRPr="00FE61B7">
        <w:t xml:space="preserve">expliqués plus en détail dans le cadre de l’analyse de l’image de la Vierge à l’enfant. Pour en faire un cours résumé, le premier </w:t>
      </w:r>
      <w:r w:rsidR="00FE61B7">
        <w:t xml:space="preserve">chapitre </w:t>
      </w:r>
      <w:r w:rsidR="00FE61B7" w:rsidRPr="00FE61B7">
        <w:t>porte sur l’utilisat</w:t>
      </w:r>
      <w:r w:rsidR="00DB04E2">
        <w:t xml:space="preserve">ion et la signification de l’or, symbole du merveilleux, </w:t>
      </w:r>
      <w:r w:rsidR="00FE61B7" w:rsidRPr="00FE61B7">
        <w:t>dans les manuscrits et le deuxième s’intéresse à l’attachement de la couleur rouge à la personne du Christ.</w:t>
      </w:r>
    </w:p>
    <w:p w:rsidR="00716F90" w:rsidRPr="00AC0AF7" w:rsidRDefault="00716F90" w:rsidP="009868DA">
      <w:pPr>
        <w:pStyle w:val="Titre1"/>
        <w:spacing w:line="360" w:lineRule="auto"/>
        <w:jc w:val="both"/>
        <w:rPr>
          <w:rFonts w:ascii="Times New Roman" w:hAnsi="Times New Roman" w:cs="Times New Roman"/>
          <w:color w:val="auto"/>
        </w:rPr>
      </w:pPr>
      <w:bookmarkStart w:id="18" w:name="_Toc401478199"/>
      <w:r w:rsidRPr="00AC0AF7">
        <w:rPr>
          <w:rFonts w:ascii="Times New Roman" w:hAnsi="Times New Roman" w:cs="Times New Roman"/>
          <w:color w:val="auto"/>
        </w:rPr>
        <w:t>Sources</w:t>
      </w:r>
      <w:bookmarkEnd w:id="18"/>
    </w:p>
    <w:p w:rsidR="00716F90" w:rsidRPr="00FE61B7" w:rsidRDefault="00716F90" w:rsidP="00D832AE">
      <w:pPr>
        <w:pStyle w:val="Titre2"/>
        <w:spacing w:line="360" w:lineRule="auto"/>
        <w:jc w:val="both"/>
        <w:rPr>
          <w:rFonts w:ascii="Times New Roman" w:hAnsi="Times New Roman" w:cs="Times New Roman"/>
          <w:color w:val="auto"/>
          <w:sz w:val="24"/>
          <w:szCs w:val="24"/>
        </w:rPr>
      </w:pPr>
      <w:bookmarkStart w:id="19" w:name="_Toc401478200"/>
      <w:r w:rsidRPr="00FE61B7">
        <w:rPr>
          <w:rFonts w:ascii="Times New Roman" w:hAnsi="Times New Roman" w:cs="Times New Roman"/>
          <w:color w:val="auto"/>
          <w:sz w:val="24"/>
          <w:szCs w:val="24"/>
        </w:rPr>
        <w:t xml:space="preserve">Présentation </w:t>
      </w:r>
      <w:proofErr w:type="spellStart"/>
      <w:r w:rsidRPr="00FE61B7">
        <w:rPr>
          <w:rFonts w:ascii="Times New Roman" w:hAnsi="Times New Roman" w:cs="Times New Roman"/>
          <w:color w:val="auto"/>
          <w:sz w:val="24"/>
          <w:szCs w:val="24"/>
        </w:rPr>
        <w:t>codicologique</w:t>
      </w:r>
      <w:proofErr w:type="spellEnd"/>
      <w:r w:rsidRPr="00FE61B7">
        <w:rPr>
          <w:rFonts w:ascii="Times New Roman" w:hAnsi="Times New Roman" w:cs="Times New Roman"/>
          <w:color w:val="auto"/>
          <w:sz w:val="24"/>
          <w:szCs w:val="24"/>
        </w:rPr>
        <w:t xml:space="preserve"> du livre d’Heures du maître de Jean d’Albret</w:t>
      </w:r>
      <w:bookmarkEnd w:id="19"/>
    </w:p>
    <w:p w:rsidR="00716F90" w:rsidRPr="00FE61B7" w:rsidRDefault="00716F90" w:rsidP="00D832AE">
      <w:pPr>
        <w:spacing w:line="360" w:lineRule="auto"/>
        <w:jc w:val="both"/>
      </w:pPr>
      <w:r w:rsidRPr="00FE61B7">
        <w:tab/>
        <w:t>Le livre d’Heures étudié pour ce mémoire a été confectionné entre 1495 et 1500. Il fut fabriqué sous la tutelle du maître de Jean d’Albret ou de son groupe d’artistes selon Isabelle Delaunay</w:t>
      </w:r>
      <w:r w:rsidRPr="00FE61B7">
        <w:rPr>
          <w:rStyle w:val="Appelnotedebasdep"/>
        </w:rPr>
        <w:footnoteReference w:id="61"/>
      </w:r>
      <w:r w:rsidRPr="00FE61B7">
        <w:t xml:space="preserve">. Cet artiste a été principalement actif à Paris entre 1490 et 1510 et il est reconnu pour avoir produit beaucoup de manuscrits et d’imprimés. Ses plus célèbres documents sont </w:t>
      </w:r>
      <w:r w:rsidRPr="00FE61B7">
        <w:rPr>
          <w:i/>
        </w:rPr>
        <w:t xml:space="preserve">Le recueil des histoires </w:t>
      </w:r>
      <w:proofErr w:type="spellStart"/>
      <w:r w:rsidRPr="00FE61B7">
        <w:rPr>
          <w:i/>
        </w:rPr>
        <w:t>troiennes</w:t>
      </w:r>
      <w:proofErr w:type="spellEnd"/>
      <w:r w:rsidRPr="00FE61B7">
        <w:t xml:space="preserve"> de Raoul le </w:t>
      </w:r>
      <w:proofErr w:type="spellStart"/>
      <w:r w:rsidRPr="00FE61B7">
        <w:t>Fèvre</w:t>
      </w:r>
      <w:proofErr w:type="spellEnd"/>
      <w:r w:rsidRPr="00FE61B7">
        <w:t xml:space="preserve"> et </w:t>
      </w:r>
      <w:r w:rsidRPr="00FE61B7">
        <w:rPr>
          <w:i/>
        </w:rPr>
        <w:t>La nef des fous</w:t>
      </w:r>
      <w:r w:rsidRPr="00FE61B7">
        <w:t xml:space="preserve"> de Sébastian Brant qui étaient destinés tous les deux au roi de Navarre de l’époque, Jean d’Albret. C’est d’ailleurs de celui-ci que notre artiste tient son nom de maître de Jean d’Albret.</w:t>
      </w:r>
      <w:r w:rsidR="009B2B5C" w:rsidRPr="00FE61B7">
        <w:t xml:space="preserve"> Toutes les informations </w:t>
      </w:r>
      <w:proofErr w:type="spellStart"/>
      <w:r w:rsidR="009B2B5C" w:rsidRPr="00FE61B7">
        <w:t>codicologiques</w:t>
      </w:r>
      <w:proofErr w:type="spellEnd"/>
      <w:r w:rsidR="009B2B5C" w:rsidRPr="00FE61B7">
        <w:t xml:space="preserve"> sur ce livre d’Heures qui seront présenté</w:t>
      </w:r>
      <w:r w:rsidR="005F56DC">
        <w:t>e</w:t>
      </w:r>
      <w:r w:rsidR="009B2B5C" w:rsidRPr="00FE61B7">
        <w:t xml:space="preserve">s ici ont été trouvées sur une fiche PDF provenant du site </w:t>
      </w:r>
      <w:r w:rsidR="009B2B5C" w:rsidRPr="00FE61B7">
        <w:rPr>
          <w:i/>
        </w:rPr>
        <w:t>Les Enluminures</w:t>
      </w:r>
      <w:r w:rsidR="009B2B5C" w:rsidRPr="00FE61B7">
        <w:rPr>
          <w:rStyle w:val="Appelnotedebasdep"/>
          <w:i/>
        </w:rPr>
        <w:footnoteReference w:id="62"/>
      </w:r>
      <w:r w:rsidR="009B2B5C" w:rsidRPr="00FE61B7">
        <w:t>.</w:t>
      </w:r>
    </w:p>
    <w:p w:rsidR="00716F90" w:rsidRPr="00FE61B7" w:rsidRDefault="00716F90" w:rsidP="00F04FC5">
      <w:pPr>
        <w:spacing w:line="360" w:lineRule="auto"/>
        <w:jc w:val="both"/>
      </w:pPr>
      <w:r w:rsidRPr="00FE61B7">
        <w:tab/>
        <w:t>La reliure ne date pas du Moyen Âge. Elle a probablement été reconstruite au XVIII</w:t>
      </w:r>
      <w:r w:rsidRPr="00FE61B7">
        <w:rPr>
          <w:vertAlign w:val="superscript"/>
        </w:rPr>
        <w:t>e</w:t>
      </w:r>
      <w:r w:rsidRPr="00FE61B7">
        <w:t xml:space="preserve"> siècle en France en veau marbré. L’échine est divisée en six compartiments dorés et le mot « Heures » est écrit sur l’échine en or. On retrouve également un ruban de soie verte comme marque-page.</w:t>
      </w:r>
    </w:p>
    <w:p w:rsidR="00716F90" w:rsidRPr="00FE61B7" w:rsidRDefault="00716F90" w:rsidP="00F04FC5">
      <w:pPr>
        <w:spacing w:line="360" w:lineRule="auto"/>
        <w:ind w:firstLine="708"/>
        <w:jc w:val="both"/>
      </w:pPr>
      <w:r w:rsidRPr="00FE61B7">
        <w:t xml:space="preserve">Ce livre d’Heures, dont les dimensions sont de 176 x 116 mm, est composé de 125 feuilles dont l’écriture se trouve sur 22 lignes. Les artistes ont écrit dans ce livre en utilisant un très beau style gothique se servant principalement du brun foncé comme encre. L’écriture se trouve souvent entre 2 lignes verticales et 22 lignes horizontales séparées par des lignes rose </w:t>
      </w:r>
      <w:r w:rsidRPr="00FE61B7">
        <w:lastRenderedPageBreak/>
        <w:t xml:space="preserve">foncé dont la justification est de 107 x 63mm. Le calendrier est écrit avec de l’encre bleu, rouge et brun. On retrouve un fait intéressant dans cette section. Selon une affirmation de Didier </w:t>
      </w:r>
      <w:proofErr w:type="spellStart"/>
      <w:r w:rsidRPr="00FE61B7">
        <w:t>Méhu</w:t>
      </w:r>
      <w:proofErr w:type="spellEnd"/>
      <w:r w:rsidRPr="00FE61B7">
        <w:t xml:space="preserve"> lors d’une séance du </w:t>
      </w:r>
      <w:proofErr w:type="spellStart"/>
      <w:r w:rsidRPr="00FE61B7">
        <w:t>Greppsomm</w:t>
      </w:r>
      <w:proofErr w:type="spellEnd"/>
      <w:r w:rsidRPr="00FE61B7">
        <w:t xml:space="preserve"> à l’Université Laval le 1</w:t>
      </w:r>
      <w:r w:rsidRPr="00FE61B7">
        <w:rPr>
          <w:vertAlign w:val="superscript"/>
        </w:rPr>
        <w:t>er</w:t>
      </w:r>
      <w:r w:rsidRPr="00FE61B7">
        <w:t xml:space="preserve"> décembre 2012, les lettres des fêtes les plus importantes dans la plupart des calendriers des livres d’Heures étaient écrites avec de l’encre rouge alors que les autres étaient écrites en bleu. Dans notre manuscrit, on remarque le contraire. Les fêtes les plus importantes sont en bleu alors que le restant est en rouge ou en brun. Pour le reste, les rubriques sont bleues, les lettres capitales jaunes et les initiales en or liquide avec des arrière-plans de différentes couleurs : rouge clair et foncé ou bleu. Certaines lignes d’écritures sont formées </w:t>
      </w:r>
      <w:r w:rsidR="00567DEA">
        <w:t xml:space="preserve">ou complétées par des représentations de </w:t>
      </w:r>
      <w:r w:rsidRPr="00FE61B7">
        <w:t>branches. On retrouve aussi des initiales à deux et trois lignes en blanc et en mauve sur de l’or liquide avec des arrière-plans remplis avec des fleurs et des fruits.</w:t>
      </w:r>
    </w:p>
    <w:p w:rsidR="00716F90" w:rsidRPr="00FE61B7" w:rsidRDefault="00716F90" w:rsidP="00F04FC5">
      <w:pPr>
        <w:spacing w:line="360" w:lineRule="auto"/>
        <w:jc w:val="both"/>
      </w:pPr>
      <w:r w:rsidRPr="00FE61B7">
        <w:tab/>
        <w:t>Ce livre d’Heures possède 29 bordures constituées principalement de fleurs, de fruits, de l’acanthe bleu et or sur un fond d’or ou sur du parchemin naturel. D’autres sont soit divisés entre le bleu et le rouge ou le bleu, le rouge et l’or. Un fait intéressant qu’on peut observer dans les bordures est l’empreinte artistique particulière du maître de Jean d’Albret. Ce dernier est un des rares qui utilisait des formes irrégulières dans les bordures de ses livres. On remarque l’</w:t>
      </w:r>
      <w:r w:rsidR="00567DEA">
        <w:t>usage</w:t>
      </w:r>
      <w:r w:rsidRPr="00FE61B7">
        <w:t xml:space="preserve"> de cœurs, de losanges et </w:t>
      </w:r>
      <w:r w:rsidR="00567DEA">
        <w:t>d’</w:t>
      </w:r>
      <w:r w:rsidRPr="00FE61B7">
        <w:t>autres formes géométriques. Cela démontre une certaine inventivité par rapport aux courants artistiques existant à l’époque. Également, certaines bordures possèdent des habitants comme des oiseaux ou d’autres animaux bien étranges tels que des dragons.</w:t>
      </w:r>
    </w:p>
    <w:p w:rsidR="00716F90" w:rsidRPr="00FE61B7" w:rsidRDefault="00716F90" w:rsidP="00F04FC5">
      <w:pPr>
        <w:spacing w:line="360" w:lineRule="auto"/>
        <w:jc w:val="both"/>
      </w:pPr>
      <w:r w:rsidRPr="00FE61B7">
        <w:tab/>
        <w:t xml:space="preserve">Ce livre d’Heures est à l’usage de Rome selon la classification des composants des différents usages établie par Victor </w:t>
      </w:r>
      <w:proofErr w:type="spellStart"/>
      <w:r w:rsidRPr="00FE61B7">
        <w:t>Leroquais</w:t>
      </w:r>
      <w:proofErr w:type="spellEnd"/>
      <w:r w:rsidRPr="00FE61B7">
        <w:t>. Il contient un calendrier, des séquences des Évangiles, l’</w:t>
      </w:r>
      <w:proofErr w:type="spellStart"/>
      <w:r w:rsidRPr="00FE61B7">
        <w:t>Obsecro</w:t>
      </w:r>
      <w:proofErr w:type="spellEnd"/>
      <w:r w:rsidRPr="00FE61B7">
        <w:t xml:space="preserve"> te au masculin, l’O </w:t>
      </w:r>
      <w:proofErr w:type="spellStart"/>
      <w:r w:rsidRPr="00FE61B7">
        <w:t>intemerrata</w:t>
      </w:r>
      <w:proofErr w:type="spellEnd"/>
      <w:r w:rsidRPr="00FE61B7">
        <w:t xml:space="preserve"> au masculin également, les Heures de la Vierge Marie, de la Croix ainsi que de l’Esprit Saint, les sept psaumes pénitentiaux, des litanies, un office des morts et des suffrages destinés à différents saints, confirmant ainsi bel et bien l’usage de Rome. Le manuscrit étudié pour ce mémoire contient 13 grandes et 16 petites miniatures, certaines avec des signes de dégradation montrant qu’il a dû probablement être utilisé ou cela peut-être seulement le signe du passage du temps. La composition exacte de ce document est : un calendrier se trouvant au folio 1 à 12v, des séquences des Évangiles des quatre évangélistes de 13 à 17, l’</w:t>
      </w:r>
      <w:proofErr w:type="spellStart"/>
      <w:r w:rsidRPr="00FE61B7">
        <w:rPr>
          <w:i/>
        </w:rPr>
        <w:t>Obsecro</w:t>
      </w:r>
      <w:proofErr w:type="spellEnd"/>
      <w:r w:rsidRPr="00FE61B7">
        <w:rPr>
          <w:i/>
        </w:rPr>
        <w:t xml:space="preserve"> te</w:t>
      </w:r>
      <w:r w:rsidRPr="00FE61B7">
        <w:t xml:space="preserve"> au masculin de 17v à 20, l’</w:t>
      </w:r>
      <w:r w:rsidRPr="00FE61B7">
        <w:rPr>
          <w:i/>
        </w:rPr>
        <w:t xml:space="preserve">O </w:t>
      </w:r>
      <w:proofErr w:type="spellStart"/>
      <w:r w:rsidRPr="00FE61B7">
        <w:rPr>
          <w:i/>
        </w:rPr>
        <w:t>intemerata</w:t>
      </w:r>
      <w:proofErr w:type="spellEnd"/>
      <w:r w:rsidRPr="00FE61B7">
        <w:t xml:space="preserve"> au masculin également de 20 à 21v, les Heures de la Vierge Marie de 22 à 68v avec les prières à faire à </w:t>
      </w:r>
      <w:r w:rsidRPr="00FE61B7">
        <w:lastRenderedPageBreak/>
        <w:t>Matines (ff.22-29), à Laudes (ff.29v-37), à Prime (ff.37v-40v), à Tierce (ff.44-46v), à None (ff.47-49), à Vêpres (ff.50-54v) et à Complies (ff.55-68v). On retrouve également les courtes Heures de la Croix du folio 69 à 71, un espace vide au folio 71v, les sept psaumes pénitentiaux et des litanies de 75 à 89v et l’office des morts de 90 à 120. Pour les folios 120v à 125, les suffrages prennent les dernières pages de ce manuscrit. Ceux-ci sont destinés à la Sainte Trinité ainsi qu’aux saints Michel (f.120v), Jean le Baptiste (f.121), Jean l’évangéliste (f.121v), Pierre et Paul (f.121v), Sébastien (f.122), Nicolas (f.122v), Marie-Madeleine (f.124), Catherine (f.124v) et, pour finir, Barbe (f.125).</w:t>
      </w:r>
    </w:p>
    <w:p w:rsidR="00C55F19" w:rsidRPr="00FE61B7" w:rsidRDefault="00716F90" w:rsidP="00F04FC5">
      <w:pPr>
        <w:spacing w:line="360" w:lineRule="auto"/>
        <w:jc w:val="both"/>
      </w:pPr>
      <w:r w:rsidRPr="00FE61B7">
        <w:tab/>
        <w:t>Pour les enluminures, la répartition est la suivante : saint Jean de Patmos au folio 13, saint Mathieu avec son homme ailé (introduisant incorrectement le texte de Luc) au 14, saint Luc avec bœuf ailé (introduisan</w:t>
      </w:r>
      <w:r w:rsidR="00567DEA">
        <w:t>t incorrectement le texte de Mathieu</w:t>
      </w:r>
      <w:r w:rsidRPr="00FE61B7">
        <w:t xml:space="preserve">) au 15, saint Marc avec son lion au 16v. Par la suite, on retrouve les images des Heures de la Vierge : Marie avec le Chris en gloire au folio 17v, la </w:t>
      </w:r>
      <w:proofErr w:type="spellStart"/>
      <w:r w:rsidRPr="00FE61B7">
        <w:rPr>
          <w:i/>
        </w:rPr>
        <w:t>Pieta</w:t>
      </w:r>
      <w:proofErr w:type="spellEnd"/>
      <w:r w:rsidRPr="00FE61B7">
        <w:t xml:space="preserve"> au 20, l’Annonciation au 22, la Visitation au 29v, la Nativité au 37v, l’Annonciation aux bergers au 41, l’Adoration des Mages au 44, la Présentation au temple au 47, la Fuite en Égypte au 50 et le Couronnement de la Vierge au 55. Ensuite, il y a la Crucifixion au folio 69 et la Pentecôte au 72 pour les Heures de la Croix. Pour introduire les sept psaumes pénitentiaux et l’office des morts, nous avons respectivement Bethsabée au bain observé par David au folio 75 et Job sur son tas de fumier au 90. Pour le reste, les folios des enluminures des différents saints correspondent exactement à ceux des suffrages.</w:t>
      </w:r>
    </w:p>
    <w:p w:rsidR="00E8282E" w:rsidRPr="00FE61B7" w:rsidRDefault="00E8282E" w:rsidP="00F04FC5">
      <w:pPr>
        <w:pStyle w:val="Titre2"/>
        <w:spacing w:line="360" w:lineRule="auto"/>
        <w:jc w:val="both"/>
        <w:rPr>
          <w:rFonts w:ascii="Times New Roman" w:hAnsi="Times New Roman" w:cs="Times New Roman"/>
          <w:color w:val="auto"/>
          <w:sz w:val="24"/>
          <w:szCs w:val="24"/>
        </w:rPr>
      </w:pPr>
      <w:bookmarkStart w:id="20" w:name="_Toc401478201"/>
      <w:r w:rsidRPr="00FE61B7">
        <w:rPr>
          <w:rFonts w:ascii="Times New Roman" w:hAnsi="Times New Roman" w:cs="Times New Roman"/>
          <w:color w:val="auto"/>
          <w:sz w:val="24"/>
          <w:szCs w:val="24"/>
        </w:rPr>
        <w:t xml:space="preserve">Les </w:t>
      </w:r>
      <w:r w:rsidR="00587A53" w:rsidRPr="00FE61B7">
        <w:rPr>
          <w:rFonts w:ascii="Times New Roman" w:hAnsi="Times New Roman" w:cs="Times New Roman"/>
          <w:color w:val="auto"/>
          <w:sz w:val="24"/>
          <w:szCs w:val="24"/>
        </w:rPr>
        <w:t>pigments</w:t>
      </w:r>
      <w:bookmarkEnd w:id="20"/>
    </w:p>
    <w:p w:rsidR="009347D4" w:rsidRPr="00AC0AF7" w:rsidRDefault="009347D4" w:rsidP="00F04FC5">
      <w:pPr>
        <w:spacing w:line="360" w:lineRule="auto"/>
        <w:jc w:val="both"/>
        <w:rPr>
          <w:lang w:val="en-CA"/>
        </w:rPr>
      </w:pPr>
      <w:r w:rsidRPr="00FE61B7">
        <w:tab/>
        <w:t>Dans cette section, il sera question de la fabrication des différents pigments utilisés pour les enluminures dans les manuscrits. Il est important d’en discuter puisque Pastoureau a effectué la même description dans ces différents livres</w:t>
      </w:r>
      <w:r w:rsidR="002726FC" w:rsidRPr="00FE61B7">
        <w:t>,</w:t>
      </w:r>
      <w:r w:rsidRPr="00FE61B7">
        <w:t xml:space="preserve"> mais surtout d’un point de vue vestimentaire. Le présent chapitre se base principalement sur une source médiéval</w:t>
      </w:r>
      <w:r w:rsidR="002726FC" w:rsidRPr="00FE61B7">
        <w:t>e</w:t>
      </w:r>
      <w:r w:rsidRPr="00FE61B7">
        <w:t xml:space="preserve">, celle de Théophile qui son nomme </w:t>
      </w:r>
      <w:r w:rsidRPr="00FE61B7">
        <w:rPr>
          <w:i/>
        </w:rPr>
        <w:t>De</w:t>
      </w:r>
      <w:r w:rsidRPr="00FE61B7">
        <w:t xml:space="preserve"> </w:t>
      </w:r>
      <w:proofErr w:type="spellStart"/>
      <w:r w:rsidRPr="00FE61B7">
        <w:rPr>
          <w:i/>
        </w:rPr>
        <w:t>Diversis</w:t>
      </w:r>
      <w:proofErr w:type="spellEnd"/>
      <w:r w:rsidRPr="00FE61B7">
        <w:rPr>
          <w:i/>
        </w:rPr>
        <w:t xml:space="preserve"> </w:t>
      </w:r>
      <w:proofErr w:type="spellStart"/>
      <w:r w:rsidRPr="00FE61B7">
        <w:rPr>
          <w:i/>
        </w:rPr>
        <w:t>Artibus</w:t>
      </w:r>
      <w:proofErr w:type="spellEnd"/>
      <w:r w:rsidRPr="00FE61B7">
        <w:t xml:space="preserve">. C.R. </w:t>
      </w:r>
      <w:proofErr w:type="spellStart"/>
      <w:r w:rsidRPr="00FE61B7">
        <w:t>Dodwell</w:t>
      </w:r>
      <w:proofErr w:type="spellEnd"/>
      <w:r w:rsidRPr="00FE61B7">
        <w:t xml:space="preserve">, le traducteur et l’éditeur de cette source, explique qu’il s’agit du document le plus complet traitant de l’art médiéval. </w:t>
      </w:r>
      <w:r w:rsidR="00567DEA">
        <w:rPr>
          <w:lang w:val="en-CA"/>
        </w:rPr>
        <w:t xml:space="preserve">Il </w:t>
      </w:r>
      <w:proofErr w:type="spellStart"/>
      <w:r w:rsidR="00567DEA">
        <w:rPr>
          <w:lang w:val="en-CA"/>
        </w:rPr>
        <w:t>écrit</w:t>
      </w:r>
      <w:proofErr w:type="spellEnd"/>
      <w:r w:rsidR="00567DEA">
        <w:rPr>
          <w:lang w:val="en-CA"/>
        </w:rPr>
        <w:t xml:space="preserve"> </w:t>
      </w:r>
      <w:proofErr w:type="spellStart"/>
      <w:proofErr w:type="gramStart"/>
      <w:r w:rsidR="00567DEA">
        <w:rPr>
          <w:lang w:val="en-CA"/>
        </w:rPr>
        <w:t>d’ailleurs</w:t>
      </w:r>
      <w:proofErr w:type="spellEnd"/>
      <w:r w:rsidRPr="00AC0AF7">
        <w:rPr>
          <w:lang w:val="en-CA"/>
        </w:rPr>
        <w:t> :</w:t>
      </w:r>
      <w:proofErr w:type="gramEnd"/>
    </w:p>
    <w:p w:rsidR="009347D4" w:rsidRPr="00AC0AF7" w:rsidRDefault="009347D4" w:rsidP="00F04FC5">
      <w:pPr>
        <w:spacing w:line="360" w:lineRule="auto"/>
        <w:ind w:left="1134" w:right="1134"/>
        <w:jc w:val="both"/>
        <w:rPr>
          <w:sz w:val="20"/>
          <w:szCs w:val="20"/>
          <w:lang w:val="en-CA"/>
        </w:rPr>
      </w:pPr>
      <w:r w:rsidRPr="00AC0AF7">
        <w:rPr>
          <w:sz w:val="20"/>
          <w:szCs w:val="20"/>
          <w:lang w:val="en-CA"/>
        </w:rPr>
        <w:t xml:space="preserve">The </w:t>
      </w:r>
      <w:r w:rsidRPr="00AC0AF7">
        <w:rPr>
          <w:i/>
          <w:sz w:val="20"/>
          <w:szCs w:val="20"/>
          <w:lang w:val="en-CA"/>
        </w:rPr>
        <w:t xml:space="preserve">De </w:t>
      </w:r>
      <w:proofErr w:type="spellStart"/>
      <w:r w:rsidRPr="00AC0AF7">
        <w:rPr>
          <w:i/>
          <w:sz w:val="20"/>
          <w:szCs w:val="20"/>
          <w:lang w:val="en-CA"/>
        </w:rPr>
        <w:t>Diversis</w:t>
      </w:r>
      <w:proofErr w:type="spellEnd"/>
      <w:r w:rsidRPr="00AC0AF7">
        <w:rPr>
          <w:i/>
          <w:sz w:val="20"/>
          <w:szCs w:val="20"/>
          <w:lang w:val="en-CA"/>
        </w:rPr>
        <w:t xml:space="preserve"> </w:t>
      </w:r>
      <w:proofErr w:type="spellStart"/>
      <w:r w:rsidRPr="00AC0AF7">
        <w:rPr>
          <w:i/>
          <w:sz w:val="20"/>
          <w:szCs w:val="20"/>
          <w:lang w:val="en-CA"/>
        </w:rPr>
        <w:t>Artibus</w:t>
      </w:r>
      <w:proofErr w:type="spellEnd"/>
      <w:r w:rsidRPr="00AC0AF7">
        <w:rPr>
          <w:sz w:val="20"/>
          <w:szCs w:val="20"/>
          <w:lang w:val="en-CA"/>
        </w:rPr>
        <w:t xml:space="preserve"> of </w:t>
      </w:r>
      <w:proofErr w:type="spellStart"/>
      <w:r w:rsidRPr="00AC0AF7">
        <w:rPr>
          <w:sz w:val="20"/>
          <w:szCs w:val="20"/>
          <w:lang w:val="en-CA"/>
        </w:rPr>
        <w:t>Theophilus</w:t>
      </w:r>
      <w:proofErr w:type="spellEnd"/>
      <w:r w:rsidRPr="00AC0AF7">
        <w:rPr>
          <w:sz w:val="20"/>
          <w:szCs w:val="20"/>
          <w:lang w:val="en-CA"/>
        </w:rPr>
        <w:t xml:space="preserve"> is so well known that it is unnecessary to dwell on its importance for the history of medieval art. There are, of course, other important medieval sources for art and techniques, but there is none which combines to the same extent the comprehensive range, the orderly presentation, the logical development and the attention to detail of </w:t>
      </w:r>
      <w:proofErr w:type="spellStart"/>
      <w:r w:rsidRPr="00AC0AF7">
        <w:rPr>
          <w:sz w:val="20"/>
          <w:szCs w:val="20"/>
          <w:lang w:val="en-CA"/>
        </w:rPr>
        <w:t>Theophilus’s</w:t>
      </w:r>
      <w:proofErr w:type="spellEnd"/>
      <w:r w:rsidRPr="00AC0AF7">
        <w:rPr>
          <w:sz w:val="20"/>
          <w:szCs w:val="20"/>
          <w:lang w:val="en-CA"/>
        </w:rPr>
        <w:t xml:space="preserve"> work. It has with some justification been described </w:t>
      </w:r>
      <w:r w:rsidRPr="00AC0AF7">
        <w:rPr>
          <w:sz w:val="20"/>
          <w:szCs w:val="20"/>
          <w:lang w:val="en-CA"/>
        </w:rPr>
        <w:lastRenderedPageBreak/>
        <w:t>by three nineteenth-century scholars (</w:t>
      </w:r>
      <w:proofErr w:type="spellStart"/>
      <w:r w:rsidRPr="00AC0AF7">
        <w:rPr>
          <w:sz w:val="20"/>
          <w:szCs w:val="20"/>
          <w:lang w:val="en-CA"/>
        </w:rPr>
        <w:t>Guich</w:t>
      </w:r>
      <w:r w:rsidR="00AC13A2" w:rsidRPr="00AC0AF7">
        <w:rPr>
          <w:sz w:val="20"/>
          <w:szCs w:val="20"/>
          <w:lang w:val="en-CA"/>
        </w:rPr>
        <w:t>ard</w:t>
      </w:r>
      <w:proofErr w:type="spellEnd"/>
      <w:r w:rsidR="00AC13A2" w:rsidRPr="00AC0AF7">
        <w:rPr>
          <w:sz w:val="20"/>
          <w:szCs w:val="20"/>
          <w:lang w:val="en-CA"/>
        </w:rPr>
        <w:t xml:space="preserve">, Hendrie and </w:t>
      </w:r>
      <w:proofErr w:type="spellStart"/>
      <w:r w:rsidR="00AC13A2" w:rsidRPr="00AC0AF7">
        <w:rPr>
          <w:sz w:val="20"/>
          <w:szCs w:val="20"/>
          <w:lang w:val="en-CA"/>
        </w:rPr>
        <w:t>Bourassé</w:t>
      </w:r>
      <w:proofErr w:type="spellEnd"/>
      <w:r w:rsidR="00AC13A2" w:rsidRPr="00AC0AF7">
        <w:rPr>
          <w:sz w:val="20"/>
          <w:szCs w:val="20"/>
          <w:lang w:val="en-CA"/>
        </w:rPr>
        <w:t xml:space="preserve">) as </w:t>
      </w:r>
      <w:r w:rsidRPr="00AC0AF7">
        <w:rPr>
          <w:sz w:val="20"/>
          <w:szCs w:val="20"/>
          <w:lang w:val="en-CA"/>
        </w:rPr>
        <w:t>an encyc</w:t>
      </w:r>
      <w:r w:rsidR="00AC13A2" w:rsidRPr="00AC0AF7">
        <w:rPr>
          <w:sz w:val="20"/>
          <w:szCs w:val="20"/>
          <w:lang w:val="en-CA"/>
        </w:rPr>
        <w:t>lopedia of Christian art, for it embraces most of the medieval skills and crafts</w:t>
      </w:r>
      <w:r w:rsidR="00AC13A2" w:rsidRPr="00FE61B7">
        <w:rPr>
          <w:rStyle w:val="Appelnotedebasdep"/>
          <w:sz w:val="20"/>
          <w:szCs w:val="20"/>
        </w:rPr>
        <w:footnoteReference w:id="63"/>
      </w:r>
      <w:r w:rsidR="00AC13A2" w:rsidRPr="00AC0AF7">
        <w:rPr>
          <w:sz w:val="20"/>
          <w:szCs w:val="20"/>
          <w:lang w:val="en-CA"/>
        </w:rPr>
        <w:t>.</w:t>
      </w:r>
    </w:p>
    <w:p w:rsidR="00AC13A2" w:rsidRPr="00FE61B7" w:rsidRDefault="00AC13A2" w:rsidP="00F04FC5">
      <w:pPr>
        <w:spacing w:line="360" w:lineRule="auto"/>
        <w:jc w:val="both"/>
      </w:pPr>
      <w:r w:rsidRPr="00FE61B7">
        <w:t>Pour cette raison, j’ai décidé d’utiliser cette source pour décrire les techniques de création des couleurs utilisées dans les enluminures.</w:t>
      </w:r>
    </w:p>
    <w:p w:rsidR="008D07DE" w:rsidRPr="00FE61B7" w:rsidRDefault="008D07DE" w:rsidP="00F04FC5">
      <w:pPr>
        <w:pStyle w:val="Titre3"/>
        <w:spacing w:line="360" w:lineRule="auto"/>
        <w:jc w:val="both"/>
        <w:rPr>
          <w:b w:val="0"/>
          <w:i/>
          <w:color w:val="auto"/>
          <w:u w:val="single"/>
        </w:rPr>
      </w:pPr>
      <w:bookmarkStart w:id="21" w:name="_Toc401478202"/>
      <w:r w:rsidRPr="00FE61B7">
        <w:rPr>
          <w:b w:val="0"/>
          <w:i/>
          <w:color w:val="auto"/>
          <w:u w:val="single"/>
        </w:rPr>
        <w:t>L’or et le jaune</w:t>
      </w:r>
      <w:bookmarkEnd w:id="21"/>
    </w:p>
    <w:p w:rsidR="00AC13A2" w:rsidRPr="00AC0AF7" w:rsidRDefault="00AC13A2" w:rsidP="00F04FC5">
      <w:pPr>
        <w:spacing w:line="360" w:lineRule="auto"/>
        <w:ind w:firstLine="708"/>
        <w:jc w:val="both"/>
        <w:rPr>
          <w:lang w:val="en-CA"/>
        </w:rPr>
      </w:pPr>
      <w:r w:rsidRPr="00FE61B7">
        <w:t>Tout d’abord, le premier exemple qui sera élaboré est celui de l’or, considéré comme la couleur la plus importante de la chrétienté.</w:t>
      </w:r>
      <w:r w:rsidR="00E720A0" w:rsidRPr="00FE61B7">
        <w:t xml:space="preserve"> Pour les manuscrits commandés par les plus riches, on utilise de l’or véritable pour enluminer le document. Dans les cas où les manuscrits sont de moins bonne facture et destinés à des moins bien nantis, on fait plutôt usage de jaune qui requiert un autre procédé de fabrication. Pour l’or, on commence par le nettoyer. Ensuite, il faut avoir à sa disposition un appareil dont la spécialité est de moudre l’or. Pour cela, il faut d’abord un pilon et un mortier fait d’un alliage avec la bonne composition et proportion de métaux : trois quarts de cuivre et un quart d’étain. Les deux éléments doivent être purs. Pour le reste, le mortier et le pilon sont installés dans l’appareil qui vient d’être mentionné. </w:t>
      </w:r>
      <w:proofErr w:type="spellStart"/>
      <w:r w:rsidR="00E720A0" w:rsidRPr="00AC0AF7">
        <w:rPr>
          <w:lang w:val="en-CA"/>
        </w:rPr>
        <w:t>Théophile</w:t>
      </w:r>
      <w:proofErr w:type="spellEnd"/>
      <w:r w:rsidR="00E720A0" w:rsidRPr="00AC0AF7">
        <w:rPr>
          <w:lang w:val="en-CA"/>
        </w:rPr>
        <w:t xml:space="preserve"> le </w:t>
      </w:r>
      <w:proofErr w:type="spellStart"/>
      <w:proofErr w:type="gramStart"/>
      <w:r w:rsidR="00E720A0" w:rsidRPr="00AC0AF7">
        <w:rPr>
          <w:lang w:val="en-CA"/>
        </w:rPr>
        <w:t>décrit</w:t>
      </w:r>
      <w:proofErr w:type="spellEnd"/>
      <w:r w:rsidR="00E720A0" w:rsidRPr="00AC0AF7">
        <w:rPr>
          <w:lang w:val="en-CA"/>
        </w:rPr>
        <w:t> :</w:t>
      </w:r>
      <w:proofErr w:type="gramEnd"/>
    </w:p>
    <w:p w:rsidR="00E720A0" w:rsidRPr="00AC0AF7" w:rsidRDefault="00E720A0" w:rsidP="00F04FC5">
      <w:pPr>
        <w:spacing w:line="360" w:lineRule="auto"/>
        <w:ind w:left="1134" w:right="1134"/>
        <w:jc w:val="both"/>
        <w:rPr>
          <w:sz w:val="20"/>
          <w:szCs w:val="20"/>
          <w:lang w:val="en-CA"/>
        </w:rPr>
      </w:pPr>
      <w:r w:rsidRPr="00AC0AF7">
        <w:rPr>
          <w:sz w:val="20"/>
          <w:szCs w:val="20"/>
          <w:lang w:val="en-CA"/>
        </w:rPr>
        <w:t>Its pestle is fixed like a knob round the iron shaft, with</w:t>
      </w:r>
      <w:r w:rsidR="00021E5E" w:rsidRPr="00AC0AF7">
        <w:rPr>
          <w:sz w:val="20"/>
          <w:szCs w:val="20"/>
          <w:lang w:val="en-CA"/>
        </w:rPr>
        <w:t xml:space="preserve"> the latter projecting from it as thick as a finger and rather more than half a foot in length. A third of this iron shaft is fixed in a carefully turned piece of wood, about an ell long and pierced with a perfectly straight hole [along its length]. In its lower part, about four fingers from the end, there should be a revolving a wheel of wood or lead, with a thong attached half way up the shaft above the wheel, by which it can be drawn, and, in revolving, winds itself back. After this, let the mill be placed in a hollow on a bench adapted for this purpose, between two small wooden pillars fixed firmly to the bench itself. Over them, another piece of wood is inserted, which can be removed and replaced and which has in the middle of its lower surface a socket in which the pestle of the mill may revolve</w:t>
      </w:r>
      <w:r w:rsidR="00021E5E" w:rsidRPr="00FE61B7">
        <w:rPr>
          <w:rStyle w:val="Appelnotedebasdep"/>
          <w:sz w:val="20"/>
          <w:szCs w:val="20"/>
        </w:rPr>
        <w:footnoteReference w:id="64"/>
      </w:r>
      <w:r w:rsidR="00021E5E" w:rsidRPr="00AC0AF7">
        <w:rPr>
          <w:sz w:val="20"/>
          <w:szCs w:val="20"/>
          <w:lang w:val="en-CA"/>
        </w:rPr>
        <w:t>.</w:t>
      </w:r>
    </w:p>
    <w:p w:rsidR="00021E5E" w:rsidRPr="00FE61B7" w:rsidRDefault="00021E5E" w:rsidP="00F04FC5">
      <w:pPr>
        <w:spacing w:line="360" w:lineRule="auto"/>
        <w:jc w:val="both"/>
      </w:pPr>
      <w:r w:rsidRPr="00FE61B7">
        <w:t>Par la suite, on dépose l’or dans le mortier avec de l’eau et on met en fonction cette installation pendant au moins deux à trois heures.</w:t>
      </w:r>
      <w:r w:rsidR="00E77547" w:rsidRPr="00FE61B7">
        <w:t xml:space="preserve"> Après, on arrête pour nettoyer et remplacer certaines pièces usées</w:t>
      </w:r>
      <w:r w:rsidR="00146422" w:rsidRPr="00FE61B7">
        <w:t xml:space="preserve"> et on recommence à piller l’or. Le but est de faire couler l’eau à partir du mortier vers un bassin avec l’or qui vient d’être broyé. On recommence le processus qui vient d’être expliqué aussi longtemps qu’il reste de l’or dans le mortie</w:t>
      </w:r>
      <w:r w:rsidR="00A94421">
        <w:t>r. On transvide l’eau dans un bo</w:t>
      </w:r>
      <w:r w:rsidR="00146422" w:rsidRPr="00FE61B7">
        <w:t xml:space="preserve">l avec des petits trous pour que les fines particules du métal ne s’échappent pas mais, avant, il est important de </w:t>
      </w:r>
      <w:r w:rsidR="00146422" w:rsidRPr="00FE61B7">
        <w:lastRenderedPageBreak/>
        <w:t xml:space="preserve">faire bouillir l’eau pendant une heure pour éliminer les impuretés et nettoyer le métal. Encore une fois, on recommence ce processus jusqu’au moment où on ne retrouve plus d’or dans l’eau. La préparation de l’argent, du cuivre et du bronze est la même. Quand la poudre d’or est prête, il faut l’appliquer dans le manuscrit. Une colle est effectivement nécessaire pour effectuer cette opération. Pour la fabriquer, les deux seuls ingrédients sont de l’eau et une vessie de poisson. Il est aussi possible d’utiliser </w:t>
      </w:r>
      <w:r w:rsidR="00675644" w:rsidRPr="00FE61B7">
        <w:t>de la</w:t>
      </w:r>
      <w:r w:rsidR="00146422" w:rsidRPr="00FE61B7">
        <w:t xml:space="preserve"> peau de vélin, </w:t>
      </w:r>
      <w:r w:rsidR="00675644" w:rsidRPr="00FE61B7">
        <w:t xml:space="preserve">de la </w:t>
      </w:r>
      <w:r w:rsidR="00146422" w:rsidRPr="00FE61B7">
        <w:t>vessie d’</w:t>
      </w:r>
      <w:r w:rsidR="00675644" w:rsidRPr="00FE61B7">
        <w:t>anguille ou d’un os provenant de la tête d’un brochet. Pendant la nuit, on coupe la vessie et on la laisse tremper pour l’attendrir et, au matin, on chauffe le tout sans faire bouillir l’eau. À la fin, on teste le mélange avec les doigts et, s’il reste collé, la préparation est terminé</w:t>
      </w:r>
      <w:r w:rsidR="002726FC" w:rsidRPr="00FE61B7">
        <w:t>e</w:t>
      </w:r>
      <w:r w:rsidR="00675644" w:rsidRPr="00FE61B7">
        <w:t xml:space="preserve"> et l’enlumineur est ainsi prêt à appos</w:t>
      </w:r>
      <w:r w:rsidR="002726FC" w:rsidRPr="00FE61B7">
        <w:t>er</w:t>
      </w:r>
      <w:r w:rsidR="00675644" w:rsidRPr="00FE61B7">
        <w:t xml:space="preserve"> la poudre d’or dans son manuscrit</w:t>
      </w:r>
      <w:r w:rsidR="00675644" w:rsidRPr="00FE61B7">
        <w:rPr>
          <w:rStyle w:val="Appelnotedebasdep"/>
        </w:rPr>
        <w:footnoteReference w:id="65"/>
      </w:r>
      <w:r w:rsidR="00675644" w:rsidRPr="00FE61B7">
        <w:t>.</w:t>
      </w:r>
      <w:r w:rsidR="004E0BCA" w:rsidRPr="00FE61B7">
        <w:t xml:space="preserve"> Une autre technique, expliqué</w:t>
      </w:r>
      <w:r w:rsidR="002726FC" w:rsidRPr="00FE61B7">
        <w:t>e</w:t>
      </w:r>
      <w:r w:rsidR="004E0BCA" w:rsidRPr="00FE61B7">
        <w:t xml:space="preserve"> par Philip Ball, consistait tout simplement à marteler des pièces d’or pour en faire des minces feuilles et, ensuite, comme pour la poudre d’or, on l’a plaquait </w:t>
      </w:r>
      <w:r w:rsidR="00350ADC" w:rsidRPr="00FE61B7">
        <w:t>avec de la colle sur les enluminures</w:t>
      </w:r>
      <w:r w:rsidR="00350ADC" w:rsidRPr="00FE61B7">
        <w:rPr>
          <w:rStyle w:val="Appelnotedebasdep"/>
        </w:rPr>
        <w:footnoteReference w:id="66"/>
      </w:r>
      <w:r w:rsidR="004E0BCA" w:rsidRPr="00FE61B7">
        <w:t>.</w:t>
      </w:r>
    </w:p>
    <w:p w:rsidR="008D07DE" w:rsidRPr="00FE61B7" w:rsidRDefault="008D07DE" w:rsidP="00F04FC5">
      <w:pPr>
        <w:spacing w:line="360" w:lineRule="auto"/>
        <w:jc w:val="both"/>
      </w:pPr>
      <w:r w:rsidRPr="00FE61B7">
        <w:tab/>
        <w:t xml:space="preserve">Pour le jaune, il m’est impossible de me fier à Théophile. Même si </w:t>
      </w:r>
      <w:proofErr w:type="spellStart"/>
      <w:r w:rsidRPr="00FE61B7">
        <w:t>Dodwell</w:t>
      </w:r>
      <w:proofErr w:type="spellEnd"/>
      <w:r w:rsidRPr="00FE61B7">
        <w:t xml:space="preserve"> vante son travail, rien n’est dit à propos de cette couleur</w:t>
      </w:r>
      <w:r w:rsidR="004E0BCA" w:rsidRPr="00FE61B7">
        <w:t>. Ball écrit à ce sujet : «</w:t>
      </w:r>
      <w:r w:rsidR="004972DD" w:rsidRPr="00FE61B7">
        <w:t> </w:t>
      </w:r>
      <w:r w:rsidR="00350ADC" w:rsidRPr="00FE61B7">
        <w:t>Il n’est pas étonnant que les artistes médiévaux aient porté peu d’attention aux vrais pigments jaunes : c’étaient de pâles substituts de la magnificence de l’or</w:t>
      </w:r>
      <w:r w:rsidR="004972DD" w:rsidRPr="00FE61B7">
        <w:t> </w:t>
      </w:r>
      <w:r w:rsidR="004E0BCA" w:rsidRPr="00FE61B7">
        <w:t>»</w:t>
      </w:r>
      <w:r w:rsidR="00350ADC" w:rsidRPr="00FE61B7">
        <w:rPr>
          <w:rStyle w:val="Appelnotedebasdep"/>
        </w:rPr>
        <w:footnoteReference w:id="67"/>
      </w:r>
      <w:r w:rsidR="00350ADC" w:rsidRPr="00FE61B7">
        <w:t>.</w:t>
      </w:r>
      <w:r w:rsidR="00EF3219" w:rsidRPr="00FE61B7">
        <w:t xml:space="preserve"> Ici, il n’y a pas d’autres choix que de se fier à cet auteur. Il nous explique d’abord quels étaient les ingrédients les moins probables pour le pigment jaune. Dans de rares cas, on faisait usage d’une forme de sulfure d’étain. Ball nous donne la recette d’un certain peintre toscan ayant vécu entre 1370 et 1440 qui se </w:t>
      </w:r>
      <w:proofErr w:type="gramStart"/>
      <w:r w:rsidR="00EF3219" w:rsidRPr="00FE61B7">
        <w:t>nomme</w:t>
      </w:r>
      <w:proofErr w:type="gramEnd"/>
      <w:r w:rsidR="00EF3219" w:rsidRPr="00FE61B7">
        <w:t xml:space="preserve"> Cennini : «</w:t>
      </w:r>
      <w:r w:rsidR="004972DD" w:rsidRPr="00FE61B7">
        <w:t> </w:t>
      </w:r>
      <w:r w:rsidR="008D26E6" w:rsidRPr="00FE61B7">
        <w:t>Prenez du sel d’ammoniaque, de l’étain, du soufre, du vif-argent, en parts égales, sauf pour le vif-argent en moindre quantité. Mettez ces ingrédients dans un récipient en fer, et c’est fait</w:t>
      </w:r>
      <w:r w:rsidR="004972DD" w:rsidRPr="00FE61B7">
        <w:t> </w:t>
      </w:r>
      <w:r w:rsidR="00EF3219" w:rsidRPr="00FE61B7">
        <w:t>»</w:t>
      </w:r>
      <w:r w:rsidR="00EF3219" w:rsidRPr="00FE61B7">
        <w:rPr>
          <w:rStyle w:val="Appelnotedebasdep"/>
        </w:rPr>
        <w:footnoteReference w:id="68"/>
      </w:r>
      <w:r w:rsidR="00EF3219" w:rsidRPr="00FE61B7">
        <w:t>.</w:t>
      </w:r>
      <w:r w:rsidR="008D26E6" w:rsidRPr="00FE61B7">
        <w:t xml:space="preserve"> Néanmoins, l’auteur doute que cette </w:t>
      </w:r>
      <w:r w:rsidR="002726FC" w:rsidRPr="00FE61B7">
        <w:t>mixture</w:t>
      </w:r>
      <w:r w:rsidR="008D26E6" w:rsidRPr="00FE61B7">
        <w:t xml:space="preserve"> produis</w:t>
      </w:r>
      <w:r w:rsidR="002726FC" w:rsidRPr="00FE61B7">
        <w:t>î</w:t>
      </w:r>
      <w:r w:rsidR="008D26E6" w:rsidRPr="00FE61B7">
        <w:t>t un véritable jaune. Il énonce d’autres ingrédients qui étaient utilisés comme substitut à l’or tel que l’orpiment, un minéral, ou de l’antimoniate de plomb jaune sans toutefois donner de recette. Selon Ball, l’ingrédient le plus utilisé pour créer un bon pigment jaune était celui provenant de la plante du safran. On le mélangeait tout</w:t>
      </w:r>
      <w:r w:rsidR="005B6D7D" w:rsidRPr="00FE61B7">
        <w:t xml:space="preserve"> simplement avec du blanc d’œuf, ce que l’on nomme en réalité la détrempe à l’œuf. Ce dernier ingrédient </w:t>
      </w:r>
      <w:r w:rsidR="005B6D7D" w:rsidRPr="00FE61B7">
        <w:lastRenderedPageBreak/>
        <w:t>était souvent utilisé comme fixatif, mais cela dépendait des couleurs</w:t>
      </w:r>
      <w:r w:rsidR="005B6D7D" w:rsidRPr="00FE61B7">
        <w:rPr>
          <w:rStyle w:val="Appelnotedebasdep"/>
        </w:rPr>
        <w:footnoteReference w:id="69"/>
      </w:r>
      <w:r w:rsidR="005B6D7D" w:rsidRPr="00FE61B7">
        <w:t xml:space="preserve">. </w:t>
      </w:r>
      <w:r w:rsidR="00A94421">
        <w:t>Ce</w:t>
      </w:r>
      <w:r w:rsidR="005B6D7D" w:rsidRPr="00FE61B7">
        <w:t xml:space="preserve"> processus permettait de </w:t>
      </w:r>
      <w:r w:rsidR="008D26E6" w:rsidRPr="00FE61B7">
        <w:t>créer un jaune de très haute qualité</w:t>
      </w:r>
      <w:r w:rsidR="008D26E6" w:rsidRPr="00FE61B7">
        <w:rPr>
          <w:rStyle w:val="Appelnotedebasdep"/>
        </w:rPr>
        <w:footnoteReference w:id="70"/>
      </w:r>
      <w:r w:rsidR="008D26E6" w:rsidRPr="00FE61B7">
        <w:t>.</w:t>
      </w:r>
    </w:p>
    <w:p w:rsidR="008D26E6" w:rsidRPr="00FE61B7" w:rsidRDefault="008D26E6" w:rsidP="00F04FC5">
      <w:pPr>
        <w:pStyle w:val="Titre3"/>
        <w:spacing w:line="360" w:lineRule="auto"/>
        <w:jc w:val="both"/>
        <w:rPr>
          <w:rFonts w:ascii="Times New Roman" w:hAnsi="Times New Roman" w:cs="Times New Roman"/>
          <w:b w:val="0"/>
          <w:i/>
          <w:color w:val="auto"/>
          <w:u w:val="single"/>
        </w:rPr>
      </w:pPr>
      <w:bookmarkStart w:id="22" w:name="_Toc401478203"/>
      <w:r w:rsidRPr="00FE61B7">
        <w:rPr>
          <w:rFonts w:ascii="Times New Roman" w:hAnsi="Times New Roman" w:cs="Times New Roman"/>
          <w:b w:val="0"/>
          <w:i/>
          <w:color w:val="auto"/>
          <w:u w:val="single"/>
        </w:rPr>
        <w:t>Rouge</w:t>
      </w:r>
      <w:bookmarkEnd w:id="22"/>
    </w:p>
    <w:p w:rsidR="008D26E6" w:rsidRPr="00FE61B7" w:rsidRDefault="008D26E6" w:rsidP="00F04FC5">
      <w:pPr>
        <w:spacing w:line="360" w:lineRule="auto"/>
        <w:jc w:val="both"/>
      </w:pPr>
      <w:r w:rsidRPr="00FE61B7">
        <w:tab/>
        <w:t>Dans la hiérarchie d’importance des couleurs pendant le Moyen Âge, on retrouve bien évidemment en premier l’or, mais vien</w:t>
      </w:r>
      <w:r w:rsidR="002726FC" w:rsidRPr="00FE61B7">
        <w:t>t</w:t>
      </w:r>
      <w:r w:rsidRPr="00FE61B7">
        <w:t xml:space="preserve"> ensuite le rouge. San</w:t>
      </w:r>
      <w:r w:rsidR="003D3844" w:rsidRPr="00FE61B7">
        <w:t xml:space="preserve">s aucun doute, le vermillon était </w:t>
      </w:r>
      <w:r w:rsidRPr="00FE61B7">
        <w:t xml:space="preserve">le principal </w:t>
      </w:r>
      <w:r w:rsidR="003D3844" w:rsidRPr="00FE61B7">
        <w:t>pigment utilisé pour faire cette couleur</w:t>
      </w:r>
      <w:r w:rsidRPr="00FE61B7">
        <w:t>. Théophile et Ball sont en accord sur ce point.</w:t>
      </w:r>
      <w:r w:rsidR="003D3844" w:rsidRPr="00FE61B7">
        <w:t xml:space="preserve"> Pour fabriquer du vermillon, le processus était bien simple. Il suffit d’avoir en sa possession du soufre, peu importe la couleur</w:t>
      </w:r>
      <w:r w:rsidR="003D3844" w:rsidRPr="00FE61B7">
        <w:rPr>
          <w:rStyle w:val="Appelnotedebasdep"/>
        </w:rPr>
        <w:footnoteReference w:id="71"/>
      </w:r>
      <w:r w:rsidR="003D3844" w:rsidRPr="00FE61B7">
        <w:t>, et de le casser en petits morceaux afin de le mélanger à du mercure. Selon Théophile, la proportion de ses deux éléments se devait être un tiers de soufre pour deux tiers de mercure. On coulait le tout dans un récipient en verre et on recouvrait ce dernier complètement d’argile pour qu’aucune vapeur ne puisse sortir du contenant lorsqu’il était sur le feu.</w:t>
      </w:r>
      <w:r w:rsidR="00A94421">
        <w:t xml:space="preserve"> Une fois qu’il était</w:t>
      </w:r>
      <w:r w:rsidR="00F87083" w:rsidRPr="00FE61B7">
        <w:t xml:space="preserve"> chaud, un bruit commençait à se faire entendre. C’était le signal que le soufre et le mercure commençaient à se combiner. Lorsque le bruit s’arrêtait, le vermillon était prêt à être récupéré.</w:t>
      </w:r>
    </w:p>
    <w:p w:rsidR="00F87083" w:rsidRPr="00FE61B7" w:rsidRDefault="00F87083" w:rsidP="00F04FC5">
      <w:pPr>
        <w:spacing w:line="360" w:lineRule="auto"/>
        <w:jc w:val="both"/>
      </w:pPr>
      <w:r w:rsidRPr="00FE61B7">
        <w:tab/>
        <w:t xml:space="preserve">Ball nous donne bien d’autres exemples de pigments rouges dans son ouvrage sur les couleurs à part le vermillon. Il existe également la laque de kermès, un insecte que l’on récoltait sur un chêne du même nom, le produit extrait de la racine de l’arbre brésil, la garance, une racine provenant du </w:t>
      </w:r>
      <w:proofErr w:type="spellStart"/>
      <w:r w:rsidRPr="00FE61B7">
        <w:rPr>
          <w:i/>
        </w:rPr>
        <w:t>Rubia</w:t>
      </w:r>
      <w:proofErr w:type="spellEnd"/>
      <w:r w:rsidRPr="00FE61B7">
        <w:rPr>
          <w:i/>
        </w:rPr>
        <w:t xml:space="preserve"> </w:t>
      </w:r>
      <w:proofErr w:type="spellStart"/>
      <w:r w:rsidRPr="00FE61B7">
        <w:rPr>
          <w:i/>
        </w:rPr>
        <w:t>tinctorum</w:t>
      </w:r>
      <w:proofErr w:type="spellEnd"/>
      <w:r w:rsidRPr="00FE61B7">
        <w:t xml:space="preserve"> ou la cochenille, un insecte comme le kermès. Toutefois, même si ces ingrédients étaient populaires, cela dépendait de la région où il se trouvait en abondance. </w:t>
      </w:r>
      <w:r w:rsidR="00401C2A" w:rsidRPr="00FE61B7">
        <w:t>Par exemple, on retrouve énormément de kermès dans les environs de Florence. En fin de compte, l</w:t>
      </w:r>
      <w:r w:rsidRPr="00FE61B7">
        <w:t>e vermillon fabriqué à partir de soufre et de mercure était véritablement la recette la plus répandu</w:t>
      </w:r>
      <w:r w:rsidR="002726FC" w:rsidRPr="00FE61B7">
        <w:t>e</w:t>
      </w:r>
      <w:r w:rsidRPr="00FE61B7">
        <w:t xml:space="preserve"> à l’époque</w:t>
      </w:r>
      <w:r w:rsidR="00401C2A" w:rsidRPr="00FE61B7">
        <w:rPr>
          <w:rStyle w:val="Appelnotedebasdep"/>
        </w:rPr>
        <w:footnoteReference w:id="72"/>
      </w:r>
      <w:r w:rsidRPr="00FE61B7">
        <w:t>.</w:t>
      </w:r>
    </w:p>
    <w:p w:rsidR="00401C2A" w:rsidRPr="00FE61B7" w:rsidRDefault="00401C2A" w:rsidP="00F04FC5">
      <w:pPr>
        <w:pStyle w:val="Titre3"/>
        <w:spacing w:line="360" w:lineRule="auto"/>
        <w:jc w:val="both"/>
        <w:rPr>
          <w:rFonts w:ascii="Times New Roman" w:hAnsi="Times New Roman" w:cs="Times New Roman"/>
          <w:b w:val="0"/>
          <w:i/>
          <w:color w:val="auto"/>
          <w:u w:val="single"/>
        </w:rPr>
      </w:pPr>
      <w:bookmarkStart w:id="23" w:name="_Toc401478204"/>
      <w:r w:rsidRPr="00FE61B7">
        <w:rPr>
          <w:rFonts w:ascii="Times New Roman" w:hAnsi="Times New Roman" w:cs="Times New Roman"/>
          <w:b w:val="0"/>
          <w:i/>
          <w:color w:val="auto"/>
          <w:u w:val="single"/>
        </w:rPr>
        <w:t>Vert</w:t>
      </w:r>
      <w:bookmarkEnd w:id="23"/>
    </w:p>
    <w:p w:rsidR="00401C2A" w:rsidRPr="00FE61B7" w:rsidRDefault="00913F1B" w:rsidP="00F04FC5">
      <w:pPr>
        <w:spacing w:line="360" w:lineRule="auto"/>
        <w:ind w:firstLine="708"/>
        <w:jc w:val="both"/>
      </w:pPr>
      <w:r w:rsidRPr="00FE61B7">
        <w:t xml:space="preserve">Une autre couleur dont il est question dans le </w:t>
      </w:r>
      <w:r w:rsidRPr="00FE61B7">
        <w:rPr>
          <w:i/>
        </w:rPr>
        <w:t>De</w:t>
      </w:r>
      <w:r w:rsidRPr="00FE61B7">
        <w:t xml:space="preserve"> </w:t>
      </w:r>
      <w:proofErr w:type="spellStart"/>
      <w:r w:rsidRPr="00FE61B7">
        <w:rPr>
          <w:i/>
        </w:rPr>
        <w:t>Diversis</w:t>
      </w:r>
      <w:proofErr w:type="spellEnd"/>
      <w:r w:rsidRPr="00FE61B7">
        <w:rPr>
          <w:i/>
        </w:rPr>
        <w:t xml:space="preserve"> </w:t>
      </w:r>
      <w:proofErr w:type="spellStart"/>
      <w:r w:rsidRPr="00FE61B7">
        <w:rPr>
          <w:i/>
        </w:rPr>
        <w:t>Artibus</w:t>
      </w:r>
      <w:proofErr w:type="spellEnd"/>
      <w:r w:rsidRPr="00FE61B7">
        <w:t xml:space="preserve"> est le vert.</w:t>
      </w:r>
      <w:r w:rsidR="00FA1C69" w:rsidRPr="00FE61B7">
        <w:t xml:space="preserve"> Dans une prochaine section de ce mémoire, je discuterai du fait que la teinture verte était très difficile à produire et qu’elle tenait difficilement sur un vêtement. Pour cette raison, le vert n’était </w:t>
      </w:r>
      <w:r w:rsidR="00FA1C69" w:rsidRPr="00FE61B7">
        <w:lastRenderedPageBreak/>
        <w:t>généralement pas très populaire auprès des gens comme couleur vestimentaire pendant le Moyen Âge. Cependant, pour ce qui est des manuscrits, la production de ce pigment n’était pas aussi compliquée. Tout d’abord, il était nécessaire d’avoir sous la main ou de fabriquer une boîte en chêne et de mettre à l’intérieur de mince feuille de cuivre. Ensuite, on compressait du sel dans un plat pour le chauffer et, quand cela était terminé, on le recouvrait de charbon pour une nuit</w:t>
      </w:r>
      <w:r w:rsidR="001245AF" w:rsidRPr="00FE61B7">
        <w:t>. Pour la suite, laissons Théophile nous expliquer les prochaines démarches :</w:t>
      </w:r>
    </w:p>
    <w:p w:rsidR="001245AF" w:rsidRPr="00FE61B7" w:rsidRDefault="00A91D95" w:rsidP="00F04FC5">
      <w:pPr>
        <w:spacing w:line="360" w:lineRule="auto"/>
        <w:ind w:left="1134" w:right="1134"/>
        <w:jc w:val="both"/>
        <w:rPr>
          <w:sz w:val="20"/>
          <w:szCs w:val="20"/>
        </w:rPr>
      </w:pPr>
      <w:r w:rsidRPr="00AC0AF7">
        <w:rPr>
          <w:sz w:val="20"/>
          <w:szCs w:val="20"/>
          <w:lang w:val="en-CA"/>
        </w:rPr>
        <w:t xml:space="preserve">Next, gather some small twigs, place them in the above-mentioned hollow box so that two parts of the cavity are below and a third above, coat the copper sheets on each side with pure honey over which you sprinkle pounded salt, place them together over the twigs and carefully cover them with another piece of wood, prepared for the purpose, so that no vapour can escape. Next, have an opening bored in a corner of this piece of wood through which you can pour warm vinegar or hot urine until a third part of it is filled, and then stop up the opening. You should put this wooden container in a place where you can cover it on every side with dung. After four weeks take off the cover and whatever you find on the copper scrape off and keep. </w:t>
      </w:r>
      <w:r w:rsidRPr="00FE61B7">
        <w:rPr>
          <w:sz w:val="20"/>
          <w:szCs w:val="20"/>
        </w:rPr>
        <w:t xml:space="preserve">Replace </w:t>
      </w:r>
      <w:proofErr w:type="spellStart"/>
      <w:r w:rsidRPr="00FE61B7">
        <w:rPr>
          <w:sz w:val="20"/>
          <w:szCs w:val="20"/>
        </w:rPr>
        <w:t>it</w:t>
      </w:r>
      <w:proofErr w:type="spellEnd"/>
      <w:r w:rsidRPr="00FE61B7">
        <w:rPr>
          <w:sz w:val="20"/>
          <w:szCs w:val="20"/>
        </w:rPr>
        <w:t xml:space="preserve"> </w:t>
      </w:r>
      <w:proofErr w:type="spellStart"/>
      <w:r w:rsidRPr="00FE61B7">
        <w:rPr>
          <w:sz w:val="20"/>
          <w:szCs w:val="20"/>
        </w:rPr>
        <w:t>again</w:t>
      </w:r>
      <w:proofErr w:type="spellEnd"/>
      <w:r w:rsidRPr="00FE61B7">
        <w:rPr>
          <w:sz w:val="20"/>
          <w:szCs w:val="20"/>
        </w:rPr>
        <w:t xml:space="preserve"> and </w:t>
      </w:r>
      <w:proofErr w:type="spellStart"/>
      <w:r w:rsidRPr="00FE61B7">
        <w:rPr>
          <w:sz w:val="20"/>
          <w:szCs w:val="20"/>
        </w:rPr>
        <w:t>cover</w:t>
      </w:r>
      <w:proofErr w:type="spellEnd"/>
      <w:r w:rsidRPr="00FE61B7">
        <w:rPr>
          <w:sz w:val="20"/>
          <w:szCs w:val="20"/>
        </w:rPr>
        <w:t xml:space="preserve"> </w:t>
      </w:r>
      <w:proofErr w:type="spellStart"/>
      <w:r w:rsidRPr="00FE61B7">
        <w:rPr>
          <w:sz w:val="20"/>
          <w:szCs w:val="20"/>
        </w:rPr>
        <w:t>it</w:t>
      </w:r>
      <w:proofErr w:type="spellEnd"/>
      <w:r w:rsidRPr="00FE61B7">
        <w:rPr>
          <w:sz w:val="20"/>
          <w:szCs w:val="20"/>
        </w:rPr>
        <w:t xml:space="preserve"> as </w:t>
      </w:r>
      <w:proofErr w:type="spellStart"/>
      <w:r w:rsidRPr="00FE61B7">
        <w:rPr>
          <w:sz w:val="20"/>
          <w:szCs w:val="20"/>
        </w:rPr>
        <w:t>above</w:t>
      </w:r>
      <w:proofErr w:type="spellEnd"/>
      <w:r w:rsidRPr="00FE61B7">
        <w:rPr>
          <w:rStyle w:val="Appelnotedebasdep"/>
          <w:sz w:val="20"/>
          <w:szCs w:val="20"/>
        </w:rPr>
        <w:footnoteReference w:id="73"/>
      </w:r>
      <w:r w:rsidRPr="00FE61B7">
        <w:rPr>
          <w:sz w:val="20"/>
          <w:szCs w:val="20"/>
        </w:rPr>
        <w:t>.</w:t>
      </w:r>
    </w:p>
    <w:p w:rsidR="00A91D95" w:rsidRDefault="00A91D95" w:rsidP="00F04FC5">
      <w:pPr>
        <w:spacing w:line="360" w:lineRule="auto"/>
        <w:jc w:val="both"/>
      </w:pPr>
      <w:r w:rsidRPr="00FE61B7">
        <w:t xml:space="preserve">Cet auteur </w:t>
      </w:r>
      <w:r w:rsidR="0002545D" w:rsidRPr="00FE61B7">
        <w:t>appelle</w:t>
      </w:r>
      <w:r w:rsidRPr="00FE61B7">
        <w:t xml:space="preserve"> cette couleur le «</w:t>
      </w:r>
      <w:r w:rsidR="004972DD" w:rsidRPr="00FE61B7">
        <w:t> </w:t>
      </w:r>
      <w:r w:rsidRPr="00FE61B7">
        <w:t>vert salé</w:t>
      </w:r>
      <w:r w:rsidR="004972DD" w:rsidRPr="00FE61B7">
        <w:t> </w:t>
      </w:r>
      <w:r w:rsidRPr="00FE61B7">
        <w:t>».</w:t>
      </w:r>
      <w:r w:rsidR="004A0B49" w:rsidRPr="00FE61B7">
        <w:t xml:space="preserve"> Il nous explique également une autre recette, celle du pigment qu’il </w:t>
      </w:r>
      <w:r w:rsidR="0002545D" w:rsidRPr="00FE61B7">
        <w:t>nomme</w:t>
      </w:r>
      <w:r w:rsidR="004A0B49" w:rsidRPr="00FE61B7">
        <w:t xml:space="preserve"> le «</w:t>
      </w:r>
      <w:r w:rsidR="004972DD" w:rsidRPr="00FE61B7">
        <w:t> </w:t>
      </w:r>
      <w:r w:rsidR="004A0B49" w:rsidRPr="00FE61B7">
        <w:t>vert espagnol</w:t>
      </w:r>
      <w:r w:rsidR="004972DD" w:rsidRPr="00FE61B7">
        <w:t> </w:t>
      </w:r>
      <w:r w:rsidR="004A0B49" w:rsidRPr="00FE61B7">
        <w:t>». Selon Ball, il s’agit en réalité du vert-de-gris</w:t>
      </w:r>
      <w:r w:rsidR="004A0B49" w:rsidRPr="00FE61B7">
        <w:rPr>
          <w:rStyle w:val="Appelnotedebasdep"/>
        </w:rPr>
        <w:footnoteReference w:id="74"/>
      </w:r>
      <w:r w:rsidR="004A0B49" w:rsidRPr="00FE61B7">
        <w:t xml:space="preserve">. </w:t>
      </w:r>
      <w:r w:rsidR="004A0B49" w:rsidRPr="00AC0AF7">
        <w:rPr>
          <w:lang w:val="en-CA"/>
        </w:rPr>
        <w:t xml:space="preserve">On </w:t>
      </w:r>
      <w:proofErr w:type="spellStart"/>
      <w:r w:rsidR="004A0B49" w:rsidRPr="00AC0AF7">
        <w:rPr>
          <w:lang w:val="en-CA"/>
        </w:rPr>
        <w:t>prenait</w:t>
      </w:r>
      <w:proofErr w:type="spellEnd"/>
      <w:r w:rsidR="004A0B49" w:rsidRPr="00AC0AF7">
        <w:rPr>
          <w:lang w:val="en-CA"/>
        </w:rPr>
        <w:t xml:space="preserve"> encore de minces </w:t>
      </w:r>
      <w:proofErr w:type="spellStart"/>
      <w:r w:rsidR="004A0B49" w:rsidRPr="00AC0AF7">
        <w:rPr>
          <w:lang w:val="en-CA"/>
        </w:rPr>
        <w:t>feuilles</w:t>
      </w:r>
      <w:proofErr w:type="spellEnd"/>
      <w:r w:rsidR="004A0B49" w:rsidRPr="00AC0AF7">
        <w:rPr>
          <w:lang w:val="en-CA"/>
        </w:rPr>
        <w:t xml:space="preserve"> de </w:t>
      </w:r>
      <w:proofErr w:type="spellStart"/>
      <w:r w:rsidR="004A0B49" w:rsidRPr="00AC0AF7">
        <w:rPr>
          <w:lang w:val="en-CA"/>
        </w:rPr>
        <w:t>cuivre</w:t>
      </w:r>
      <w:proofErr w:type="spellEnd"/>
      <w:r w:rsidR="004A0B49" w:rsidRPr="00AC0AF7">
        <w:rPr>
          <w:lang w:val="en-CA"/>
        </w:rPr>
        <w:t xml:space="preserve"> et «</w:t>
      </w:r>
      <w:r w:rsidR="004972DD" w:rsidRPr="00AC0AF7">
        <w:rPr>
          <w:lang w:val="en-CA"/>
        </w:rPr>
        <w:t> </w:t>
      </w:r>
      <w:r w:rsidR="004A0B49" w:rsidRPr="00AC0AF7">
        <w:rPr>
          <w:lang w:val="en-CA"/>
        </w:rPr>
        <w:t xml:space="preserve">carefully scrape them on each side, pour over them pure, warm vinegar, without honey and salt, and put them in a small hollowed out piece of wood in the above way. After two weeks, inspect and scrape them and do this until you have enough </w:t>
      </w:r>
      <w:proofErr w:type="gramStart"/>
      <w:r w:rsidR="004A0B49" w:rsidRPr="00AC0AF7">
        <w:rPr>
          <w:lang w:val="en-CA"/>
        </w:rPr>
        <w:t>colour</w:t>
      </w:r>
      <w:proofErr w:type="gramEnd"/>
      <w:r w:rsidR="004972DD" w:rsidRPr="00AC0AF7">
        <w:rPr>
          <w:lang w:val="en-CA"/>
        </w:rPr>
        <w:t> </w:t>
      </w:r>
      <w:r w:rsidR="004A0B49" w:rsidRPr="00AC0AF7">
        <w:rPr>
          <w:lang w:val="en-CA"/>
        </w:rPr>
        <w:t>»</w:t>
      </w:r>
      <w:r w:rsidR="004A0B49" w:rsidRPr="00FE61B7">
        <w:rPr>
          <w:rStyle w:val="Appelnotedebasdep"/>
        </w:rPr>
        <w:footnoteReference w:id="75"/>
      </w:r>
      <w:r w:rsidR="004A0B49" w:rsidRPr="00AC0AF7">
        <w:rPr>
          <w:lang w:val="en-CA"/>
        </w:rPr>
        <w:t xml:space="preserve">. </w:t>
      </w:r>
      <w:r w:rsidR="004A0B49" w:rsidRPr="00FE61B7">
        <w:t>En résumé, il s’agit presque de la même recette qu’auparavant</w:t>
      </w:r>
      <w:r w:rsidR="002726FC" w:rsidRPr="00FE61B7">
        <w:t>,</w:t>
      </w:r>
      <w:r w:rsidR="004A0B49" w:rsidRPr="00FE61B7">
        <w:t xml:space="preserve"> mais sans l’utilisation de sel et de miel dans le processus. Par contre, Ball nous informe que ce pigment était instable</w:t>
      </w:r>
      <w:r w:rsidR="0002545D" w:rsidRPr="00FE61B7">
        <w:t>. Il attaquait ou endommageait les feuilles d’un manuscrit. Pour cette raison, ceux qui utilisaient ce pigment se sont tournés vers d’autres ingrédients pour fabriquer du vert à partir du XIV</w:t>
      </w:r>
      <w:r w:rsidR="0002545D" w:rsidRPr="00FE61B7">
        <w:rPr>
          <w:vertAlign w:val="superscript"/>
        </w:rPr>
        <w:t>e</w:t>
      </w:r>
      <w:r w:rsidR="0002545D" w:rsidRPr="00FE61B7">
        <w:t xml:space="preserve"> siècle. Ball en nomme deux : le vert végétal et le vert d’iris. Il écrit sur ce point : «</w:t>
      </w:r>
      <w:r w:rsidR="004972DD" w:rsidRPr="00FE61B7">
        <w:t> </w:t>
      </w:r>
      <w:r w:rsidR="007E63F4" w:rsidRPr="00FE61B7">
        <w:t xml:space="preserve">Le premier provient du jus des baies d’arbousier, qui est assez dense pour être utilisé sans aucun liant. En lui ajoutant une gomme, cela donne une excellente couleur d’aquarelle, qui est toujours utilisée sous cette forme […]. Le vert iris, fabriqué à partir du jus des fleurs d’iris, était mélangé à </w:t>
      </w:r>
      <w:r w:rsidR="007E63F4" w:rsidRPr="00FE61B7">
        <w:lastRenderedPageBreak/>
        <w:t>de l’eau, éventuellement avec une matière épaississante comme l’alun, et utilisé</w:t>
      </w:r>
      <w:r w:rsidR="002726FC" w:rsidRPr="00FE61B7">
        <w:t>e</w:t>
      </w:r>
      <w:r w:rsidR="007E63F4" w:rsidRPr="00FE61B7">
        <w:t xml:space="preserve"> pour l’enluminure</w:t>
      </w:r>
      <w:r w:rsidR="004972DD" w:rsidRPr="00FE61B7">
        <w:t> </w:t>
      </w:r>
      <w:r w:rsidR="0002545D" w:rsidRPr="00FE61B7">
        <w:t>»</w:t>
      </w:r>
      <w:r w:rsidR="0002545D" w:rsidRPr="00FE61B7">
        <w:rPr>
          <w:rStyle w:val="Appelnotedebasdep"/>
        </w:rPr>
        <w:footnoteReference w:id="76"/>
      </w:r>
      <w:r w:rsidR="0002545D" w:rsidRPr="00FE61B7">
        <w:t>.</w:t>
      </w:r>
    </w:p>
    <w:p w:rsidR="008511A5" w:rsidRDefault="00FB5608" w:rsidP="00F04FC5">
      <w:pPr>
        <w:spacing w:line="360" w:lineRule="auto"/>
        <w:jc w:val="both"/>
      </w:pPr>
      <w:r>
        <w:tab/>
        <w:t xml:space="preserve">Une autre technique de création d’un pigment vert est expliquée dans un article de Pastoureau. Il y explique d’abord que les teinturiers ne </w:t>
      </w:r>
      <w:r w:rsidR="007455AE">
        <w:t>mélangeaient</w:t>
      </w:r>
      <w:r>
        <w:t xml:space="preserve"> pas de bleu et de jaune </w:t>
      </w:r>
      <w:r w:rsidR="007455AE">
        <w:t>pour créer cette couleur selon des raisons idéologiques, réglementaires et topographiques</w:t>
      </w:r>
      <w:r w:rsidR="007455AE">
        <w:rPr>
          <w:rStyle w:val="Appelnotedebasdep"/>
        </w:rPr>
        <w:footnoteReference w:id="77"/>
      </w:r>
      <w:r w:rsidR="00A94421">
        <w:t>. Idéologiques, car on détestait</w:t>
      </w:r>
      <w:r w:rsidR="007455AE">
        <w:t xml:space="preserve"> brouiller la nature véritable des choses au Moyen Âge. Réglementaires, puisque les teinturiers devaient posséder des licences spécifiques pour fabriquer certaines couleurs. Enfin, topographiques, étant donné que les cuves de préparation du bleu et du jaune ne se trouvaient pas au même endroit. Les peintres également n’avaient pas tendance à mêler ces deux couleurs. Par contre,</w:t>
      </w:r>
      <w:r w:rsidR="008511A5">
        <w:t xml:space="preserve"> Pastoureau explique le fait contraire lorsqu’il discute des enlumineurs. Il écrit justement :</w:t>
      </w:r>
    </w:p>
    <w:p w:rsidR="008511A5" w:rsidRPr="00A10B30" w:rsidRDefault="008511A5" w:rsidP="00A10B30">
      <w:pPr>
        <w:spacing w:line="360" w:lineRule="auto"/>
        <w:ind w:left="1134" w:right="1134"/>
        <w:jc w:val="both"/>
        <w:rPr>
          <w:sz w:val="20"/>
          <w:szCs w:val="20"/>
        </w:rPr>
      </w:pPr>
      <w:r w:rsidRPr="00A10B30">
        <w:rPr>
          <w:sz w:val="20"/>
          <w:szCs w:val="20"/>
        </w:rPr>
        <w:t>Mais, il en va différemment des enlumineurs. Des analyses récentes ont montré que dès les premières décennies du XV</w:t>
      </w:r>
      <w:r w:rsidRPr="00A10B30">
        <w:rPr>
          <w:sz w:val="20"/>
          <w:szCs w:val="20"/>
          <w:vertAlign w:val="superscript"/>
        </w:rPr>
        <w:t>e</w:t>
      </w:r>
      <w:r w:rsidRPr="00A10B30">
        <w:rPr>
          <w:sz w:val="20"/>
          <w:szCs w:val="20"/>
        </w:rPr>
        <w:t xml:space="preserve"> siècle, il n’était pas rare que certains d’entre eux procèdent ainsi. Non pas seulement en superposant sur le parchemin une couche de bleu et une couche de jaune […]</w:t>
      </w:r>
      <w:r w:rsidR="005D7A47">
        <w:rPr>
          <w:sz w:val="20"/>
          <w:szCs w:val="20"/>
        </w:rPr>
        <w:t>,</w:t>
      </w:r>
      <w:r w:rsidRPr="00A10B30">
        <w:rPr>
          <w:sz w:val="20"/>
          <w:szCs w:val="20"/>
        </w:rPr>
        <w:t xml:space="preserve"> mais bien en broyant dans le même mortier ou en mélangeant dans le même récipient une matière bleue et une matière jaune. Certes, au XV</w:t>
      </w:r>
      <w:r w:rsidRPr="00A10B30">
        <w:rPr>
          <w:sz w:val="20"/>
          <w:szCs w:val="20"/>
          <w:vertAlign w:val="superscript"/>
        </w:rPr>
        <w:t>e</w:t>
      </w:r>
      <w:r w:rsidRPr="00A10B30">
        <w:rPr>
          <w:sz w:val="20"/>
          <w:szCs w:val="20"/>
        </w:rPr>
        <w:t xml:space="preserve"> siècle, cela est loin de consister une pratique générale, mais ce n’est pas non plus une façon de faire exceptionnelle, comme l’attestent les analystes de pigments</w:t>
      </w:r>
      <w:r w:rsidRPr="00A10B30">
        <w:rPr>
          <w:rStyle w:val="Appelnotedebasdep"/>
          <w:sz w:val="20"/>
          <w:szCs w:val="20"/>
        </w:rPr>
        <w:footnoteReference w:id="78"/>
      </w:r>
      <w:r w:rsidRPr="00A10B30">
        <w:rPr>
          <w:sz w:val="20"/>
          <w:szCs w:val="20"/>
        </w:rPr>
        <w:t>.</w:t>
      </w:r>
    </w:p>
    <w:p w:rsidR="008511A5" w:rsidRPr="00A10B30" w:rsidRDefault="00A10B30" w:rsidP="00F04FC5">
      <w:pPr>
        <w:spacing w:line="360" w:lineRule="auto"/>
        <w:jc w:val="both"/>
      </w:pPr>
      <w:r>
        <w:t>Cette dernière citation est très importante puisque, dans l’analyse de l’image de l’Adoration des mages, il sera expliqué que la symbolique négative du vert provenant de la difficulté de sa production en tant que teinture affect</w:t>
      </w:r>
      <w:r w:rsidR="001C2CF8">
        <w:t xml:space="preserve">e même les images même s’il était </w:t>
      </w:r>
      <w:r>
        <w:t>plus aisé de fabriquer cette couleur pour des manuscrits.</w:t>
      </w:r>
    </w:p>
    <w:p w:rsidR="007641B2" w:rsidRPr="00FE61B7" w:rsidRDefault="007641B2" w:rsidP="00F04FC5">
      <w:pPr>
        <w:pStyle w:val="Titre3"/>
        <w:spacing w:line="360" w:lineRule="auto"/>
        <w:jc w:val="both"/>
        <w:rPr>
          <w:rFonts w:ascii="Times New Roman" w:hAnsi="Times New Roman" w:cs="Times New Roman"/>
          <w:b w:val="0"/>
          <w:i/>
          <w:color w:val="auto"/>
          <w:u w:val="single"/>
        </w:rPr>
      </w:pPr>
      <w:bookmarkStart w:id="24" w:name="_Toc401478205"/>
      <w:r w:rsidRPr="00FE61B7">
        <w:rPr>
          <w:rFonts w:ascii="Times New Roman" w:hAnsi="Times New Roman" w:cs="Times New Roman"/>
          <w:b w:val="0"/>
          <w:i/>
          <w:color w:val="auto"/>
          <w:u w:val="single"/>
        </w:rPr>
        <w:t>Blanc</w:t>
      </w:r>
      <w:bookmarkEnd w:id="24"/>
    </w:p>
    <w:p w:rsidR="007641B2" w:rsidRPr="00FE61B7" w:rsidRDefault="00EF0AC3" w:rsidP="00F04FC5">
      <w:pPr>
        <w:spacing w:line="360" w:lineRule="auto"/>
        <w:jc w:val="both"/>
      </w:pPr>
      <w:r w:rsidRPr="00FE61B7">
        <w:tab/>
        <w:t>Pour ce qui est du blanc, la recette est très simple. Comme pour du vert, on prenait de minces feuilles de métal</w:t>
      </w:r>
      <w:r w:rsidR="002726FC" w:rsidRPr="00FE61B7">
        <w:t>,</w:t>
      </w:r>
      <w:r w:rsidRPr="00FE61B7">
        <w:t xml:space="preserve"> mais, cette fois, c’était du plomb plutôt que du cuivre. Une fois installées dans un morceau de bois creux, on faisait couler du vinaigre chaud ou de l’urine. Après un mois de trempage, on enlevait tout ce qui était blanc. On pouvait recommencer ce processus </w:t>
      </w:r>
      <w:r w:rsidRPr="00FE61B7">
        <w:lastRenderedPageBreak/>
        <w:t>jusqu’à ce qu’il y ait suffisamment de blanc. Comme nous avons pu le remarquer, ces démarches ressemblent énormément à celles employées pour fabriquer la couleur verte</w:t>
      </w:r>
      <w:r w:rsidR="00303F56" w:rsidRPr="00FE61B7">
        <w:rPr>
          <w:rStyle w:val="Appelnotedebasdep"/>
        </w:rPr>
        <w:footnoteReference w:id="79"/>
      </w:r>
      <w:r w:rsidRPr="00FE61B7">
        <w:t>.</w:t>
      </w:r>
    </w:p>
    <w:p w:rsidR="00EF0AC3" w:rsidRPr="00FE61B7" w:rsidRDefault="00EF0AC3" w:rsidP="00F04FC5">
      <w:pPr>
        <w:pStyle w:val="Titre3"/>
        <w:spacing w:line="360" w:lineRule="auto"/>
        <w:jc w:val="both"/>
        <w:rPr>
          <w:rFonts w:ascii="Times New Roman" w:hAnsi="Times New Roman" w:cs="Times New Roman"/>
          <w:b w:val="0"/>
          <w:i/>
          <w:color w:val="auto"/>
          <w:u w:val="single"/>
        </w:rPr>
      </w:pPr>
      <w:bookmarkStart w:id="25" w:name="_Toc401478206"/>
      <w:r w:rsidRPr="00FE61B7">
        <w:rPr>
          <w:rFonts w:ascii="Times New Roman" w:hAnsi="Times New Roman" w:cs="Times New Roman"/>
          <w:b w:val="0"/>
          <w:i/>
          <w:color w:val="auto"/>
          <w:u w:val="single"/>
        </w:rPr>
        <w:t>Bleu</w:t>
      </w:r>
      <w:bookmarkEnd w:id="25"/>
    </w:p>
    <w:p w:rsidR="00EF0AC3" w:rsidRPr="00FE61B7" w:rsidRDefault="00303F56" w:rsidP="00F04FC5">
      <w:pPr>
        <w:spacing w:line="360" w:lineRule="auto"/>
        <w:jc w:val="both"/>
      </w:pPr>
      <w:r w:rsidRPr="00FE61B7">
        <w:tab/>
        <w:t xml:space="preserve">Le bleu, tout comme la plupart couleurs, possède plusieurs sources d’ingrédients afin de créer son pigment. Le composant le plus utilisé pour les manuscrits </w:t>
      </w:r>
      <w:r w:rsidR="00E50664">
        <w:t xml:space="preserve">destinés aux riches </w:t>
      </w:r>
      <w:r w:rsidRPr="00FE61B7">
        <w:t>est le lapis-lazuli, une pierre semi-précieuse provenant principalement de l’Orient</w:t>
      </w:r>
      <w:r w:rsidRPr="00FE61B7">
        <w:rPr>
          <w:rStyle w:val="Appelnotedebasdep"/>
        </w:rPr>
        <w:footnoteReference w:id="80"/>
      </w:r>
      <w:r w:rsidRPr="00FE61B7">
        <w:t>. La description du processus de fabrication nous est donnée par Ball qui cite Cennini. Ce dernier écrit</w:t>
      </w:r>
      <w:r w:rsidR="00C20B7A" w:rsidRPr="00FE61B7">
        <w:t xml:space="preserve"> avec une très grande précision</w:t>
      </w:r>
      <w:r w:rsidRPr="00FE61B7">
        <w:t> :</w:t>
      </w:r>
    </w:p>
    <w:p w:rsidR="00303F56" w:rsidRPr="00FE61B7" w:rsidRDefault="00A8349E" w:rsidP="00F04FC5">
      <w:pPr>
        <w:spacing w:line="360" w:lineRule="auto"/>
        <w:ind w:left="1134" w:right="1134"/>
        <w:jc w:val="both"/>
        <w:rPr>
          <w:sz w:val="20"/>
          <w:szCs w:val="20"/>
        </w:rPr>
      </w:pPr>
      <w:r w:rsidRPr="00FE61B7">
        <w:rPr>
          <w:sz w:val="20"/>
          <w:szCs w:val="20"/>
        </w:rPr>
        <w:t>Tout d’abord, prends du lapis-lazuli. Et si tu veux reconnaître la meilleure pierre, choisi</w:t>
      </w:r>
      <w:r w:rsidR="002726FC" w:rsidRPr="00FE61B7">
        <w:rPr>
          <w:sz w:val="20"/>
          <w:szCs w:val="20"/>
        </w:rPr>
        <w:t>t</w:t>
      </w:r>
      <w:r w:rsidRPr="00FE61B7">
        <w:rPr>
          <w:sz w:val="20"/>
          <w:szCs w:val="20"/>
        </w:rPr>
        <w:t xml:space="preserve"> celle qui te paraît la plus riche en bleu, car elle est toute mêlée comme de la cendre. Celle qui présente le moins de couleur cendrée est la meilleure. […] Écrase-la dans un mortier de bronze couvert pour qu’elle ne s’en aille pas sous forme de poussière; mets-la ensuite sur ta pierre de porphyre et écrase-la sans eau; prends alors un tamis couvert comme les apothicaires, […]; tamise et écrase à nouveau autant qu’il le faut. […] Quand la poudre est prête, prends chez les apothicaires six onces de résine de pin, trois onces de mastic, trois onces de cire neuve, pour chaque livre</w:t>
      </w:r>
      <w:r w:rsidR="004D3057" w:rsidRPr="00FE61B7">
        <w:rPr>
          <w:sz w:val="20"/>
          <w:szCs w:val="20"/>
        </w:rPr>
        <w:t xml:space="preserve"> de lapis-lazuli; mets toutes ces choses dans une petite marmite neuve et fais-les fondre ensemble. Prends ensuite un morceau de lin blanc et passe le tout dans une cuvette </w:t>
      </w:r>
      <w:proofErr w:type="spellStart"/>
      <w:r w:rsidR="004D3057" w:rsidRPr="00FE61B7">
        <w:rPr>
          <w:sz w:val="20"/>
          <w:szCs w:val="20"/>
        </w:rPr>
        <w:t>vitrifée</w:t>
      </w:r>
      <w:proofErr w:type="spellEnd"/>
      <w:r w:rsidR="004D3057" w:rsidRPr="00FE61B7">
        <w:rPr>
          <w:sz w:val="20"/>
          <w:szCs w:val="20"/>
        </w:rPr>
        <w:t xml:space="preserve"> (sic). Prend</w:t>
      </w:r>
      <w:r w:rsidR="002726FC" w:rsidRPr="00FE61B7">
        <w:rPr>
          <w:sz w:val="20"/>
          <w:szCs w:val="20"/>
        </w:rPr>
        <w:t>s</w:t>
      </w:r>
      <w:r w:rsidR="004D3057" w:rsidRPr="00FE61B7">
        <w:rPr>
          <w:sz w:val="20"/>
          <w:szCs w:val="20"/>
        </w:rPr>
        <w:t xml:space="preserve"> alors une livre de cette poudre de lapis-lazuli; mélange bien tout ensemble et fais-en une pâte où tout est bien incorporé. </w:t>
      </w:r>
      <w:r w:rsidR="00B35A25" w:rsidRPr="00FE61B7">
        <w:rPr>
          <w:sz w:val="20"/>
          <w:szCs w:val="20"/>
        </w:rPr>
        <w:t xml:space="preserve">Pour pouvoir manier cette pâte, prends de l’huile de graines de lin et garde tes mains toujours bien graissées au moyen de cette huile. Il faut que tu conserves cette pâte au moins trois jours et trois nuits, en la pétrissant chaque jour un peu; […]. </w:t>
      </w:r>
      <w:proofErr w:type="gramStart"/>
      <w:r w:rsidR="002726FC" w:rsidRPr="00FE61B7">
        <w:rPr>
          <w:sz w:val="20"/>
          <w:szCs w:val="20"/>
        </w:rPr>
        <w:t>q</w:t>
      </w:r>
      <w:r w:rsidR="00B35A25" w:rsidRPr="00FE61B7">
        <w:rPr>
          <w:sz w:val="20"/>
          <w:szCs w:val="20"/>
        </w:rPr>
        <w:t>uand</w:t>
      </w:r>
      <w:proofErr w:type="gramEnd"/>
      <w:r w:rsidR="00B35A25" w:rsidRPr="00FE61B7">
        <w:rPr>
          <w:sz w:val="20"/>
          <w:szCs w:val="20"/>
        </w:rPr>
        <w:t xml:space="preserve"> tu désires en extraire le bleu, suis cette méthode : fais deux baguettes, à partir d’un bâton solide, ni trop gros, ni trop fin; que chacune ait un pied de long</w:t>
      </w:r>
      <w:r w:rsidR="00C20B7A" w:rsidRPr="00FE61B7">
        <w:rPr>
          <w:sz w:val="20"/>
          <w:szCs w:val="20"/>
        </w:rPr>
        <w:t>, qu’elles soient bien arrondies, en haut et en bas, et bien polies. Prends alors ta pâte dans la cuvette vitrifiée où tu l’as conservée; mets dedans à peu près une écuelle de lessive modérément chaude; avec ces deux baguettes, une dans chaque main, retourne, presse et malaxe cette pâte, d’un côté et de l’autre, […]. Quand tu l’as fait jusqu’à ce que tu voies que la lessive est redevenue bien bleue, verse-la dans une autre cuvette vitrifiée et remets, sur ta pâte, la même quantité de lessive et presse à nouveau de la même façon…</w:t>
      </w:r>
      <w:r w:rsidR="002726FC" w:rsidRPr="00FE61B7">
        <w:rPr>
          <w:sz w:val="20"/>
          <w:szCs w:val="20"/>
        </w:rPr>
        <w:t xml:space="preserve"> </w:t>
      </w:r>
      <w:r w:rsidR="00C20B7A" w:rsidRPr="00FE61B7">
        <w:rPr>
          <w:sz w:val="20"/>
          <w:szCs w:val="20"/>
        </w:rPr>
        <w:t xml:space="preserve">Fais de même plusieurs jours jusqu’à ce que la pâte ne colore plus la lessive; alors jette-la car elle n’est plus bonne… Et chaque jour, égoutte la lessive hors des écuelles, jusqu’à </w:t>
      </w:r>
      <w:r w:rsidR="00C20B7A" w:rsidRPr="00FE61B7">
        <w:rPr>
          <w:sz w:val="20"/>
          <w:szCs w:val="20"/>
        </w:rPr>
        <w:lastRenderedPageBreak/>
        <w:t>ce que les bleus soient secs. Quand ils sont bien secs, met</w:t>
      </w:r>
      <w:r w:rsidR="002726FC" w:rsidRPr="00FE61B7">
        <w:rPr>
          <w:sz w:val="20"/>
          <w:szCs w:val="20"/>
        </w:rPr>
        <w:t>s</w:t>
      </w:r>
      <w:r w:rsidR="00C20B7A" w:rsidRPr="00FE61B7">
        <w:rPr>
          <w:sz w:val="20"/>
          <w:szCs w:val="20"/>
        </w:rPr>
        <w:t>-les dans du cuir ou dans des vessies ou dans des bourses, selon les divisions que tu as faites</w:t>
      </w:r>
      <w:r w:rsidR="00C20B7A" w:rsidRPr="00FE61B7">
        <w:rPr>
          <w:rStyle w:val="Appelnotedebasdep"/>
          <w:sz w:val="20"/>
          <w:szCs w:val="20"/>
        </w:rPr>
        <w:footnoteReference w:id="81"/>
      </w:r>
      <w:r w:rsidR="00C20B7A" w:rsidRPr="00FE61B7">
        <w:rPr>
          <w:sz w:val="20"/>
          <w:szCs w:val="20"/>
        </w:rPr>
        <w:t>.</w:t>
      </w:r>
    </w:p>
    <w:p w:rsidR="00C20B7A" w:rsidRPr="00FE61B7" w:rsidRDefault="00C20B7A" w:rsidP="00F04FC5">
      <w:pPr>
        <w:spacing w:line="360" w:lineRule="auto"/>
        <w:jc w:val="both"/>
      </w:pPr>
      <w:r w:rsidRPr="00FE61B7">
        <w:t>Ball est d’ailleurs surpris que cette méthode fonctionne. Tout notre savoir ne nous permet pas de comprendre ce processus de transformation.</w:t>
      </w:r>
      <w:r w:rsidR="00DE6E1E" w:rsidRPr="00FE61B7">
        <w:t xml:space="preserve"> Malgré cela, l’important pour les enlumineurs médiévaux était qu’elle fonctionnait. Néanmoins, l’usage de lapis-lazuli est devenu plus régulier seulement à partir du XIV</w:t>
      </w:r>
      <w:r w:rsidR="00DE6E1E" w:rsidRPr="00FE61B7">
        <w:rPr>
          <w:vertAlign w:val="superscript"/>
        </w:rPr>
        <w:t>e</w:t>
      </w:r>
      <w:r w:rsidR="00DE6E1E" w:rsidRPr="00FE61B7">
        <w:t xml:space="preserve"> siècle et il se trouvait principalement en Orient. Pour ces raisons, on utilisait p</w:t>
      </w:r>
      <w:r w:rsidR="00E50664">
        <w:t>lus souvent un autre ingrédient</w:t>
      </w:r>
      <w:r w:rsidR="00DE6E1E" w:rsidRPr="00FE61B7">
        <w:t xml:space="preserve"> se trouvant dans des contré</w:t>
      </w:r>
      <w:r w:rsidR="002726FC" w:rsidRPr="00FE61B7">
        <w:t>e</w:t>
      </w:r>
      <w:r w:rsidR="00E50664">
        <w:t>s moins lointaines</w:t>
      </w:r>
      <w:r w:rsidR="00DE6E1E" w:rsidRPr="00FE61B7">
        <w:t xml:space="preserve"> comme source pour fabriquer du bleu. Il s’agit de l’azurite, un minéral dans lequel on retrouve du cuivre dans sa composition chimique. </w:t>
      </w:r>
      <w:r w:rsidR="00967094" w:rsidRPr="00FE61B7">
        <w:t>Nous</w:t>
      </w:r>
      <w:r w:rsidR="00E50664">
        <w:t xml:space="preserve"> avons justement vu que ce fait possédait une importance dans le chapitre portant sur l’état de la question</w:t>
      </w:r>
      <w:r w:rsidR="00967094" w:rsidRPr="00FE61B7">
        <w:t>. D’importants gisements se trouvaient en Allemagne, en Hongrie, en Espagne et dans l’est de la France d’où la meilleure accessibilité du produit</w:t>
      </w:r>
      <w:r w:rsidR="00967094" w:rsidRPr="00FE61B7">
        <w:rPr>
          <w:rStyle w:val="Appelnotedebasdep"/>
        </w:rPr>
        <w:footnoteReference w:id="82"/>
      </w:r>
      <w:r w:rsidR="00967094" w:rsidRPr="00FE61B7">
        <w:t>. Pour créer du bleu à partir d’azurite, il suffisait de broyer très finement ce minéral</w:t>
      </w:r>
      <w:r w:rsidR="005B6D7D" w:rsidRPr="00FE61B7">
        <w:t xml:space="preserve"> et de le mélanger avec du blanc d’œuf afin de le fixer dans le manuscrit. Pour en finir avec les bleus de Ball, il existait également deux autres sources : soit l’indigo et la guède. Toutefois, ces derniers n’étaient pas très populaires à cause de leur tonalité moins belle </w:t>
      </w:r>
      <w:r w:rsidR="00CF73EF">
        <w:t xml:space="preserve">et plus sombre </w:t>
      </w:r>
      <w:r w:rsidR="005B6D7D" w:rsidRPr="00FE61B7">
        <w:t>que celle du lapis-lazuli et de l’</w:t>
      </w:r>
      <w:r w:rsidR="00720C43" w:rsidRPr="00FE61B7">
        <w:t>azurite</w:t>
      </w:r>
      <w:r w:rsidR="00720C43" w:rsidRPr="00FE61B7">
        <w:rPr>
          <w:rStyle w:val="Appelnotedebasdep"/>
        </w:rPr>
        <w:footnoteReference w:id="83"/>
      </w:r>
      <w:r w:rsidR="00720C43" w:rsidRPr="00FE61B7">
        <w:t>.</w:t>
      </w:r>
    </w:p>
    <w:p w:rsidR="00720C43" w:rsidRPr="00FE61B7" w:rsidRDefault="00720C43" w:rsidP="00F04FC5">
      <w:pPr>
        <w:spacing w:line="360" w:lineRule="auto"/>
        <w:jc w:val="both"/>
      </w:pPr>
      <w:r w:rsidRPr="00FE61B7">
        <w:tab/>
        <w:t xml:space="preserve">Dans le dernier paragraphe, Théophile n’a pas été mentionné une seule fois. La raison est bien simple puisqu’il n’écrit presque rien au sujet du bleu. En fait, il n’en discute qu’une seule fois quand il écrit à propos d’un autre pigment : le </w:t>
      </w:r>
      <w:proofErr w:type="spellStart"/>
      <w:r w:rsidRPr="00E50664">
        <w:rPr>
          <w:i/>
        </w:rPr>
        <w:t>folium</w:t>
      </w:r>
      <w:proofErr w:type="spellEnd"/>
      <w:r w:rsidRPr="00FE61B7">
        <w:t>.</w:t>
      </w:r>
      <w:r w:rsidR="00205BD7" w:rsidRPr="00FE61B7">
        <w:t xml:space="preserve"> Et encore, il affirme qu’il existe trois </w:t>
      </w:r>
      <w:r w:rsidR="00E50664">
        <w:t xml:space="preserve">types de </w:t>
      </w:r>
      <w:proofErr w:type="spellStart"/>
      <w:r w:rsidR="00E50664" w:rsidRPr="00E50664">
        <w:rPr>
          <w:i/>
        </w:rPr>
        <w:t>folia</w:t>
      </w:r>
      <w:proofErr w:type="spellEnd"/>
      <w:r w:rsidR="00205BD7" w:rsidRPr="00FE61B7">
        <w:t> : un rouge, un pourpre et, le dernier, un violet bleu</w:t>
      </w:r>
      <w:r w:rsidR="00205BD7" w:rsidRPr="00FE61B7">
        <w:rPr>
          <w:rStyle w:val="Appelnotedebasdep"/>
        </w:rPr>
        <w:footnoteReference w:id="84"/>
      </w:r>
      <w:r w:rsidR="00205BD7" w:rsidRPr="00FE61B7">
        <w:t>.</w:t>
      </w:r>
      <w:r w:rsidR="00472EB6" w:rsidRPr="00FE61B7">
        <w:t xml:space="preserve"> Ce pigment est fabriqué </w:t>
      </w:r>
      <w:r w:rsidR="00E50664">
        <w:t xml:space="preserve">à partir d’un extrait de plante, </w:t>
      </w:r>
      <w:r w:rsidR="00472EB6" w:rsidRPr="00FE61B7">
        <w:t xml:space="preserve">qui se nomme la </w:t>
      </w:r>
      <w:proofErr w:type="spellStart"/>
      <w:r w:rsidR="00472EB6" w:rsidRPr="00FE61B7">
        <w:rPr>
          <w:i/>
        </w:rPr>
        <w:t>morella</w:t>
      </w:r>
      <w:proofErr w:type="spellEnd"/>
      <w:r w:rsidR="00472EB6" w:rsidRPr="00FE61B7">
        <w:t xml:space="preserve"> selon les savants médiévaux ou </w:t>
      </w:r>
      <w:proofErr w:type="spellStart"/>
      <w:r w:rsidR="00472EB6" w:rsidRPr="00FE61B7">
        <w:rPr>
          <w:i/>
        </w:rPr>
        <w:t>Crozophora</w:t>
      </w:r>
      <w:proofErr w:type="spellEnd"/>
      <w:r w:rsidR="00472EB6" w:rsidRPr="00FE61B7">
        <w:rPr>
          <w:i/>
        </w:rPr>
        <w:t xml:space="preserve"> </w:t>
      </w:r>
      <w:proofErr w:type="spellStart"/>
      <w:r w:rsidR="00472EB6" w:rsidRPr="00FE61B7">
        <w:rPr>
          <w:i/>
        </w:rPr>
        <w:t>tinctoria</w:t>
      </w:r>
      <w:proofErr w:type="spellEnd"/>
      <w:r w:rsidR="00472EB6" w:rsidRPr="00FE61B7">
        <w:t xml:space="preserve"> à notre époqu</w:t>
      </w:r>
      <w:r w:rsidR="00E50664">
        <w:t>e, se trouvant</w:t>
      </w:r>
      <w:r w:rsidR="00472EB6" w:rsidRPr="00FE61B7">
        <w:t xml:space="preserve"> dans le sud de la France</w:t>
      </w:r>
      <w:r w:rsidR="00472EB6" w:rsidRPr="00FE61B7">
        <w:rPr>
          <w:rStyle w:val="Appelnotedebasdep"/>
        </w:rPr>
        <w:footnoteReference w:id="85"/>
      </w:r>
      <w:r w:rsidR="00472EB6" w:rsidRPr="00FE61B7">
        <w:t>. La seule opération néc</w:t>
      </w:r>
      <w:r w:rsidR="002726FC" w:rsidRPr="00FE61B7">
        <w:t>e</w:t>
      </w:r>
      <w:r w:rsidR="00472EB6" w:rsidRPr="00FE61B7">
        <w:t xml:space="preserve">ssaire pour produire du </w:t>
      </w:r>
      <w:proofErr w:type="spellStart"/>
      <w:r w:rsidR="00472EB6" w:rsidRPr="00FE61B7">
        <w:t>folium</w:t>
      </w:r>
      <w:proofErr w:type="spellEnd"/>
      <w:r w:rsidR="00472EB6" w:rsidRPr="00FE61B7">
        <w:t xml:space="preserve"> était d’extraire le jus des graines de cette plante.</w:t>
      </w:r>
      <w:r w:rsidR="002C594A" w:rsidRPr="00FE61B7">
        <w:t xml:space="preserve"> Mais, comment se fait-il qu’il </w:t>
      </w:r>
      <w:r w:rsidR="002726FC" w:rsidRPr="00FE61B7">
        <w:t>fû</w:t>
      </w:r>
      <w:r w:rsidR="002C594A" w:rsidRPr="00FE61B7">
        <w:t>t possible de créer trois couleurs différentes à partir d’un seul ingrédient? Ball nous répond sur ce point lorsqu’il écrit : «</w:t>
      </w:r>
      <w:r w:rsidR="004972DD" w:rsidRPr="00FE61B7">
        <w:t> </w:t>
      </w:r>
      <w:r w:rsidR="002C594A" w:rsidRPr="00FE61B7">
        <w:t>Le tournesol [</w:t>
      </w:r>
      <w:proofErr w:type="spellStart"/>
      <w:r w:rsidR="002C594A" w:rsidRPr="00FE61B7">
        <w:t>folium</w:t>
      </w:r>
      <w:proofErr w:type="spellEnd"/>
      <w:r w:rsidR="002C594A" w:rsidRPr="00FE61B7">
        <w:t xml:space="preserve">] est représentatif d’une large classe d’extraits de végétaux qui changent de couleur selon l’acidité de la solution : </w:t>
      </w:r>
      <w:r w:rsidR="002C594A" w:rsidRPr="00FE61B7">
        <w:lastRenderedPageBreak/>
        <w:t>rouge dans l’acide, pourpre dans le neutre, bleu dans l’alcali</w:t>
      </w:r>
      <w:r w:rsidR="004972DD" w:rsidRPr="00FE61B7">
        <w:t> </w:t>
      </w:r>
      <w:r w:rsidR="002C594A" w:rsidRPr="00FE61B7">
        <w:t>»</w:t>
      </w:r>
      <w:r w:rsidR="002C594A" w:rsidRPr="00FE61B7">
        <w:rPr>
          <w:rStyle w:val="Appelnotedebasdep"/>
        </w:rPr>
        <w:footnoteReference w:id="86"/>
      </w:r>
      <w:r w:rsidR="002C594A" w:rsidRPr="00FE61B7">
        <w:t>. On pouvait ainsi décider quelles couleurs on désirait en modifiant le pH de la solution. Théophile et Ball nous explique</w:t>
      </w:r>
      <w:r w:rsidR="002726FC" w:rsidRPr="00FE61B7">
        <w:t>nt</w:t>
      </w:r>
      <w:r w:rsidR="002C594A" w:rsidRPr="00FE61B7">
        <w:t xml:space="preserve"> que, pour monter le niveau d’acidité, on utilisait de la chaux et de la potasse afin de l’abaisser. Pour ces raisons, le </w:t>
      </w:r>
      <w:proofErr w:type="spellStart"/>
      <w:r w:rsidR="002C594A" w:rsidRPr="00FE61B7">
        <w:t>folium</w:t>
      </w:r>
      <w:proofErr w:type="spellEnd"/>
      <w:r w:rsidR="002C594A" w:rsidRPr="00FE61B7">
        <w:t xml:space="preserve"> devait être souvent utilisé puisque ce pigment était capable de créer non pas une</w:t>
      </w:r>
      <w:r w:rsidR="005D7A47">
        <w:t>,</w:t>
      </w:r>
      <w:r w:rsidR="002726FC" w:rsidRPr="00FE61B7">
        <w:t xml:space="preserve"> </w:t>
      </w:r>
      <w:r w:rsidR="002C594A" w:rsidRPr="00FE61B7">
        <w:t>mais trois couleurs et, en plus, il faisait partie des pigments les plus faciles à concevoir. Néanmoins, cela venait avec un défaut. Si le document était laissé trop longtemps à l’air libre, le taux d’acidité dans l’humidité pouvait engendrer un changement de couleur. Le bleu devenait pourpre dans certains cas</w:t>
      </w:r>
      <w:r w:rsidR="002C594A" w:rsidRPr="00FE61B7">
        <w:rPr>
          <w:rStyle w:val="Appelnotedebasdep"/>
        </w:rPr>
        <w:footnoteReference w:id="87"/>
      </w:r>
      <w:r w:rsidR="002C594A" w:rsidRPr="00FE61B7">
        <w:t>.</w:t>
      </w:r>
    </w:p>
    <w:p w:rsidR="002C594A" w:rsidRPr="00FE61B7" w:rsidRDefault="006C1296" w:rsidP="00F04FC5">
      <w:pPr>
        <w:pStyle w:val="Titre3"/>
        <w:spacing w:line="360" w:lineRule="auto"/>
        <w:jc w:val="both"/>
        <w:rPr>
          <w:rFonts w:ascii="Times New Roman" w:hAnsi="Times New Roman" w:cs="Times New Roman"/>
          <w:b w:val="0"/>
          <w:i/>
          <w:color w:val="auto"/>
          <w:u w:val="single"/>
        </w:rPr>
      </w:pPr>
      <w:bookmarkStart w:id="26" w:name="_Toc401478207"/>
      <w:r w:rsidRPr="00FE61B7">
        <w:rPr>
          <w:rFonts w:ascii="Times New Roman" w:hAnsi="Times New Roman" w:cs="Times New Roman"/>
          <w:b w:val="0"/>
          <w:i/>
          <w:color w:val="auto"/>
          <w:u w:val="single"/>
        </w:rPr>
        <w:t>Noir</w:t>
      </w:r>
      <w:bookmarkEnd w:id="26"/>
    </w:p>
    <w:p w:rsidR="006C1296" w:rsidRPr="00FE61B7" w:rsidRDefault="006C1296" w:rsidP="00F04FC5">
      <w:pPr>
        <w:spacing w:line="360" w:lineRule="auto"/>
        <w:jc w:val="both"/>
      </w:pPr>
      <w:r w:rsidRPr="00FE61B7">
        <w:tab/>
      </w:r>
      <w:r w:rsidR="00F159AA" w:rsidRPr="00FE61B7">
        <w:t xml:space="preserve">Finalement, il nous reste à discuter du noir. Étrangement, Ball est silencieux à ce sujet. Théophile nous décrit seulement la création d’une encre noire. Sur ce point, je ne juge pas nécessaire qu’il </w:t>
      </w:r>
      <w:r w:rsidR="005F56DC">
        <w:t>soi</w:t>
      </w:r>
      <w:r w:rsidR="00F159AA" w:rsidRPr="00FE61B7">
        <w:t>t nécessaire d’en discuter puisque les encres étaient utilisées pour l’écriture et non pour l’enluminure. Heureusement, on trouve une réponse à comment fabrique-t</w:t>
      </w:r>
      <w:r w:rsidR="002B65A1">
        <w:t>-</w:t>
      </w:r>
      <w:r w:rsidR="00F159AA" w:rsidRPr="00FE61B7">
        <w:t>on un pigment noir dans un traité anonyme datant du XIV</w:t>
      </w:r>
      <w:r w:rsidR="00F159AA" w:rsidRPr="00FE61B7">
        <w:rPr>
          <w:vertAlign w:val="superscript"/>
        </w:rPr>
        <w:t>e</w:t>
      </w:r>
      <w:r w:rsidR="00F159AA" w:rsidRPr="00FE61B7">
        <w:t xml:space="preserve"> siècle, le </w:t>
      </w:r>
      <w:r w:rsidR="00F159AA" w:rsidRPr="00FE61B7">
        <w:rPr>
          <w:i/>
        </w:rPr>
        <w:t xml:space="preserve">De Arte </w:t>
      </w:r>
      <w:proofErr w:type="spellStart"/>
      <w:r w:rsidR="00F159AA" w:rsidRPr="00FE61B7">
        <w:rPr>
          <w:i/>
        </w:rPr>
        <w:t>Illuminandi</w:t>
      </w:r>
      <w:proofErr w:type="spellEnd"/>
      <w:r w:rsidR="00F159AA" w:rsidRPr="00FE61B7">
        <w:t xml:space="preserve">. Ce document explique, tout comme le </w:t>
      </w:r>
      <w:r w:rsidR="00F159AA" w:rsidRPr="00FE61B7">
        <w:rPr>
          <w:i/>
        </w:rPr>
        <w:t xml:space="preserve">De </w:t>
      </w:r>
      <w:proofErr w:type="spellStart"/>
      <w:r w:rsidR="00F159AA" w:rsidRPr="00FE61B7">
        <w:rPr>
          <w:i/>
        </w:rPr>
        <w:t>Diversis</w:t>
      </w:r>
      <w:proofErr w:type="spellEnd"/>
      <w:r w:rsidR="00F159AA" w:rsidRPr="00FE61B7">
        <w:rPr>
          <w:i/>
        </w:rPr>
        <w:t xml:space="preserve"> </w:t>
      </w:r>
      <w:proofErr w:type="spellStart"/>
      <w:r w:rsidR="00F159AA" w:rsidRPr="00FE61B7">
        <w:rPr>
          <w:i/>
        </w:rPr>
        <w:t>Artibus</w:t>
      </w:r>
      <w:proofErr w:type="spellEnd"/>
      <w:r w:rsidR="00F159AA" w:rsidRPr="00FE61B7">
        <w:t xml:space="preserve">, les techniques pour enluminer les manuscrits. Sur certaines couleurs comme pour le blanc et le rouge, les descriptions sont moins bien développées alors que, pour les autres, elles sont équivalentes à en terme de précision par rapport </w:t>
      </w:r>
      <w:r w:rsidR="002B65A1">
        <w:t>aux travaux de</w:t>
      </w:r>
      <w:r w:rsidR="00F159AA" w:rsidRPr="00FE61B7">
        <w:t xml:space="preserve"> Théophile.</w:t>
      </w:r>
      <w:r w:rsidR="00587309" w:rsidRPr="00FE61B7">
        <w:t xml:space="preserve"> Voici le paragraphe où il est question de la fabrication d’un pigment noir :</w:t>
      </w:r>
    </w:p>
    <w:p w:rsidR="00587309" w:rsidRPr="00AC0AF7" w:rsidRDefault="00587309" w:rsidP="00F04FC5">
      <w:pPr>
        <w:spacing w:line="360" w:lineRule="auto"/>
        <w:ind w:left="1134" w:right="1134"/>
        <w:jc w:val="both"/>
        <w:rPr>
          <w:sz w:val="20"/>
          <w:szCs w:val="20"/>
          <w:lang w:val="en-CA"/>
        </w:rPr>
      </w:pPr>
      <w:r w:rsidRPr="00AC0AF7">
        <w:rPr>
          <w:sz w:val="20"/>
          <w:szCs w:val="20"/>
          <w:lang w:val="en-CA"/>
        </w:rPr>
        <w:t>The black color is made in several ways. First, and most generally, it is made very satisfactorily out of vine-twig charcoal, that is, by burning twigs of the vine from which wine comes; and before they turn to ashes, water it thrown of them, a little at a time, and they are allowed to go out, and the clean coals are separated from the ashes. It is also made in another way, as follows: get a clean basin of brass or glazed earthenware, and put under it a lighted candle of clean wax, and have the flame almost reach the hollow of the basin; and carefully collect the black which is produced by the smoke. And put the candle back again and make as much of it as you want</w:t>
      </w:r>
      <w:r w:rsidR="002C23DB" w:rsidRPr="00FE61B7">
        <w:rPr>
          <w:rStyle w:val="Appelnotedebasdep"/>
          <w:sz w:val="20"/>
          <w:szCs w:val="20"/>
        </w:rPr>
        <w:footnoteReference w:id="88"/>
      </w:r>
      <w:r w:rsidRPr="00AC0AF7">
        <w:rPr>
          <w:sz w:val="20"/>
          <w:szCs w:val="20"/>
          <w:lang w:val="en-CA"/>
        </w:rPr>
        <w:t>.</w:t>
      </w:r>
    </w:p>
    <w:p w:rsidR="002C23DB" w:rsidRPr="00FE61B7" w:rsidRDefault="002C23DB" w:rsidP="00F04FC5">
      <w:pPr>
        <w:spacing w:line="360" w:lineRule="auto"/>
        <w:jc w:val="both"/>
      </w:pPr>
      <w:r w:rsidRPr="00FE61B7">
        <w:lastRenderedPageBreak/>
        <w:t>Comme nous pouvons le remarquer, ces deux recettes ne peuvent pas être plus simples. Il suffit de brûler des brindilles provenant de la vigne, de la faïence ou du laiton, créant ainsi un noir solide qui tient sur les feuilles d’un manuscrit.</w:t>
      </w:r>
    </w:p>
    <w:p w:rsidR="007740CC" w:rsidRPr="00FE61B7" w:rsidRDefault="002C23DB" w:rsidP="00F04FC5">
      <w:pPr>
        <w:spacing w:line="360" w:lineRule="auto"/>
        <w:ind w:firstLine="708"/>
        <w:jc w:val="both"/>
      </w:pPr>
      <w:r w:rsidRPr="00FE61B7">
        <w:t>En résumé, nous avons pu voir dans cette section que les pigments n’étaient généralement pas très difficiles à produire. Certes, les ingrédi</w:t>
      </w:r>
      <w:r w:rsidR="002B65A1">
        <w:t xml:space="preserve">ents nécessaires n’étaient pas </w:t>
      </w:r>
      <w:r w:rsidRPr="00FE61B7">
        <w:t>disponibles pour tous</w:t>
      </w:r>
      <w:r w:rsidR="002B65A1">
        <w:t xml:space="preserve"> </w:t>
      </w:r>
      <w:r w:rsidR="002B65A1" w:rsidRPr="00FE61B7">
        <w:t>dans la majorité des cas</w:t>
      </w:r>
      <w:r w:rsidRPr="00FE61B7">
        <w:t xml:space="preserve">. Les moines, par exemple, n’avaient pas </w:t>
      </w:r>
      <w:r w:rsidR="002B65A1">
        <w:t xml:space="preserve">toujours </w:t>
      </w:r>
      <w:r w:rsidRPr="00FE61B7">
        <w:t>sous la main les minéraux pour créer certaines couleurs alors que, grâce aux champs qu’ils cultivaient, ils possédaient les végétaux afin de créer les pigments fabriqués à partir de ceux-ci.</w:t>
      </w:r>
      <w:r w:rsidR="007072DA" w:rsidRPr="00FE61B7">
        <w:t xml:space="preserve"> D’autre part, </w:t>
      </w:r>
      <w:r w:rsidR="003E7391" w:rsidRPr="00FE61B7">
        <w:t>nous nous sommes attardés dans le présent chapitre à présenter les différentes méthodes pour créer des pigments. Cependant, il ne faut pas oublier qu’il s’agit des techniques les plus populaires</w:t>
      </w:r>
      <w:r w:rsidR="0085005C" w:rsidRPr="00FE61B7">
        <w:t xml:space="preserve"> qui ont été présentées ici</w:t>
      </w:r>
      <w:r w:rsidR="003E7391" w:rsidRPr="00FE61B7">
        <w:t>. Il existait sûrement bien d’autres procédés et certains artistes possédaient sûrement leur</w:t>
      </w:r>
      <w:r w:rsidR="0085005C" w:rsidRPr="00FE61B7">
        <w:t>s</w:t>
      </w:r>
      <w:r w:rsidR="003E7391" w:rsidRPr="00FE61B7">
        <w:t xml:space="preserve"> propre</w:t>
      </w:r>
      <w:r w:rsidR="0085005C" w:rsidRPr="00FE61B7">
        <w:t>s</w:t>
      </w:r>
      <w:r w:rsidR="003E7391" w:rsidRPr="00FE61B7">
        <w:t xml:space="preserve"> recette</w:t>
      </w:r>
      <w:r w:rsidR="0085005C" w:rsidRPr="00FE61B7">
        <w:t>s</w:t>
      </w:r>
      <w:r w:rsidR="003E7391" w:rsidRPr="00FE61B7">
        <w:t xml:space="preserve"> privée</w:t>
      </w:r>
      <w:r w:rsidR="0085005C" w:rsidRPr="00FE61B7">
        <w:t>s</w:t>
      </w:r>
      <w:r w:rsidR="003E7391" w:rsidRPr="00FE61B7">
        <w:t xml:space="preserve">. </w:t>
      </w:r>
      <w:r w:rsidR="002B65A1">
        <w:t>Toutes</w:t>
      </w:r>
      <w:r w:rsidR="0085005C" w:rsidRPr="00FE61B7">
        <w:t xml:space="preserve"> les trouver et les expliquer seraient une tâche colossale à accomplir et nous sommes mieux de nous concentrer sur les plus importantes.</w:t>
      </w:r>
    </w:p>
    <w:p w:rsidR="00E70219" w:rsidRPr="00AC0AF7" w:rsidRDefault="00E70219" w:rsidP="00F04FC5">
      <w:pPr>
        <w:pStyle w:val="Titre1"/>
        <w:spacing w:line="360" w:lineRule="auto"/>
        <w:jc w:val="both"/>
        <w:rPr>
          <w:rFonts w:ascii="Times New Roman" w:hAnsi="Times New Roman" w:cs="Times New Roman"/>
          <w:color w:val="auto"/>
        </w:rPr>
      </w:pPr>
      <w:bookmarkStart w:id="27" w:name="_Toc401478208"/>
      <w:r w:rsidRPr="00AC0AF7">
        <w:rPr>
          <w:rFonts w:ascii="Times New Roman" w:hAnsi="Times New Roman" w:cs="Times New Roman"/>
          <w:color w:val="auto"/>
        </w:rPr>
        <w:t>Analyse de sources</w:t>
      </w:r>
      <w:bookmarkEnd w:id="27"/>
      <w:r w:rsidR="00D43C7D" w:rsidRPr="00AC0AF7">
        <w:rPr>
          <w:rFonts w:ascii="Times New Roman" w:hAnsi="Times New Roman" w:cs="Times New Roman"/>
          <w:color w:val="auto"/>
        </w:rPr>
        <w:t xml:space="preserve"> </w:t>
      </w:r>
    </w:p>
    <w:p w:rsidR="00E70219" w:rsidRPr="00FE61B7" w:rsidRDefault="00E70219" w:rsidP="00F04FC5">
      <w:pPr>
        <w:pStyle w:val="Titre2"/>
        <w:spacing w:line="360" w:lineRule="auto"/>
        <w:jc w:val="both"/>
        <w:rPr>
          <w:rFonts w:ascii="Times New Roman" w:hAnsi="Times New Roman" w:cs="Times New Roman"/>
          <w:color w:val="auto"/>
          <w:sz w:val="24"/>
          <w:szCs w:val="24"/>
        </w:rPr>
      </w:pPr>
      <w:bookmarkStart w:id="28" w:name="_Toc401478209"/>
      <w:r w:rsidRPr="00FE61B7">
        <w:rPr>
          <w:rFonts w:ascii="Times New Roman" w:hAnsi="Times New Roman" w:cs="Times New Roman"/>
          <w:color w:val="auto"/>
          <w:sz w:val="24"/>
          <w:szCs w:val="24"/>
        </w:rPr>
        <w:t>Vierge à l’Enfant</w:t>
      </w:r>
      <w:bookmarkEnd w:id="28"/>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29" w:name="_Toc401478210"/>
      <w:r w:rsidRPr="00FE61B7">
        <w:rPr>
          <w:rFonts w:ascii="Times New Roman" w:hAnsi="Times New Roman" w:cs="Times New Roman"/>
          <w:b w:val="0"/>
          <w:i/>
          <w:color w:val="auto"/>
          <w:u w:val="single"/>
        </w:rPr>
        <w:t>Description</w:t>
      </w:r>
      <w:bookmarkEnd w:id="29"/>
    </w:p>
    <w:p w:rsidR="00E70219" w:rsidRPr="00FE61B7" w:rsidRDefault="00E70219" w:rsidP="00F04FC5">
      <w:pPr>
        <w:spacing w:line="360" w:lineRule="auto"/>
        <w:ind w:firstLine="708"/>
        <w:jc w:val="both"/>
      </w:pPr>
      <w:r w:rsidRPr="00FE61B7">
        <w:t>La première image à analyser est celle de la Vierge à l’enfant du folio</w:t>
      </w:r>
      <w:r w:rsidR="004972DD" w:rsidRPr="00FE61B7">
        <w:t> </w:t>
      </w:r>
      <w:r w:rsidRPr="00FE61B7">
        <w:t>17v qui introduit la prière « </w:t>
      </w:r>
      <w:proofErr w:type="spellStart"/>
      <w:r w:rsidRPr="00FE61B7">
        <w:t>Obsecro</w:t>
      </w:r>
      <w:proofErr w:type="spellEnd"/>
      <w:r w:rsidRPr="00FE61B7">
        <w:t xml:space="preserve"> te ». Cette image a été choisie puisqu’il s’agit d’un thème iconographique très important </w:t>
      </w:r>
      <w:r w:rsidR="0024327F" w:rsidRPr="00FE61B7">
        <w:t xml:space="preserve">et qu’il était très populaire </w:t>
      </w:r>
      <w:r w:rsidRPr="00FE61B7">
        <w:t>en Europe médiévale</w:t>
      </w:r>
      <w:r w:rsidR="0024327F" w:rsidRPr="00FE61B7">
        <w:t xml:space="preserve"> surtout à partir du XIII</w:t>
      </w:r>
      <w:r w:rsidR="0024327F" w:rsidRPr="00FE61B7">
        <w:rPr>
          <w:vertAlign w:val="superscript"/>
        </w:rPr>
        <w:t>e</w:t>
      </w:r>
      <w:r w:rsidR="0024327F" w:rsidRPr="00FE61B7">
        <w:t xml:space="preserve"> siècle comme le confirme Gaston </w:t>
      </w:r>
      <w:proofErr w:type="spellStart"/>
      <w:r w:rsidR="0024327F" w:rsidRPr="00FE61B7">
        <w:t>Duchet-Suchaux</w:t>
      </w:r>
      <w:proofErr w:type="spellEnd"/>
      <w:r w:rsidR="0024327F" w:rsidRPr="00FE61B7">
        <w:t xml:space="preserve"> et Michel Pastoureau dans leur ouvrage </w:t>
      </w:r>
      <w:r w:rsidR="0024327F" w:rsidRPr="00FE61B7">
        <w:rPr>
          <w:i/>
        </w:rPr>
        <w:t>La Bible et les saints : Guide iconographique</w:t>
      </w:r>
      <w:r w:rsidRPr="00FE61B7">
        <w:t xml:space="preserve">. En même temps, le thème de cette image est également combiné avec celui de la Vierge en majesté. Ce thème se nomme d’ailleurs la </w:t>
      </w:r>
      <w:proofErr w:type="spellStart"/>
      <w:r w:rsidRPr="00FE61B7">
        <w:rPr>
          <w:i/>
        </w:rPr>
        <w:t>Maesta</w:t>
      </w:r>
      <w:proofErr w:type="spellEnd"/>
      <w:r w:rsidRPr="00FE61B7">
        <w:t xml:space="preserve"> selon son appellation italienne. On y retrouve habituellement Marie assise sur un trône entouré par des anges. </w:t>
      </w:r>
      <w:proofErr w:type="spellStart"/>
      <w:r w:rsidR="0024327F" w:rsidRPr="00FE61B7">
        <w:t>Duchet-Suchaux</w:t>
      </w:r>
      <w:proofErr w:type="spellEnd"/>
      <w:r w:rsidR="0024327F" w:rsidRPr="00FE61B7">
        <w:t xml:space="preserve"> et </w:t>
      </w:r>
      <w:r w:rsidRPr="00FE61B7">
        <w:t xml:space="preserve">Pastoureau expliquent bien ce fait quand ils écrivent : </w:t>
      </w:r>
    </w:p>
    <w:p w:rsidR="00E70219" w:rsidRPr="00FE61B7" w:rsidRDefault="00E70219" w:rsidP="00F04FC5">
      <w:pPr>
        <w:spacing w:line="360" w:lineRule="auto"/>
        <w:ind w:left="1134" w:right="1134"/>
        <w:jc w:val="both"/>
        <w:rPr>
          <w:sz w:val="20"/>
          <w:szCs w:val="20"/>
        </w:rPr>
      </w:pPr>
      <w:r w:rsidRPr="00FE61B7">
        <w:rPr>
          <w:sz w:val="20"/>
          <w:szCs w:val="20"/>
        </w:rPr>
        <w:t xml:space="preserve">L’un des types les plus célèbres est celui de la Vierge à l’Enfant, qui connaît de multiples avatars. La </w:t>
      </w:r>
      <w:r w:rsidRPr="00FE61B7">
        <w:rPr>
          <w:i/>
          <w:sz w:val="20"/>
          <w:szCs w:val="20"/>
        </w:rPr>
        <w:t>Vierge en Majesté</w:t>
      </w:r>
      <w:r w:rsidRPr="00FE61B7">
        <w:rPr>
          <w:sz w:val="20"/>
          <w:szCs w:val="20"/>
        </w:rPr>
        <w:t>, assise sur un trône avec l’Enfant Jésus sur son sein, apparaît au IV</w:t>
      </w:r>
      <w:r w:rsidRPr="00FE61B7">
        <w:rPr>
          <w:sz w:val="20"/>
          <w:szCs w:val="20"/>
          <w:vertAlign w:val="superscript"/>
        </w:rPr>
        <w:t>e</w:t>
      </w:r>
      <w:r w:rsidRPr="00FE61B7">
        <w:rPr>
          <w:sz w:val="20"/>
          <w:szCs w:val="20"/>
        </w:rPr>
        <w:t xml:space="preserve"> siècle. Elle a un développement considérable et des savants ont pu étudier l’identification de la Vierge-Reine à l’Église. […] Les Vierges à l’Enfant placées </w:t>
      </w:r>
      <w:r w:rsidRPr="00FE61B7">
        <w:rPr>
          <w:sz w:val="20"/>
          <w:szCs w:val="20"/>
        </w:rPr>
        <w:lastRenderedPageBreak/>
        <w:t>sous le signe de la tendresse se multiplient à partir du XIII</w:t>
      </w:r>
      <w:r w:rsidRPr="00FE61B7">
        <w:rPr>
          <w:sz w:val="20"/>
          <w:szCs w:val="20"/>
          <w:vertAlign w:val="superscript"/>
        </w:rPr>
        <w:t>e</w:t>
      </w:r>
      <w:r w:rsidRPr="00FE61B7">
        <w:rPr>
          <w:sz w:val="20"/>
          <w:szCs w:val="20"/>
        </w:rPr>
        <w:t xml:space="preserve"> siècle et connaissent une fortune immense jusqu’aux XIX</w:t>
      </w:r>
      <w:r w:rsidRPr="00FE61B7">
        <w:rPr>
          <w:sz w:val="20"/>
          <w:szCs w:val="20"/>
          <w:vertAlign w:val="superscript"/>
        </w:rPr>
        <w:t>e</w:t>
      </w:r>
      <w:r w:rsidRPr="00FE61B7">
        <w:rPr>
          <w:sz w:val="20"/>
          <w:szCs w:val="20"/>
        </w:rPr>
        <w:t xml:space="preserve"> et XX</w:t>
      </w:r>
      <w:r w:rsidRPr="00FE61B7">
        <w:rPr>
          <w:sz w:val="20"/>
          <w:szCs w:val="20"/>
          <w:vertAlign w:val="superscript"/>
        </w:rPr>
        <w:t>e</w:t>
      </w:r>
      <w:r w:rsidRPr="00FE61B7">
        <w:rPr>
          <w:sz w:val="20"/>
          <w:szCs w:val="20"/>
        </w:rPr>
        <w:t xml:space="preserve"> siècles</w:t>
      </w:r>
      <w:r w:rsidRPr="00FE61B7">
        <w:rPr>
          <w:rStyle w:val="Appelnotedebasdep"/>
          <w:sz w:val="20"/>
          <w:szCs w:val="20"/>
        </w:rPr>
        <w:footnoteReference w:id="89"/>
      </w:r>
      <w:r w:rsidRPr="00FE61B7">
        <w:rPr>
          <w:sz w:val="20"/>
          <w:szCs w:val="20"/>
        </w:rPr>
        <w:t xml:space="preserve">. </w:t>
      </w:r>
    </w:p>
    <w:p w:rsidR="00E70219" w:rsidRPr="00FE61B7" w:rsidRDefault="00E70219" w:rsidP="00F04FC5">
      <w:pPr>
        <w:spacing w:line="360" w:lineRule="auto"/>
        <w:jc w:val="both"/>
      </w:pPr>
      <w:r w:rsidRPr="00FE61B7">
        <w:t>Ici, l’enluminure est beaucoup plus sobre puisque le trône et la cour des anges sont représentés par la couronne que porte la Vierge Marie ce qui fait évidemment référence à une période importante dans la vie, ou plutôt sa mort, de cette figure religieuse importante, soit son couronnement à son arrivée au Paradis. Ce thème de la Vierge à l’enfant nous rappelle l’enfance du Christ, la maternité de la Vierge Marie et, encore plus important, surtout dans le cadre de ce mémoire, tout l’amour qu’elle portait à son enfant. Il faudra se rappeler cette dernière affirmation quand il sera question de la couleur des habits de la mère du Christ. Mais, pour commencer, il serait plus important de débuter avec une description de cette image.</w:t>
      </w:r>
    </w:p>
    <w:p w:rsidR="00E70219" w:rsidRPr="00FE61B7" w:rsidRDefault="00E70219" w:rsidP="00F04FC5">
      <w:pPr>
        <w:spacing w:line="360" w:lineRule="auto"/>
        <w:ind w:firstLine="708"/>
        <w:jc w:val="both"/>
      </w:pPr>
      <w:r w:rsidRPr="00FE61B7">
        <w:t xml:space="preserve">Tout d’abord, on retrouve la figure principale de l’image en son centre, soit la Vierge Marie qui porte sa couronne en or, symbole de sa souveraineté au Paradis au côté de son fils. Elle porte une cape bleue avec une robe grise. Évidemment, puisqu’il s’agit du thème de la Vierge à l’enfant, le Christ est également présent dans les bras de sa mère. Étrangement, il porte une tunique rouge alors qu’il est habituellement nu. De toute façon, cette tunique rouge nous est d’une très grande utilité quant à l’analyse de la symbolique des couleurs dans cette enluminure. Ensuite, on retrouve une aura jaune qui englobe la mère et son fils. Il ne faut pas oublier les bordures qui sont aussi sujettes à l’analyse. On observe la présence d’un jardin ce qui est assez typique dans les livres d’Heures. Comme l’écrivent Viviane </w:t>
      </w:r>
      <w:proofErr w:type="spellStart"/>
      <w:r w:rsidRPr="00FE61B7">
        <w:t>Huchard</w:t>
      </w:r>
      <w:proofErr w:type="spellEnd"/>
      <w:r w:rsidRPr="00FE61B7">
        <w:t xml:space="preserve"> et Pascale Bourgain :</w:t>
      </w:r>
    </w:p>
    <w:p w:rsidR="00E70219" w:rsidRPr="00FE61B7" w:rsidRDefault="00E70219" w:rsidP="00F04FC5">
      <w:pPr>
        <w:spacing w:line="360" w:lineRule="auto"/>
        <w:ind w:left="1134" w:right="1134"/>
        <w:jc w:val="both"/>
        <w:rPr>
          <w:sz w:val="20"/>
          <w:szCs w:val="20"/>
        </w:rPr>
      </w:pPr>
      <w:r w:rsidRPr="00FE61B7">
        <w:rPr>
          <w:sz w:val="20"/>
          <w:szCs w:val="20"/>
        </w:rPr>
        <w:t>Rares au XII</w:t>
      </w:r>
      <w:r w:rsidRPr="00FE61B7">
        <w:rPr>
          <w:sz w:val="20"/>
          <w:szCs w:val="20"/>
          <w:vertAlign w:val="superscript"/>
        </w:rPr>
        <w:t>e</w:t>
      </w:r>
      <w:r w:rsidRPr="00FE61B7">
        <w:rPr>
          <w:sz w:val="20"/>
          <w:szCs w:val="20"/>
        </w:rPr>
        <w:t xml:space="preserve"> siècle, ces bordures deviennent délicates, exubérantes, raffinées aux XIII</w:t>
      </w:r>
      <w:r w:rsidRPr="00FE61B7">
        <w:rPr>
          <w:sz w:val="20"/>
          <w:szCs w:val="20"/>
          <w:vertAlign w:val="superscript"/>
        </w:rPr>
        <w:t>e</w:t>
      </w:r>
      <w:r w:rsidRPr="00FE61B7">
        <w:rPr>
          <w:sz w:val="20"/>
          <w:szCs w:val="20"/>
        </w:rPr>
        <w:t xml:space="preserve"> et XIV</w:t>
      </w:r>
      <w:r w:rsidRPr="00FE61B7">
        <w:rPr>
          <w:sz w:val="20"/>
          <w:szCs w:val="20"/>
          <w:vertAlign w:val="superscript"/>
        </w:rPr>
        <w:t>e</w:t>
      </w:r>
      <w:r w:rsidRPr="00FE61B7">
        <w:rPr>
          <w:sz w:val="20"/>
          <w:szCs w:val="20"/>
        </w:rPr>
        <w:t xml:space="preserve"> siècles, en particulier dans les </w:t>
      </w:r>
      <w:r w:rsidRPr="00FE61B7">
        <w:rPr>
          <w:i/>
          <w:sz w:val="20"/>
          <w:szCs w:val="20"/>
        </w:rPr>
        <w:t>Livres d’Heures</w:t>
      </w:r>
      <w:r w:rsidRPr="00FE61B7">
        <w:rPr>
          <w:sz w:val="20"/>
          <w:szCs w:val="20"/>
        </w:rPr>
        <w:t xml:space="preserve"> précieux où elles se peuplent de petits personnages et de saynètes. Dans les premières années du XV</w:t>
      </w:r>
      <w:r w:rsidRPr="00FE61B7">
        <w:rPr>
          <w:sz w:val="20"/>
          <w:szCs w:val="20"/>
          <w:vertAlign w:val="superscript"/>
        </w:rPr>
        <w:t>e</w:t>
      </w:r>
      <w:r w:rsidRPr="00FE61B7">
        <w:rPr>
          <w:sz w:val="20"/>
          <w:szCs w:val="20"/>
        </w:rPr>
        <w:t xml:space="preserve"> siècle, les grands artistes attachés aux cours princières, les frères de Limbourg, le Maître de Bedford ou le Maître de Boucicaut, ne les négligent pas au profit des pages peintes. Peu à peu, le naturalisme prend le dessus sur la fantaisie et les marges florales n’ont alors rien à envier aux traités de botanique »</w:t>
      </w:r>
      <w:r w:rsidRPr="00FE61B7">
        <w:rPr>
          <w:rStyle w:val="Appelnotedebasdep"/>
          <w:sz w:val="20"/>
          <w:szCs w:val="20"/>
        </w:rPr>
        <w:footnoteReference w:id="90"/>
      </w:r>
      <w:r w:rsidRPr="00FE61B7">
        <w:rPr>
          <w:sz w:val="20"/>
          <w:szCs w:val="20"/>
        </w:rPr>
        <w:t>.</w:t>
      </w:r>
    </w:p>
    <w:p w:rsidR="00E70219" w:rsidRPr="009B5533" w:rsidRDefault="00E70219" w:rsidP="009B5533">
      <w:pPr>
        <w:spacing w:line="360" w:lineRule="auto"/>
        <w:jc w:val="both"/>
      </w:pPr>
      <w:r w:rsidRPr="00FE61B7">
        <w:lastRenderedPageBreak/>
        <w:t xml:space="preserve">Jean </w:t>
      </w:r>
      <w:proofErr w:type="spellStart"/>
      <w:r w:rsidRPr="00FE61B7">
        <w:t>Wirth</w:t>
      </w:r>
      <w:proofErr w:type="spellEnd"/>
      <w:r w:rsidRPr="00FE61B7">
        <w:t xml:space="preserve"> confirme le même fait</w:t>
      </w:r>
      <w:r w:rsidR="0024327F" w:rsidRPr="00FE61B7">
        <w:rPr>
          <w:rStyle w:val="Appelnotedebasdep"/>
        </w:rPr>
        <w:footnoteReference w:id="91"/>
      </w:r>
      <w:r w:rsidRPr="00FE61B7">
        <w:t>. Un</w:t>
      </w:r>
      <w:r w:rsidR="00357F35" w:rsidRPr="00FE61B7">
        <w:t xml:space="preserve"> changement s’est effectué au XIII</w:t>
      </w:r>
      <w:r w:rsidRPr="00FE61B7">
        <w:rPr>
          <w:vertAlign w:val="superscript"/>
        </w:rPr>
        <w:t>e</w:t>
      </w:r>
      <w:r w:rsidRPr="00FE61B7">
        <w:t xml:space="preserve"> siècle où les bordures presque vides se sont graduellement remplies et ce qu’il appelle des drôleries</w:t>
      </w:r>
      <w:r w:rsidR="00357F35" w:rsidRPr="00FE61B7">
        <w:t>, étant des images profanes et humoristiques comprenant généralement des animaux</w:t>
      </w:r>
      <w:r w:rsidR="00A246E0" w:rsidRPr="00FE61B7">
        <w:rPr>
          <w:rStyle w:val="Appelnotedebasdep"/>
        </w:rPr>
        <w:footnoteReference w:id="92"/>
      </w:r>
      <w:r w:rsidR="00357F35" w:rsidRPr="00FE61B7">
        <w:t>,</w:t>
      </w:r>
      <w:r w:rsidRPr="00FE61B7">
        <w:t xml:space="preserve"> a été de moins en moins utilisé, sans pour autant disparaître</w:t>
      </w:r>
      <w:r w:rsidRPr="00FE61B7">
        <w:rPr>
          <w:rStyle w:val="Appelnotedebasdep"/>
        </w:rPr>
        <w:footnoteReference w:id="93"/>
      </w:r>
      <w:r w:rsidRPr="00FE61B7">
        <w:t xml:space="preserve">. Également, le style du maître de Jean d’Albret est d’utiliser des formes géométriques. Ici, on retrouve justement des losanges qui sont soit blanc ou or. Dans </w:t>
      </w:r>
      <w:r w:rsidRPr="009B5533">
        <w:t>la bordure, on peut remarquer un oiseau jaune et un animal vert et brun qui est probablement un démon.</w:t>
      </w:r>
    </w:p>
    <w:p w:rsidR="00E70219" w:rsidRPr="009B5533" w:rsidRDefault="00E70219" w:rsidP="009B5533">
      <w:pPr>
        <w:pStyle w:val="Titre3"/>
        <w:spacing w:line="360" w:lineRule="auto"/>
        <w:jc w:val="both"/>
        <w:rPr>
          <w:rFonts w:ascii="Times New Roman" w:hAnsi="Times New Roman" w:cs="Times New Roman"/>
          <w:b w:val="0"/>
          <w:color w:val="auto"/>
        </w:rPr>
      </w:pPr>
      <w:bookmarkStart w:id="30" w:name="_Toc401478211"/>
      <w:r w:rsidRPr="009B5533">
        <w:rPr>
          <w:rFonts w:ascii="Times New Roman" w:hAnsi="Times New Roman" w:cs="Times New Roman"/>
          <w:b w:val="0"/>
          <w:i/>
          <w:color w:val="auto"/>
          <w:u w:val="single"/>
        </w:rPr>
        <w:t>Bleu de la Vierge</w:t>
      </w:r>
      <w:bookmarkEnd w:id="30"/>
    </w:p>
    <w:p w:rsidR="00E70219" w:rsidRPr="00FE61B7" w:rsidRDefault="00E70219" w:rsidP="009B5533">
      <w:pPr>
        <w:spacing w:line="360" w:lineRule="auto"/>
        <w:ind w:firstLine="708"/>
        <w:jc w:val="both"/>
      </w:pPr>
      <w:r w:rsidRPr="009B5533">
        <w:t xml:space="preserve">J’aimerais commencer l’analyse des couleurs de cette image par la cape de la Vierge Marie. Comme il </w:t>
      </w:r>
      <w:r w:rsidRPr="00FE61B7">
        <w:t>l’a déjà été écrit, celle-ci est bleue et cette couleur est probablement la plus intéressant</w:t>
      </w:r>
      <w:r w:rsidR="00357F35" w:rsidRPr="00FE61B7">
        <w:t>e à analyser puisque, avant le XI</w:t>
      </w:r>
      <w:r w:rsidRPr="00FE61B7">
        <w:rPr>
          <w:vertAlign w:val="superscript"/>
        </w:rPr>
        <w:t>e</w:t>
      </w:r>
      <w:r w:rsidRPr="00FE61B7">
        <w:t xml:space="preserve"> siècle, elle n’était presque pas utilisée dans les teintures, les peintures et les enluminures. Comme l’explique Michel Pastoureau, cette couleur était mal vue et peu valorisée à l’époque romaine</w:t>
      </w:r>
      <w:r w:rsidRPr="00FE61B7">
        <w:rPr>
          <w:rStyle w:val="Appelnotedebasdep"/>
        </w:rPr>
        <w:footnoteReference w:id="94"/>
      </w:r>
      <w:r w:rsidRPr="00FE61B7">
        <w:t>. Les Romains possédaient une affection particulière pour le rouge, le blanc et, bien évidemment, le pourpre impérial</w:t>
      </w:r>
      <w:r w:rsidRPr="00FE61B7">
        <w:rPr>
          <w:rStyle w:val="Appelnotedebasdep"/>
        </w:rPr>
        <w:footnoteReference w:id="95"/>
      </w:r>
      <w:r w:rsidRPr="00FE61B7">
        <w:t>. Le bleu était principalement utilisé par les peuples germaniques qui habitaient au-delà du Rhin et du Danube. On comprend alors pourquoi cette couleur était peu appréc</w:t>
      </w:r>
      <w:r w:rsidR="0024327F" w:rsidRPr="00FE61B7">
        <w:t xml:space="preserve">iée puisqu’on associait bleu à la barbarie </w:t>
      </w:r>
      <w:r w:rsidRPr="00FE61B7">
        <w:t>à cette époque. Toutefois, lorsque ces « barbares » ont pris le pouvoir quand l’Empire romain d’Occident a chuté, le bleu était utilisé dans les teintures des vêtements, car l’élite dirigeante, bien qu’elle fût depuis longtemps romanisée, était constituée principalement de «</w:t>
      </w:r>
      <w:r w:rsidR="004972DD" w:rsidRPr="00FE61B7">
        <w:t> </w:t>
      </w:r>
      <w:r w:rsidRPr="00FE61B7">
        <w:t>barbares ». Pastoureau affirme justement que les Mérovingiens, une dynastie royale franque, utilisaient des vêtements bleus à cause de leur héritage germanique</w:t>
      </w:r>
      <w:r w:rsidRPr="00FE61B7">
        <w:rPr>
          <w:rStyle w:val="Appelnotedebasdep"/>
        </w:rPr>
        <w:footnoteReference w:id="96"/>
      </w:r>
      <w:r w:rsidRPr="00FE61B7">
        <w:t xml:space="preserve">. À l’époque de la dynastie carolingienne, où on désirait revenir à un style de vie et à une culture </w:t>
      </w:r>
      <w:proofErr w:type="gramStart"/>
      <w:r w:rsidRPr="00FE61B7">
        <w:t>romains</w:t>
      </w:r>
      <w:proofErr w:type="gramEnd"/>
      <w:r w:rsidRPr="00FE61B7">
        <w:t>, le bleu subissait un recul</w:t>
      </w:r>
      <w:r w:rsidRPr="00FE61B7">
        <w:rPr>
          <w:rStyle w:val="Appelnotedebasdep"/>
        </w:rPr>
        <w:footnoteReference w:id="97"/>
      </w:r>
      <w:r w:rsidR="0024327F" w:rsidRPr="00FE61B7">
        <w:t>. Il va falloir attendre le XI</w:t>
      </w:r>
      <w:r w:rsidRPr="00FE61B7">
        <w:rPr>
          <w:vertAlign w:val="superscript"/>
        </w:rPr>
        <w:t>e</w:t>
      </w:r>
      <w:r w:rsidRPr="00FE61B7">
        <w:t xml:space="preserve"> siècle pour amorcer son grand retour et, cette fois-ci, pour de bon puisqu’il est devenu une des couleurs les plus populaires, même jusqu’à aujourd’hui. En plus, elle deviendra la couleur d</w:t>
      </w:r>
      <w:r w:rsidR="008353ED" w:rsidRPr="00FE61B7">
        <w:t>e la Vierge Marie à partir du XII</w:t>
      </w:r>
      <w:r w:rsidRPr="00FE61B7">
        <w:rPr>
          <w:vertAlign w:val="superscript"/>
        </w:rPr>
        <w:t>e</w:t>
      </w:r>
      <w:r w:rsidRPr="00FE61B7">
        <w:t xml:space="preserve"> siècle ce qui aidera grandement sa montée en pop</w:t>
      </w:r>
      <w:r w:rsidR="0024327F" w:rsidRPr="00FE61B7">
        <w:t>ularité. Par contre, avant le XII</w:t>
      </w:r>
      <w:r w:rsidRPr="00FE61B7">
        <w:rPr>
          <w:vertAlign w:val="superscript"/>
        </w:rPr>
        <w:t>e</w:t>
      </w:r>
      <w:r w:rsidRPr="00FE61B7">
        <w:t xml:space="preserve"> siècle, la Vierge était généralement habillée de </w:t>
      </w:r>
      <w:r w:rsidRPr="00FE61B7">
        <w:lastRenderedPageBreak/>
        <w:t>noir</w:t>
      </w:r>
      <w:r w:rsidRPr="00FE61B7">
        <w:rPr>
          <w:rStyle w:val="Appelnotedebasdep"/>
        </w:rPr>
        <w:footnoteReference w:id="98"/>
      </w:r>
      <w:r w:rsidRPr="00FE61B7">
        <w:t>. Il ne fait aucun doute, puisque c’est encore le cas aujourd’hui, qu’il s’agit de la couleur du deuil. Même à l’époque romaine, la famille qui avait perdure un membre devait s’habiller de noir pendant un certain nombre de jours. Un des faits pour laquelle la Vierge est la plus reconnue est qu’elle a perdu son fils. On ne mettait jamais accès l’emphase sur l’amour que portait Marie à son fils et à sa douleur lorsqu’il est mort sur la croix. Il y a donc eu une mutation à un certain moment où la Vierge Marie n’est plus habillée de noir</w:t>
      </w:r>
      <w:r w:rsidR="002726FC" w:rsidRPr="00FE61B7">
        <w:t>,</w:t>
      </w:r>
      <w:r w:rsidRPr="00FE61B7">
        <w:t xml:space="preserve"> mais de bleu. Le </w:t>
      </w:r>
      <w:r w:rsidR="008353ED" w:rsidRPr="00FE61B7">
        <w:t>changement a commencé vers le XI</w:t>
      </w:r>
      <w:r w:rsidRPr="00FE61B7">
        <w:rPr>
          <w:vertAlign w:val="superscript"/>
        </w:rPr>
        <w:t>e</w:t>
      </w:r>
      <w:r w:rsidRPr="00FE61B7">
        <w:t xml:space="preserve"> siècle, mais le bleu a pris tout de même un certain temps avant de s’imposer. Il faut comprendre que le bleu était une couleur complémentaire au noir. Il s’a</w:t>
      </w:r>
      <w:r w:rsidR="008353ED" w:rsidRPr="00FE61B7">
        <w:t>git d’un noir éclairci et, au XI</w:t>
      </w:r>
      <w:r w:rsidRPr="00FE61B7">
        <w:rPr>
          <w:vertAlign w:val="superscript"/>
        </w:rPr>
        <w:t>e</w:t>
      </w:r>
      <w:r w:rsidRPr="00FE61B7">
        <w:t xml:space="preserve"> siècle, le bleu commence à faire office de remplaçant au noir sans toutefois le faire disparaître complètement. On peut prendre exemple de C</w:t>
      </w:r>
      <w:r w:rsidR="0024327F" w:rsidRPr="00FE61B7">
        <w:t>imabue, un peintre italien du XIII</w:t>
      </w:r>
      <w:r w:rsidRPr="00FE61B7">
        <w:rPr>
          <w:vertAlign w:val="superscript"/>
        </w:rPr>
        <w:t>e</w:t>
      </w:r>
      <w:r w:rsidRPr="00FE61B7">
        <w:t xml:space="preserve"> siècle, qui a peint deux Vierges en majesté vers 1280. Dans celle qui se trouve à la Galerie des Offices à Florence, la </w:t>
      </w:r>
      <w:proofErr w:type="spellStart"/>
      <w:r w:rsidRPr="00FE61B7">
        <w:rPr>
          <w:i/>
        </w:rPr>
        <w:t>Maesta</w:t>
      </w:r>
      <w:proofErr w:type="spellEnd"/>
      <w:r w:rsidRPr="00FE61B7">
        <w:rPr>
          <w:i/>
        </w:rPr>
        <w:t xml:space="preserve"> di Santa </w:t>
      </w:r>
      <w:proofErr w:type="spellStart"/>
      <w:r w:rsidRPr="00FE61B7">
        <w:rPr>
          <w:i/>
        </w:rPr>
        <w:t>Trinita</w:t>
      </w:r>
      <w:proofErr w:type="spellEnd"/>
      <w:r w:rsidR="0024327F" w:rsidRPr="00FE61B7">
        <w:rPr>
          <w:rStyle w:val="Appelnotedebasdep"/>
          <w:i/>
        </w:rPr>
        <w:footnoteReference w:id="99"/>
      </w:r>
      <w:r w:rsidRPr="00FE61B7">
        <w:t xml:space="preserve">, on y voit la Vierge Marie en noir alors que celle qui est au Musée du Louvre, la </w:t>
      </w:r>
      <w:proofErr w:type="spellStart"/>
      <w:r w:rsidRPr="00FE61B7">
        <w:rPr>
          <w:i/>
        </w:rPr>
        <w:t>Maesta</w:t>
      </w:r>
      <w:proofErr w:type="spellEnd"/>
      <w:r w:rsidRPr="00FE61B7">
        <w:rPr>
          <w:i/>
        </w:rPr>
        <w:t xml:space="preserve"> du </w:t>
      </w:r>
      <w:r w:rsidRPr="00FE61B7">
        <w:t>Louvre</w:t>
      </w:r>
      <w:r w:rsidR="0024327F" w:rsidRPr="00FE61B7">
        <w:rPr>
          <w:rStyle w:val="Appelnotedebasdep"/>
        </w:rPr>
        <w:footnoteReference w:id="100"/>
      </w:r>
      <w:r w:rsidRPr="00FE61B7">
        <w:t xml:space="preserve">, elle est en bleu. </w:t>
      </w:r>
    </w:p>
    <w:p w:rsidR="00FB192F" w:rsidRPr="00FE61B7" w:rsidRDefault="0024327F" w:rsidP="00F04FC5">
      <w:pPr>
        <w:spacing w:line="360" w:lineRule="auto"/>
        <w:ind w:firstLine="708"/>
        <w:jc w:val="both"/>
      </w:pPr>
      <w:r w:rsidRPr="00FE61B7">
        <w:t xml:space="preserve">On peut donc se demander </w:t>
      </w:r>
      <w:r w:rsidR="00E70219" w:rsidRPr="00FE61B7">
        <w:t>ce qui a bien pu effectuer ce changement alors que la couleur bleue est presque omniprésente dans les vê</w:t>
      </w:r>
      <w:r w:rsidR="008353ED" w:rsidRPr="00FE61B7">
        <w:t>tements de la Vierge Marie au XV</w:t>
      </w:r>
      <w:r w:rsidR="00E70219" w:rsidRPr="00FE61B7">
        <w:rPr>
          <w:vertAlign w:val="superscript"/>
        </w:rPr>
        <w:t>e</w:t>
      </w:r>
      <w:r w:rsidR="00E70219" w:rsidRPr="00FE61B7">
        <w:t xml:space="preserve"> siècle. Le bleu s’est même </w:t>
      </w:r>
      <w:r w:rsidR="008353ED" w:rsidRPr="00FE61B7">
        <w:t>éclairci encore plus après le XII</w:t>
      </w:r>
      <w:r w:rsidR="00E70219" w:rsidRPr="00FE61B7">
        <w:rPr>
          <w:vertAlign w:val="superscript"/>
        </w:rPr>
        <w:t>e</w:t>
      </w:r>
      <w:r w:rsidR="00E70219" w:rsidRPr="00FE61B7">
        <w:t xml:space="preserve"> siècle car, avant cette époque, la Vierge Marie était habillée de bleu foncé. Il s’éloigne de plus en plus de son rôle de remplaçant du noir. La réponse nous est donnée implicitement par Pastoureau dans ces deux livres </w:t>
      </w:r>
      <w:r w:rsidR="00E70219" w:rsidRPr="00FE61B7">
        <w:rPr>
          <w:i/>
        </w:rPr>
        <w:t>Bleu : Histoire d’une couleur</w:t>
      </w:r>
      <w:r w:rsidR="00E70219" w:rsidRPr="00FE61B7">
        <w:t xml:space="preserve"> et </w:t>
      </w:r>
      <w:r w:rsidR="00E70219" w:rsidRPr="00FE61B7">
        <w:rPr>
          <w:i/>
        </w:rPr>
        <w:t>Noir : Histoire d’une couleur</w:t>
      </w:r>
      <w:r w:rsidR="00E70219" w:rsidRPr="00FE61B7">
        <w:t>. Il affirme dans ce dernier livre que le noir est de moins en moins utilisé après l’an mil et qu’il perd « son ambivalence symbolique »</w:t>
      </w:r>
      <w:r w:rsidR="00E70219" w:rsidRPr="00FE61B7">
        <w:rPr>
          <w:rStyle w:val="Appelnotedebasdep"/>
        </w:rPr>
        <w:footnoteReference w:id="101"/>
      </w:r>
      <w:r w:rsidR="00E70219" w:rsidRPr="00FE61B7">
        <w:t>. À la fois bon et mauvais, le noir devient principalement mauvais. C’est le contraire pour le bleu. À ce moment, le bleu possède principalement des aspects négatifs, ceux du barbarisme et du deuil. Mais, le su</w:t>
      </w:r>
      <w:r w:rsidRPr="00FE61B7">
        <w:t>jet n’est plus d’actualité au XI</w:t>
      </w:r>
      <w:r w:rsidR="00E70219" w:rsidRPr="00FE61B7">
        <w:rPr>
          <w:vertAlign w:val="superscript"/>
        </w:rPr>
        <w:t>e</w:t>
      </w:r>
      <w:r w:rsidR="00E70219" w:rsidRPr="00FE61B7">
        <w:t xml:space="preserve"> siècle pour le barbarisme et </w:t>
      </w:r>
      <w:r w:rsidR="00164A87">
        <w:t xml:space="preserve">le </w:t>
      </w:r>
      <w:r w:rsidR="00E70219" w:rsidRPr="00FE61B7">
        <w:t xml:space="preserve">deuil est implicitement </w:t>
      </w:r>
      <w:proofErr w:type="gramStart"/>
      <w:r w:rsidR="00E70219" w:rsidRPr="00FE61B7">
        <w:t>attachée</w:t>
      </w:r>
      <w:proofErr w:type="gramEnd"/>
      <w:r w:rsidR="00E70219" w:rsidRPr="00FE61B7">
        <w:t xml:space="preserve"> au bleu à cause de son association à la couleur noire. On peut donc dire que le bleu est pauvre dans sa force symbolique négative et encore plus dans le positif puisqu’elle est inexistante. D’autre part, seuls les moines de Cluny ont persisté à utiliser le noir pour leur vêtement. D’ailleurs, ce sont eux qui ont donné </w:t>
      </w:r>
      <w:r w:rsidR="00164A87">
        <w:t xml:space="preserve">à cette couleur </w:t>
      </w:r>
      <w:r w:rsidR="00E70219" w:rsidRPr="00FE61B7">
        <w:t xml:space="preserve">ces aspects symboliques soit humilité, tempérance, autorité et </w:t>
      </w:r>
      <w:r w:rsidR="00E70219" w:rsidRPr="00FE61B7">
        <w:lastRenderedPageBreak/>
        <w:t>dignité</w:t>
      </w:r>
      <w:r w:rsidR="00E70219" w:rsidRPr="00FE61B7">
        <w:rPr>
          <w:rStyle w:val="Appelnotedebasdep"/>
        </w:rPr>
        <w:footnoteReference w:id="102"/>
      </w:r>
      <w:r w:rsidR="00E70219" w:rsidRPr="00FE61B7">
        <w:t>. Après l’an mil, seul l’aspect négatif reste. Il ne fait aucun doute pour personne, même aujourd’hui, que le noir est lié aux ténèbres et, pour cette raison, on ne l’utilisait presque plus à pa</w:t>
      </w:r>
      <w:r w:rsidR="00922179" w:rsidRPr="00FE61B7">
        <w:t>rtir du XI</w:t>
      </w:r>
      <w:r w:rsidR="00E70219" w:rsidRPr="00FE61B7">
        <w:rPr>
          <w:vertAlign w:val="superscript"/>
        </w:rPr>
        <w:t>e</w:t>
      </w:r>
      <w:r w:rsidR="00E70219" w:rsidRPr="00FE61B7">
        <w:t xml:space="preserve"> siècle. Il existe également une raison </w:t>
      </w:r>
      <w:r w:rsidRPr="00FE61B7">
        <w:t>technique</w:t>
      </w:r>
      <w:r w:rsidR="00E70219" w:rsidRPr="00FE61B7">
        <w:t>. On créait difficilement une teinture noire qui tenait de façon efficace sur une étoffe. En plus, le noir n’était pas complètement noir. Il paraissait plutôt bleu ou mauve. La même chose était valable pour les autres couleurs comme le blanc</w:t>
      </w:r>
      <w:r w:rsidRPr="00FE61B7">
        <w:t xml:space="preserve"> et le vert</w:t>
      </w:r>
      <w:r w:rsidR="00E70219" w:rsidRPr="00FE61B7">
        <w:t xml:space="preserve">. Les Cisterciens, surnommés les moines blancs, n’étaient pas tout à fait habillés de blanc. Leur vêtement n’était tout simplement pas teint. Alors, au lieu de parler de la querelle des moines noirs et blancs comme l’historiographie s’en </w:t>
      </w:r>
      <w:r w:rsidR="005F56DC">
        <w:t>souvient</w:t>
      </w:r>
      <w:r w:rsidR="00E70219" w:rsidRPr="00FE61B7">
        <w:t xml:space="preserve">, on devrait parler de la querelle des moines bleu foncé et gris. </w:t>
      </w:r>
    </w:p>
    <w:p w:rsidR="00E70219" w:rsidRPr="00FE61B7" w:rsidRDefault="00E70219" w:rsidP="00F04FC5">
      <w:pPr>
        <w:spacing w:line="360" w:lineRule="auto"/>
        <w:ind w:firstLine="708"/>
        <w:jc w:val="both"/>
      </w:pPr>
      <w:r w:rsidRPr="00FE61B7">
        <w:t xml:space="preserve">En résumé, </w:t>
      </w:r>
      <w:r w:rsidR="00FB192F" w:rsidRPr="00FE61B7">
        <w:t xml:space="preserve">retenons que </w:t>
      </w:r>
      <w:r w:rsidRPr="00FE61B7">
        <w:t xml:space="preserve">la différence entre le bleu et le noir était minime à cette époque et </w:t>
      </w:r>
      <w:r w:rsidR="00FB192F" w:rsidRPr="00FE61B7">
        <w:t xml:space="preserve">que </w:t>
      </w:r>
      <w:r w:rsidRPr="00FE61B7">
        <w:t xml:space="preserve">ces deux couleurs pouvaient facilement être </w:t>
      </w:r>
      <w:proofErr w:type="spellStart"/>
      <w:r w:rsidRPr="00FE61B7">
        <w:t>interchangé</w:t>
      </w:r>
      <w:r w:rsidR="0024327F" w:rsidRPr="00FE61B7">
        <w:t>e</w:t>
      </w:r>
      <w:r w:rsidRPr="00FE61B7">
        <w:t>s</w:t>
      </w:r>
      <w:proofErr w:type="spellEnd"/>
      <w:r w:rsidRPr="00FE61B7">
        <w:t>. Ce que je crois c’est qu’il y eut un choix après l’an mil quant à l’utilisation du noir et du bleu. Déjà, la symbolique du noir et du bleu foncé sont liés, mais il existe tout de même une différence fondamentale entre ces deux couleurs. Le bleu, même foncé, laisse traverser la lumière, un véritable cadeau divin, lorsqu’on l’utilisait dans les vitraux. Cet aspect devient très important dans les églises puisqu’elles se doivent d’être le</w:t>
      </w:r>
      <w:r w:rsidR="00455461">
        <w:t>s</w:t>
      </w:r>
      <w:r w:rsidRPr="00FE61B7">
        <w:t xml:space="preserve"> plus illuminées possible et le noir ne remplit pas cette fonction. Nous verrons cet aspect beaucoup plus en détail quand il sera question du problème de l’or. C’est d’ailleurs un des reproches de Bernard de Clairvaux à l’encontre des moines clunisiens. Il</w:t>
      </w:r>
      <w:r w:rsidR="00FB192F" w:rsidRPr="00FE61B7">
        <w:t>s</w:t>
      </w:r>
      <w:r w:rsidRPr="00FE61B7">
        <w:t xml:space="preserve"> utilise</w:t>
      </w:r>
      <w:r w:rsidR="00FB192F" w:rsidRPr="00FE61B7">
        <w:t>nt</w:t>
      </w:r>
      <w:r w:rsidRPr="00FE61B7">
        <w:t xml:space="preserve"> une couleur qui cache la véritable nature des choses créées par Dieu. Il va même plus loin affirmant qu’il s’agit de « la couleur du Diable et de l’enfer, celle de la mort et du péché »</w:t>
      </w:r>
      <w:r w:rsidRPr="00FE61B7">
        <w:rPr>
          <w:rStyle w:val="Appelnotedebasdep"/>
        </w:rPr>
        <w:footnoteReference w:id="103"/>
      </w:r>
      <w:r w:rsidRPr="00FE61B7">
        <w:t>. Ce choix ne s’est pas fait en l’espace d’un instant, mais il a pris des siècles pour se propager localement et à travers l’Europe dans des circonstances probablement trop difficiles à analyser. Mais, un fait s’impose, le bleu remplace le noir à cause de s</w:t>
      </w:r>
      <w:r w:rsidR="00922179" w:rsidRPr="00FE61B7">
        <w:t>a mauvaise presse à partir du XI</w:t>
      </w:r>
      <w:r w:rsidRPr="00FE61B7">
        <w:rPr>
          <w:vertAlign w:val="superscript"/>
        </w:rPr>
        <w:t>e</w:t>
      </w:r>
      <w:r w:rsidRPr="00FE61B7">
        <w:t xml:space="preserve"> siècle dans les vêtements de la Vierge Marie et il s’éclaircit pour devenir un beau bleu clair comme on peut le remarquer dans l’enluminure du folio</w:t>
      </w:r>
      <w:r w:rsidR="004972DD" w:rsidRPr="00FE61B7">
        <w:t> </w:t>
      </w:r>
      <w:r w:rsidRPr="00FE61B7">
        <w:t>17v du livre d’Heures du Maître de Jean d’Albret.</w:t>
      </w:r>
    </w:p>
    <w:p w:rsidR="00E70219" w:rsidRPr="00FE61B7" w:rsidRDefault="00E70219" w:rsidP="00F04FC5">
      <w:pPr>
        <w:spacing w:line="360" w:lineRule="auto"/>
        <w:ind w:firstLine="708"/>
        <w:jc w:val="both"/>
      </w:pPr>
      <w:r w:rsidRPr="00FE61B7">
        <w:t>En s’éclaircissant, le bleu s’est éloigné de la symbolique principale d’un vêtement noir. À la fin du Moyen Âge, on ne met plus tant l’accent sur le deuil et la tristesse de la Vierge Marie</w:t>
      </w:r>
      <w:r w:rsidR="002726FC" w:rsidRPr="00FE61B7">
        <w:t>,</w:t>
      </w:r>
      <w:r w:rsidRPr="00FE61B7">
        <w:t xml:space="preserve"> mais plutôt sur l’amour qu’elle porte à son fils. C’est une évidence qui a déjà été expliquée, le bleu ne possédait pas d’aspects positifs à cause de son </w:t>
      </w:r>
      <w:r w:rsidR="00FB192F" w:rsidRPr="00FE61B7">
        <w:t>manque d’utilisation avant le XI</w:t>
      </w:r>
      <w:r w:rsidRPr="00FE61B7">
        <w:rPr>
          <w:vertAlign w:val="superscript"/>
        </w:rPr>
        <w:t>e</w:t>
      </w:r>
      <w:r w:rsidRPr="00FE61B7">
        <w:t xml:space="preserve"> siècle. </w:t>
      </w:r>
      <w:r w:rsidRPr="00FE61B7">
        <w:lastRenderedPageBreak/>
        <w:t>Son aspect négatif lié à la barbarie est plutôt vieillot dans la seconde moitié du Moyen Âge, car elle provient de la fin de l’Antiquité. On peut donc affirmer que le bleu ne possède pas d’aspects symboliques importants vers l’an mil. Si je reviens à ce que j’ai écrit à propos du lien entre le noir et le bleu, on comprend que c’était un moindre mal de choisir</w:t>
      </w:r>
      <w:r w:rsidR="00FB192F" w:rsidRPr="00FE61B7">
        <w:t xml:space="preserve"> le bleu plutôt que le noir</w:t>
      </w:r>
      <w:r w:rsidRPr="00FE61B7">
        <w:t xml:space="preserve">. </w:t>
      </w:r>
      <w:r w:rsidR="00FB192F" w:rsidRPr="00FE61B7">
        <w:t xml:space="preserve">Cette dernière couleur </w:t>
      </w:r>
      <w:r w:rsidRPr="00FE61B7">
        <w:t>était de plus en plus mal vu</w:t>
      </w:r>
      <w:r w:rsidR="00FB192F" w:rsidRPr="00FE61B7">
        <w:t>e</w:t>
      </w:r>
      <w:r w:rsidRPr="00FE61B7">
        <w:t xml:space="preserve"> alors qu’on n’avait pas de problème apparent avec le manque de symbolique de la couleur bleue. Mais, il est assez clair que les aspects que l’on se rappelle le plus chez la Vierge Marie, amour, loyauté, et aide, sont devenus les aspects symboliques du bleu pendant la seconde moitié du Moyen Âge. Parler de la Vierge Marie et du bleu, c’était devenu du pareil au même.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31" w:name="_Toc401478212"/>
      <w:r w:rsidRPr="00FE61B7">
        <w:rPr>
          <w:rFonts w:ascii="Times New Roman" w:hAnsi="Times New Roman" w:cs="Times New Roman"/>
          <w:b w:val="0"/>
          <w:i/>
          <w:color w:val="auto"/>
          <w:u w:val="single"/>
        </w:rPr>
        <w:t>Rouge du Christ</w:t>
      </w:r>
      <w:bookmarkEnd w:id="31"/>
    </w:p>
    <w:p w:rsidR="00E70219" w:rsidRPr="00FE61B7" w:rsidRDefault="00E70219" w:rsidP="00F04FC5">
      <w:pPr>
        <w:spacing w:line="360" w:lineRule="auto"/>
        <w:ind w:firstLine="708"/>
        <w:jc w:val="both"/>
      </w:pPr>
      <w:r w:rsidRPr="00FE61B7">
        <w:t xml:space="preserve">En ce qui a trait à la tunique rouge du Christ, beaucoup peut être écrit à ce sujet. Pour nous, associer le rouge au sang versé par le Christ lors de sa crucifixion semble être une évidence. </w:t>
      </w:r>
      <w:r w:rsidR="003E1210" w:rsidRPr="00FE61B7">
        <w:t xml:space="preserve">Sur ce point, Marina Linares écrit dans son chapitre d’un acte de colloque s’intitulant </w:t>
      </w:r>
      <w:proofErr w:type="spellStart"/>
      <w:r w:rsidR="003E1210" w:rsidRPr="00FE61B7">
        <w:rPr>
          <w:i/>
        </w:rPr>
        <w:t>Kunst</w:t>
      </w:r>
      <w:proofErr w:type="spellEnd"/>
      <w:r w:rsidR="003E1210" w:rsidRPr="00FE61B7">
        <w:rPr>
          <w:i/>
        </w:rPr>
        <w:t xml:space="preserve"> </w:t>
      </w:r>
      <w:proofErr w:type="spellStart"/>
      <w:r w:rsidR="003E1210" w:rsidRPr="00FE61B7">
        <w:rPr>
          <w:i/>
        </w:rPr>
        <w:t>und</w:t>
      </w:r>
      <w:proofErr w:type="spellEnd"/>
      <w:r w:rsidR="003E1210" w:rsidRPr="00FE61B7">
        <w:rPr>
          <w:i/>
        </w:rPr>
        <w:t xml:space="preserve"> </w:t>
      </w:r>
      <w:proofErr w:type="spellStart"/>
      <w:r w:rsidR="003E1210" w:rsidRPr="00FE61B7">
        <w:rPr>
          <w:i/>
        </w:rPr>
        <w:t>Kultur</w:t>
      </w:r>
      <w:proofErr w:type="spellEnd"/>
      <w:r w:rsidR="003E1210" w:rsidRPr="00FE61B7">
        <w:rPr>
          <w:i/>
        </w:rPr>
        <w:t xml:space="preserve"> </w:t>
      </w:r>
      <w:proofErr w:type="spellStart"/>
      <w:r w:rsidR="003E1210" w:rsidRPr="00FE61B7">
        <w:rPr>
          <w:i/>
        </w:rPr>
        <w:t>im</w:t>
      </w:r>
      <w:proofErr w:type="spellEnd"/>
      <w:r w:rsidR="003E1210" w:rsidRPr="00FE61B7">
        <w:rPr>
          <w:i/>
        </w:rPr>
        <w:t xml:space="preserve"> </w:t>
      </w:r>
      <w:proofErr w:type="spellStart"/>
      <w:r w:rsidR="003E1210" w:rsidRPr="00FE61B7">
        <w:rPr>
          <w:i/>
        </w:rPr>
        <w:t>Mittelater</w:t>
      </w:r>
      <w:proofErr w:type="spellEnd"/>
      <w:r w:rsidR="003E1210" w:rsidRPr="00FE61B7">
        <w:rPr>
          <w:i/>
        </w:rPr>
        <w:t> </w:t>
      </w:r>
      <w:r w:rsidR="003E1210" w:rsidRPr="00FE61B7">
        <w:t>:</w:t>
      </w:r>
      <w:r w:rsidR="004972DD" w:rsidRPr="00FE61B7">
        <w:t xml:space="preserve"> </w:t>
      </w:r>
      <w:r w:rsidR="003E1210" w:rsidRPr="00FE61B7">
        <w:t xml:space="preserve">« Rot </w:t>
      </w:r>
      <w:proofErr w:type="spellStart"/>
      <w:r w:rsidR="003E1210" w:rsidRPr="00FE61B7">
        <w:t>verweist</w:t>
      </w:r>
      <w:proofErr w:type="spellEnd"/>
      <w:r w:rsidR="003E1210" w:rsidRPr="00FE61B7">
        <w:t xml:space="preserve"> </w:t>
      </w:r>
      <w:proofErr w:type="spellStart"/>
      <w:r w:rsidR="003E1210" w:rsidRPr="00FE61B7">
        <w:t>auf</w:t>
      </w:r>
      <w:proofErr w:type="spellEnd"/>
      <w:r w:rsidR="003E1210" w:rsidRPr="00FE61B7">
        <w:t xml:space="preserve"> </w:t>
      </w:r>
      <w:proofErr w:type="spellStart"/>
      <w:r w:rsidR="003E1210" w:rsidRPr="00FE61B7">
        <w:t>Königtum</w:t>
      </w:r>
      <w:proofErr w:type="spellEnd"/>
      <w:r w:rsidR="003E1210" w:rsidRPr="00FE61B7">
        <w:t xml:space="preserve"> </w:t>
      </w:r>
      <w:proofErr w:type="spellStart"/>
      <w:r w:rsidR="003E1210" w:rsidRPr="00FE61B7">
        <w:t>und</w:t>
      </w:r>
      <w:proofErr w:type="spellEnd"/>
      <w:r w:rsidR="003E1210" w:rsidRPr="00FE61B7">
        <w:t xml:space="preserve"> </w:t>
      </w:r>
      <w:proofErr w:type="spellStart"/>
      <w:r w:rsidR="003E1210" w:rsidRPr="00FE61B7">
        <w:t>Macht</w:t>
      </w:r>
      <w:proofErr w:type="spellEnd"/>
      <w:r w:rsidR="003E1210" w:rsidRPr="00FE61B7">
        <w:t xml:space="preserve"> (Christus </w:t>
      </w:r>
      <w:proofErr w:type="spellStart"/>
      <w:r w:rsidR="003E1210" w:rsidRPr="00FE61B7">
        <w:t>als</w:t>
      </w:r>
      <w:proofErr w:type="spellEnd"/>
      <w:r w:rsidR="003E1210" w:rsidRPr="00FE61B7">
        <w:t xml:space="preserve"> </w:t>
      </w:r>
      <w:proofErr w:type="spellStart"/>
      <w:r w:rsidR="003E1210" w:rsidRPr="00FE61B7">
        <w:t>himmlischer</w:t>
      </w:r>
      <w:proofErr w:type="spellEnd"/>
      <w:r w:rsidR="003E1210" w:rsidRPr="00FE61B7">
        <w:t xml:space="preserve"> </w:t>
      </w:r>
      <w:proofErr w:type="spellStart"/>
      <w:r w:rsidR="003E1210" w:rsidRPr="00FE61B7">
        <w:t>Herrscher</w:t>
      </w:r>
      <w:proofErr w:type="spellEnd"/>
      <w:r w:rsidR="003E1210" w:rsidRPr="00FE61B7">
        <w:t xml:space="preserve">), aber </w:t>
      </w:r>
      <w:proofErr w:type="spellStart"/>
      <w:r w:rsidR="003E1210" w:rsidRPr="00FE61B7">
        <w:t>auch</w:t>
      </w:r>
      <w:proofErr w:type="spellEnd"/>
      <w:r w:rsidR="003E1210" w:rsidRPr="00FE61B7">
        <w:t xml:space="preserve"> </w:t>
      </w:r>
      <w:proofErr w:type="spellStart"/>
      <w:r w:rsidR="003E1210" w:rsidRPr="00FE61B7">
        <w:t>auf</w:t>
      </w:r>
      <w:proofErr w:type="spellEnd"/>
      <w:r w:rsidR="003E1210" w:rsidRPr="00FE61B7">
        <w:t xml:space="preserve"> die Passion Christi »</w:t>
      </w:r>
      <w:r w:rsidR="003E1210" w:rsidRPr="00FE61B7">
        <w:rPr>
          <w:rStyle w:val="Appelnotedebasdep"/>
        </w:rPr>
        <w:footnoteReference w:id="104"/>
      </w:r>
      <w:r w:rsidR="003E1210" w:rsidRPr="00FE61B7">
        <w:t xml:space="preserve"> (Le rouge renvoie à la royauté et au pouvoir </w:t>
      </w:r>
      <w:r w:rsidR="004972DD" w:rsidRPr="00FE61B7">
        <w:t>[</w:t>
      </w:r>
      <w:r w:rsidR="003E1210" w:rsidRPr="00FE61B7">
        <w:t>le Christ comme souverain céleste</w:t>
      </w:r>
      <w:r w:rsidR="004972DD" w:rsidRPr="00FE61B7">
        <w:t>]</w:t>
      </w:r>
      <w:r w:rsidR="003E1210" w:rsidRPr="00FE61B7">
        <w:t xml:space="preserve">, mais aussi à la Passion du Christ). </w:t>
      </w:r>
      <w:r w:rsidRPr="00FE61B7">
        <w:t>D’ailleurs, le pape Innocent</w:t>
      </w:r>
      <w:r w:rsidR="004972DD" w:rsidRPr="00FE61B7">
        <w:t> </w:t>
      </w:r>
      <w:r w:rsidRPr="00FE61B7">
        <w:t xml:space="preserve">III, avant qu’il </w:t>
      </w:r>
      <w:r w:rsidR="00FB192F" w:rsidRPr="00FE61B7">
        <w:t xml:space="preserve">ne </w:t>
      </w:r>
      <w:r w:rsidRPr="00FE61B7">
        <w:t xml:space="preserve">le devienne, avait écrit un ouvrage, le </w:t>
      </w:r>
      <w:r w:rsidRPr="00FE61B7">
        <w:rPr>
          <w:i/>
        </w:rPr>
        <w:t xml:space="preserve">De </w:t>
      </w:r>
      <w:proofErr w:type="spellStart"/>
      <w:r w:rsidRPr="00FE61B7">
        <w:rPr>
          <w:i/>
        </w:rPr>
        <w:t>sancrosancti</w:t>
      </w:r>
      <w:proofErr w:type="spellEnd"/>
      <w:r w:rsidRPr="00FE61B7">
        <w:rPr>
          <w:i/>
        </w:rPr>
        <w:t xml:space="preserve"> </w:t>
      </w:r>
      <w:proofErr w:type="spellStart"/>
      <w:r w:rsidRPr="00FE61B7">
        <w:rPr>
          <w:i/>
        </w:rPr>
        <w:t>altaris</w:t>
      </w:r>
      <w:proofErr w:type="spellEnd"/>
      <w:r w:rsidRPr="00FE61B7">
        <w:rPr>
          <w:i/>
        </w:rPr>
        <w:t xml:space="preserve"> </w:t>
      </w:r>
      <w:proofErr w:type="spellStart"/>
      <w:r w:rsidRPr="00FE61B7">
        <w:rPr>
          <w:i/>
        </w:rPr>
        <w:t>mysterio</w:t>
      </w:r>
      <w:proofErr w:type="spellEnd"/>
      <w:r w:rsidR="00FB192F" w:rsidRPr="00FE61B7">
        <w:t>, vers la fin du XII</w:t>
      </w:r>
      <w:r w:rsidRPr="00FE61B7">
        <w:rPr>
          <w:vertAlign w:val="superscript"/>
        </w:rPr>
        <w:t>e</w:t>
      </w:r>
      <w:r w:rsidRPr="00FE61B7">
        <w:t xml:space="preserve"> siècle au sujet des couleurs à utiliser lors des cérémonies liturgiques. Il s’agit d’une compilation d’une synthèse de ce qui avait été écrit auparavant</w:t>
      </w:r>
      <w:r w:rsidRPr="00FE61B7">
        <w:rPr>
          <w:rStyle w:val="Appelnotedebasdep"/>
        </w:rPr>
        <w:footnoteReference w:id="105"/>
      </w:r>
      <w:r w:rsidRPr="00FE61B7">
        <w:t xml:space="preserve"> d’où son utilité pour ce mémoire. L’important dans ce manuscrit est</w:t>
      </w:r>
      <w:r w:rsidR="00FB192F" w:rsidRPr="00FE61B7">
        <w:t xml:space="preserve"> que le futur pape </w:t>
      </w:r>
      <w:r w:rsidRPr="00FE61B7">
        <w:t xml:space="preserve">rapporte que le rouge devait être utilisé lors des cérémonies </w:t>
      </w:r>
      <w:r w:rsidR="005F56DC">
        <w:t>célébrant</w:t>
      </w:r>
      <w:r w:rsidRPr="00FE61B7">
        <w:t xml:space="preserve"> les fêtes des apôtres et des martyrs en lien avec leur sacrifice</w:t>
      </w:r>
      <w:r w:rsidRPr="00FE61B7">
        <w:rPr>
          <w:rStyle w:val="Appelnotedebasdep"/>
        </w:rPr>
        <w:footnoteReference w:id="106"/>
      </w:r>
      <w:r w:rsidRPr="00FE61B7">
        <w:t>. Pour cette raison, le rouge symbolise souvent la force, le courage et le devoir du sacrifice pour le bien d’autrui. Ce sont évidemment toutes des qualités attachées à la personne du Christ et des martyrs. Le Christ savait qu’il était sur le point de se faire exécuter. Pourtant, il a tout de même affronté ce moment pour sauver l’humanité du péché originel. Je l’ai déjà écrit. Il s’agit d’une évidence pour nous. Bon nombre de crucifix aujourd’hui font en sorte que l</w:t>
      </w:r>
      <w:r w:rsidR="00FB192F" w:rsidRPr="00FE61B7">
        <w:t>’on voie</w:t>
      </w:r>
      <w:r w:rsidRPr="00FE61B7">
        <w:t xml:space="preserve"> les souffra</w:t>
      </w:r>
      <w:r w:rsidR="00FB192F" w:rsidRPr="00FE61B7">
        <w:t xml:space="preserve">nces du Christ et son sang couler des </w:t>
      </w:r>
      <w:r w:rsidRPr="00FE61B7">
        <w:t xml:space="preserve">plaies présentes sur son corps. Toutefois, il n’en a </w:t>
      </w:r>
      <w:r w:rsidRPr="00FE61B7">
        <w:lastRenderedPageBreak/>
        <w:t xml:space="preserve">pas toujours été ainsi. Dans la première moitié du Moyen Âge, quand on regarde les crucifix, les peintures ou tous les autres supports iconographiques représentant la Passion, on ne voit pas un Christ souffrant. Non, on remarque plutôt un Christ en gloire, sans blessure, comme si Dieu lui-même avait été présent sur la croix. Il ne s’agit pas tant d’un moment de souffrance qu’un moment de gloire. Tout est axé sur le fait qu’il s’agit du moment le plus important dans l’histoire de la chrétienté. </w:t>
      </w:r>
      <w:proofErr w:type="spellStart"/>
      <w:r w:rsidRPr="00FE61B7">
        <w:t>Duchet-Suchaux</w:t>
      </w:r>
      <w:proofErr w:type="spellEnd"/>
      <w:r w:rsidRPr="00FE61B7">
        <w:t xml:space="preserve"> et Pastoureau confirment ce fait quand ils écrivent : </w:t>
      </w:r>
    </w:p>
    <w:p w:rsidR="00E70219" w:rsidRPr="00FE61B7" w:rsidRDefault="00E70219" w:rsidP="00F04FC5">
      <w:pPr>
        <w:spacing w:line="360" w:lineRule="auto"/>
        <w:ind w:left="1134" w:right="1134"/>
        <w:jc w:val="both"/>
        <w:rPr>
          <w:sz w:val="20"/>
          <w:szCs w:val="20"/>
        </w:rPr>
      </w:pPr>
      <w:r w:rsidRPr="00FE61B7">
        <w:rPr>
          <w:sz w:val="20"/>
          <w:szCs w:val="20"/>
        </w:rPr>
        <w:t>Le Christ, barbu, est vêtu d’un simple pagne. Les yeux ouverts, il ne paraît pas souffrir. […] Les représentations se multiplient au VI</w:t>
      </w:r>
      <w:r w:rsidRPr="00FE61B7">
        <w:rPr>
          <w:sz w:val="20"/>
          <w:szCs w:val="20"/>
          <w:vertAlign w:val="superscript"/>
        </w:rPr>
        <w:t>e</w:t>
      </w:r>
      <w:r w:rsidRPr="00FE61B7">
        <w:rPr>
          <w:sz w:val="20"/>
          <w:szCs w:val="20"/>
        </w:rPr>
        <w:t xml:space="preserve"> siècle et mettent l’accent sur la glorification du Christ. […] Le type du Christ mort, les yeux clos, et coiffé de la couronne d’épines, commence à se répandre en France du Nord et dans l’Allemagne rhénane à partir du XI</w:t>
      </w:r>
      <w:r w:rsidRPr="00FE61B7">
        <w:rPr>
          <w:sz w:val="20"/>
          <w:szCs w:val="20"/>
          <w:vertAlign w:val="superscript"/>
        </w:rPr>
        <w:t>e</w:t>
      </w:r>
      <w:r w:rsidRPr="00FE61B7">
        <w:rPr>
          <w:sz w:val="20"/>
          <w:szCs w:val="20"/>
        </w:rPr>
        <w:t xml:space="preserve"> siècle (nouveauté attestée au XII</w:t>
      </w:r>
      <w:r w:rsidRPr="00FE61B7">
        <w:rPr>
          <w:sz w:val="20"/>
          <w:szCs w:val="20"/>
          <w:vertAlign w:val="superscript"/>
        </w:rPr>
        <w:t>e</w:t>
      </w:r>
      <w:r w:rsidRPr="00FE61B7">
        <w:rPr>
          <w:sz w:val="20"/>
          <w:szCs w:val="20"/>
        </w:rPr>
        <w:t xml:space="preserve"> siècle par un vitrail de la cathédrale de Chartres). Ce changement frappant est attribué par Louis </w:t>
      </w:r>
      <w:proofErr w:type="spellStart"/>
      <w:r w:rsidRPr="00FE61B7">
        <w:rPr>
          <w:sz w:val="20"/>
          <w:szCs w:val="20"/>
        </w:rPr>
        <w:t>Réau</w:t>
      </w:r>
      <w:proofErr w:type="spellEnd"/>
      <w:r w:rsidRPr="00FE61B7">
        <w:rPr>
          <w:sz w:val="20"/>
          <w:szCs w:val="20"/>
        </w:rPr>
        <w:t xml:space="preserve"> à une modification de la sensibilité religieuse, sous l’influence franciscaine; cette mutation annonce de loin la vogue du Christ en pitié, les </w:t>
      </w:r>
      <w:r w:rsidRPr="00FE61B7">
        <w:rPr>
          <w:i/>
          <w:sz w:val="20"/>
          <w:szCs w:val="20"/>
        </w:rPr>
        <w:t>Pietà</w:t>
      </w:r>
      <w:r w:rsidRPr="00FE61B7">
        <w:rPr>
          <w:sz w:val="20"/>
          <w:szCs w:val="20"/>
        </w:rPr>
        <w:t xml:space="preserve"> de la fin du Moyen Âge. L’influence littéraire ne doit pas être négligée ici</w:t>
      </w:r>
      <w:r w:rsidRPr="00FE61B7">
        <w:rPr>
          <w:rStyle w:val="Appelnotedebasdep"/>
          <w:sz w:val="20"/>
          <w:szCs w:val="20"/>
        </w:rPr>
        <w:footnoteReference w:id="107"/>
      </w:r>
      <w:r w:rsidRPr="00FE61B7">
        <w:rPr>
          <w:sz w:val="20"/>
          <w:szCs w:val="20"/>
        </w:rPr>
        <w:t>.</w:t>
      </w:r>
    </w:p>
    <w:p w:rsidR="00E70219" w:rsidRPr="00FE61B7" w:rsidRDefault="00E70219" w:rsidP="00F04FC5">
      <w:pPr>
        <w:spacing w:line="360" w:lineRule="auto"/>
        <w:jc w:val="both"/>
      </w:pPr>
      <w:r w:rsidRPr="00FE61B7">
        <w:t xml:space="preserve">Alors comment peut-on associer le rouge aux souffrances du Christ lors de la Passion alors qu’il n’y avait pas de sang auparavant? Une partie de la réponse est apportée par Patrizia </w:t>
      </w:r>
      <w:proofErr w:type="spellStart"/>
      <w:r w:rsidRPr="00FE61B7">
        <w:t>Carmassi</w:t>
      </w:r>
      <w:proofErr w:type="spellEnd"/>
      <w:r w:rsidRPr="00FE61B7">
        <w:t xml:space="preserve"> dans un chapitre qu’elle a écrit dans le cadre d’un colloque qui se nomme </w:t>
      </w:r>
      <w:proofErr w:type="spellStart"/>
      <w:r w:rsidRPr="00FE61B7">
        <w:rPr>
          <w:i/>
        </w:rPr>
        <w:t>Purpurismum</w:t>
      </w:r>
      <w:proofErr w:type="spellEnd"/>
      <w:r w:rsidRPr="00FE61B7">
        <w:rPr>
          <w:i/>
        </w:rPr>
        <w:t xml:space="preserve"> in </w:t>
      </w:r>
      <w:proofErr w:type="spellStart"/>
      <w:r w:rsidRPr="00FE61B7">
        <w:rPr>
          <w:i/>
        </w:rPr>
        <w:t>martyrio</w:t>
      </w:r>
      <w:proofErr w:type="spellEnd"/>
      <w:r w:rsidRPr="00FE61B7">
        <w:rPr>
          <w:i/>
        </w:rPr>
        <w:t xml:space="preserve"> : Die </w:t>
      </w:r>
      <w:proofErr w:type="spellStart"/>
      <w:r w:rsidRPr="00FE61B7">
        <w:rPr>
          <w:i/>
        </w:rPr>
        <w:t>Farbe</w:t>
      </w:r>
      <w:proofErr w:type="spellEnd"/>
      <w:r w:rsidRPr="00FE61B7">
        <w:rPr>
          <w:i/>
        </w:rPr>
        <w:t xml:space="preserve"> des Blutes in </w:t>
      </w:r>
      <w:proofErr w:type="spellStart"/>
      <w:r w:rsidRPr="00FE61B7">
        <w:rPr>
          <w:i/>
        </w:rPr>
        <w:t>mittelalterlichen</w:t>
      </w:r>
      <w:proofErr w:type="spellEnd"/>
      <w:r w:rsidRPr="00FE61B7">
        <w:rPr>
          <w:i/>
        </w:rPr>
        <w:t xml:space="preserve"> </w:t>
      </w:r>
      <w:proofErr w:type="spellStart"/>
      <w:r w:rsidRPr="00FE61B7">
        <w:rPr>
          <w:i/>
        </w:rPr>
        <w:t>Handschriften</w:t>
      </w:r>
      <w:proofErr w:type="spellEnd"/>
      <w:r w:rsidRPr="00FE61B7">
        <w:t>. Elle y explique que la réponse des Carolingiens à la crise iconoclaste de l’Empire byzantin a changé la donne</w:t>
      </w:r>
      <w:r w:rsidR="00FB192F" w:rsidRPr="00FE61B7">
        <w:rPr>
          <w:rStyle w:val="Appelnotedebasdep"/>
        </w:rPr>
        <w:footnoteReference w:id="108"/>
      </w:r>
      <w:r w:rsidRPr="00FE61B7">
        <w:t xml:space="preserve">. Les iconoclastes rejetaient l’utilisation de l’image parce qu’elle pouvait être sujette à la vénération. À ce moment, on avait des problèmes à ce sujet, car </w:t>
      </w:r>
      <w:r w:rsidR="00FB192F" w:rsidRPr="00FE61B7">
        <w:t xml:space="preserve">les ecclésiastiques craignaient que les gens considèrent </w:t>
      </w:r>
      <w:r w:rsidRPr="00FE61B7">
        <w:t>les supports iconographiques des saints comme les saints eux-mêmes. En réalité, le saint en personne peut être vénéré</w:t>
      </w:r>
      <w:r w:rsidR="002726FC" w:rsidRPr="00FE61B7">
        <w:t>,</w:t>
      </w:r>
      <w:r w:rsidRPr="00FE61B7">
        <w:t xml:space="preserve"> mais pas son image. En Occident, on a compris que les reliques étaient indispensables et elles pouvaient être acceptées comme objet de vénération puisqu’on retrouve une partie réelle du saint présent dans le support. On a rejeté toutes les autres formes d’images. Dans la réalité, surtout dans la population laïque, cela ne s’est pas passé comme tel, mais les</w:t>
      </w:r>
      <w:r w:rsidR="00420B3D" w:rsidRPr="00FE61B7">
        <w:t xml:space="preserve"> membres du clergé</w:t>
      </w:r>
      <w:r w:rsidRPr="00FE61B7">
        <w:t xml:space="preserve"> ont été forcés à réfléchir sur de nouvelles méthodes de </w:t>
      </w:r>
      <w:r w:rsidRPr="00FE61B7">
        <w:lastRenderedPageBreak/>
        <w:t xml:space="preserve">vénération. Les images mentales sont donc devenues une solution viable. </w:t>
      </w:r>
      <w:r w:rsidR="00420B3D" w:rsidRPr="00FE61B7">
        <w:t xml:space="preserve">Cet aspect de l’iconographie a déjà été traité dans la section de ce mémoire sur le contexte historique. </w:t>
      </w:r>
      <w:r w:rsidRPr="00FE61B7">
        <w:t>Dans les poèmes de Raban Maur, un des pères de la renaissance carolingienne, une attention particulière est donnée aux souffrances du Christ</w:t>
      </w:r>
      <w:r w:rsidRPr="00FE61B7">
        <w:rPr>
          <w:rStyle w:val="Appelnotedebasdep"/>
        </w:rPr>
        <w:footnoteReference w:id="109"/>
      </w:r>
      <w:r w:rsidRPr="00FE61B7">
        <w:t>. Beaucoup d’accent a été mis sur le sang versé par lui. Ainsi, pour former des images mentales cohérentes, les textes sont devenus de plus en plus précis et descriptifs, non seulement sur la Passion</w:t>
      </w:r>
      <w:r w:rsidR="002726FC" w:rsidRPr="00FE61B7">
        <w:t>,</w:t>
      </w:r>
      <w:r w:rsidRPr="00FE61B7">
        <w:t xml:space="preserve"> mais dans tous les autres thèmes chrétiens. Comme l’écrit </w:t>
      </w:r>
      <w:proofErr w:type="spellStart"/>
      <w:r w:rsidRPr="00FE61B7">
        <w:t>Carmassi</w:t>
      </w:r>
      <w:proofErr w:type="spellEnd"/>
      <w:r w:rsidRPr="00FE61B7">
        <w:t xml:space="preserve">, « die </w:t>
      </w:r>
      <w:proofErr w:type="spellStart"/>
      <w:r w:rsidRPr="00FE61B7">
        <w:t>Wortkomposition</w:t>
      </w:r>
      <w:proofErr w:type="spellEnd"/>
      <w:r w:rsidRPr="00FE61B7">
        <w:t xml:space="preserve"> [</w:t>
      </w:r>
      <w:proofErr w:type="spellStart"/>
      <w:r w:rsidRPr="00FE61B7">
        <w:t>wird</w:t>
      </w:r>
      <w:proofErr w:type="spellEnd"/>
      <w:r w:rsidRPr="00FE61B7">
        <w:t xml:space="preserve">] </w:t>
      </w:r>
      <w:proofErr w:type="spellStart"/>
      <w:r w:rsidRPr="00FE61B7">
        <w:t>selbst</w:t>
      </w:r>
      <w:proofErr w:type="spellEnd"/>
      <w:r w:rsidRPr="00FE61B7">
        <w:t xml:space="preserve"> </w:t>
      </w:r>
      <w:proofErr w:type="spellStart"/>
      <w:r w:rsidRPr="00FE61B7">
        <w:t>Bild</w:t>
      </w:r>
      <w:proofErr w:type="spellEnd"/>
      <w:r w:rsidRPr="00FE61B7">
        <w:t> »</w:t>
      </w:r>
      <w:r w:rsidRPr="00FE61B7">
        <w:rPr>
          <w:rStyle w:val="Appelnotedebasdep"/>
        </w:rPr>
        <w:footnoteReference w:id="110"/>
      </w:r>
      <w:r w:rsidRPr="00FE61B7">
        <w:t xml:space="preserve"> (la composition du mot devient l’</w:t>
      </w:r>
      <w:r w:rsidR="00027D3E" w:rsidRPr="00FE61B7">
        <w:t>art elle-</w:t>
      </w:r>
      <w:r w:rsidR="00420B3D" w:rsidRPr="00FE61B7">
        <w:t xml:space="preserve">même). Ainsi, au </w:t>
      </w:r>
      <w:r w:rsidR="00027D3E" w:rsidRPr="00FE61B7">
        <w:t>IX</w:t>
      </w:r>
      <w:r w:rsidRPr="00FE61B7">
        <w:rPr>
          <w:vertAlign w:val="superscript"/>
        </w:rPr>
        <w:t>e</w:t>
      </w:r>
      <w:r w:rsidRPr="00FE61B7">
        <w:t xml:space="preserve"> siècle, on commençait à associer le sang du Christ à la couleur rouge</w:t>
      </w:r>
      <w:r w:rsidR="00420B3D" w:rsidRPr="00FE61B7">
        <w:t xml:space="preserve"> dans la littérature. Au </w:t>
      </w:r>
      <w:r w:rsidR="00027D3E" w:rsidRPr="00FE61B7">
        <w:t>XI</w:t>
      </w:r>
      <w:r w:rsidRPr="00FE61B7">
        <w:rPr>
          <w:vertAlign w:val="superscript"/>
        </w:rPr>
        <w:t>e</w:t>
      </w:r>
      <w:r w:rsidR="00420B3D" w:rsidRPr="00FE61B7">
        <w:t xml:space="preserve"> siècle, l’Église entame</w:t>
      </w:r>
      <w:r w:rsidRPr="00FE61B7">
        <w:t xml:space="preserve"> une restructuration de ses méthodes de prédication par l’utilisation d’images concrète pour rendre les croyants encore plus attachés à leur religion. Et où elle a bien pu prendre ces idées? La citation précédente de </w:t>
      </w:r>
      <w:proofErr w:type="spellStart"/>
      <w:r w:rsidRPr="00FE61B7">
        <w:t>Duchet-Suchaux</w:t>
      </w:r>
      <w:proofErr w:type="spellEnd"/>
      <w:r w:rsidRPr="00FE61B7">
        <w:t xml:space="preserve"> et de Pastoureau apporte la réponse puisqu’ils disent : « L’influence littéraire ne doit pas être négligée ici »</w:t>
      </w:r>
      <w:r w:rsidRPr="00FE61B7">
        <w:rPr>
          <w:rStyle w:val="Appelnotedebasdep"/>
        </w:rPr>
        <w:footnoteReference w:id="111"/>
      </w:r>
      <w:r w:rsidRPr="00FE61B7">
        <w:t xml:space="preserve">. Souvent, on a remarqué que les thèmes littéraires se sont transférés vers l’iconographie et c’est exactement ce qui s’est passé sur le cas de la Passion du Christ d’où l’apparition plus fréquente de crucifix et d’images où l’on voit le Christ souffrir atrocement sur la croix et perdre de son sang. De plus, il était </w:t>
      </w:r>
      <w:r w:rsidR="00CE1B4A" w:rsidRPr="00FE61B7">
        <w:t xml:space="preserve">souvent </w:t>
      </w:r>
      <w:r w:rsidRPr="00FE61B7">
        <w:t xml:space="preserve">beaucoup plus facile pour la population de croyants de s’associer à un Christ souffrant plutôt qu’à un Christ Roi. </w:t>
      </w:r>
      <w:r w:rsidR="00CE1B4A" w:rsidRPr="00FE61B7">
        <w:t>Cela s’applique selon l’époque et les régions puisque l’évolution en ce sens ne s’</w:t>
      </w:r>
      <w:r w:rsidR="00A812F5" w:rsidRPr="00FE61B7">
        <w:t>est pas effectué</w:t>
      </w:r>
      <w:r w:rsidR="004972DD" w:rsidRPr="00FE61B7">
        <w:t>e</w:t>
      </w:r>
      <w:r w:rsidR="00A812F5" w:rsidRPr="00FE61B7">
        <w:t xml:space="preserve"> </w:t>
      </w:r>
      <w:r w:rsidR="00CE1B4A" w:rsidRPr="00FE61B7">
        <w:t>instantanément. Même, certains royaumes n’ont jamais entamé cette évolution</w:t>
      </w:r>
      <w:r w:rsidR="00A812F5" w:rsidRPr="00FE61B7">
        <w:t>. L’Empire byzantin</w:t>
      </w:r>
      <w:r w:rsidR="004972DD" w:rsidRPr="00FE61B7">
        <w:t xml:space="preserve"> est justement </w:t>
      </w:r>
      <w:r w:rsidR="00A812F5" w:rsidRPr="00FE61B7">
        <w:t xml:space="preserve">un bon exemple. </w:t>
      </w:r>
      <w:r w:rsidRPr="00FE61B7">
        <w:t>En résumé, dans cette image, le Christ enfant dans sa tunique rouge fait référence à son futur, à son sacrifice pour sauver l’humanité et au sang qu’il versera pour nous tous. Il s’agit d’une couleur qui témoigne de tout le courage et la force de caractère que possédait cet homme.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32" w:name="_Toc401478213"/>
      <w:r w:rsidRPr="00FE61B7">
        <w:rPr>
          <w:rFonts w:ascii="Times New Roman" w:hAnsi="Times New Roman" w:cs="Times New Roman"/>
          <w:b w:val="0"/>
          <w:i/>
          <w:color w:val="auto"/>
          <w:u w:val="single"/>
        </w:rPr>
        <w:t>Bleu et rouge : association de deux personnages</w:t>
      </w:r>
      <w:bookmarkEnd w:id="32"/>
    </w:p>
    <w:p w:rsidR="00E70219" w:rsidRPr="00FE61B7" w:rsidRDefault="00E70219" w:rsidP="00F04FC5">
      <w:pPr>
        <w:spacing w:line="360" w:lineRule="auto"/>
        <w:ind w:firstLine="708"/>
        <w:jc w:val="both"/>
      </w:pPr>
      <w:r w:rsidRPr="00FE61B7">
        <w:t>J’aimerais faire une petite parenthèse sur l’association entre les couleurs rouge et bleu. Selon Pastoureau, ces couleurs sont des contraires. Mais, il discute de ce fait en se basant sur la fabrication des teintures</w:t>
      </w:r>
      <w:r w:rsidR="00A812F5" w:rsidRPr="00FE61B7">
        <w:t>. Le monde de la teinturerie était</w:t>
      </w:r>
      <w:r w:rsidRPr="00FE61B7">
        <w:t xml:space="preserve"> très </w:t>
      </w:r>
      <w:r w:rsidR="00A812F5" w:rsidRPr="00FE61B7">
        <w:t>segmenté puisque c</w:t>
      </w:r>
      <w:r w:rsidRPr="00FE61B7">
        <w:t>e n’est pas n’importe quelle personne qui a le</w:t>
      </w:r>
      <w:r w:rsidR="00A812F5" w:rsidRPr="00FE61B7">
        <w:t xml:space="preserve"> droit de faire n’importe quoi. Des règles avai</w:t>
      </w:r>
      <w:r w:rsidR="004972DD" w:rsidRPr="00FE61B7">
        <w:t>en</w:t>
      </w:r>
      <w:r w:rsidR="00A812F5" w:rsidRPr="00FE61B7">
        <w:t xml:space="preserve">t été mises en </w:t>
      </w:r>
      <w:r w:rsidR="00A812F5" w:rsidRPr="00FE61B7">
        <w:lastRenderedPageBreak/>
        <w:t xml:space="preserve">place. </w:t>
      </w:r>
      <w:r w:rsidRPr="00FE61B7">
        <w:t>Pastoureau écrit d’ailleurs :</w:t>
      </w:r>
      <w:r w:rsidR="004972DD" w:rsidRPr="00FE61B7">
        <w:t xml:space="preserve"> </w:t>
      </w:r>
      <w:r w:rsidRPr="00FE61B7">
        <w:t>« Les règlements interdisent de teindre une étoffe ou d’opérer dans une gamme de couleurs pour laquelle on n’a pas de licence »</w:t>
      </w:r>
      <w:r w:rsidRPr="00FE61B7">
        <w:rPr>
          <w:rStyle w:val="Appelnotedebasdep"/>
        </w:rPr>
        <w:footnoteReference w:id="112"/>
      </w:r>
      <w:r w:rsidRPr="00FE61B7">
        <w:t>. La couleur bleue est ainsi produite aux endroits où on fabriquait habituellement des teintures plus foncées et le rouge se trouve où sont les couleurs plus claires. Par contre, quand on se fie à ce qui se fait dans les peintures, les sculptures, les manuscrits, etc., on remarque que ces deux couleurs sont complémentaires l’une et l’autre par leur association effectuée par la Vierge Marie et Jésus. Comme on peut le voir dans le livre d’Heures choisi pour ce mémoire, la Vierge est presque toujours habillée d’une cape bleue et d’une robe rouge. Dans le cas de l’image ici étudiée, on observe un habillement différent puisque Marie porte une robe grise. Toutefois, le Christ porte une tunique rouge. On comprend ainsi l’association de ces deux couleurs, car le bleu de sa cape est sa propre couleur, mais la robe rouge démontre son affiliation avec son enfant. De plus, il s’agit du vêtement le plus proche d’elle, celui qui lui colle carrément à la peau, et il est enveloppé par la cape bleue. Pour moi, il s’agit d’une métaphore impliquant que la Vierge Marie a porté en elle le Christ. Pour confirmer ce fait, nous avons qu’à observer l’image du folio</w:t>
      </w:r>
      <w:r w:rsidR="004972DD" w:rsidRPr="00FE61B7">
        <w:t> </w:t>
      </w:r>
      <w:r w:rsidRPr="00FE61B7">
        <w:t>124v où on y voit la Vierge pendant son enfance avec sa mère sainte Anne. On remarque qu’elle est simplement habillée d’une robe bleue ce qui signifie qu’elle n’a pas encore porté le Christ en elle. Dans l’image de la Vierge à l’enfant, il n’est d’aucune utilité pour elle de porter une robe rouge, car son enfant est déjà présent dans l’image avec sa tunique rouge afin de remplir cette fonction. On ne peut donc dissocier ces deux couleurs quand il est question de religion. D’ailleurs, dans la plupart des images, le Christ est lui-même souvent habillé de rouge et de bleu pour l’associer à sa mère. Un peu plus tard, il sera question de ce que j’appelle la triade religieuse des couleurs puisque les trois couleurs les plus importantes dans la religion chrétienne de la fin du Moyen Âge sont le rouge, le bleu et, évidemment, l’or.</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33" w:name="_Toc401478214"/>
      <w:r w:rsidRPr="00FE61B7">
        <w:rPr>
          <w:rFonts w:ascii="Times New Roman" w:hAnsi="Times New Roman" w:cs="Times New Roman"/>
          <w:b w:val="0"/>
          <w:i/>
          <w:color w:val="auto"/>
          <w:u w:val="single"/>
        </w:rPr>
        <w:t>Or divin</w:t>
      </w:r>
      <w:bookmarkEnd w:id="33"/>
    </w:p>
    <w:p w:rsidR="00D9319E" w:rsidRPr="00FE61B7" w:rsidRDefault="00E70219" w:rsidP="00F04FC5">
      <w:pPr>
        <w:spacing w:line="360" w:lineRule="auto"/>
        <w:jc w:val="both"/>
      </w:pPr>
      <w:r w:rsidRPr="00FE61B7">
        <w:tab/>
        <w:t xml:space="preserve"> En ce qui a trait à l’or, il s’agit probablement de la plus importante des couleurs. Comme l’affirme Pastoureau, « Temple de la couleur, l’église est aussi temple de l’or. Il y est présent dès l’époque paléochrétienne et, au fil des siècles sous la double influence byzantine et germanique, cette présence va en s’accentuant »</w:t>
      </w:r>
      <w:r w:rsidRPr="00FE61B7">
        <w:rPr>
          <w:rStyle w:val="Appelnotedebasdep"/>
        </w:rPr>
        <w:footnoteReference w:id="113"/>
      </w:r>
      <w:r w:rsidRPr="00FE61B7">
        <w:t xml:space="preserve">. Il s’agit de la couleur par excellence, celle qui reflète le mieux la lumière divine. Elle joue un rôle primordial dans les églises, car elle les remplit de </w:t>
      </w:r>
      <w:r w:rsidRPr="00FE61B7">
        <w:lastRenderedPageBreak/>
        <w:t>lumière. De plus, « Au Moyen Âge, plus blanc que blanc, c’est l’or »</w:t>
      </w:r>
      <w:r w:rsidRPr="00FE61B7">
        <w:rPr>
          <w:rStyle w:val="Appelnotedebasdep"/>
        </w:rPr>
        <w:footnoteReference w:id="114"/>
      </w:r>
      <w:r w:rsidRPr="00FE61B7">
        <w:t>. Quand on sait que le blanc était la couleur de la pureté, une qualité essentielle à tout le monde pour atteindre le Paradis, on comprend à quel point l’or devait être important. C’est la couleur de la « super-pureté ». Bien qu’elle soit critiquée par bon nombre de contemporains, tel que Bernard de Clairvaux ou des groupes hérétiques jugeant qu’</w:t>
      </w:r>
      <w:r w:rsidR="00A812F5" w:rsidRPr="00FE61B7">
        <w:t>elle correspond trop au luxe</w:t>
      </w:r>
      <w:r w:rsidRPr="00FE61B7">
        <w:t xml:space="preserve">, elle est utilisée presque partout. Si on a de l’or, on ne se gêne pas pour le montrer. Il s’agit de la couleur qui représente le mieux la majesté divine et le Paradis qui est rempli de lumière. </w:t>
      </w:r>
      <w:r w:rsidR="00D9319E" w:rsidRPr="00FE61B7">
        <w:t xml:space="preserve">Anna </w:t>
      </w:r>
      <w:proofErr w:type="spellStart"/>
      <w:r w:rsidR="00D9319E" w:rsidRPr="00FE61B7">
        <w:t>Bartl</w:t>
      </w:r>
      <w:proofErr w:type="spellEnd"/>
      <w:r w:rsidR="00D9319E" w:rsidRPr="00FE61B7">
        <w:t xml:space="preserve"> et Manfred </w:t>
      </w:r>
      <w:proofErr w:type="spellStart"/>
      <w:r w:rsidR="00D9319E" w:rsidRPr="00FE61B7">
        <w:t>Lautenschagler</w:t>
      </w:r>
      <w:proofErr w:type="spellEnd"/>
      <w:r w:rsidR="00D9319E" w:rsidRPr="00FE61B7">
        <w:t xml:space="preserve">, dans </w:t>
      </w:r>
      <w:r w:rsidR="00922179" w:rsidRPr="00FE61B7">
        <w:t>«</w:t>
      </w:r>
      <w:r w:rsidR="004972DD" w:rsidRPr="00FE61B7">
        <w:t> </w:t>
      </w:r>
      <w:r w:rsidR="00D9319E" w:rsidRPr="00FE61B7">
        <w:t xml:space="preserve">Die </w:t>
      </w:r>
      <w:proofErr w:type="spellStart"/>
      <w:r w:rsidR="00D9319E" w:rsidRPr="00FE61B7">
        <w:t>Farben</w:t>
      </w:r>
      <w:proofErr w:type="spellEnd"/>
      <w:r w:rsidR="00D9319E" w:rsidRPr="00FE61B7">
        <w:t xml:space="preserve"> des </w:t>
      </w:r>
      <w:proofErr w:type="spellStart"/>
      <w:r w:rsidR="00D9319E" w:rsidRPr="00FE61B7">
        <w:t>Goldes</w:t>
      </w:r>
      <w:proofErr w:type="spellEnd"/>
      <w:r w:rsidR="00D9319E" w:rsidRPr="00FE61B7">
        <w:t xml:space="preserve"> : </w:t>
      </w:r>
      <w:proofErr w:type="spellStart"/>
      <w:r w:rsidR="00D9319E" w:rsidRPr="00FE61B7">
        <w:t>Glanzvergoldung</w:t>
      </w:r>
      <w:proofErr w:type="spellEnd"/>
      <w:r w:rsidR="00D9319E" w:rsidRPr="00FE61B7">
        <w:t xml:space="preserve"> in der </w:t>
      </w:r>
      <w:proofErr w:type="spellStart"/>
      <w:r w:rsidR="00D9319E" w:rsidRPr="00FE61B7">
        <w:t>Buchmalerei</w:t>
      </w:r>
      <w:proofErr w:type="spellEnd"/>
      <w:r w:rsidR="00D9319E" w:rsidRPr="00FE61B7">
        <w:t xml:space="preserve"> des </w:t>
      </w:r>
      <w:proofErr w:type="spellStart"/>
      <w:r w:rsidR="00D9319E" w:rsidRPr="00FE61B7">
        <w:t>Mittelalters</w:t>
      </w:r>
      <w:proofErr w:type="spellEnd"/>
      <w:r w:rsidR="004972DD" w:rsidRPr="00FE61B7">
        <w:t> </w:t>
      </w:r>
      <w:r w:rsidR="00922179" w:rsidRPr="00FE61B7">
        <w:t>»</w:t>
      </w:r>
      <w:r w:rsidR="00D9319E" w:rsidRPr="00FE61B7">
        <w:t xml:space="preserve"> (Les couleurs de l’or : La brillante dorure dans l’enluminure du Moyen Âge), écrivent justement au sujet du dorée dans les manuscrits : </w:t>
      </w:r>
    </w:p>
    <w:p w:rsidR="00D9319E" w:rsidRPr="00FE61B7" w:rsidRDefault="00D9319E" w:rsidP="00F04FC5">
      <w:pPr>
        <w:spacing w:line="360" w:lineRule="auto"/>
        <w:ind w:left="1134" w:right="1134"/>
        <w:jc w:val="both"/>
        <w:rPr>
          <w:sz w:val="20"/>
          <w:szCs w:val="20"/>
        </w:rPr>
      </w:pPr>
      <w:proofErr w:type="spellStart"/>
      <w:proofErr w:type="gramStart"/>
      <w:r w:rsidRPr="00AC0AF7">
        <w:rPr>
          <w:sz w:val="20"/>
          <w:szCs w:val="20"/>
          <w:lang w:val="en-CA"/>
        </w:rPr>
        <w:t>Eine</w:t>
      </w:r>
      <w:proofErr w:type="spellEnd"/>
      <w:r w:rsidR="00B618C1" w:rsidRPr="00AC0AF7">
        <w:rPr>
          <w:sz w:val="20"/>
          <w:szCs w:val="20"/>
          <w:lang w:val="en-CA"/>
        </w:rPr>
        <w:t xml:space="preserve"> </w:t>
      </w:r>
      <w:proofErr w:type="spellStart"/>
      <w:r w:rsidR="00B618C1" w:rsidRPr="00AC0AF7">
        <w:rPr>
          <w:sz w:val="20"/>
          <w:szCs w:val="20"/>
          <w:lang w:val="en-CA"/>
        </w:rPr>
        <w:t>besondere</w:t>
      </w:r>
      <w:proofErr w:type="spellEnd"/>
      <w:r w:rsidR="00B618C1" w:rsidRPr="00AC0AF7">
        <w:rPr>
          <w:sz w:val="20"/>
          <w:szCs w:val="20"/>
          <w:lang w:val="en-CA"/>
        </w:rPr>
        <w:t xml:space="preserve"> </w:t>
      </w:r>
      <w:proofErr w:type="spellStart"/>
      <w:r w:rsidR="00B618C1" w:rsidRPr="00AC0AF7">
        <w:rPr>
          <w:sz w:val="20"/>
          <w:szCs w:val="20"/>
          <w:lang w:val="en-CA"/>
        </w:rPr>
        <w:t>Bedeuntung</w:t>
      </w:r>
      <w:proofErr w:type="spellEnd"/>
      <w:r w:rsidR="00B618C1" w:rsidRPr="00AC0AF7">
        <w:rPr>
          <w:sz w:val="20"/>
          <w:szCs w:val="20"/>
          <w:lang w:val="en-CA"/>
        </w:rPr>
        <w:t xml:space="preserve"> </w:t>
      </w:r>
      <w:proofErr w:type="spellStart"/>
      <w:r w:rsidR="00B618C1" w:rsidRPr="00AC0AF7">
        <w:rPr>
          <w:sz w:val="20"/>
          <w:szCs w:val="20"/>
          <w:lang w:val="en-CA"/>
        </w:rPr>
        <w:t>bei</w:t>
      </w:r>
      <w:proofErr w:type="spellEnd"/>
      <w:r w:rsidR="00B618C1" w:rsidRPr="00AC0AF7">
        <w:rPr>
          <w:sz w:val="20"/>
          <w:szCs w:val="20"/>
          <w:lang w:val="en-CA"/>
        </w:rPr>
        <w:t xml:space="preserve"> der </w:t>
      </w:r>
      <w:proofErr w:type="spellStart"/>
      <w:r w:rsidR="00B618C1" w:rsidRPr="00AC0AF7">
        <w:rPr>
          <w:sz w:val="20"/>
          <w:szCs w:val="20"/>
          <w:lang w:val="en-CA"/>
        </w:rPr>
        <w:t>Ausstatung</w:t>
      </w:r>
      <w:proofErr w:type="spellEnd"/>
      <w:r w:rsidR="00B618C1" w:rsidRPr="00AC0AF7">
        <w:rPr>
          <w:sz w:val="20"/>
          <w:szCs w:val="20"/>
          <w:lang w:val="en-CA"/>
        </w:rPr>
        <w:t xml:space="preserve"> </w:t>
      </w:r>
      <w:proofErr w:type="spellStart"/>
      <w:r w:rsidR="00B618C1" w:rsidRPr="00AC0AF7">
        <w:rPr>
          <w:sz w:val="20"/>
          <w:szCs w:val="20"/>
          <w:lang w:val="en-CA"/>
        </w:rPr>
        <w:t>einer</w:t>
      </w:r>
      <w:proofErr w:type="spellEnd"/>
      <w:r w:rsidR="00B618C1" w:rsidRPr="00AC0AF7">
        <w:rPr>
          <w:sz w:val="20"/>
          <w:szCs w:val="20"/>
          <w:lang w:val="en-CA"/>
        </w:rPr>
        <w:t xml:space="preserve"> </w:t>
      </w:r>
      <w:proofErr w:type="spellStart"/>
      <w:r w:rsidR="00B618C1" w:rsidRPr="00AC0AF7">
        <w:rPr>
          <w:sz w:val="20"/>
          <w:szCs w:val="20"/>
          <w:lang w:val="en-CA"/>
        </w:rPr>
        <w:t>Handschrift</w:t>
      </w:r>
      <w:proofErr w:type="spellEnd"/>
      <w:r w:rsidR="00B618C1" w:rsidRPr="00AC0AF7">
        <w:rPr>
          <w:sz w:val="20"/>
          <w:szCs w:val="20"/>
          <w:lang w:val="en-CA"/>
        </w:rPr>
        <w:t xml:space="preserve"> </w:t>
      </w:r>
      <w:proofErr w:type="spellStart"/>
      <w:r w:rsidR="00B618C1" w:rsidRPr="00AC0AF7">
        <w:rPr>
          <w:sz w:val="20"/>
          <w:szCs w:val="20"/>
          <w:lang w:val="en-CA"/>
        </w:rPr>
        <w:t>kommt</w:t>
      </w:r>
      <w:proofErr w:type="spellEnd"/>
      <w:r w:rsidR="00B618C1" w:rsidRPr="00AC0AF7">
        <w:rPr>
          <w:sz w:val="20"/>
          <w:szCs w:val="20"/>
          <w:lang w:val="en-CA"/>
        </w:rPr>
        <w:t xml:space="preserve"> </w:t>
      </w:r>
      <w:proofErr w:type="spellStart"/>
      <w:r w:rsidR="00B618C1" w:rsidRPr="00AC0AF7">
        <w:rPr>
          <w:sz w:val="20"/>
          <w:szCs w:val="20"/>
          <w:lang w:val="en-CA"/>
        </w:rPr>
        <w:t>dem</w:t>
      </w:r>
      <w:proofErr w:type="spellEnd"/>
      <w:r w:rsidR="00B618C1" w:rsidRPr="00AC0AF7">
        <w:rPr>
          <w:sz w:val="20"/>
          <w:szCs w:val="20"/>
          <w:lang w:val="en-CA"/>
        </w:rPr>
        <w:t xml:space="preserve"> </w:t>
      </w:r>
      <w:proofErr w:type="spellStart"/>
      <w:r w:rsidR="00B618C1" w:rsidRPr="00AC0AF7">
        <w:rPr>
          <w:sz w:val="20"/>
          <w:szCs w:val="20"/>
          <w:lang w:val="en-CA"/>
        </w:rPr>
        <w:t>Goldgrund</w:t>
      </w:r>
      <w:proofErr w:type="spellEnd"/>
      <w:r w:rsidR="00B618C1" w:rsidRPr="00AC0AF7">
        <w:rPr>
          <w:sz w:val="20"/>
          <w:szCs w:val="20"/>
          <w:lang w:val="en-CA"/>
        </w:rPr>
        <w:t xml:space="preserve"> </w:t>
      </w:r>
      <w:proofErr w:type="spellStart"/>
      <w:r w:rsidR="00B618C1" w:rsidRPr="00AC0AF7">
        <w:rPr>
          <w:sz w:val="20"/>
          <w:szCs w:val="20"/>
          <w:lang w:val="en-CA"/>
        </w:rPr>
        <w:t>zu</w:t>
      </w:r>
      <w:proofErr w:type="spellEnd"/>
      <w:r w:rsidR="00B618C1" w:rsidRPr="00AC0AF7">
        <w:rPr>
          <w:sz w:val="20"/>
          <w:szCs w:val="20"/>
          <w:lang w:val="en-CA"/>
        </w:rPr>
        <w:t>.</w:t>
      </w:r>
      <w:proofErr w:type="gramEnd"/>
      <w:r w:rsidR="00B618C1" w:rsidRPr="00AC0AF7">
        <w:rPr>
          <w:sz w:val="20"/>
          <w:szCs w:val="20"/>
          <w:lang w:val="en-CA"/>
        </w:rPr>
        <w:t xml:space="preserve"> </w:t>
      </w:r>
      <w:proofErr w:type="spellStart"/>
      <w:r w:rsidR="00B618C1" w:rsidRPr="00AC0AF7">
        <w:rPr>
          <w:sz w:val="20"/>
          <w:szCs w:val="20"/>
          <w:lang w:val="en-CA"/>
        </w:rPr>
        <w:t>Als</w:t>
      </w:r>
      <w:proofErr w:type="spellEnd"/>
      <w:r w:rsidR="00B618C1" w:rsidRPr="00AC0AF7">
        <w:rPr>
          <w:sz w:val="20"/>
          <w:szCs w:val="20"/>
          <w:lang w:val="en-CA"/>
        </w:rPr>
        <w:t xml:space="preserve"> </w:t>
      </w:r>
      <w:proofErr w:type="spellStart"/>
      <w:r w:rsidR="00B618C1" w:rsidRPr="00AC0AF7">
        <w:rPr>
          <w:sz w:val="20"/>
          <w:szCs w:val="20"/>
          <w:lang w:val="en-CA"/>
        </w:rPr>
        <w:t>gro</w:t>
      </w:r>
      <w:r w:rsidR="008F5DDD" w:rsidRPr="00AC0AF7">
        <w:rPr>
          <w:sz w:val="20"/>
          <w:szCs w:val="20"/>
          <w:lang w:val="en-CA"/>
        </w:rPr>
        <w:t>ßflächter</w:t>
      </w:r>
      <w:proofErr w:type="spellEnd"/>
      <w:r w:rsidR="008F5DDD" w:rsidRPr="00AC0AF7">
        <w:rPr>
          <w:sz w:val="20"/>
          <w:szCs w:val="20"/>
          <w:lang w:val="en-CA"/>
        </w:rPr>
        <w:t xml:space="preserve"> </w:t>
      </w:r>
      <w:proofErr w:type="spellStart"/>
      <w:r w:rsidR="008F5DDD" w:rsidRPr="00AC0AF7">
        <w:rPr>
          <w:sz w:val="20"/>
          <w:szCs w:val="20"/>
          <w:lang w:val="en-CA"/>
        </w:rPr>
        <w:t>Hintergrund</w:t>
      </w:r>
      <w:proofErr w:type="spellEnd"/>
      <w:r w:rsidR="008F5DDD" w:rsidRPr="00AC0AF7">
        <w:rPr>
          <w:sz w:val="20"/>
          <w:szCs w:val="20"/>
          <w:lang w:val="en-CA"/>
        </w:rPr>
        <w:t xml:space="preserve"> </w:t>
      </w:r>
      <w:proofErr w:type="spellStart"/>
      <w:r w:rsidR="008F5DDD" w:rsidRPr="00AC0AF7">
        <w:rPr>
          <w:sz w:val="20"/>
          <w:szCs w:val="20"/>
          <w:lang w:val="en-CA"/>
        </w:rPr>
        <w:t>einer</w:t>
      </w:r>
      <w:proofErr w:type="spellEnd"/>
      <w:r w:rsidR="008F5DDD" w:rsidRPr="00AC0AF7">
        <w:rPr>
          <w:sz w:val="20"/>
          <w:szCs w:val="20"/>
          <w:lang w:val="en-CA"/>
        </w:rPr>
        <w:t xml:space="preserve"> </w:t>
      </w:r>
      <w:proofErr w:type="spellStart"/>
      <w:r w:rsidR="008F5DDD" w:rsidRPr="00AC0AF7">
        <w:rPr>
          <w:sz w:val="20"/>
          <w:szCs w:val="20"/>
          <w:lang w:val="en-CA"/>
        </w:rPr>
        <w:t>Initiale</w:t>
      </w:r>
      <w:proofErr w:type="spellEnd"/>
      <w:r w:rsidR="008F5DDD" w:rsidRPr="00AC0AF7">
        <w:rPr>
          <w:sz w:val="20"/>
          <w:szCs w:val="20"/>
          <w:lang w:val="en-CA"/>
        </w:rPr>
        <w:t xml:space="preserve">, </w:t>
      </w:r>
      <w:proofErr w:type="spellStart"/>
      <w:r w:rsidR="008F5DDD" w:rsidRPr="00AC0AF7">
        <w:rPr>
          <w:sz w:val="20"/>
          <w:szCs w:val="20"/>
          <w:lang w:val="en-CA"/>
        </w:rPr>
        <w:t>für</w:t>
      </w:r>
      <w:proofErr w:type="spellEnd"/>
      <w:r w:rsidR="008F5DDD" w:rsidRPr="00AC0AF7">
        <w:rPr>
          <w:sz w:val="20"/>
          <w:szCs w:val="20"/>
          <w:lang w:val="en-CA"/>
        </w:rPr>
        <w:t xml:space="preserve"> </w:t>
      </w:r>
      <w:proofErr w:type="spellStart"/>
      <w:r w:rsidR="008F5DDD" w:rsidRPr="00AC0AF7">
        <w:rPr>
          <w:sz w:val="20"/>
          <w:szCs w:val="20"/>
          <w:lang w:val="en-CA"/>
        </w:rPr>
        <w:t>schwungvolle</w:t>
      </w:r>
      <w:proofErr w:type="spellEnd"/>
      <w:r w:rsidR="008F5DDD" w:rsidRPr="00AC0AF7">
        <w:rPr>
          <w:sz w:val="20"/>
          <w:szCs w:val="20"/>
          <w:lang w:val="en-CA"/>
        </w:rPr>
        <w:t xml:space="preserve"> </w:t>
      </w:r>
      <w:proofErr w:type="spellStart"/>
      <w:r w:rsidR="008F5DDD" w:rsidRPr="00AC0AF7">
        <w:rPr>
          <w:sz w:val="20"/>
          <w:szCs w:val="20"/>
          <w:lang w:val="en-CA"/>
        </w:rPr>
        <w:t>Linien</w:t>
      </w:r>
      <w:proofErr w:type="spellEnd"/>
      <w:r w:rsidR="008F5DDD" w:rsidRPr="00AC0AF7">
        <w:rPr>
          <w:sz w:val="20"/>
          <w:szCs w:val="20"/>
          <w:lang w:val="en-CA"/>
        </w:rPr>
        <w:t xml:space="preserve"> und </w:t>
      </w:r>
      <w:proofErr w:type="spellStart"/>
      <w:r w:rsidR="008F5DDD" w:rsidRPr="00AC0AF7">
        <w:rPr>
          <w:sz w:val="20"/>
          <w:szCs w:val="20"/>
          <w:lang w:val="en-CA"/>
        </w:rPr>
        <w:t>pastose</w:t>
      </w:r>
      <w:proofErr w:type="spellEnd"/>
      <w:r w:rsidR="008F5DDD" w:rsidRPr="00AC0AF7">
        <w:rPr>
          <w:sz w:val="20"/>
          <w:szCs w:val="20"/>
          <w:lang w:val="en-CA"/>
        </w:rPr>
        <w:t xml:space="preserve"> </w:t>
      </w:r>
      <w:proofErr w:type="spellStart"/>
      <w:r w:rsidR="008F5DDD" w:rsidRPr="00AC0AF7">
        <w:rPr>
          <w:sz w:val="20"/>
          <w:szCs w:val="20"/>
          <w:lang w:val="en-CA"/>
        </w:rPr>
        <w:t>Punkte</w:t>
      </w:r>
      <w:proofErr w:type="spellEnd"/>
      <w:r w:rsidR="008F5DDD" w:rsidRPr="00AC0AF7">
        <w:rPr>
          <w:sz w:val="20"/>
          <w:szCs w:val="20"/>
          <w:lang w:val="en-CA"/>
        </w:rPr>
        <w:t xml:space="preserve"> in </w:t>
      </w:r>
      <w:proofErr w:type="spellStart"/>
      <w:r w:rsidR="008F5DDD" w:rsidRPr="00AC0AF7">
        <w:rPr>
          <w:sz w:val="20"/>
          <w:szCs w:val="20"/>
          <w:lang w:val="en-CA"/>
        </w:rPr>
        <w:t>einem</w:t>
      </w:r>
      <w:proofErr w:type="spellEnd"/>
      <w:r w:rsidR="008F5DDD" w:rsidRPr="00AC0AF7">
        <w:rPr>
          <w:sz w:val="20"/>
          <w:szCs w:val="20"/>
          <w:lang w:val="en-CA"/>
        </w:rPr>
        <w:t xml:space="preserve"> </w:t>
      </w:r>
      <w:proofErr w:type="spellStart"/>
      <w:r w:rsidR="008F5DDD" w:rsidRPr="00AC0AF7">
        <w:rPr>
          <w:sz w:val="20"/>
          <w:szCs w:val="20"/>
          <w:lang w:val="en-CA"/>
        </w:rPr>
        <w:t>Fleuronné</w:t>
      </w:r>
      <w:proofErr w:type="spellEnd"/>
      <w:r w:rsidR="008F5DDD" w:rsidRPr="00AC0AF7">
        <w:rPr>
          <w:sz w:val="20"/>
          <w:szCs w:val="20"/>
          <w:lang w:val="en-CA"/>
        </w:rPr>
        <w:t xml:space="preserve"> </w:t>
      </w:r>
      <w:proofErr w:type="spellStart"/>
      <w:r w:rsidR="008F5DDD" w:rsidRPr="00AC0AF7">
        <w:rPr>
          <w:sz w:val="20"/>
          <w:szCs w:val="20"/>
          <w:lang w:val="en-CA"/>
        </w:rPr>
        <w:t>oder</w:t>
      </w:r>
      <w:proofErr w:type="spellEnd"/>
      <w:r w:rsidR="008F5DDD" w:rsidRPr="00AC0AF7">
        <w:rPr>
          <w:sz w:val="20"/>
          <w:szCs w:val="20"/>
          <w:lang w:val="en-CA"/>
        </w:rPr>
        <w:t xml:space="preserve"> </w:t>
      </w:r>
      <w:proofErr w:type="spellStart"/>
      <w:r w:rsidR="008F5DDD" w:rsidRPr="00AC0AF7">
        <w:rPr>
          <w:sz w:val="20"/>
          <w:szCs w:val="20"/>
          <w:lang w:val="en-CA"/>
        </w:rPr>
        <w:t>als</w:t>
      </w:r>
      <w:proofErr w:type="spellEnd"/>
      <w:r w:rsidR="008F5DDD" w:rsidRPr="00AC0AF7">
        <w:rPr>
          <w:sz w:val="20"/>
          <w:szCs w:val="20"/>
          <w:lang w:val="en-CA"/>
        </w:rPr>
        <w:t xml:space="preserve"> </w:t>
      </w:r>
      <w:proofErr w:type="spellStart"/>
      <w:r w:rsidR="008F5DDD" w:rsidRPr="00AC0AF7">
        <w:rPr>
          <w:sz w:val="20"/>
          <w:szCs w:val="20"/>
          <w:lang w:val="en-CA"/>
        </w:rPr>
        <w:t>zarte</w:t>
      </w:r>
      <w:proofErr w:type="spellEnd"/>
      <w:r w:rsidR="008F5DDD" w:rsidRPr="00AC0AF7">
        <w:rPr>
          <w:sz w:val="20"/>
          <w:szCs w:val="20"/>
          <w:lang w:val="en-CA"/>
        </w:rPr>
        <w:t xml:space="preserve"> </w:t>
      </w:r>
      <w:proofErr w:type="spellStart"/>
      <w:r w:rsidR="008F5DDD" w:rsidRPr="00AC0AF7">
        <w:rPr>
          <w:sz w:val="20"/>
          <w:szCs w:val="20"/>
          <w:lang w:val="en-CA"/>
        </w:rPr>
        <w:t>Goldschrift</w:t>
      </w:r>
      <w:proofErr w:type="spellEnd"/>
      <w:r w:rsidR="008F5DDD" w:rsidRPr="00AC0AF7">
        <w:rPr>
          <w:sz w:val="20"/>
          <w:szCs w:val="20"/>
          <w:lang w:val="en-CA"/>
        </w:rPr>
        <w:t xml:space="preserve"> </w:t>
      </w:r>
      <w:proofErr w:type="spellStart"/>
      <w:r w:rsidR="008F5DDD" w:rsidRPr="00AC0AF7">
        <w:rPr>
          <w:sz w:val="20"/>
          <w:szCs w:val="20"/>
          <w:lang w:val="en-CA"/>
        </w:rPr>
        <w:t>im</w:t>
      </w:r>
      <w:proofErr w:type="spellEnd"/>
      <w:r w:rsidR="008F5DDD" w:rsidRPr="00AC0AF7">
        <w:rPr>
          <w:sz w:val="20"/>
          <w:szCs w:val="20"/>
          <w:lang w:val="en-CA"/>
        </w:rPr>
        <w:t xml:space="preserve"> Text </w:t>
      </w:r>
      <w:proofErr w:type="spellStart"/>
      <w:r w:rsidR="008F5DDD" w:rsidRPr="00AC0AF7">
        <w:rPr>
          <w:sz w:val="20"/>
          <w:szCs w:val="20"/>
          <w:lang w:val="en-CA"/>
        </w:rPr>
        <w:t>vermag</w:t>
      </w:r>
      <w:proofErr w:type="spellEnd"/>
      <w:r w:rsidR="008F5DDD" w:rsidRPr="00AC0AF7">
        <w:rPr>
          <w:sz w:val="20"/>
          <w:szCs w:val="20"/>
          <w:lang w:val="en-CA"/>
        </w:rPr>
        <w:t xml:space="preserve"> Gold das </w:t>
      </w:r>
      <w:proofErr w:type="spellStart"/>
      <w:r w:rsidR="008F5DDD" w:rsidRPr="00AC0AF7">
        <w:rPr>
          <w:sz w:val="20"/>
          <w:szCs w:val="20"/>
          <w:lang w:val="en-CA"/>
        </w:rPr>
        <w:t>Erhabene</w:t>
      </w:r>
      <w:proofErr w:type="spellEnd"/>
      <w:r w:rsidR="008F5DDD" w:rsidRPr="00AC0AF7">
        <w:rPr>
          <w:sz w:val="20"/>
          <w:szCs w:val="20"/>
          <w:lang w:val="en-CA"/>
        </w:rPr>
        <w:t xml:space="preserve">, </w:t>
      </w:r>
      <w:proofErr w:type="spellStart"/>
      <w:r w:rsidR="008F5DDD" w:rsidRPr="00AC0AF7">
        <w:rPr>
          <w:sz w:val="20"/>
          <w:szCs w:val="20"/>
          <w:lang w:val="en-CA"/>
        </w:rPr>
        <w:t>Geistige</w:t>
      </w:r>
      <w:proofErr w:type="spellEnd"/>
      <w:r w:rsidR="008F5DDD" w:rsidRPr="00AC0AF7">
        <w:rPr>
          <w:sz w:val="20"/>
          <w:szCs w:val="20"/>
          <w:lang w:val="en-CA"/>
        </w:rPr>
        <w:t xml:space="preserve">, </w:t>
      </w:r>
      <w:proofErr w:type="spellStart"/>
      <w:r w:rsidR="008F5DDD" w:rsidRPr="00AC0AF7">
        <w:rPr>
          <w:sz w:val="20"/>
          <w:szCs w:val="20"/>
          <w:lang w:val="en-CA"/>
        </w:rPr>
        <w:t>Jeinseitige</w:t>
      </w:r>
      <w:proofErr w:type="spellEnd"/>
      <w:r w:rsidR="008F5DDD" w:rsidRPr="00AC0AF7">
        <w:rPr>
          <w:sz w:val="20"/>
          <w:szCs w:val="20"/>
          <w:lang w:val="en-CA"/>
        </w:rPr>
        <w:t xml:space="preserve">, </w:t>
      </w:r>
      <w:proofErr w:type="spellStart"/>
      <w:r w:rsidR="008F5DDD" w:rsidRPr="00AC0AF7">
        <w:rPr>
          <w:sz w:val="20"/>
          <w:szCs w:val="20"/>
          <w:lang w:val="en-CA"/>
        </w:rPr>
        <w:t>hervorzuheben</w:t>
      </w:r>
      <w:proofErr w:type="spellEnd"/>
      <w:r w:rsidR="008F5DDD" w:rsidRPr="00AC0AF7">
        <w:rPr>
          <w:sz w:val="20"/>
          <w:szCs w:val="20"/>
          <w:lang w:val="en-CA"/>
        </w:rPr>
        <w:t xml:space="preserve"> und </w:t>
      </w:r>
      <w:proofErr w:type="spellStart"/>
      <w:r w:rsidR="008F5DDD" w:rsidRPr="00AC0AF7">
        <w:rPr>
          <w:sz w:val="20"/>
          <w:szCs w:val="20"/>
          <w:lang w:val="en-CA"/>
        </w:rPr>
        <w:t>symbolisiert</w:t>
      </w:r>
      <w:proofErr w:type="spellEnd"/>
      <w:r w:rsidR="008F5DDD" w:rsidRPr="00AC0AF7">
        <w:rPr>
          <w:sz w:val="20"/>
          <w:szCs w:val="20"/>
          <w:lang w:val="en-CA"/>
        </w:rPr>
        <w:t xml:space="preserve"> </w:t>
      </w:r>
      <w:proofErr w:type="spellStart"/>
      <w:r w:rsidR="008F5DDD" w:rsidRPr="00AC0AF7">
        <w:rPr>
          <w:sz w:val="20"/>
          <w:szCs w:val="20"/>
          <w:lang w:val="en-CA"/>
        </w:rPr>
        <w:t>durch</w:t>
      </w:r>
      <w:proofErr w:type="spellEnd"/>
      <w:r w:rsidR="008F5DDD" w:rsidRPr="00AC0AF7">
        <w:rPr>
          <w:sz w:val="20"/>
          <w:szCs w:val="20"/>
          <w:lang w:val="en-CA"/>
        </w:rPr>
        <w:t xml:space="preserve"> seine </w:t>
      </w:r>
      <w:proofErr w:type="spellStart"/>
      <w:r w:rsidR="008F5DDD" w:rsidRPr="00AC0AF7">
        <w:rPr>
          <w:sz w:val="20"/>
          <w:szCs w:val="20"/>
          <w:lang w:val="en-CA"/>
        </w:rPr>
        <w:t>Reflexion</w:t>
      </w:r>
      <w:proofErr w:type="spellEnd"/>
      <w:r w:rsidR="008F5DDD" w:rsidRPr="00AC0AF7">
        <w:rPr>
          <w:sz w:val="20"/>
          <w:szCs w:val="20"/>
          <w:lang w:val="en-CA"/>
        </w:rPr>
        <w:t xml:space="preserve"> des </w:t>
      </w:r>
      <w:proofErr w:type="spellStart"/>
      <w:r w:rsidR="008F5DDD" w:rsidRPr="00AC0AF7">
        <w:rPr>
          <w:sz w:val="20"/>
          <w:szCs w:val="20"/>
          <w:lang w:val="en-CA"/>
        </w:rPr>
        <w:t>Lichts</w:t>
      </w:r>
      <w:proofErr w:type="spellEnd"/>
      <w:r w:rsidR="008F5DDD" w:rsidRPr="00AC0AF7">
        <w:rPr>
          <w:sz w:val="20"/>
          <w:szCs w:val="20"/>
          <w:lang w:val="en-CA"/>
        </w:rPr>
        <w:t xml:space="preserve"> den </w:t>
      </w:r>
      <w:proofErr w:type="spellStart"/>
      <w:r w:rsidR="008F5DDD" w:rsidRPr="00AC0AF7">
        <w:rPr>
          <w:sz w:val="20"/>
          <w:szCs w:val="20"/>
          <w:lang w:val="en-CA"/>
        </w:rPr>
        <w:t>überirdischen</w:t>
      </w:r>
      <w:proofErr w:type="spellEnd"/>
      <w:r w:rsidR="008F5DDD" w:rsidRPr="00AC0AF7">
        <w:rPr>
          <w:sz w:val="20"/>
          <w:szCs w:val="20"/>
          <w:lang w:val="en-CA"/>
        </w:rPr>
        <w:t xml:space="preserve"> </w:t>
      </w:r>
      <w:proofErr w:type="spellStart"/>
      <w:r w:rsidR="008F5DDD" w:rsidRPr="00AC0AF7">
        <w:rPr>
          <w:sz w:val="20"/>
          <w:szCs w:val="20"/>
          <w:lang w:val="en-CA"/>
        </w:rPr>
        <w:t>Bedeutungsraum</w:t>
      </w:r>
      <w:proofErr w:type="spellEnd"/>
      <w:r w:rsidR="008F5DDD" w:rsidRPr="00AC0AF7">
        <w:rPr>
          <w:sz w:val="20"/>
          <w:szCs w:val="20"/>
          <w:lang w:val="en-CA"/>
        </w:rPr>
        <w:t xml:space="preserve"> (</w:t>
      </w:r>
      <w:proofErr w:type="spellStart"/>
      <w:r w:rsidR="008F5DDD" w:rsidRPr="00AC0AF7">
        <w:rPr>
          <w:sz w:val="20"/>
          <w:szCs w:val="20"/>
          <w:lang w:val="en-CA"/>
        </w:rPr>
        <w:t>Une</w:t>
      </w:r>
      <w:proofErr w:type="spellEnd"/>
      <w:r w:rsidR="008F5DDD" w:rsidRPr="00AC0AF7">
        <w:rPr>
          <w:sz w:val="20"/>
          <w:szCs w:val="20"/>
          <w:lang w:val="en-CA"/>
        </w:rPr>
        <w:t xml:space="preserve"> importance </w:t>
      </w:r>
      <w:proofErr w:type="spellStart"/>
      <w:r w:rsidR="008F5DDD" w:rsidRPr="00AC0AF7">
        <w:rPr>
          <w:sz w:val="20"/>
          <w:szCs w:val="20"/>
          <w:lang w:val="en-CA"/>
        </w:rPr>
        <w:t>particulière</w:t>
      </w:r>
      <w:proofErr w:type="spellEnd"/>
      <w:r w:rsidR="008F5DDD" w:rsidRPr="00AC0AF7">
        <w:rPr>
          <w:sz w:val="20"/>
          <w:szCs w:val="20"/>
          <w:lang w:val="en-CA"/>
        </w:rPr>
        <w:t xml:space="preserve"> </w:t>
      </w:r>
      <w:proofErr w:type="spellStart"/>
      <w:r w:rsidR="008F5DDD" w:rsidRPr="00AC0AF7">
        <w:rPr>
          <w:sz w:val="20"/>
          <w:szCs w:val="20"/>
          <w:lang w:val="en-CA"/>
        </w:rPr>
        <w:t>dans</w:t>
      </w:r>
      <w:proofErr w:type="spellEnd"/>
      <w:r w:rsidR="008F5DDD" w:rsidRPr="00AC0AF7">
        <w:rPr>
          <w:sz w:val="20"/>
          <w:szCs w:val="20"/>
          <w:lang w:val="en-CA"/>
        </w:rPr>
        <w:t xml:space="preserve"> la </w:t>
      </w:r>
      <w:proofErr w:type="spellStart"/>
      <w:r w:rsidR="008F5DDD" w:rsidRPr="00AC0AF7">
        <w:rPr>
          <w:sz w:val="20"/>
          <w:szCs w:val="20"/>
          <w:lang w:val="en-CA"/>
        </w:rPr>
        <w:t>finition</w:t>
      </w:r>
      <w:proofErr w:type="spellEnd"/>
      <w:r w:rsidR="008F5DDD" w:rsidRPr="00AC0AF7">
        <w:rPr>
          <w:sz w:val="20"/>
          <w:szCs w:val="20"/>
          <w:lang w:val="en-CA"/>
        </w:rPr>
        <w:t xml:space="preserve"> d’un </w:t>
      </w:r>
      <w:proofErr w:type="spellStart"/>
      <w:r w:rsidR="008246B3" w:rsidRPr="00AC0AF7">
        <w:rPr>
          <w:sz w:val="20"/>
          <w:szCs w:val="20"/>
          <w:lang w:val="en-CA"/>
        </w:rPr>
        <w:t>manuscrit</w:t>
      </w:r>
      <w:proofErr w:type="spellEnd"/>
      <w:r w:rsidR="008F5DDD" w:rsidRPr="00AC0AF7">
        <w:rPr>
          <w:sz w:val="20"/>
          <w:szCs w:val="20"/>
          <w:lang w:val="en-CA"/>
        </w:rPr>
        <w:t xml:space="preserve"> </w:t>
      </w:r>
      <w:proofErr w:type="spellStart"/>
      <w:r w:rsidR="008246B3" w:rsidRPr="00AC0AF7">
        <w:rPr>
          <w:sz w:val="20"/>
          <w:szCs w:val="20"/>
          <w:lang w:val="en-CA"/>
        </w:rPr>
        <w:t>provie</w:t>
      </w:r>
      <w:r w:rsidR="008F5DDD" w:rsidRPr="00AC0AF7">
        <w:rPr>
          <w:sz w:val="20"/>
          <w:szCs w:val="20"/>
          <w:lang w:val="en-CA"/>
        </w:rPr>
        <w:t>nt</w:t>
      </w:r>
      <w:proofErr w:type="spellEnd"/>
      <w:r w:rsidR="008F5DDD" w:rsidRPr="00AC0AF7">
        <w:rPr>
          <w:sz w:val="20"/>
          <w:szCs w:val="20"/>
          <w:lang w:val="en-CA"/>
        </w:rPr>
        <w:t xml:space="preserve"> du fond </w:t>
      </w:r>
      <w:proofErr w:type="spellStart"/>
      <w:r w:rsidR="008F5DDD" w:rsidRPr="00AC0AF7">
        <w:rPr>
          <w:sz w:val="20"/>
          <w:szCs w:val="20"/>
          <w:lang w:val="en-CA"/>
        </w:rPr>
        <w:t>en</w:t>
      </w:r>
      <w:proofErr w:type="spellEnd"/>
      <w:r w:rsidR="008F5DDD" w:rsidRPr="00AC0AF7">
        <w:rPr>
          <w:sz w:val="20"/>
          <w:szCs w:val="20"/>
          <w:lang w:val="en-CA"/>
        </w:rPr>
        <w:t xml:space="preserve"> or. </w:t>
      </w:r>
      <w:r w:rsidR="008246B3" w:rsidRPr="00FE61B7">
        <w:rPr>
          <w:sz w:val="20"/>
          <w:szCs w:val="20"/>
        </w:rPr>
        <w:t>L’or est à même de faire ressortir le sublime, le spirituel et l’au-delà c</w:t>
      </w:r>
      <w:r w:rsidR="008F5DDD" w:rsidRPr="00FE61B7">
        <w:rPr>
          <w:sz w:val="20"/>
          <w:szCs w:val="20"/>
        </w:rPr>
        <w:t>omme dans un grand fond d’</w:t>
      </w:r>
      <w:r w:rsidR="008246B3" w:rsidRPr="00FE61B7">
        <w:rPr>
          <w:sz w:val="20"/>
          <w:szCs w:val="20"/>
        </w:rPr>
        <w:t>une initiale</w:t>
      </w:r>
      <w:r w:rsidR="008F5DDD" w:rsidRPr="00FE61B7">
        <w:rPr>
          <w:sz w:val="20"/>
          <w:szCs w:val="20"/>
        </w:rPr>
        <w:t xml:space="preserve"> pour des lignes vigoureuses et des endroits remplis de peinture dans un fleuronné ou comme l’écriture délicate en or dans un texte</w:t>
      </w:r>
      <w:r w:rsidR="008246B3" w:rsidRPr="00FE61B7">
        <w:rPr>
          <w:sz w:val="20"/>
          <w:szCs w:val="20"/>
        </w:rPr>
        <w:t xml:space="preserve"> et il symbolise à travers sa réflexion de la lumière l’importance surnaturelle de l’espace)</w:t>
      </w:r>
      <w:r w:rsidR="008246B3" w:rsidRPr="00FE61B7">
        <w:rPr>
          <w:rStyle w:val="Appelnotedebasdep"/>
          <w:sz w:val="20"/>
          <w:szCs w:val="20"/>
        </w:rPr>
        <w:footnoteReference w:id="115"/>
      </w:r>
      <w:r w:rsidR="008F5DDD" w:rsidRPr="00FE61B7">
        <w:rPr>
          <w:sz w:val="20"/>
          <w:szCs w:val="20"/>
        </w:rPr>
        <w:t>.</w:t>
      </w:r>
    </w:p>
    <w:p w:rsidR="00697B6B" w:rsidRPr="00FE61B7" w:rsidRDefault="00E70219" w:rsidP="00F04FC5">
      <w:pPr>
        <w:spacing w:line="360" w:lineRule="auto"/>
        <w:jc w:val="both"/>
      </w:pPr>
      <w:r w:rsidRPr="00FE61B7">
        <w:t xml:space="preserve">Dieu peut donc être représenté symboliquement par cette couleur. Dans notre enluminure, Dieu est justement représenté par l’aura qui émane de l’association de la Vierge Marie et de son enfant. Même s’il est jaune, le fait reste le même puisque l’or est un jaune. Par manque de moyen monétaire, on remplaçait généralement l’or par ce substitut. Pour que cet argument soit encore plus fort, nous n’avons qu’à nous fier à la couronne en or présente sur la tête de Marie. Cet objet est lié à son couronnement quand elle est arrivée au Paradis. Dans la religion chrétienne, l’or doit donc être plus considéré pour son aspect divin que pour sa valeur monétaire. D’ailleurs, le meilleur exemple pour prouver ces affirmations se trouve dans les écrits de l’abbé Suger. Ce dernier fut abbé de Saint-Denis de 1122 à 1151. Dans son ouvrage, le </w:t>
      </w:r>
      <w:r w:rsidRPr="00FE61B7">
        <w:rPr>
          <w:i/>
        </w:rPr>
        <w:t xml:space="preserve">De </w:t>
      </w:r>
      <w:proofErr w:type="spellStart"/>
      <w:r w:rsidRPr="00FE61B7">
        <w:rPr>
          <w:i/>
        </w:rPr>
        <w:t>Consecratione</w:t>
      </w:r>
      <w:proofErr w:type="spellEnd"/>
      <w:r w:rsidRPr="00FE61B7">
        <w:t xml:space="preserve">, il est </w:t>
      </w:r>
      <w:r w:rsidRPr="00FE61B7">
        <w:lastRenderedPageBreak/>
        <w:t xml:space="preserve">question des rénovations de l’abbaye de Saint-Denis. Suger avait décidé de la rénover, surtout dans le but de l’agrandir pour qu’elle accueille plus de fidèles. Mais, il avait également d’autres buts. Il voulait que l’église soit la plus illuminée possible, suivant ainsi les principes du pseudo-Denys l’Aréopagite. Il n’y avait rien de trop beau pour cette abbaye. Le fait le plus intéressant qu’il y a eu différents miracles durant les rénovations qui ont facilité les différentes étapes de la construction. </w:t>
      </w:r>
      <w:r w:rsidR="00697B6B" w:rsidRPr="00FE61B7">
        <w:t>Il donne justement l’exemple du miracle de la carrière. À cause du mauvais temps, il manque le personnel nécessaire pour l’</w:t>
      </w:r>
      <w:r w:rsidR="00515B47" w:rsidRPr="00FE61B7">
        <w:t>acheminement d’une colonne</w:t>
      </w:r>
      <w:r w:rsidR="00697B6B" w:rsidRPr="00FE61B7">
        <w:t>. L’abbé écrit à ce sujet :</w:t>
      </w:r>
    </w:p>
    <w:p w:rsidR="00697B6B" w:rsidRPr="00FE61B7" w:rsidRDefault="00697B6B" w:rsidP="00F04FC5">
      <w:pPr>
        <w:spacing w:line="360" w:lineRule="auto"/>
        <w:ind w:left="1134" w:right="1134"/>
        <w:jc w:val="both"/>
        <w:rPr>
          <w:sz w:val="20"/>
          <w:szCs w:val="20"/>
        </w:rPr>
      </w:pPr>
      <w:r w:rsidRPr="00FE61B7">
        <w:rPr>
          <w:sz w:val="20"/>
          <w:szCs w:val="20"/>
        </w:rPr>
        <w:t>Les bouviers les cherchaient et se plaignaient d’être réduits à l’inaction et de ce que les ouvriers les laissaient dans l’attente; ils protestèrent si fort et avec une telle insistance que quelques personnes faibles et sans force, auxquelles se joignirent des enfants, ― dix-sept personnes dont un prêtre, si je ne me trompe ― vinrent en hâte à la carrière […]. Bientôt, poussant avec une grande vigueur, non pas par leurs propres forces, ce qui eût été impossible, mais par la volonté de Dieu et des saints dont ils imploraient le secours, ils retirèrent du fond de la vallée ce que cent quarante ou au moins cent personnes en extrayaient</w:t>
      </w:r>
      <w:r w:rsidR="00515B47" w:rsidRPr="00FE61B7">
        <w:rPr>
          <w:sz w:val="20"/>
          <w:szCs w:val="20"/>
        </w:rPr>
        <w:t xml:space="preserve"> habituellement</w:t>
      </w:r>
      <w:r w:rsidRPr="00FE61B7">
        <w:rPr>
          <w:sz w:val="20"/>
          <w:szCs w:val="20"/>
        </w:rPr>
        <w:t xml:space="preserve"> avec peine</w:t>
      </w:r>
      <w:r w:rsidR="00515B47" w:rsidRPr="00FE61B7">
        <w:rPr>
          <w:sz w:val="20"/>
          <w:szCs w:val="20"/>
        </w:rPr>
        <w:t xml:space="preserve"> et acheminèrent [cette colonne] en chariot jusque sur le chantier de l’église. Ainsi on répandit dans tout le voisinage que cette œuvre était tou</w:t>
      </w:r>
      <w:r w:rsidR="00164A87">
        <w:rPr>
          <w:sz w:val="20"/>
          <w:szCs w:val="20"/>
        </w:rPr>
        <w:t>t-</w:t>
      </w:r>
      <w:r w:rsidR="005F56DC">
        <w:rPr>
          <w:sz w:val="20"/>
          <w:szCs w:val="20"/>
        </w:rPr>
        <w:t>à-</w:t>
      </w:r>
      <w:r w:rsidR="00515B47" w:rsidRPr="00FE61B7">
        <w:rPr>
          <w:sz w:val="20"/>
          <w:szCs w:val="20"/>
        </w:rPr>
        <w:t>fait agréable à Dieu tout-puissant puisqu’il daignait pour la louange et la gloire de son nom, porter secours à ses ouvriers par de tels signes et par d’autres semblables</w:t>
      </w:r>
      <w:r w:rsidR="00515B47" w:rsidRPr="00FE61B7">
        <w:rPr>
          <w:rStyle w:val="Appelnotedebasdep"/>
          <w:sz w:val="20"/>
          <w:szCs w:val="20"/>
        </w:rPr>
        <w:footnoteReference w:id="116"/>
      </w:r>
      <w:r w:rsidR="00515B47" w:rsidRPr="00FE61B7">
        <w:rPr>
          <w:sz w:val="20"/>
          <w:szCs w:val="20"/>
        </w:rPr>
        <w:t>.</w:t>
      </w:r>
    </w:p>
    <w:p w:rsidR="00E70219" w:rsidRPr="00FE61B7" w:rsidRDefault="00E70219" w:rsidP="00F04FC5">
      <w:pPr>
        <w:spacing w:line="360" w:lineRule="auto"/>
        <w:jc w:val="both"/>
      </w:pPr>
      <w:r w:rsidRPr="00FE61B7">
        <w:t xml:space="preserve">Suger démontre ainsi que Dieu lui-même acceptait l’utilisation du beau dans les églises. L’or sert donc d’intermédiaire entre le divin et le fidèle. Il permet à la lumière divine d’envahir les églises. Il s’agit dans un sens un messager. </w:t>
      </w:r>
    </w:p>
    <w:p w:rsidR="00E70219" w:rsidRPr="00FE61B7" w:rsidRDefault="00E70219" w:rsidP="00F04FC5">
      <w:pPr>
        <w:spacing w:line="360" w:lineRule="auto"/>
        <w:ind w:firstLine="708"/>
        <w:jc w:val="both"/>
      </w:pPr>
      <w:r w:rsidRPr="00FE61B7">
        <w:t>Sur ce point, on retrouve un oiseau en jaune dans la bordure de l’enluminure de la Vierge à l’enfant. Son identification ici est problématique. Comme l’explique Pastoureau dans son livre portant sur les bestiaires, l’identification des oiseaux est difficile. Il nous présente une image où une hirondelle est semblable à une pie</w:t>
      </w:r>
      <w:r w:rsidRPr="00FE61B7">
        <w:rPr>
          <w:rStyle w:val="Appelnotedebasdep"/>
        </w:rPr>
        <w:footnoteReference w:id="117"/>
      </w:r>
      <w:r w:rsidRPr="00FE61B7">
        <w:t xml:space="preserve">. Comme il s’agit d’un bestiaire, le nom des animaux est bien évidemment écrit dans le texte associé à l’image. Dans un livre d’Heures, cela est tout simplement impossible à cause de la nature des textes. Par contre, il existe tout de même une symbolique récurrente associée à l’oiseau. Il préfère être dans le ciel ou, comme l’écrit </w:t>
      </w:r>
      <w:r w:rsidRPr="00FE61B7">
        <w:lastRenderedPageBreak/>
        <w:t>Pastoureau, « [Il] préfère les bienfaits du ciel au confort terrestre »</w:t>
      </w:r>
      <w:r w:rsidRPr="00FE61B7">
        <w:rPr>
          <w:rStyle w:val="Appelnotedebasdep"/>
        </w:rPr>
        <w:footnoteReference w:id="118"/>
      </w:r>
      <w:r w:rsidRPr="00FE61B7">
        <w:t>. Il s’agit également d’un messager. En effet, à l’époque, les oiseaux étaient utilisés pour envoyer des messages vers autrui. Dans mon analyse de cette enluminure, je peux facilement faire un lien entre l’oiseau et la couronne de la Vierge Marie. Cet objet est le symbole de son accession au Paradis. En même temps, cela fait d’elle une intermédiaire ou une messagère. Dieu et Jésus étant considérés comme inaccessibles par la majorité des fidèles au Moyen Âge, ils se sont tournés vers la Vierge Marie dans la plupart de leur prière et suffrage. Ainsi, l’oiseau et la Vierge font office de messagers entre le monde terrestre et spirituel et cela est accentué par l’utilisation des couleurs or et jaune qui possèdent souvent les mêmes fonctions.</w:t>
      </w:r>
    </w:p>
    <w:p w:rsidR="00E70219" w:rsidRPr="00FE61B7" w:rsidRDefault="00E70219" w:rsidP="00F04FC5">
      <w:pPr>
        <w:spacing w:line="360" w:lineRule="auto"/>
        <w:ind w:firstLine="708"/>
        <w:jc w:val="both"/>
      </w:pPr>
      <w:r w:rsidRPr="00FE61B7">
        <w:t xml:space="preserve">En plus, il ne faut pas oublier les couleurs présentes dans les bordures. On y retrouve encore de l’or quand on observe l’enluminure de la Vierge à l’enfant. Il faut comprendre que les bordures possédaient une fonction bien précise que nos yeux ne sont pas capables de voir. Les bordures étaient utilisées pour créer du mouvement dans l’image principale. Mais, la bordure encadre également spirituellement l’image. Elle fait office d’église ou du Paradis qui supervise les évènements représentés dans les images. Ce n’est pas pour rien qu’on retrouve généralement de l’or dans les bordures. </w:t>
      </w:r>
      <w:r w:rsidR="00A812F5" w:rsidRPr="00FE61B7">
        <w:t xml:space="preserve">Il s’agit de </w:t>
      </w:r>
      <w:r w:rsidRPr="00FE61B7">
        <w:t xml:space="preserve">la couleur qui représente le mieux les principes fondamentaux de la religion chrétienne du Moyen Âge. Par contre, certaines bordures présentes dans le livre d’Heures du maître de Jean d’Albret ne contiennent pas d’or. Il serait important de se demander pourquoi. Je vais ainsi </w:t>
      </w:r>
      <w:r w:rsidR="00A812F5" w:rsidRPr="00FE61B7">
        <w:t>discuter d’</w:t>
      </w:r>
      <w:r w:rsidRPr="00FE61B7">
        <w:t>un concept que j’ai moi-même théorisé pour ce travail :</w:t>
      </w:r>
      <w:r w:rsidR="004972DD" w:rsidRPr="00FE61B7">
        <w:t xml:space="preserve"> </w:t>
      </w:r>
      <w:r w:rsidRPr="00FE61B7">
        <w:t>« la triade religieuse des couleurs ».</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34" w:name="_Toc401478215"/>
      <w:r w:rsidRPr="00FE61B7">
        <w:rPr>
          <w:rFonts w:ascii="Times New Roman" w:hAnsi="Times New Roman" w:cs="Times New Roman"/>
          <w:b w:val="0"/>
          <w:i/>
          <w:color w:val="auto"/>
          <w:u w:val="single"/>
        </w:rPr>
        <w:t>La triade religieuse des couleurs</w:t>
      </w:r>
      <w:bookmarkEnd w:id="34"/>
    </w:p>
    <w:p w:rsidR="00E70219" w:rsidRPr="00FE61B7" w:rsidRDefault="00E70219" w:rsidP="00F04FC5">
      <w:pPr>
        <w:spacing w:line="360" w:lineRule="auto"/>
        <w:jc w:val="both"/>
      </w:pPr>
      <w:r w:rsidRPr="00FE61B7">
        <w:tab/>
        <w:t xml:space="preserve">Pastoureau discute dans ses ouvrages que les trois couleurs les plus importantes et les plus utilisées du Moyen Âge sont le rouge, le noir et le blanc ce qu’il appelle « la triade des couleurs ». Par la suite, le bleu a rejoint ce groupe en concurrençant fortement le rouge. Mais, il est surtout question ici pour Pastoureau d’héraldique et de teinture. Les nobles utilisaient principalement ces couleurs sur leur vêtement et emblème. Quand il est question de religion, le noir et le blanc, même s’ils demeurent importants, sont néanmoins déclassés par une autre couleur : l’or. Comme on l’a vu dans les dernières pages, l’or est la couleur la plus importante du Moyen Âge. Elle est la couleur de Dieu et du Paradis. J’ai déjà défini la symbolique de </w:t>
      </w:r>
      <w:r w:rsidRPr="00FE61B7">
        <w:lastRenderedPageBreak/>
        <w:t xml:space="preserve">l’association du bleu et du rouge. Maintenant, il est temps de rajouter l’or à cette définition. Quand on observe l’image de la Vierge Marie en bleu, du Christ en rouge et de l’aura jaune qui représente Dieu, on remarque que les trois personnages les plus importants de la religion sur quatre sont présents. Le quatrième est bien sûr le Saint-Esprit. Cette enluminure est la définition de la religion chrétienne. On peut donc affirmer que l’association des trois couleurs attachées à ces trois personnes symbolise carrément la religion chrétienne. </w:t>
      </w:r>
      <w:r w:rsidR="00A812F5" w:rsidRPr="00FE61B7">
        <w:t>C’est justement ce que je nomme «</w:t>
      </w:r>
      <w:r w:rsidR="004972DD" w:rsidRPr="00FE61B7">
        <w:t> </w:t>
      </w:r>
      <w:r w:rsidR="00A812F5" w:rsidRPr="00FE61B7">
        <w:t>la triade religieuse des couleurs</w:t>
      </w:r>
      <w:r w:rsidR="004972DD" w:rsidRPr="00FE61B7">
        <w:t> </w:t>
      </w:r>
      <w:r w:rsidR="00A812F5" w:rsidRPr="00FE61B7">
        <w:t xml:space="preserve">». </w:t>
      </w:r>
      <w:r w:rsidRPr="00FE61B7">
        <w:t xml:space="preserve">Quand on y réfléchit un peu, on retrouve cette triade un peu partout dans l’art et dans l’architecture. Les églises sont construites de manière à ce qu’il y ait le plus de lumière possible qui entre dans le bâtiment d’où la présence de l’or. Des statues de la Vierge Marie en bleu sont également présentes. Il ne faut certes pas oublier le crucifix où on y voit le Christ ensanglanté. Un autre exemple valable est celui du retable de Van </w:t>
      </w:r>
      <w:proofErr w:type="spellStart"/>
      <w:r w:rsidRPr="00FE61B7">
        <w:t>Eyck</w:t>
      </w:r>
      <w:proofErr w:type="spellEnd"/>
      <w:r w:rsidRPr="00FE61B7">
        <w:t>, l’</w:t>
      </w:r>
      <w:r w:rsidRPr="00FE61B7">
        <w:rPr>
          <w:i/>
        </w:rPr>
        <w:t>Adoration de l’agneau mystique</w:t>
      </w:r>
      <w:r w:rsidR="00405B98" w:rsidRPr="00FE61B7">
        <w:rPr>
          <w:rStyle w:val="Appelnotedebasdep"/>
          <w:i/>
        </w:rPr>
        <w:footnoteReference w:id="119"/>
      </w:r>
      <w:r w:rsidRPr="00FE61B7">
        <w:t>. On y retrouve également ces éléments. Dans le milieu, il y a Jésus. Il existe une controverse au sujet de ce personnage puisque son identité n’a pas encore été établie de façon concrète. D’après mes précédentes analyses, tout me porte à croire qu’il s’agit bel et bien de Jésus puisqu’il porte un vêtement rouge. À sa droite, la Vierge Marie est présente avec son vêtement bleu et, bien évidemment, ils sont entourés d’or supportant l’idée qu’ils sont supervisés par Dieu. Il ne faut cependant pas oublier qu’il existe une hiérarchie dans la triade religieuse des couleurs. L’or possède une plus grande importance que les deux autres couleurs. On peut l’observer dans les bordures du livre d’Heures du maître de Jean d’Albret. Quand il y a de l’or, le bleu et le rouge sont absents et le co</w:t>
      </w:r>
      <w:r w:rsidR="00405B98" w:rsidRPr="00FE61B7">
        <w:t>ntraire est également valable. Pour une raison inconnue, i</w:t>
      </w:r>
      <w:r w:rsidRPr="00FE61B7">
        <w:t>l n’y a qu’un exemple dans ce livre d’Heures où on retrouve les trois couleurs dans une même bordure : celle de sainte Catherine au folio</w:t>
      </w:r>
      <w:r w:rsidR="004972DD" w:rsidRPr="00FE61B7">
        <w:t> </w:t>
      </w:r>
      <w:r w:rsidRPr="00FE61B7">
        <w:t>125v.</w:t>
      </w:r>
    </w:p>
    <w:p w:rsidR="00E70219" w:rsidRPr="00FE61B7" w:rsidRDefault="00E70219" w:rsidP="00F04FC5">
      <w:pPr>
        <w:pStyle w:val="Titre2"/>
        <w:spacing w:line="360" w:lineRule="auto"/>
        <w:jc w:val="both"/>
        <w:rPr>
          <w:rFonts w:ascii="Times New Roman" w:hAnsi="Times New Roman" w:cs="Times New Roman"/>
          <w:color w:val="auto"/>
          <w:sz w:val="24"/>
          <w:szCs w:val="24"/>
        </w:rPr>
      </w:pPr>
      <w:bookmarkStart w:id="35" w:name="_Toc401478216"/>
      <w:r w:rsidRPr="00FE61B7">
        <w:rPr>
          <w:rFonts w:ascii="Times New Roman" w:hAnsi="Times New Roman" w:cs="Times New Roman"/>
          <w:color w:val="auto"/>
          <w:sz w:val="24"/>
          <w:szCs w:val="24"/>
        </w:rPr>
        <w:t>Adoration des mages</w:t>
      </w:r>
      <w:bookmarkEnd w:id="35"/>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36" w:name="_Toc401478217"/>
      <w:r w:rsidRPr="00FE61B7">
        <w:rPr>
          <w:rFonts w:ascii="Times New Roman" w:hAnsi="Times New Roman" w:cs="Times New Roman"/>
          <w:b w:val="0"/>
          <w:i/>
          <w:color w:val="auto"/>
          <w:u w:val="single"/>
        </w:rPr>
        <w:t>Description</w:t>
      </w:r>
      <w:bookmarkEnd w:id="36"/>
    </w:p>
    <w:p w:rsidR="00E70219" w:rsidRPr="00FE61B7" w:rsidRDefault="00E70219" w:rsidP="00F04FC5">
      <w:pPr>
        <w:spacing w:line="360" w:lineRule="auto"/>
        <w:ind w:firstLine="708"/>
        <w:jc w:val="both"/>
      </w:pPr>
      <w:r w:rsidRPr="00FE61B7">
        <w:t xml:space="preserve">Maintenant, nous analyserons un des thèmes iconographiques les plus connus à notre époque surtout à cause de la fête de Noël. Il s’agit de l’Adoration des mages, le moment où les trois Rois mages, Melchior, Balthazar et Gaspard, rendaient visite au Christ qui était né depuis quelques jours. Ce moment </w:t>
      </w:r>
      <w:r w:rsidR="0017714E" w:rsidRPr="00FE61B7">
        <w:t>est fêté</w:t>
      </w:r>
      <w:r w:rsidRPr="00FE61B7">
        <w:t xml:space="preserve"> le jour de l’Épiphanie, soit le 6 janvier. Malgré la popularité </w:t>
      </w:r>
      <w:r w:rsidRPr="00FE61B7">
        <w:lastRenderedPageBreak/>
        <w:t>contemporaine de ce thème, les rois mages ne sont présents que dans l’Évangile selon Mathieu en ne donnant presque aucune information à leur sujet. En effet, il est écrit : </w:t>
      </w:r>
    </w:p>
    <w:p w:rsidR="00E70219" w:rsidRPr="00FE61B7" w:rsidRDefault="00E70219" w:rsidP="00F04FC5">
      <w:pPr>
        <w:spacing w:line="360" w:lineRule="auto"/>
        <w:ind w:left="1134" w:right="1134"/>
        <w:jc w:val="both"/>
        <w:rPr>
          <w:sz w:val="20"/>
          <w:szCs w:val="20"/>
        </w:rPr>
      </w:pPr>
      <w:r w:rsidRPr="00FE61B7">
        <w:rPr>
          <w:sz w:val="20"/>
          <w:szCs w:val="20"/>
        </w:rPr>
        <w:t>Jésus naquit à Bethléem, localité du pays de Judée, à l’époque où Hérode était roi. Après sa naissance, des savants, spécialistes des étoiles, vinrent de l’Est et arrivèrent à Jérusalem. Ils demandèrent : — Où est l’enfant qui vient de naître et qui sera le roi des Juifs? Nous avons vu son étoile apparaître à l’Est et nous sommes venus pour l’adorer</w:t>
      </w:r>
      <w:r w:rsidRPr="00FE61B7">
        <w:rPr>
          <w:rStyle w:val="Appelnotedebasdep"/>
          <w:sz w:val="20"/>
          <w:szCs w:val="20"/>
        </w:rPr>
        <w:footnoteReference w:id="120"/>
      </w:r>
      <w:r w:rsidRPr="00FE61B7">
        <w:rPr>
          <w:sz w:val="20"/>
          <w:szCs w:val="20"/>
        </w:rPr>
        <w:t>.</w:t>
      </w:r>
    </w:p>
    <w:p w:rsidR="00E70219" w:rsidRPr="00FE61B7" w:rsidRDefault="00E70219" w:rsidP="00F04FC5">
      <w:pPr>
        <w:spacing w:line="360" w:lineRule="auto"/>
        <w:jc w:val="both"/>
      </w:pPr>
      <w:r w:rsidRPr="00FE61B7">
        <w:t>C’est à partir d’écrits apocryphes que l’histoire des rois mages a pris forme</w:t>
      </w:r>
      <w:r w:rsidR="002726FC" w:rsidRPr="00FE61B7">
        <w:t>,</w:t>
      </w:r>
      <w:r w:rsidRPr="00FE61B7">
        <w:t xml:space="preserve"> mais avec beaucoup de spéculations. Je ne reviendrai pas sur l’histoire des rois mages </w:t>
      </w:r>
      <w:r w:rsidR="0017714E" w:rsidRPr="00FE61B7">
        <w:t>puisque presque tout le monde l</w:t>
      </w:r>
      <w:r w:rsidRPr="00FE61B7">
        <w:t>a conna</w:t>
      </w:r>
      <w:r w:rsidR="005F56DC">
        <w:t>î</w:t>
      </w:r>
      <w:r w:rsidRPr="00FE61B7">
        <w:t>t. Je veux porter mon attention sur des faits iconographiques moins connus. Pour l’instant, attardons-nous à la description de cette enluminure.</w:t>
      </w:r>
    </w:p>
    <w:p w:rsidR="00E70219" w:rsidRPr="00FE61B7" w:rsidRDefault="00E70219" w:rsidP="00F04FC5">
      <w:pPr>
        <w:spacing w:line="360" w:lineRule="auto"/>
        <w:jc w:val="both"/>
      </w:pPr>
      <w:r w:rsidRPr="00FE61B7">
        <w:tab/>
        <w:t>Bien évidemment, on retrouve les trois Rois mages. Les deux en arrière-plan portent une couronne en or. Celui de gauche porte un habit presque entièrement vert avec des pantalons bleus. Celui de droite est habillé d’une longue tunique grise avec une ceinture verte. Le dernier roi, le vieillard qui est en avant-plan, est vêtu d’une tunique rouge avec un collier royal blanc avec les points noirs. On retrouve également la Vierge Marie avec ses vêtements habituels, la tunique rouge et le long voile bleu, tenant son enfant. Le Christ lui est presque nu et il est à peine couvert d’une couverture blanche. La bordure est composée d’un jardin médiéval comme toutes les autres enluminures, mais on retrouve en plus une branche d’arbre enroulée par un parchemin en or à l’extérieur et bleu à l’intérieur.</w:t>
      </w:r>
    </w:p>
    <w:p w:rsidR="00E70219" w:rsidRPr="00FE61B7" w:rsidRDefault="00E70219" w:rsidP="00F04FC5">
      <w:pPr>
        <w:pStyle w:val="Titre3"/>
        <w:spacing w:line="360" w:lineRule="auto"/>
        <w:jc w:val="both"/>
        <w:rPr>
          <w:rFonts w:ascii="Times New Roman" w:hAnsi="Times New Roman" w:cs="Times New Roman"/>
          <w:b w:val="0"/>
          <w:i/>
          <w:u w:val="single"/>
        </w:rPr>
      </w:pPr>
      <w:bookmarkStart w:id="37" w:name="_Toc401478218"/>
      <w:r w:rsidRPr="00FE61B7">
        <w:rPr>
          <w:rFonts w:ascii="Times New Roman" w:hAnsi="Times New Roman" w:cs="Times New Roman"/>
          <w:b w:val="0"/>
          <w:i/>
          <w:color w:val="auto"/>
          <w:u w:val="single"/>
        </w:rPr>
        <w:t>Le vert de la jeunesse</w:t>
      </w:r>
      <w:bookmarkEnd w:id="37"/>
      <w:r w:rsidRPr="00FE61B7">
        <w:rPr>
          <w:rFonts w:ascii="Times New Roman" w:hAnsi="Times New Roman" w:cs="Times New Roman"/>
          <w:b w:val="0"/>
          <w:i/>
          <w:u w:val="single"/>
        </w:rPr>
        <w:tab/>
      </w:r>
    </w:p>
    <w:p w:rsidR="00E70219" w:rsidRPr="00FE61B7" w:rsidRDefault="00E70219" w:rsidP="00FB5608">
      <w:pPr>
        <w:spacing w:line="360" w:lineRule="auto"/>
        <w:ind w:firstLine="708"/>
        <w:jc w:val="both"/>
      </w:pPr>
      <w:r w:rsidRPr="00FE61B7">
        <w:t xml:space="preserve">On retrouve plusieurs faits intéressants sur les couleurs dans cette enluminure. La première chose qui capte notre attention est l’utilisation du vert dans cette image. Selon le dictionnaire des symboles de Chevalier et </w:t>
      </w:r>
      <w:proofErr w:type="spellStart"/>
      <w:r w:rsidRPr="00FE61B7">
        <w:t>Gheerbrant</w:t>
      </w:r>
      <w:proofErr w:type="spellEnd"/>
      <w:r w:rsidRPr="00FE61B7">
        <w:t xml:space="preserve">, c’est la couleur du règne végétal, de la régénération et de la jeunesse. Cette symbolique est d’ailleurs présente dans une des enluminures du calendrier du livre d’Heures le plus connu, le </w:t>
      </w:r>
      <w:r w:rsidRPr="00FE61B7">
        <w:rPr>
          <w:i/>
        </w:rPr>
        <w:t>Très Riches Heures du Duc de Berry</w:t>
      </w:r>
      <w:r w:rsidRPr="00FE61B7">
        <w:t>. Dans l’image du mois de mai, on y voit de jeunes femmes habillées de robe</w:t>
      </w:r>
      <w:r w:rsidR="00D8471F" w:rsidRPr="00FE61B7">
        <w:t xml:space="preserve"> verte. Comme l’écrit Boris </w:t>
      </w:r>
      <w:proofErr w:type="spellStart"/>
      <w:r w:rsidR="00D8471F" w:rsidRPr="00FE61B7">
        <w:t>Bove</w:t>
      </w:r>
      <w:proofErr w:type="spellEnd"/>
      <w:r w:rsidRPr="00FE61B7">
        <w:t xml:space="preserve"> dans son ouvrage </w:t>
      </w:r>
      <w:r w:rsidRPr="00FE61B7">
        <w:rPr>
          <w:i/>
        </w:rPr>
        <w:t>Le temps de la guerre de Cent Ans : 1328-1453</w:t>
      </w:r>
      <w:r w:rsidRPr="00FE61B7">
        <w:t>, elles sont vêtues ainsi parce mai est le mois de « la fête du renouveau printanier et de l’Amour »</w:t>
      </w:r>
      <w:r w:rsidRPr="00FE61B7">
        <w:rPr>
          <w:rStyle w:val="Appelnotedebasdep"/>
        </w:rPr>
        <w:footnoteReference w:id="121"/>
      </w:r>
      <w:r w:rsidRPr="00FE61B7">
        <w:t xml:space="preserve">. Après l’hiver, c’est </w:t>
      </w:r>
      <w:r w:rsidRPr="00FE61B7">
        <w:lastRenderedPageBreak/>
        <w:t xml:space="preserve">évidemment une période de renaissance et de régénération lorsque le printemps commence. Pour ce qui est de la symbolique de la jeunesse attachée au vert, le lien est un peu plus difficile à déterminer. On se basera encore une fois sur les ouvrages de Michel Pastoureau pour établir cette équivalence. Nous sommes dans l’obligation de commencer cette explication par l’aspect négatif de la couleur verte. Il faut comprendre dès le départ que celle-ci n’a jamais été vraiment appréciée au Moyen Âge. Selon Pastoureau, </w:t>
      </w:r>
      <w:r w:rsidR="00E12A0E">
        <w:t xml:space="preserve">cela est dû au fait que </w:t>
      </w:r>
      <w:r w:rsidRPr="00FE61B7">
        <w:t>le vert était très difficile à produire et il se fixait difficilement sur les étoffes</w:t>
      </w:r>
      <w:r w:rsidR="00E12A0E" w:rsidRPr="00FE61B7">
        <w:rPr>
          <w:rStyle w:val="Appelnotedebasdep"/>
        </w:rPr>
        <w:footnoteReference w:id="122"/>
      </w:r>
      <w:r w:rsidRPr="00FE61B7">
        <w:t xml:space="preserve">. On ne savait pas </w:t>
      </w:r>
      <w:r w:rsidR="00FB5608">
        <w:t xml:space="preserve">toujours </w:t>
      </w:r>
      <w:r w:rsidRPr="00FE61B7">
        <w:t>qu’il suffisait de mélanger du bleu et du jaune pour créer cette couleur puisqu’on ne connaissait pas encore le spectre des couleurs</w:t>
      </w:r>
      <w:r w:rsidRPr="00FE61B7">
        <w:rPr>
          <w:rStyle w:val="Appelnotedebasdep"/>
        </w:rPr>
        <w:footnoteReference w:id="123"/>
      </w:r>
      <w:r w:rsidRPr="00FE61B7">
        <w:t xml:space="preserve">. La technique pour créer cette couleur était tellement compliquée qu’il fallait être chanceux pour fabriquer de la teinture verte. D’où la </w:t>
      </w:r>
      <w:r w:rsidR="00164A87">
        <w:t>signification</w:t>
      </w:r>
      <w:r w:rsidRPr="00FE61B7">
        <w:t xml:space="preserve"> négative du vert liée à la folie. Il fallait soit être fou ou chanceux pour créer du vert. Bien sûr, j’ai fait la démonstration ici de ce fait à partir</w:t>
      </w:r>
      <w:r w:rsidR="00FB5608">
        <w:t xml:space="preserve"> des teintures et non des pigments qui étaient plus facile</w:t>
      </w:r>
      <w:r w:rsidR="005F56DC">
        <w:t>s</w:t>
      </w:r>
      <w:r w:rsidR="00FB5608">
        <w:t xml:space="preserve"> à produire. I</w:t>
      </w:r>
      <w:r w:rsidRPr="00FE61B7">
        <w:t xml:space="preserve">l s’est </w:t>
      </w:r>
      <w:r w:rsidR="00FB5608">
        <w:t xml:space="preserve">cependant </w:t>
      </w:r>
      <w:r w:rsidRPr="00FE61B7">
        <w:t>enraciné culturellement principalement à cause des difficultés de production des teintures.</w:t>
      </w:r>
      <w:r w:rsidR="00FB5608">
        <w:t xml:space="preserve"> </w:t>
      </w:r>
      <w:r w:rsidRPr="00FE61B7">
        <w:t xml:space="preserve">Pour trouver le rapport avec la jeunesse, c’est encore Pastoureau qui nous amène la réponse. Dans son livre </w:t>
      </w:r>
      <w:r w:rsidRPr="00FE61B7">
        <w:rPr>
          <w:i/>
        </w:rPr>
        <w:t>Noir : Histoire d’une couleur</w:t>
      </w:r>
      <w:r w:rsidRPr="00FE61B7">
        <w:t>, il parle d’un cycle narratif récurrent présent dans les romans arthuriens. Pastoureau nous renseigne également sur les symboliques des autres couleurs. Il écrit :</w:t>
      </w:r>
    </w:p>
    <w:p w:rsidR="00E70219" w:rsidRPr="00FE61B7" w:rsidRDefault="00E70219" w:rsidP="00F04FC5">
      <w:pPr>
        <w:spacing w:line="360" w:lineRule="auto"/>
        <w:ind w:left="1134" w:right="1134"/>
        <w:jc w:val="both"/>
        <w:rPr>
          <w:sz w:val="20"/>
          <w:szCs w:val="20"/>
        </w:rPr>
      </w:pPr>
      <w:r w:rsidRPr="00FE61B7">
        <w:rPr>
          <w:sz w:val="20"/>
          <w:szCs w:val="20"/>
        </w:rPr>
        <w:t>Un chevalier noir est presque toujours un personnage de premier plan (Tristan, Lancelot, Gauvain) qui veut cacher son identité; il est en général animé de bonnes intentions et s’apprête à montrer toute sa valeur, notamment à la joute ou au tournoi. Un chevalier rouge, au contraire, est souvent hostile au héros : c’est un chevalier félon ou malfaisant, parfois un envoyé du Diable ou un être mystérieux venu de l’Autre-Monde. Plus discret, le chevalier blanc est quant à lui généralement pris en bonne part : c’est un personnage âgé, ami ou protecteur du héros, à qui il donne de sages conseils. Inversement, un chevalier est un jeune chevalier, récemment adoubé, dont le comportement audacieux ou insolent va être cause de grand désordre; il peut être bon ou mauvais</w:t>
      </w:r>
      <w:r w:rsidRPr="00FE61B7">
        <w:rPr>
          <w:rStyle w:val="Appelnotedebasdep"/>
          <w:sz w:val="20"/>
          <w:szCs w:val="20"/>
        </w:rPr>
        <w:footnoteReference w:id="124"/>
      </w:r>
      <w:r w:rsidRPr="00FE61B7">
        <w:rPr>
          <w:sz w:val="20"/>
          <w:szCs w:val="20"/>
        </w:rPr>
        <w:t>.</w:t>
      </w:r>
    </w:p>
    <w:p w:rsidR="00E70219" w:rsidRPr="00FE61B7" w:rsidRDefault="00E70219" w:rsidP="00F04FC5">
      <w:pPr>
        <w:spacing w:line="360" w:lineRule="auto"/>
        <w:jc w:val="both"/>
      </w:pPr>
      <w:r w:rsidRPr="00FE61B7">
        <w:t xml:space="preserve">Ainsi, la jeunesse est une symbolique, soit positive ou négative, attachée au vert. On peut faire facilement le lien entre jeunesse et folie puisque les jeunes adultes ont toujours été plus enclins à </w:t>
      </w:r>
      <w:r w:rsidRPr="00FE61B7">
        <w:lastRenderedPageBreak/>
        <w:t>transgresser les règles. D’où l’expression « folies de jeunesse » ou, encore, celle d’Oscar Wilde : « Qui veut retrouver sa jeunesse, n’a qu’à reprendre ses folies »</w:t>
      </w:r>
      <w:r w:rsidR="00D8471F" w:rsidRPr="00FE61B7">
        <w:rPr>
          <w:rStyle w:val="Appelnotedebasdep"/>
        </w:rPr>
        <w:footnoteReference w:id="125"/>
      </w:r>
      <w:r w:rsidRPr="00FE61B7">
        <w:t>.</w:t>
      </w:r>
    </w:p>
    <w:p w:rsidR="00E70219" w:rsidRPr="00FE61B7" w:rsidRDefault="00E70219" w:rsidP="00F04FC5">
      <w:pPr>
        <w:spacing w:line="360" w:lineRule="auto"/>
        <w:jc w:val="both"/>
      </w:pPr>
      <w:r w:rsidRPr="00FE61B7">
        <w:tab/>
        <w:t>Pour en revenir à notre image, il faut comprendre que les trois Rois mages ont été associés aux trois âges de l’homme, soit la jeunesse, l’âge adulte et la vieillesse</w:t>
      </w:r>
      <w:r w:rsidRPr="00FE61B7">
        <w:rPr>
          <w:rStyle w:val="Appelnotedebasdep"/>
        </w:rPr>
        <w:footnoteReference w:id="126"/>
      </w:r>
      <w:r w:rsidRPr="00FE61B7">
        <w:t xml:space="preserve">. En sachant cela, on peut aisément identifier qui est qui dans cette enluminure. Pour le vieillard, il n’y a aucun doute possible. Il s’agit de celui avec la longue barbe blanche qui est agenouillé devant le Christ et sa mère ce qui est tout à fait normal selon les </w:t>
      </w:r>
      <w:proofErr w:type="spellStart"/>
      <w:r w:rsidRPr="00FE61B7">
        <w:rPr>
          <w:i/>
        </w:rPr>
        <w:t>topoï</w:t>
      </w:r>
      <w:proofErr w:type="spellEnd"/>
      <w:r w:rsidRPr="00FE61B7">
        <w:t xml:space="preserve"> liés à ce thème iconographique. Pour les deux autres, il faut utiliser la symbolique du vert pour les identifier. Le plus jeune est manifestement celui qui porte l’habit ayant le plus de vert. En plus, il possède une barbe légèrement plus fine que son compagnon. Pour ce dernier, on sait qu’il est probablement plus âgé, car il porte seulement une ceinture verte sans oublier sa barbe. En fin de compte, avec ce que nous savons de la couleur verte, nous avons pu déterminer les trois âges de la vie en ces trois personnages.</w:t>
      </w:r>
    </w:p>
    <w:p w:rsidR="00E70219" w:rsidRPr="00FE61B7" w:rsidRDefault="00E70219" w:rsidP="00F04FC5">
      <w:pPr>
        <w:pStyle w:val="Titre3"/>
        <w:spacing w:line="360" w:lineRule="auto"/>
        <w:jc w:val="both"/>
        <w:rPr>
          <w:rFonts w:ascii="Times New Roman" w:hAnsi="Times New Roman" w:cs="Times New Roman"/>
          <w:b w:val="0"/>
          <w:i/>
          <w:color w:val="000000" w:themeColor="text1"/>
          <w:u w:val="single"/>
        </w:rPr>
      </w:pPr>
      <w:bookmarkStart w:id="38" w:name="_Toc401478219"/>
      <w:r w:rsidRPr="00FE61B7">
        <w:rPr>
          <w:rFonts w:ascii="Times New Roman" w:hAnsi="Times New Roman" w:cs="Times New Roman"/>
          <w:b w:val="0"/>
          <w:i/>
          <w:color w:val="000000" w:themeColor="text1"/>
          <w:u w:val="single"/>
        </w:rPr>
        <w:t>Le vieillard et le Christ</w:t>
      </w:r>
      <w:bookmarkEnd w:id="38"/>
    </w:p>
    <w:p w:rsidR="00E70219" w:rsidRPr="00FE61B7" w:rsidRDefault="00E70219" w:rsidP="00F04FC5">
      <w:pPr>
        <w:spacing w:line="360" w:lineRule="auto"/>
        <w:ind w:firstLine="708"/>
        <w:jc w:val="both"/>
      </w:pPr>
      <w:r w:rsidRPr="00FE61B7">
        <w:t xml:space="preserve">Maintenant, je veux m’intéresser un peu au vieillard et au Christ. Il s’agit d’un couple symbolique récurrent qui se retrouve généralement toujours face à face dans ce thème iconographique et cela a été fait pour une bonne raison. Le vieillard est considéré comme le futur du Christ ou comme son double. Déjà, un lien est créé entre les deux personnages puisqu’ils portent tous les deux du blanc et le vieux Roi mage porte du rouge qui est la couleur du Christ. J’ai déjà expliqué la </w:t>
      </w:r>
      <w:r w:rsidR="00164A87">
        <w:t xml:space="preserve">signification </w:t>
      </w:r>
      <w:r w:rsidRPr="00FE61B7">
        <w:t>de la couleur rouge. Ici, on peut rajouter un autre aspect</w:t>
      </w:r>
      <w:r w:rsidR="00164A87">
        <w:t xml:space="preserve"> à celle-ci</w:t>
      </w:r>
      <w:r w:rsidRPr="00FE61B7">
        <w:t xml:space="preserve">. Le fait que le vieillard porte cette couleur sur sa tunique ajoute sans aucun doute la sagesse à la symbolique de cette couleur. Autant la jeunesse signifie folie autant la vieillesse veut dire la sagesse. Dans ce couple iconographique, les symboliques de l’un et de l’autre se transfèrent. Donc, ici, on peut ajouter une nouvelle signification à la couleur du Christ même si celui-ci ne porte pas du rouge sur son habillement. Maintenant, on peut donc affirmer qu’elle symbolise force, courage et sagesse. De plus, ce qui est intéressant dans cette enluminure est la complémentarité de ces deux couleurs : le blanc et le rouge. Comme l’affirme Pastoureau, ces deux couleurs sont habituellement des contraires : « Aux couples d’opposition blanc/noir et </w:t>
      </w:r>
      <w:r w:rsidRPr="00FE61B7">
        <w:lastRenderedPageBreak/>
        <w:t>blanc/rouge, venus du fond des âges »</w:t>
      </w:r>
      <w:r w:rsidRPr="00FE61B7">
        <w:rPr>
          <w:rStyle w:val="Appelnotedebasdep"/>
        </w:rPr>
        <w:footnoteReference w:id="127"/>
      </w:r>
      <w:r w:rsidR="00A246E0" w:rsidRPr="00FE61B7">
        <w:t xml:space="preserve">. On </w:t>
      </w:r>
      <w:r w:rsidRPr="00FE61B7">
        <w:t>discutera justement de cette opposition dans le prochain chapitre où il est question de l’enluminure de Bethsabée au bain. Mais, dans cette image, on peut observer que ce n’est pas le cas. Le Christ en blanc et Melchior en rouge se complètent à merveille. On peut se demander par contre pourquoi le Christ ne porte pas des habits rouges. Sans vouloir me répéter, comme il s’agit d’un couple symbolique complémentaire, c’est Melchior qui remplit ce rôle.</w:t>
      </w:r>
    </w:p>
    <w:p w:rsidR="00E70219" w:rsidRPr="00FE61B7" w:rsidRDefault="00E70219" w:rsidP="00F04FC5">
      <w:pPr>
        <w:pStyle w:val="Titre3"/>
        <w:spacing w:line="360" w:lineRule="auto"/>
        <w:jc w:val="both"/>
        <w:rPr>
          <w:rFonts w:ascii="Times New Roman" w:hAnsi="Times New Roman" w:cs="Times New Roman"/>
          <w:b w:val="0"/>
          <w:i/>
          <w:color w:val="000000" w:themeColor="text1"/>
          <w:u w:val="single"/>
        </w:rPr>
      </w:pPr>
      <w:bookmarkStart w:id="39" w:name="_Toc401478220"/>
      <w:r w:rsidRPr="00FE61B7">
        <w:rPr>
          <w:rFonts w:ascii="Times New Roman" w:hAnsi="Times New Roman" w:cs="Times New Roman"/>
          <w:b w:val="0"/>
          <w:i/>
          <w:color w:val="000000" w:themeColor="text1"/>
          <w:u w:val="single"/>
        </w:rPr>
        <w:t>L’homme noir?</w:t>
      </w:r>
      <w:bookmarkEnd w:id="39"/>
    </w:p>
    <w:p w:rsidR="00E70219" w:rsidRPr="00FE61B7" w:rsidRDefault="00E70219" w:rsidP="00F04FC5">
      <w:pPr>
        <w:spacing w:line="360" w:lineRule="auto"/>
        <w:jc w:val="both"/>
      </w:pPr>
      <w:r w:rsidRPr="00FE61B7">
        <w:tab/>
        <w:t>Maintenant, on retrouve une énigme dans cette image. Habituellement, dans ce thème iconographique, les trois Rois mages en sont venus à représenter, en plus des trois âges de l’humanité, les trois continents connus de l’époque : soit l’Europe, l’Asie et l’Afrique. À la fin du XV</w:t>
      </w:r>
      <w:r w:rsidRPr="00FE61B7">
        <w:rPr>
          <w:vertAlign w:val="superscript"/>
        </w:rPr>
        <w:t>e</w:t>
      </w:r>
      <w:r w:rsidRPr="00FE61B7">
        <w:t xml:space="preserve"> siècle, on retrouve un roi mage européen, un autre perse et le dernier est africain puisqu’il y a eu une lente évolution en ce sens. On peut donc se demander pourquoi on ne retrouve pas dans cette enluminure un roi mage, étant généralement Balthazar, dont la peau est foncée. Bien des choses furent dites sur le cas de la couleur noire, mais que peut-on dire maintenant sur le cas des gens qui ont la peau noire. Avant de me consacrer sur le cas de Balthazar, concentrons-nous d’abord sur l’évolution de la symbolique des gens qui ont la peau noire et, encore une fois, nous devrons nous fier aux écrits de Michel Pastoureau. Pour lui, cette couleur de peau était mal perçue entre l’an mil et le XIII</w:t>
      </w:r>
      <w:r w:rsidRPr="00FE61B7">
        <w:rPr>
          <w:vertAlign w:val="superscript"/>
        </w:rPr>
        <w:t>e</w:t>
      </w:r>
      <w:r w:rsidRPr="00FE61B7">
        <w:t xml:space="preserve"> siècle environ. Il écrit également : </w:t>
      </w:r>
    </w:p>
    <w:p w:rsidR="00E70219" w:rsidRPr="00FE61B7" w:rsidRDefault="00E70219" w:rsidP="00F04FC5">
      <w:pPr>
        <w:spacing w:line="360" w:lineRule="auto"/>
        <w:ind w:left="1134" w:right="1134"/>
        <w:jc w:val="both"/>
        <w:rPr>
          <w:sz w:val="20"/>
          <w:szCs w:val="20"/>
        </w:rPr>
      </w:pPr>
      <w:r w:rsidRPr="00FE61B7">
        <w:rPr>
          <w:sz w:val="20"/>
          <w:szCs w:val="20"/>
        </w:rPr>
        <w:t>Comme la plupart des sociétés anciennes, le Moyen Âge chrétien est attentif aux couleurs du corps, celles de la peau encore que celles des yeux ou des cheveux. Textes et images livrent en ce domaine une information abondante et instructive, qui évolue au fil des siècles et diffère selon la géographie et les milieux concernés. Au Moyen Âge central, les peaux sombres sont presque toujours des peaux négatives, appartenant à des personnages situés hors de l’ordre social, moral et religieux. Ceux-ci entretiennent avec l’univers du Diable et de l’enfer des rapports plus ou moins directs : l’aspect foncé de leur peau est le signe visible de leur nature mauvaise, païenne ou transgressive</w:t>
      </w:r>
      <w:r w:rsidRPr="00FE61B7">
        <w:rPr>
          <w:rStyle w:val="Appelnotedebasdep"/>
          <w:sz w:val="20"/>
          <w:szCs w:val="20"/>
        </w:rPr>
        <w:footnoteReference w:id="128"/>
      </w:r>
      <w:r w:rsidRPr="00FE61B7">
        <w:rPr>
          <w:sz w:val="20"/>
          <w:szCs w:val="20"/>
        </w:rPr>
        <w:t>.</w:t>
      </w:r>
    </w:p>
    <w:p w:rsidR="00E70219" w:rsidRPr="00FE61B7" w:rsidRDefault="00E70219" w:rsidP="00F04FC5">
      <w:pPr>
        <w:spacing w:line="360" w:lineRule="auto"/>
        <w:jc w:val="both"/>
      </w:pPr>
      <w:r w:rsidRPr="00FE61B7">
        <w:t xml:space="preserve">Une multitude de mauvais personnages tels que Judas ou des Sarrasins se sont </w:t>
      </w:r>
      <w:r w:rsidR="00A246E0" w:rsidRPr="00FE61B7">
        <w:t xml:space="preserve">ainsi </w:t>
      </w:r>
      <w:r w:rsidRPr="00FE61B7">
        <w:t>vus attribuer une peau sombre. Mais, quelque chose change en ce sens à partir du XIII</w:t>
      </w:r>
      <w:r w:rsidRPr="00FE61B7">
        <w:rPr>
          <w:vertAlign w:val="superscript"/>
        </w:rPr>
        <w:t>e</w:t>
      </w:r>
      <w:r w:rsidRPr="00FE61B7">
        <w:t xml:space="preserve"> siècle. Comme l’écrit Pastoureau, on remarque l’apparition « de nouveaux systèmes de valeurs, ainsi qu’une nouvelle </w:t>
      </w:r>
      <w:r w:rsidRPr="00FE61B7">
        <w:lastRenderedPageBreak/>
        <w:t>attitude envers la couleur noire »</w:t>
      </w:r>
      <w:r w:rsidRPr="00FE61B7">
        <w:rPr>
          <w:rStyle w:val="Appelnotedebasdep"/>
        </w:rPr>
        <w:footnoteReference w:id="129"/>
      </w:r>
      <w:r w:rsidRPr="00FE61B7">
        <w:t xml:space="preserve">. Il appelle cela la christianisation des peaux sombres. Ainsi, des personnages à la peau foncée nullement négatifs commencent à faire leur apparition dans l’iconographie médiévale. Pastoureau donne l’exemple de la reine de Saba qui, provenant d’une contrée lointaine, rend visite au roi Salomon. Rentrons maintenant dans le vif du sujet, Pastoureau fait un lien évident entre la reine de Saba et les Rois mages. Il dit : </w:t>
      </w:r>
    </w:p>
    <w:p w:rsidR="00E70219" w:rsidRPr="00FE61B7" w:rsidRDefault="00E70219" w:rsidP="00F04FC5">
      <w:pPr>
        <w:spacing w:line="360" w:lineRule="auto"/>
        <w:ind w:left="1134" w:right="1134"/>
        <w:jc w:val="both"/>
        <w:rPr>
          <w:sz w:val="20"/>
          <w:szCs w:val="20"/>
        </w:rPr>
      </w:pPr>
      <w:r w:rsidRPr="00FE61B7">
        <w:rPr>
          <w:sz w:val="20"/>
          <w:szCs w:val="20"/>
        </w:rPr>
        <w:t>Elle vient d’un pays reculé et apporte à Salomon de magnifiques présents : de l’or, des épices, des pierres précieuses (I Rois X, 1-3). Ce faisant, elle semble annoncer la visite que feront les Rois mages à l’Enfant Jésus. Au reste, plusieurs textes présentent la reine de Saba comme l’ancêtre des Rois mages. […] descendants de la reine de Saba, venus des confins de la terre pour honorer l’Enfant Jésus, les Rois mages ne pouvaient qu’être soumis à leur tour à ces nouveaux systèmes de valeur et de représentation</w:t>
      </w:r>
      <w:r w:rsidRPr="00FE61B7">
        <w:rPr>
          <w:rStyle w:val="Appelnotedebasdep"/>
          <w:sz w:val="20"/>
          <w:szCs w:val="20"/>
        </w:rPr>
        <w:footnoteReference w:id="130"/>
      </w:r>
      <w:r w:rsidRPr="00FE61B7">
        <w:rPr>
          <w:sz w:val="20"/>
          <w:szCs w:val="20"/>
        </w:rPr>
        <w:t xml:space="preserve">. </w:t>
      </w:r>
    </w:p>
    <w:p w:rsidR="00E70219" w:rsidRPr="00FE61B7" w:rsidRDefault="00E70219" w:rsidP="00F04FC5">
      <w:pPr>
        <w:spacing w:line="360" w:lineRule="auto"/>
        <w:jc w:val="both"/>
      </w:pPr>
      <w:r w:rsidRPr="00FE61B7">
        <w:t>Le plus jeune des Rois mages, celui qui provenait d’Afrique, a donc obtenu une peau noire pendant le XIV</w:t>
      </w:r>
      <w:r w:rsidRPr="00FE61B7">
        <w:rPr>
          <w:vertAlign w:val="superscript"/>
        </w:rPr>
        <w:t>e</w:t>
      </w:r>
      <w:r w:rsidRPr="00FE61B7">
        <w:t xml:space="preserve"> siècle, mais il a fallu attendre le XV</w:t>
      </w:r>
      <w:r w:rsidRPr="00FE61B7">
        <w:rPr>
          <w:vertAlign w:val="superscript"/>
        </w:rPr>
        <w:t>e</w:t>
      </w:r>
      <w:r w:rsidRPr="00FE61B7">
        <w:t xml:space="preserve"> siècle pour que ce modèle rentre de façon plus systématique dans l’iconographie médiévale. Selon Pastoureau, on retrouve toujours la présence d’un Noir à partir de ce moment. On peut donc se demander pourquoi on ne retrouve pas un Roi mage à la peau sombre alors que notre livre d’Heures a été conçu à la fin du Moyen Âge. Il existe bien des exemples, comme le livre d’Heures d’Henri VIII, où on retrouve un Roi mage noir</w:t>
      </w:r>
      <w:r w:rsidR="00A246E0" w:rsidRPr="00FE61B7">
        <w:rPr>
          <w:rStyle w:val="Appelnotedebasdep"/>
        </w:rPr>
        <w:footnoteReference w:id="131"/>
      </w:r>
      <w:r w:rsidRPr="00FE61B7">
        <w:t>. Si on observe un deuxième livre d’Heures créé par le maître de Jean d’Albret, ce dernier se trouve à la bibliothèque de Carpentras, on remarque encore l’absence d’un personnage à la peau sombre</w:t>
      </w:r>
      <w:r w:rsidR="00A246E0" w:rsidRPr="00FE61B7">
        <w:rPr>
          <w:rStyle w:val="Appelnotedebasdep"/>
        </w:rPr>
        <w:footnoteReference w:id="132"/>
      </w:r>
      <w:r w:rsidR="00A246E0" w:rsidRPr="00FE61B7">
        <w:t xml:space="preserve">. Le racisme </w:t>
      </w:r>
      <w:r w:rsidRPr="00FE61B7">
        <w:t xml:space="preserve">envers les Noirs </w:t>
      </w:r>
      <w:r w:rsidR="00A246E0" w:rsidRPr="00FE61B7">
        <w:t>tel</w:t>
      </w:r>
      <w:r w:rsidR="005F56DC">
        <w:t>s</w:t>
      </w:r>
      <w:r w:rsidR="00A246E0" w:rsidRPr="00FE61B7">
        <w:t xml:space="preserve"> que nous le connaissons </w:t>
      </w:r>
      <w:r w:rsidRPr="00FE61B7">
        <w:t xml:space="preserve">n’existait pas au Moyen Âge. </w:t>
      </w:r>
      <w:r w:rsidR="00A246E0" w:rsidRPr="00FE61B7">
        <w:t>Bon nombre de chrétiens étaient d’ailleurs noirs. On peut affirmer que le racisme à cette époque était beaucoup plus une peur de l’étranger</w:t>
      </w:r>
      <w:r w:rsidRPr="00FE61B7">
        <w:t xml:space="preserve">. On ne peut donc pas affirmer que le maître de Jean d’Albret détestait les hommes noirs. Cependant, une partie de la réponse nous est donnée par Pastoureau puisqu’il affirme que l’aspect négatif des peaux sombres reste dominant à la fin du Moyen Âge même si on retrouve un changement de valeurs en ce sens. Alors, le maître de Jean d’Albret ne pouvait pas détester les gens à la peau sombre, mais il pouvait s’opposer à l’utilisation du noir sur la peau de ses personnages dans la confection de ses manuscrits. Ce n’est qu’une supposition ici, mais il préférait ne pas trop utiliser de noir dans ses ouvrages. Si on </w:t>
      </w:r>
      <w:r w:rsidRPr="00FE61B7">
        <w:lastRenderedPageBreak/>
        <w:t>observe bien le livre d’Heures de l’Université d’Ottawa, on retrouve très peu de noir hormis l’armure de saint Michel et une partie de l’habillement de saint Antoine. On ne peut donc pas affirmer hors de tout doute que Balthazar à la peau sombre était toujours utilisé dans ce thème iconographique. On a la preuve qu’il restait certaines poches de résistance quant aux personnages à la peau sombre en analysant l’enluminure de ce livre d’Heures du maître de Jean d’Albret.</w:t>
      </w:r>
    </w:p>
    <w:p w:rsidR="00E70219" w:rsidRPr="00FE61B7" w:rsidRDefault="00E70219" w:rsidP="00F04FC5">
      <w:pPr>
        <w:spacing w:line="360" w:lineRule="auto"/>
        <w:jc w:val="both"/>
      </w:pPr>
      <w:r w:rsidRPr="00FE61B7">
        <w:tab/>
        <w:t xml:space="preserve"> </w:t>
      </w:r>
      <w:r w:rsidR="00131D48" w:rsidRPr="00FE61B7">
        <w:t>Dans la bordure, on retrouve une branche entouré</w:t>
      </w:r>
      <w:r w:rsidR="005F56DC">
        <w:t>e</w:t>
      </w:r>
      <w:r w:rsidR="00131D48" w:rsidRPr="00FE61B7">
        <w:t xml:space="preserve"> d’un parchemin </w:t>
      </w:r>
      <w:r w:rsidR="00787DDE" w:rsidRPr="00FE61B7">
        <w:t>jaune, qui équivaut certainement à de l’or dans cette enluminure,</w:t>
      </w:r>
      <w:r w:rsidR="00131D48" w:rsidRPr="00FE61B7">
        <w:t xml:space="preserve"> à l’extérieur et bleu à l’intérieur. À mon sens, il s’agit d’une représentation des Évangiles. D’ailleurs, la plupart de ces écrits </w:t>
      </w:r>
      <w:r w:rsidR="005D7A47">
        <w:t>commencent avec</w:t>
      </w:r>
      <w:r w:rsidR="00787DDE" w:rsidRPr="00FE61B7">
        <w:t xml:space="preserve"> l’histoire de</w:t>
      </w:r>
      <w:r w:rsidR="00131D48" w:rsidRPr="00FE61B7">
        <w:t xml:space="preserve"> la naissance de Jésus, scène justement dépeinte dans cette image. Nous avons justement vu que l’or était le symbole divin par excellence et le bleu était parfois attribué à des messagers du Paradis. Il ne fait aucun doute que les Évangiles sont la base de la religion chrétienne. À peu près tous les principes chrétiens découlent de ses ouvrages et c’est Dieu qui a transmis ce savoir aux </w:t>
      </w:r>
      <w:r w:rsidR="005D7A47">
        <w:t>é</w:t>
      </w:r>
      <w:r w:rsidR="00131D48" w:rsidRPr="00FE61B7">
        <w:t>vangéli</w:t>
      </w:r>
      <w:r w:rsidR="00787DDE" w:rsidRPr="00FE61B7">
        <w:t>stes</w:t>
      </w:r>
      <w:r w:rsidR="00131D48" w:rsidRPr="00FE61B7">
        <w:t>.</w:t>
      </w:r>
      <w:r w:rsidR="00787DDE" w:rsidRPr="00FE61B7">
        <w:t xml:space="preserve"> Ce n’est donc pas </w:t>
      </w:r>
      <w:r w:rsidR="005D7A47">
        <w:t xml:space="preserve">avec une </w:t>
      </w:r>
      <w:r w:rsidR="00787DDE" w:rsidRPr="00FE61B7">
        <w:t>grande surprise que l’on retrouve ces deux couleurs sur le parchemin se trouvant dans la bordure. L’or représente la divinité des Saintes Écritures et le bleu est le symbole du message divin envoyé aux hommes.</w:t>
      </w:r>
    </w:p>
    <w:p w:rsidR="00E70219" w:rsidRPr="00FE61B7" w:rsidRDefault="00E70219" w:rsidP="00F04FC5">
      <w:pPr>
        <w:pStyle w:val="Titre2"/>
        <w:spacing w:line="360" w:lineRule="auto"/>
        <w:jc w:val="both"/>
        <w:rPr>
          <w:rFonts w:ascii="Times New Roman" w:hAnsi="Times New Roman" w:cs="Times New Roman"/>
          <w:color w:val="auto"/>
          <w:sz w:val="24"/>
          <w:szCs w:val="24"/>
        </w:rPr>
      </w:pPr>
      <w:bookmarkStart w:id="40" w:name="_Toc401478221"/>
      <w:r w:rsidRPr="00FE61B7">
        <w:rPr>
          <w:rFonts w:ascii="Times New Roman" w:hAnsi="Times New Roman" w:cs="Times New Roman"/>
          <w:color w:val="auto"/>
          <w:sz w:val="24"/>
          <w:szCs w:val="24"/>
        </w:rPr>
        <w:t>Bethsabée au bain</w:t>
      </w:r>
      <w:bookmarkEnd w:id="40"/>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1" w:name="_Toc401478222"/>
      <w:r w:rsidRPr="00FE61B7">
        <w:rPr>
          <w:rFonts w:ascii="Times New Roman" w:hAnsi="Times New Roman" w:cs="Times New Roman"/>
          <w:b w:val="0"/>
          <w:i/>
          <w:color w:val="auto"/>
          <w:u w:val="single"/>
        </w:rPr>
        <w:t>Description</w:t>
      </w:r>
      <w:bookmarkEnd w:id="41"/>
    </w:p>
    <w:p w:rsidR="00E70219" w:rsidRPr="00FE61B7" w:rsidRDefault="00E70219" w:rsidP="00F04FC5">
      <w:pPr>
        <w:spacing w:line="360" w:lineRule="auto"/>
        <w:ind w:firstLine="708"/>
        <w:jc w:val="both"/>
      </w:pPr>
      <w:r w:rsidRPr="00FE61B7">
        <w:t>Pour cette enluminure, nous observerons principalement la dichotomie entre la couleur rouge et blanche. Pour l’instant, nous avons principalement discuté du fait que les deux couleurs étaient complémentaires. Bien que le blanc garde son aspect symbolique positif, le rouge possède plutôt un aspect négatif dans cette enluminure. Pour le moment, faisons la description de cette image.</w:t>
      </w:r>
    </w:p>
    <w:p w:rsidR="00E70219" w:rsidRPr="00FE61B7" w:rsidRDefault="00E70219" w:rsidP="00F04FC5">
      <w:pPr>
        <w:spacing w:line="360" w:lineRule="auto"/>
        <w:ind w:firstLine="708"/>
        <w:jc w:val="both"/>
      </w:pPr>
      <w:r w:rsidRPr="00FE61B7">
        <w:t xml:space="preserve">Ici, il s’agit d’une scène biblique que l’on retrouve dans le deuxième livre de Samuel. Le récit de Bethsabée et de David se trouve aux chapitres 11 et 12. Comme l’écrivent </w:t>
      </w:r>
      <w:proofErr w:type="spellStart"/>
      <w:r w:rsidRPr="00FE61B7">
        <w:t>Duchet-Suchaux</w:t>
      </w:r>
      <w:proofErr w:type="spellEnd"/>
      <w:r w:rsidRPr="00FE61B7">
        <w:t xml:space="preserve"> et Pastoureau, « Ce récit, aux multiples péripéties, comprend non seulement le bain de Bethsabée surprise par David, mais aussi la remise par David à </w:t>
      </w:r>
      <w:proofErr w:type="spellStart"/>
      <w:r w:rsidRPr="00FE61B7">
        <w:t>Urie</w:t>
      </w:r>
      <w:proofErr w:type="spellEnd"/>
      <w:r w:rsidRPr="00FE61B7">
        <w:t xml:space="preserve"> de la lettre qui l’envoie à sa mort (2 S 11, 14), les remontrances du prophète Nathan et la pénitence de David »</w:t>
      </w:r>
      <w:r w:rsidRPr="00FE61B7">
        <w:rPr>
          <w:rStyle w:val="Appelnotedebasdep"/>
        </w:rPr>
        <w:footnoteReference w:id="133"/>
      </w:r>
      <w:r w:rsidRPr="00FE61B7">
        <w:t xml:space="preserve">. </w:t>
      </w:r>
      <w:r w:rsidRPr="00FE61B7">
        <w:lastRenderedPageBreak/>
        <w:t>L’historique entourant ces personnages sera expliqué plus en profondeur plus loin. En ce moment sur cette image, Bethsabée est à ce moment l’épouse d’</w:t>
      </w:r>
      <w:proofErr w:type="spellStart"/>
      <w:r w:rsidRPr="00FE61B7">
        <w:t>Urie</w:t>
      </w:r>
      <w:proofErr w:type="spellEnd"/>
      <w:r w:rsidRPr="00FE61B7">
        <w:t xml:space="preserve"> le Hittit</w:t>
      </w:r>
      <w:r w:rsidR="007E1E10" w:rsidRPr="00FE61B7">
        <w:t>e et David est le roi d’Israël.</w:t>
      </w:r>
    </w:p>
    <w:p w:rsidR="00E70219" w:rsidRPr="00FE61B7" w:rsidRDefault="00E70219" w:rsidP="00F04FC5">
      <w:pPr>
        <w:spacing w:line="360" w:lineRule="auto"/>
        <w:ind w:firstLine="708"/>
        <w:jc w:val="both"/>
      </w:pPr>
      <w:r w:rsidRPr="00FE61B7">
        <w:t xml:space="preserve">Il faut bien noter la couleur de la peau de Bethsabée. Même si elle est n’est pas tout à fait blanche, il faut comprendre qu’elle est blanche et que ce fait est accentué par la nudité de ce personnage. Jusqu’à maintenant, nous avons porté notre regard surtout sur les vêtements des personnages sauf pour le cas de Balthazar. Comme nous avons pu le voir dans le dernier cas, la peau ne doit pas être mise de côté quand on analyse les couleurs. Marie José </w:t>
      </w:r>
      <w:proofErr w:type="spellStart"/>
      <w:r w:rsidRPr="00FE61B7">
        <w:t>Palla</w:t>
      </w:r>
      <w:proofErr w:type="spellEnd"/>
      <w:r w:rsidRPr="00FE61B7">
        <w:t xml:space="preserve"> abonde dans ce sens quand elle écrit : « La couleur de la peau entre pour autant que celle du vêtement dans un ensemble de significations nous renseignant aussi bien sur l’état de santé, la position sociale, les émotions ou l’humeur d’un personnage »</w:t>
      </w:r>
      <w:r w:rsidRPr="00FE61B7">
        <w:rPr>
          <w:rStyle w:val="Appelnotedebasdep"/>
        </w:rPr>
        <w:footnoteReference w:id="134"/>
      </w:r>
      <w:r w:rsidRPr="00FE61B7">
        <w:t>. On portera ainsi une attention particulière à la couleur de la peau de Bethsabée quand on analysera la symbolique des couleurs dans cette image. Habituellement, pour ce thème iconographique, Bethsabée se baigne dans un bain dans un palais</w:t>
      </w:r>
      <w:r w:rsidR="002726FC" w:rsidRPr="00FE61B7">
        <w:t>,</w:t>
      </w:r>
      <w:r w:rsidRPr="00FE61B7">
        <w:t xml:space="preserve"> mais, ici, elle se trouve dans la nature verdoyante. Nous verrons également que cette végétation possède une importance symbolique. David, sur la terrasse, est habillé de rouge. Dans la bordure, on retrouve le jardin habituel avec de l’or en arrière-plan. Il y a aussi deux créatures multicolores dites chimériques selon le vocabulaire de Pastoureau.</w:t>
      </w:r>
    </w:p>
    <w:p w:rsidR="00E70219" w:rsidRPr="00FE61B7" w:rsidRDefault="00E70219" w:rsidP="00F04FC5">
      <w:pPr>
        <w:spacing w:line="360" w:lineRule="auto"/>
        <w:ind w:firstLine="708"/>
        <w:jc w:val="both"/>
      </w:pPr>
      <w:r w:rsidRPr="00FE61B7">
        <w:t xml:space="preserve">Pour comprendre les </w:t>
      </w:r>
      <w:r w:rsidR="00164A87">
        <w:t>significations</w:t>
      </w:r>
      <w:r w:rsidRPr="00FE61B7">
        <w:t xml:space="preserve"> de cette enluminure, nous devons connaître l’historique entre Bethsabée et David. Ce dernier se promène et aperçoit Bethsabée au </w:t>
      </w:r>
      <w:r w:rsidR="007E1E10" w:rsidRPr="00FE61B7">
        <w:t>bain. Il l’invite auprès de lui alors qu’</w:t>
      </w:r>
      <w:r w:rsidRPr="00FE61B7">
        <w:t>elle est déjà mariée. Il a bien évidemment des relations avec</w:t>
      </w:r>
      <w:r w:rsidR="007E1E10" w:rsidRPr="00FE61B7">
        <w:t xml:space="preserve"> elle et une grossesse s’en suit</w:t>
      </w:r>
      <w:r w:rsidRPr="00FE61B7">
        <w:t xml:space="preserve">. David a demandé par la suite à </w:t>
      </w:r>
      <w:proofErr w:type="spellStart"/>
      <w:r w:rsidRPr="00FE61B7">
        <w:t>Urie</w:t>
      </w:r>
      <w:proofErr w:type="spellEnd"/>
      <w:r w:rsidRPr="00FE61B7">
        <w:t xml:space="preserve"> de revenir de la guerre et d’aller se reposer chez lui dans le but que ce dernier ait des relations avec sa femme. Mais, il a refusé à cause de sa conscience qui lui dictait qu’il ne pouvait quitter ses compagnons de guerre. Finalement, David a ordonné qu’</w:t>
      </w:r>
      <w:proofErr w:type="spellStart"/>
      <w:r w:rsidRPr="00FE61B7">
        <w:t>Urie</w:t>
      </w:r>
      <w:proofErr w:type="spellEnd"/>
      <w:r w:rsidRPr="00FE61B7">
        <w:t xml:space="preserve"> soit placé en première ligne à l’endroit le plus dangereux afin de mourir, ce qui s’est produit. Une fois la période de deuil de Bethsabée terminée, elle s’est mariée au roi David et ils eurent un fils ensemble. De ce fait, Dieu fut mécontent de ces évènements et il a envoyé le prophète Nathan avertir le roi qu’il avait gravement péché et que son fils allait mourir à cause de cela. Malgré une période de pénitence, l’enfant tomba malade et, </w:t>
      </w:r>
      <w:r w:rsidRPr="00FE61B7">
        <w:lastRenderedPageBreak/>
        <w:t>après une semaine, il mourut. À travers ce récit, on peut facilement saisir la symbolique des couleurs se trouvant dans cette image.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2" w:name="_Toc401478223"/>
      <w:r w:rsidRPr="00FE61B7">
        <w:rPr>
          <w:rFonts w:ascii="Times New Roman" w:hAnsi="Times New Roman" w:cs="Times New Roman"/>
          <w:b w:val="0"/>
          <w:i/>
          <w:color w:val="auto"/>
          <w:u w:val="single"/>
        </w:rPr>
        <w:t>Bethsabée, la blanche</w:t>
      </w:r>
      <w:bookmarkEnd w:id="42"/>
    </w:p>
    <w:p w:rsidR="00E70219" w:rsidRPr="00FE61B7" w:rsidRDefault="00E70219" w:rsidP="00F04FC5">
      <w:pPr>
        <w:spacing w:line="360" w:lineRule="auto"/>
        <w:ind w:firstLine="708"/>
        <w:jc w:val="both"/>
      </w:pPr>
      <w:r w:rsidRPr="00FE61B7">
        <w:t xml:space="preserve"> Il en a déjà été question lorsqu’on discutait de la symbolique de la couleur or qui est considérée comme plus blanche que blanche, mais, dans cette enluminure, nous analyserons d’autres aspects attachés plus particulièrement au blanc qu’à l’or. Ici, il faut considérer Bethsabée comme complètement blanche à cause de sa nudité et de sa pâleur. Le dictionnaire des symboles de Chevalier et de </w:t>
      </w:r>
      <w:proofErr w:type="spellStart"/>
      <w:r w:rsidRPr="00FE61B7">
        <w:t>Gheerbrant</w:t>
      </w:r>
      <w:proofErr w:type="spellEnd"/>
      <w:r w:rsidRPr="00FE61B7">
        <w:t xml:space="preserve"> confirme le fait qu’il s’agit de la couleur de pureté et de la virginité. Même encore aujourd’hui, la </w:t>
      </w:r>
      <w:r w:rsidR="00164A87">
        <w:t xml:space="preserve">signification </w:t>
      </w:r>
      <w:r w:rsidRPr="00FE61B7">
        <w:t xml:space="preserve">positive de cette couleur reste inchangée. On peut penser à la Vierge Marie, habillée de bleu pendant le Bas Moyen Âge, qui commence à être vêtue de blanc plus on se rapproche de l’époque contemporaine. À partir du moment de l’acceptation en 1854 du concept de l’Immaculée Conception par la bulle </w:t>
      </w:r>
      <w:proofErr w:type="spellStart"/>
      <w:r w:rsidRPr="00FE61B7">
        <w:rPr>
          <w:bCs/>
          <w:i/>
          <w:shd w:val="clear" w:color="auto" w:fill="FFFFFF"/>
        </w:rPr>
        <w:t>Ineffabilis</w:t>
      </w:r>
      <w:proofErr w:type="spellEnd"/>
      <w:r w:rsidRPr="00FE61B7">
        <w:rPr>
          <w:bCs/>
          <w:i/>
          <w:shd w:val="clear" w:color="auto" w:fill="FFFFFF"/>
        </w:rPr>
        <w:t xml:space="preserve"> Deus</w:t>
      </w:r>
      <w:r w:rsidRPr="00FE61B7">
        <w:rPr>
          <w:rStyle w:val="apple-converted-space"/>
          <w:shd w:val="clear" w:color="auto" w:fill="FFFFFF"/>
        </w:rPr>
        <w:t> de Pie IX</w:t>
      </w:r>
      <w:r w:rsidRPr="00FE61B7">
        <w:t>, elle est presque toujours habil</w:t>
      </w:r>
      <w:r w:rsidR="007E1E10" w:rsidRPr="00FE61B7">
        <w:t xml:space="preserve">lée de blanc puisqu’elle a été purgée </w:t>
      </w:r>
      <w:r w:rsidRPr="00FE61B7">
        <w:t>du péché originel</w:t>
      </w:r>
      <w:r w:rsidR="007E1E10" w:rsidRPr="00FE61B7">
        <w:rPr>
          <w:rStyle w:val="Appelnotedebasdep"/>
        </w:rPr>
        <w:footnoteReference w:id="135"/>
      </w:r>
      <w:r w:rsidRPr="00FE61B7">
        <w:t xml:space="preserve">. Une Marie blanche est vierge et pure. Des contemporains confirment également quelles symboliques sont attachées à la couleur blanche. Christel Meier discute justement de ce fait quand elle écrit au sujet des couleurs liturgiques qui devraient être utilisées selon Innocent III : « On the </w:t>
      </w:r>
      <w:proofErr w:type="spellStart"/>
      <w:r w:rsidRPr="00FE61B7">
        <w:t>authority</w:t>
      </w:r>
      <w:proofErr w:type="spellEnd"/>
      <w:r w:rsidRPr="00FE61B7">
        <w:t xml:space="preserve"> of Innocent, the four principal </w:t>
      </w:r>
      <w:proofErr w:type="spellStart"/>
      <w:r w:rsidRPr="00FE61B7">
        <w:t>colours</w:t>
      </w:r>
      <w:proofErr w:type="spellEnd"/>
      <w:r w:rsidRPr="00FE61B7">
        <w:t xml:space="preserve"> are white, </w:t>
      </w:r>
      <w:proofErr w:type="spellStart"/>
      <w:r w:rsidRPr="00FE61B7">
        <w:t>red</w:t>
      </w:r>
      <w:proofErr w:type="spellEnd"/>
      <w:r w:rsidRPr="00FE61B7">
        <w:t xml:space="preserve">, black and green. </w:t>
      </w:r>
      <w:r w:rsidRPr="00AC0AF7">
        <w:rPr>
          <w:lang w:val="en-CA"/>
        </w:rPr>
        <w:t>[…</w:t>
      </w:r>
      <w:r w:rsidR="00F23E7C">
        <w:rPr>
          <w:lang w:val="en-CA"/>
        </w:rPr>
        <w:t xml:space="preserve"> </w:t>
      </w:r>
      <w:r w:rsidRPr="00AC0AF7">
        <w:rPr>
          <w:lang w:val="en-CA"/>
        </w:rPr>
        <w:t xml:space="preserve">] </w:t>
      </w:r>
      <w:proofErr w:type="gramStart"/>
      <w:r w:rsidRPr="00AC0AF7">
        <w:rPr>
          <w:lang w:val="en-CA"/>
        </w:rPr>
        <w:t>apart</w:t>
      </w:r>
      <w:proofErr w:type="gramEnd"/>
      <w:r w:rsidRPr="00AC0AF7">
        <w:rPr>
          <w:lang w:val="en-CA"/>
        </w:rPr>
        <w:t xml:space="preserve"> from the high </w:t>
      </w:r>
      <w:proofErr w:type="spellStart"/>
      <w:r w:rsidRPr="00AC0AF7">
        <w:rPr>
          <w:lang w:val="en-CA"/>
        </w:rPr>
        <w:t>christological</w:t>
      </w:r>
      <w:proofErr w:type="spellEnd"/>
      <w:r w:rsidRPr="00AC0AF7">
        <w:rPr>
          <w:lang w:val="en-CA"/>
        </w:rPr>
        <w:t xml:space="preserve"> feasts, white belongs to confessors and virgins »</w:t>
      </w:r>
      <w:r w:rsidRPr="00FE61B7">
        <w:rPr>
          <w:rStyle w:val="Appelnotedebasdep"/>
        </w:rPr>
        <w:footnoteReference w:id="136"/>
      </w:r>
      <w:r w:rsidRPr="00AC0AF7">
        <w:rPr>
          <w:lang w:val="en-CA"/>
        </w:rPr>
        <w:t xml:space="preserve">. </w:t>
      </w:r>
      <w:r w:rsidRPr="00FE61B7">
        <w:t>Nous avons déjà parlé de la querelle entre Bernard et de Clairvaux et Pierre le Vénérable à propos de leurs habits monastiques. Bernard critiquait vivement Cluny quant à son utilisation excessive des couleurs. Il appelait cela la « </w:t>
      </w:r>
      <w:proofErr w:type="spellStart"/>
      <w:r w:rsidRPr="00FE61B7">
        <w:rPr>
          <w:i/>
        </w:rPr>
        <w:t>Caecitas</w:t>
      </w:r>
      <w:proofErr w:type="spellEnd"/>
      <w:r w:rsidRPr="00FE61B7">
        <w:rPr>
          <w:i/>
        </w:rPr>
        <w:t xml:space="preserve"> </w:t>
      </w:r>
      <w:proofErr w:type="spellStart"/>
      <w:r w:rsidRPr="00FE61B7">
        <w:rPr>
          <w:i/>
        </w:rPr>
        <w:t>colorum</w:t>
      </w:r>
      <w:proofErr w:type="spellEnd"/>
      <w:r w:rsidRPr="00FE61B7">
        <w:t> » (Cécité des couleurs)</w:t>
      </w:r>
      <w:r w:rsidRPr="00FE61B7">
        <w:rPr>
          <w:rStyle w:val="Appelnotedebasdep"/>
        </w:rPr>
        <w:footnoteReference w:id="137"/>
      </w:r>
      <w:r w:rsidRPr="00FE61B7">
        <w:t>. Pastoureau éclaircit la position de Bernard quand il écrit : « La couleur n’éclaire pas, elle obscurcit, elle étend la part des ténèbres, elle est suffocante, elle est diabolique. Le beau, le clair, le divin, qui sont tous trois émergences hors des opacités, doivent se détourner de la couleur et plus encore des couleurs »</w:t>
      </w:r>
      <w:r w:rsidRPr="00FE61B7">
        <w:rPr>
          <w:rStyle w:val="Appelnotedebasdep"/>
        </w:rPr>
        <w:footnoteReference w:id="138"/>
      </w:r>
      <w:r w:rsidRPr="00FE61B7">
        <w:t xml:space="preserve">. D’où sa préférence pour le blanc ou, plutôt, pour ce qui n’est pas coloré puisque chaque objet non </w:t>
      </w:r>
      <w:r w:rsidRPr="00FE61B7">
        <w:lastRenderedPageBreak/>
        <w:t>coloré est plus proche de sa vraie nature et de la pureté originelle. En ce qui a trait à la virginité, on comprend facilement le lien entre une vierge et la pureté. La virginité est le symbole par excellence de la pureté du corps. Pour Bethsabée, il était fort probable qu’elle n’était pas vierge au moment des évènements de cette enluminure étant donné qu’elle avait un mari. Cependant, comme il l’est expliqué dans la Bible, «</w:t>
      </w:r>
      <w:r w:rsidR="004972DD" w:rsidRPr="00FE61B7">
        <w:t> </w:t>
      </w:r>
      <w:r w:rsidRPr="00FE61B7">
        <w:t>elle venait de se purifier à la suite de ses règles »</w:t>
      </w:r>
      <w:r w:rsidRPr="00FE61B7">
        <w:rPr>
          <w:rStyle w:val="Appelnotedebasdep"/>
        </w:rPr>
        <w:footnoteReference w:id="139"/>
      </w:r>
      <w:r w:rsidRPr="00FE61B7">
        <w:t>. Bien qu’elle n’ait pas été vierge, cela ne voulait pas dire qu’elle n’était pas pure. Selon mon avis, la véracité de ce fait est accentuée par la présence de Bethsabée dans une nature verdoyante qui est un autre symbole de simplicité et de pureté. Cette dernière affirmation doit toutefois être nuancée, car, dans ce thème iconographique, Bethsabée est généralement situé dans un des bains du palais et non à l’extérieur de ce celui-ci. En résumé, la peau blanche de Bethsabée symbolise la pureté dans cette image. Attardons-nous maintenant sur le cas du roi David qui est habillé de rouge.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3" w:name="_Toc401478224"/>
      <w:r w:rsidRPr="00FE61B7">
        <w:rPr>
          <w:rFonts w:ascii="Times New Roman" w:hAnsi="Times New Roman" w:cs="Times New Roman"/>
          <w:b w:val="0"/>
          <w:i/>
          <w:color w:val="auto"/>
          <w:u w:val="single"/>
        </w:rPr>
        <w:t>David et la couleur du vice</w:t>
      </w:r>
      <w:bookmarkEnd w:id="43"/>
    </w:p>
    <w:p w:rsidR="00E70219" w:rsidRPr="00FE61B7" w:rsidRDefault="00E70219" w:rsidP="00F04FC5">
      <w:pPr>
        <w:spacing w:line="360" w:lineRule="auto"/>
        <w:jc w:val="both"/>
      </w:pPr>
      <w:r w:rsidRPr="00FE61B7">
        <w:tab/>
        <w:t>Nous avons beaucoup discuté que le rouge représentait le sang versé par le Christ et qu’il représentait le courage. Mais, il ne s’agit pas de la seule symbolique appartenant à cette couleur. Comme l’explique Pastoureau, « toutes les couleurs, en effet, peuvent être prises en bonne ou en mauvaise part. C’est la couleur [rouge] du feu infernal et du visage de Satan »</w:t>
      </w:r>
      <w:r w:rsidRPr="00FE61B7">
        <w:rPr>
          <w:rStyle w:val="Appelnotedebasdep"/>
        </w:rPr>
        <w:footnoteReference w:id="140"/>
      </w:r>
      <w:r w:rsidRPr="00FE61B7">
        <w:t>. On comprend donc pourquoi le roi David est tout vêtu de rouge. Il incarne le vice et le désir. Il veut avoir Bethsabée et il a tout fait pour arriver à ses fins en se débarrassant de son mari. Dans cette enluminure, ce qui est intéressant est que le rouge est utilisé comme un contraire au blanc. Ici, le rouge du vice s’oppose au blanc de la pureté. Cependant, pour le cas de Bethsabée, il faut mettre un bémol quant à la signification de sa couleur puisqu’elle a commis un adultère. La seule hypothèse qui me vient à l’esprit est qu’elle a été obligée à avoir des relations avec le roi David et de le marier par la suite. Cela peut être également faux et elle a peut-être bel et bien commis un adultère.</w:t>
      </w:r>
    </w:p>
    <w:p w:rsidR="00E70219" w:rsidRPr="00FE61B7" w:rsidRDefault="00E70219" w:rsidP="00F04FC5">
      <w:pPr>
        <w:spacing w:line="360" w:lineRule="auto"/>
        <w:jc w:val="both"/>
      </w:pPr>
      <w:r w:rsidRPr="00FE61B7">
        <w:tab/>
        <w:t xml:space="preserve">Pour ce qui est la bordure, on rejoint facilement ce qui a été écrit plus tôt au sujet de l’or. La bordure, avec l’utilisation des couleurs de la triade religieuse, symbolise l’encadrement divin des évènements bibliques. Dans le cas présent, la bordure en or représente le regard attentif de Dieu sur ce qui est sur le point de se produire entre le roi David et Bethsabée. On sait déjà qu’Il désapprouvait et qu’Il allait punir David pour ses gestes envers Bethsabée et son mari. Il s’agit </w:t>
      </w:r>
      <w:r w:rsidRPr="00FE61B7">
        <w:lastRenderedPageBreak/>
        <w:t>probablement, je dis bien probablement, le symbole du désaccord divin des évènements présents dans cette enluminure.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4" w:name="_Toc401478225"/>
      <w:r w:rsidRPr="00FE61B7">
        <w:rPr>
          <w:rFonts w:ascii="Times New Roman" w:hAnsi="Times New Roman" w:cs="Times New Roman"/>
          <w:b w:val="0"/>
          <w:i/>
          <w:color w:val="auto"/>
          <w:u w:val="single"/>
        </w:rPr>
        <w:t>Les créatures chimériques</w:t>
      </w:r>
      <w:bookmarkEnd w:id="44"/>
    </w:p>
    <w:p w:rsidR="00E70219" w:rsidRPr="00FE61B7" w:rsidRDefault="00E70219" w:rsidP="00F04FC5">
      <w:pPr>
        <w:spacing w:line="360" w:lineRule="auto"/>
        <w:jc w:val="both"/>
      </w:pPr>
      <w:r w:rsidRPr="00FE61B7">
        <w:tab/>
        <w:t xml:space="preserve">Dans la bordure, on retrouve des créatures qu’on appelle des chimères. Comme l’explique Pastoureau, mise à part la chimère que beaucoup de personnes connaissent déjà (créature avec une tête de lion, un corps de chèvre et une queue de serpent), elles sont très difficiles à identifier, voire impossibles, tant les possibilités sont nombreuses. Par contre, si on se fie aux conceptions culturelles sur le rôle des gens, on sait qu’ils détestaient les choses ou les êtres possédant plusieurs natures. </w:t>
      </w:r>
      <w:r w:rsidR="00B50E85" w:rsidRPr="00FE61B7">
        <w:t>Si nous nous</w:t>
      </w:r>
      <w:r w:rsidRPr="00FE61B7">
        <w:t xml:space="preserve"> f</w:t>
      </w:r>
      <w:r w:rsidR="00B50E85" w:rsidRPr="00FE61B7">
        <w:t>ions</w:t>
      </w:r>
      <w:r w:rsidRPr="00FE61B7">
        <w:t xml:space="preserve"> au poème au roi Robert d’</w:t>
      </w:r>
      <w:proofErr w:type="spellStart"/>
      <w:r w:rsidRPr="00FE61B7">
        <w:t>Aldabéron</w:t>
      </w:r>
      <w:proofErr w:type="spellEnd"/>
      <w:r w:rsidRPr="00FE61B7">
        <w:t xml:space="preserve"> de Laon dans lequel l’auteur séparait la société médiévale en trois ordres distincts : les </w:t>
      </w:r>
      <w:proofErr w:type="spellStart"/>
      <w:r w:rsidRPr="00FE61B7">
        <w:rPr>
          <w:i/>
        </w:rPr>
        <w:t>oratores</w:t>
      </w:r>
      <w:proofErr w:type="spellEnd"/>
      <w:r w:rsidRPr="00FE61B7">
        <w:t xml:space="preserve">, les </w:t>
      </w:r>
      <w:proofErr w:type="spellStart"/>
      <w:r w:rsidRPr="00FE61B7">
        <w:rPr>
          <w:i/>
        </w:rPr>
        <w:t>bellatores</w:t>
      </w:r>
      <w:proofErr w:type="spellEnd"/>
      <w:r w:rsidRPr="00FE61B7">
        <w:t xml:space="preserve"> et les </w:t>
      </w:r>
      <w:proofErr w:type="spellStart"/>
      <w:r w:rsidRPr="00FE61B7">
        <w:rPr>
          <w:i/>
        </w:rPr>
        <w:t>laboratores</w:t>
      </w:r>
      <w:proofErr w:type="spellEnd"/>
      <w:r w:rsidR="00B50E85" w:rsidRPr="00FE61B7">
        <w:t>, nous comprenons justement que des êtres sortant de l’ordinaire ne pouvaient pas être très populaires et aimés</w:t>
      </w:r>
      <w:r w:rsidRPr="00FE61B7">
        <w:t xml:space="preserve">. </w:t>
      </w:r>
      <w:r w:rsidR="00B50E85" w:rsidRPr="00FE61B7">
        <w:t>L</w:t>
      </w:r>
      <w:r w:rsidRPr="00FE61B7">
        <w:t xml:space="preserve">es créatures </w:t>
      </w:r>
      <w:r w:rsidR="00B50E85" w:rsidRPr="00FE61B7">
        <w:t xml:space="preserve">présentent dans ce livre d’Heures </w:t>
      </w:r>
      <w:r w:rsidRPr="00FE61B7">
        <w:t xml:space="preserve">possèdent </w:t>
      </w:r>
      <w:r w:rsidR="00B50E85" w:rsidRPr="00FE61B7">
        <w:t xml:space="preserve">justement </w:t>
      </w:r>
      <w:r w:rsidRPr="00FE61B7">
        <w:t xml:space="preserve">des membres de différents animaux, elles ont également plusieurs couleurs différentes sur leur corps. </w:t>
      </w:r>
      <w:r w:rsidR="00B50E85" w:rsidRPr="00FE61B7">
        <w:t>Pour ces raisons, i</w:t>
      </w:r>
      <w:r w:rsidRPr="00FE61B7">
        <w:t>l est clair à mon sens qu’elles sont mal vues par la société médiévale</w:t>
      </w:r>
      <w:r w:rsidR="00B50E85" w:rsidRPr="00FE61B7">
        <w:t xml:space="preserve"> à cause qu’elles sont des déviances et des abominations de la nature créée par Dieu.</w:t>
      </w:r>
    </w:p>
    <w:p w:rsidR="00E70219" w:rsidRPr="00FE61B7" w:rsidRDefault="00E70219" w:rsidP="00F04FC5">
      <w:pPr>
        <w:pStyle w:val="Titre2"/>
        <w:spacing w:line="360" w:lineRule="auto"/>
        <w:jc w:val="both"/>
        <w:rPr>
          <w:rFonts w:ascii="Times New Roman" w:hAnsi="Times New Roman" w:cs="Times New Roman"/>
          <w:color w:val="auto"/>
          <w:sz w:val="24"/>
          <w:szCs w:val="24"/>
        </w:rPr>
      </w:pPr>
      <w:bookmarkStart w:id="45" w:name="_Toc401478226"/>
      <w:r w:rsidRPr="00FE61B7">
        <w:rPr>
          <w:rFonts w:ascii="Times New Roman" w:hAnsi="Times New Roman" w:cs="Times New Roman"/>
          <w:color w:val="auto"/>
          <w:sz w:val="24"/>
          <w:szCs w:val="24"/>
        </w:rPr>
        <w:t>Saint Michel contre le Diable</w:t>
      </w:r>
      <w:bookmarkEnd w:id="45"/>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6" w:name="_Toc401478227"/>
      <w:r w:rsidRPr="00FE61B7">
        <w:rPr>
          <w:rFonts w:ascii="Times New Roman" w:hAnsi="Times New Roman" w:cs="Times New Roman"/>
          <w:b w:val="0"/>
          <w:i/>
          <w:color w:val="auto"/>
          <w:u w:val="single"/>
        </w:rPr>
        <w:t>Description</w:t>
      </w:r>
      <w:bookmarkEnd w:id="46"/>
    </w:p>
    <w:p w:rsidR="00E70219" w:rsidRPr="00FE61B7" w:rsidRDefault="00E70219" w:rsidP="00F04FC5">
      <w:pPr>
        <w:spacing w:line="360" w:lineRule="auto"/>
        <w:ind w:firstLine="708"/>
        <w:jc w:val="both"/>
      </w:pPr>
      <w:r w:rsidRPr="00FE61B7">
        <w:t xml:space="preserve">La dernière image que j’ai choisie pour ce mémoire est celle de l’archange saint Michel. Elle introduit une prière qui est suffrage destiné à ce saint. Il existe de nombreux thèmes iconographiques liés à la personne de saint Michel. Celui qui est présent dans ce livre d’Heures du maître de Jean d’Albret est la représentation de l’archange terrassant un être qui est souvent Satan dessiné comme un dragon. Ce thème possède une forte symbolique liée au triomphe des forces du bien contre celles du mal. </w:t>
      </w:r>
      <w:proofErr w:type="spellStart"/>
      <w:r w:rsidRPr="00FE61B7">
        <w:t>Duchet-Suchaux</w:t>
      </w:r>
      <w:proofErr w:type="spellEnd"/>
      <w:r w:rsidRPr="00FE61B7">
        <w:t xml:space="preserve"> et Pastoureau écrivent au sujet de ce personnage : </w:t>
      </w:r>
    </w:p>
    <w:p w:rsidR="00E70219" w:rsidRPr="00FE61B7" w:rsidRDefault="00E70219" w:rsidP="00F04FC5">
      <w:pPr>
        <w:spacing w:line="360" w:lineRule="auto"/>
        <w:ind w:left="1134" w:right="1134"/>
        <w:jc w:val="both"/>
        <w:rPr>
          <w:sz w:val="20"/>
          <w:szCs w:val="20"/>
        </w:rPr>
      </w:pPr>
      <w:r w:rsidRPr="00FE61B7">
        <w:rPr>
          <w:sz w:val="20"/>
          <w:szCs w:val="20"/>
        </w:rPr>
        <w:t xml:space="preserve">Archange. Michel est aussi chef de la milice céleste et défenseur de l’Église. À ce titre, il combat contre les anges rebelles et contre le dragon de l’Apocalypse. Il est en outre psychopompe, c’est-à-dire qu’il conduit les morts et qu’il pèse les âmes le jour du Jugement dernier. […] En Occident, le culte de saint Michel commence à se développer </w:t>
      </w:r>
      <w:r w:rsidRPr="00FE61B7">
        <w:rPr>
          <w:sz w:val="20"/>
          <w:szCs w:val="20"/>
        </w:rPr>
        <w:lastRenderedPageBreak/>
        <w:t>à partir du V</w:t>
      </w:r>
      <w:r w:rsidRPr="00FE61B7">
        <w:rPr>
          <w:sz w:val="20"/>
          <w:szCs w:val="20"/>
          <w:vertAlign w:val="superscript"/>
        </w:rPr>
        <w:t>e</w:t>
      </w:r>
      <w:r w:rsidRPr="00FE61B7">
        <w:rPr>
          <w:sz w:val="20"/>
          <w:szCs w:val="20"/>
        </w:rPr>
        <w:t xml:space="preserve"> et VI</w:t>
      </w:r>
      <w:r w:rsidRPr="00FE61B7">
        <w:rPr>
          <w:sz w:val="20"/>
          <w:szCs w:val="20"/>
          <w:vertAlign w:val="superscript"/>
        </w:rPr>
        <w:t>e</w:t>
      </w:r>
      <w:r w:rsidRPr="00FE61B7">
        <w:rPr>
          <w:sz w:val="20"/>
          <w:szCs w:val="20"/>
        </w:rPr>
        <w:t xml:space="preserve"> siècles d’abord en Italie et en France, puis en Allemagne et dans toute la Chrétienté</w:t>
      </w:r>
      <w:r w:rsidRPr="00FE61B7">
        <w:rPr>
          <w:rStyle w:val="Appelnotedebasdep"/>
          <w:sz w:val="20"/>
          <w:szCs w:val="20"/>
        </w:rPr>
        <w:footnoteReference w:id="141"/>
      </w:r>
      <w:r w:rsidRPr="00FE61B7">
        <w:rPr>
          <w:sz w:val="20"/>
          <w:szCs w:val="20"/>
        </w:rPr>
        <w:t>.</w:t>
      </w:r>
    </w:p>
    <w:p w:rsidR="00E70219" w:rsidRPr="00FE61B7" w:rsidRDefault="00E70219" w:rsidP="00F04FC5">
      <w:pPr>
        <w:spacing w:line="360" w:lineRule="auto"/>
        <w:jc w:val="both"/>
      </w:pPr>
      <w:r w:rsidRPr="00FE61B7">
        <w:t>D’après cette affirmation, on comprend pourquoi saint Michel combat Satan dans cette enluminure. Son principal rôle est de défendre l’Église contre le mal. D’ailleurs, quand on analyse les couleurs de cette image, on observe justement une dichotomie marquée entre les couleurs de l’habillement de saint Michel, représentant du Bien, et celles du corps de Satan, incarnation du Mal.</w:t>
      </w:r>
    </w:p>
    <w:p w:rsidR="00E70219" w:rsidRPr="00FE61B7" w:rsidRDefault="00E70219" w:rsidP="00F04FC5">
      <w:pPr>
        <w:spacing w:line="360" w:lineRule="auto"/>
        <w:jc w:val="both"/>
      </w:pPr>
      <w:r w:rsidRPr="00FE61B7">
        <w:tab/>
        <w:t>Dans cette enluminure, on retrouve saint Michel habillé de sa traditionnelle armure qui est ici complètement noire. Il possède une cape rouge et des ailes bleues. Il ne faut pas oublier son épée et son bouclier qui sont également tous les deux en noir. Pour le cas de Satan, il a la forme d’un dragon roux et ligné. Le fait qu’il soit ligné possède une importance implicite dans la symbolique des couleurs, mais il serait tout de même intéressant d’en discuter. Pour ce qui est de la bordure, on remarque qu’elle est complètement remplie et colorée de bleu et de rouge.</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7" w:name="_Toc401478228"/>
      <w:r w:rsidRPr="00FE61B7">
        <w:rPr>
          <w:rFonts w:ascii="Times New Roman" w:hAnsi="Times New Roman" w:cs="Times New Roman"/>
          <w:b w:val="0"/>
          <w:i/>
          <w:color w:val="auto"/>
          <w:u w:val="single"/>
        </w:rPr>
        <w:t>Les couleurs de saint Michel</w:t>
      </w:r>
      <w:bookmarkEnd w:id="47"/>
    </w:p>
    <w:p w:rsidR="00E70219" w:rsidRPr="00FE61B7" w:rsidRDefault="00E70219" w:rsidP="00F04FC5">
      <w:pPr>
        <w:spacing w:line="360" w:lineRule="auto"/>
        <w:jc w:val="both"/>
      </w:pPr>
      <w:r w:rsidRPr="00FE61B7">
        <w:tab/>
        <w:t xml:space="preserve">En premier, j’aimerais m’intéresser aux ailes de l’archange saint Michel. Il ne fait aucun doute qu’elle représente son rôle de messager céleste puisqu’il est un ange et le bleu accentue la fiabilité de ce fait. J’ai déjà discuté du bleu marial et nous avons vu que cette couleur pouvait symboliser plusieurs choses à la fin du Moyen Âge. La </w:t>
      </w:r>
      <w:r w:rsidR="00164A87">
        <w:t>signification</w:t>
      </w:r>
      <w:r w:rsidRPr="00FE61B7">
        <w:t xml:space="preserve"> importante ici liée au bleu de la Vierge Marie est celle de son rôle d’intermédiaire et de messagère. Une grande partie de la population européenne pensait que Dieu et Jésus étaient trop importants pour eux et que leurs différentes prières n’étaient probablement pas entendues par eux. La Vierge Marie est donc devenue la messagère par excellence. Ainsi, le bleu sur les ailes de l’archange saint Michel crée un fort symbole impliquant son rôle de messager divin. D’ailleurs, tous les autres anges présents dans ce livre d’Heures du maître de Jean d’Albret possèdent des ailes bleues. La seule exception se trouve dans l’enluminure du folio 55 qui représente le couronnement de la Vierge. L’ange qui est à droite de la mère du Christ possède des ailes vertes. Je ne crois pas que ces ailes possèdent une valeur symbolique. Il s’agit plutôt d’un choix stylistique puisque, en arrière-plan, on retrouve une grande assemblée d’anges assistant à la cérémonie et ils sont tous sans exception entièrement </w:t>
      </w:r>
      <w:r w:rsidRPr="00FE61B7">
        <w:lastRenderedPageBreak/>
        <w:t xml:space="preserve">bleus. Si les ailes de l’ange en avant plan avaient été de cette couleur, elles auraient disparu dans la couleur en arrière-plan. Encore, dans les premières enluminures, celles des évangélistes, deux </w:t>
      </w:r>
      <w:proofErr w:type="spellStart"/>
      <w:r w:rsidRPr="00FE61B7">
        <w:t>tétramorphes</w:t>
      </w:r>
      <w:proofErr w:type="spellEnd"/>
      <w:r w:rsidRPr="00FE61B7">
        <w:t xml:space="preserve"> sur quatre ont des ailes bleues. Je parle ici de l’homme ailé de Mathieu et du bœuf de Luc. Les </w:t>
      </w:r>
      <w:proofErr w:type="spellStart"/>
      <w:r w:rsidRPr="00FE61B7">
        <w:t>tétramorphes</w:t>
      </w:r>
      <w:proofErr w:type="spellEnd"/>
      <w:r w:rsidRPr="00FE61B7">
        <w:t xml:space="preserve"> symbolisent tous la transmission de la parole de Dieu aux évangélistes. Ils sont les messagers qui ont permis l’écriture de la Bible. Le cas de Jean est différent puisqu’il s’agit déjà d’un animal ailé : l’aigle. Peindre cet oiseau en bleu aurait été un pauvre choix stylistique. Habituellement, l’aigle est en or puisqu’il représente non seulement un messager</w:t>
      </w:r>
      <w:r w:rsidR="002726FC" w:rsidRPr="00FE61B7">
        <w:t>,</w:t>
      </w:r>
      <w:r w:rsidRPr="00FE61B7">
        <w:t xml:space="preserve"> mais aussi le Christ lui-même ainsi que sa royauté dans le ciel.</w:t>
      </w:r>
    </w:p>
    <w:p w:rsidR="00E70219" w:rsidRPr="00FE61B7" w:rsidRDefault="00E70219" w:rsidP="00F04FC5">
      <w:pPr>
        <w:spacing w:line="360" w:lineRule="auto"/>
        <w:jc w:val="both"/>
      </w:pPr>
      <w:r w:rsidRPr="00FE61B7">
        <w:tab/>
        <w:t>Deuxièmement, la cape rouge possède également une importance. Il ne fait aucun doute que la symbolique du rouge de cette cape est liée à la personne du Christ. J’ai justement déjà écrit sur le sujet que cette couleur symbolisait force et courage à la fin du Moyen Âge. On peut facilement attacher ces faits à saint Michel étant un saint militaire. Il est un guerrier et le général en chef de l’armée paradisiaque. Son rôle est de combattre les forces du mal comme on peut justement le remarquer dans cette enluminure. En plus, il n’est pas rare de voir du rouge sur les vêtements des autres saints. Évidemment, dans ce cas-ci, saint Michel fait exception. Il s’agit d’un archange, un être surpuissant qui doit quand même faire preuve de courage pour combattre Satan, mais, dans beaucoup d’autres cas, les saints sont de simples humains qui ont accompli tout de même de grandes choses ou affronté de terribles atrocités avec courage. Dans ce livre d’Heures, nous pouvons penser à sainte Catherine d’Alexandrie, présente dans l’enluminure du folio 125v, qui a subi le supplice de la roue dentée. Par miracle, le mécanisme fut brisé par son corps. Elle fut cependant décapitée par la suite par ordre de l’empereur romain Maxence. Encore, au folio 123, on retrouve saint Antoine l’ermite qui a été tenté par le Diable pendant toute sa vie. Sans oublier sainte Barbe qui a été enfermé dans une tour pour être protégée de la foi chrétienne. Elle fut même torturée pour abjurer ses nouvelles croyances religieuses. Tout comme sainte Catherine, elle fut décapitée. On peut dire la même chose par rapport aux évangélistes qui ont également affronté de nombreux périls afin de répandre la parole de Dieu. En résumé, quand il est question de rouge, autant pour le cas du Christ et des différents saints, il symbolise le courage que ces personnes ont dû trouver relativement aux épreuves qu’elles ont subies et traversées.</w:t>
      </w:r>
    </w:p>
    <w:p w:rsidR="00E70219" w:rsidRPr="00FE61B7" w:rsidRDefault="00E70219" w:rsidP="00F04FC5">
      <w:pPr>
        <w:spacing w:line="360" w:lineRule="auto"/>
        <w:jc w:val="both"/>
      </w:pPr>
      <w:r w:rsidRPr="00FE61B7">
        <w:tab/>
        <w:t xml:space="preserve">En troisième lieu, il sera question de l’armure noire de saint Michel. Cette couleur a subi une évolution historique intéressante. Au départ, le noir est la couleur des ténèbres. Avant que </w:t>
      </w:r>
      <w:r w:rsidRPr="00FE61B7">
        <w:lastRenderedPageBreak/>
        <w:t xml:space="preserve">Dieu crée la lumière, le monde était couvert par l’obscurité. Ainsi, le noir s’est chargé d’une forte symbolique négative liée aux ténèbres. Cette couleur peut toutefois revêtir une signification positive à cause de son ambiguïté. Nous avons déjà parlé que c’est l’habillement des moines bénédictins qui a donné son symbole positif à cette couleur. Leur mode de vie, centré sur l’humilité et la tempérance, est devenu carrément la </w:t>
      </w:r>
      <w:r w:rsidR="00164A87">
        <w:t xml:space="preserve">signification </w:t>
      </w:r>
      <w:r w:rsidRPr="00FE61B7">
        <w:t>positive du noir. Après une certaine période, allant du X</w:t>
      </w:r>
      <w:r w:rsidRPr="00FE61B7">
        <w:rPr>
          <w:vertAlign w:val="superscript"/>
        </w:rPr>
        <w:t>e</w:t>
      </w:r>
      <w:r w:rsidRPr="00FE61B7">
        <w:t xml:space="preserve"> au XIII</w:t>
      </w:r>
      <w:r w:rsidRPr="00FE61B7">
        <w:rPr>
          <w:vertAlign w:val="superscript"/>
        </w:rPr>
        <w:t>e</w:t>
      </w:r>
      <w:r w:rsidRPr="00FE61B7">
        <w:t xml:space="preserve"> siècle, où le noir est plutôt dévalorisé, il redevenait populaire surtout dans l’habillement nobiliaire. Alors, retrouver cette couleur dans un manuscrit datant de la fin du 15</w:t>
      </w:r>
      <w:r w:rsidRPr="00FE61B7">
        <w:rPr>
          <w:vertAlign w:val="superscript"/>
        </w:rPr>
        <w:t>e</w:t>
      </w:r>
      <w:r w:rsidRPr="00FE61B7">
        <w:t xml:space="preserve"> siècle n’est pas une surprise en soi. Encore moins qu’elle soit attachée à la personne de saint Michel qui est le plus important des anges. Mais, on peut se demander pourquoi le noir, signe d’humilité et de tempérance, est présent sur l’armure d’un saint guerrier sur le point de terrasser le Diable. En réalité, cet archange possède un rôle particulier lors des évènements de l’Apocalypse et celui-ci est de juger les âmes des fidèles. Il choisit et guide ceux qui sont dignes d’être amenés au Paradis et ceux qui iront en enfer. On comprend mieux ainsi pourquoi il porte cette couleur sur son armure. Il est l’exemple à suivre pour atteindre le Paradis et les croyants doivent faire preuve d’humilité et de tempérance dans leur vie pour être choisis par lui. Mais, il y a probablement une autre explication plus simple. Comme l’écrit Pastoureau, le noir est devenu très populaire dans l’habillement de nobles. On peut donc avoir mis cette couleur sur son armure tout simplement à cause de son surnom : le prince des Archanges.</w:t>
      </w:r>
    </w:p>
    <w:p w:rsidR="00E70219" w:rsidRPr="00FE61B7" w:rsidRDefault="00E70219" w:rsidP="00F04FC5">
      <w:pPr>
        <w:pStyle w:val="Titre3"/>
        <w:spacing w:line="360" w:lineRule="auto"/>
        <w:jc w:val="both"/>
        <w:rPr>
          <w:rFonts w:ascii="Times New Roman" w:hAnsi="Times New Roman" w:cs="Times New Roman"/>
          <w:b w:val="0"/>
          <w:i/>
          <w:color w:val="auto"/>
          <w:u w:val="single"/>
        </w:rPr>
      </w:pPr>
      <w:bookmarkStart w:id="48" w:name="_Toc401478229"/>
      <w:r w:rsidRPr="00FE61B7">
        <w:rPr>
          <w:rFonts w:ascii="Times New Roman" w:hAnsi="Times New Roman" w:cs="Times New Roman"/>
          <w:b w:val="0"/>
          <w:i/>
          <w:color w:val="auto"/>
          <w:u w:val="single"/>
        </w:rPr>
        <w:t>Satan</w:t>
      </w:r>
      <w:bookmarkEnd w:id="48"/>
    </w:p>
    <w:p w:rsidR="00E70219" w:rsidRPr="00FE61B7" w:rsidRDefault="00E70219" w:rsidP="00F04FC5">
      <w:pPr>
        <w:spacing w:line="360" w:lineRule="auto"/>
        <w:ind w:firstLine="708"/>
        <w:jc w:val="both"/>
      </w:pPr>
      <w:r w:rsidRPr="00FE61B7">
        <w:t xml:space="preserve">Pour le cas de Satan, sa couleur, le roux ou l’orange, est très bien traitée par Pastoureau dans son chapitre « L’homme roux » de son livre </w:t>
      </w:r>
      <w:r w:rsidRPr="00FE61B7">
        <w:rPr>
          <w:i/>
        </w:rPr>
        <w:t>Une histoire symbolique du Moyen Âge occidental</w:t>
      </w:r>
      <w:r w:rsidRPr="00FE61B7">
        <w:t xml:space="preserve">. Il y explique que la couleur des cheveux de Judas est devenue rousse pendant le Moyen Âge. Il dit justement sur ce sujet : </w:t>
      </w:r>
    </w:p>
    <w:p w:rsidR="00E70219" w:rsidRPr="00FE61B7" w:rsidRDefault="00E70219" w:rsidP="00F04FC5">
      <w:pPr>
        <w:spacing w:line="360" w:lineRule="auto"/>
        <w:ind w:left="1134" w:right="1134"/>
        <w:jc w:val="both"/>
        <w:rPr>
          <w:sz w:val="20"/>
          <w:szCs w:val="20"/>
        </w:rPr>
      </w:pPr>
      <w:r w:rsidRPr="00FE61B7">
        <w:rPr>
          <w:sz w:val="20"/>
          <w:szCs w:val="20"/>
        </w:rPr>
        <w:t>Depuis longtemps, en effet, la trahison avait en Occident ses couleurs, ou plutôt sa couleur, celle qui se situe à mi-chemin entre le rouge et le jaune, qui participe de l’aspect négatif de l’une et l’autre et qui, en les réunissant, semble les doter d’une dimension symbolique non pas double</w:t>
      </w:r>
      <w:r w:rsidR="002726FC" w:rsidRPr="00FE61B7">
        <w:rPr>
          <w:sz w:val="20"/>
          <w:szCs w:val="20"/>
        </w:rPr>
        <w:t>,</w:t>
      </w:r>
      <w:r w:rsidRPr="00FE61B7">
        <w:rPr>
          <w:sz w:val="20"/>
          <w:szCs w:val="20"/>
        </w:rPr>
        <w:t xml:space="preserve"> mais exponentielle. Ce mélange du mauvais rouge et du mauvais jaune à peu à voir avec notre </w:t>
      </w:r>
      <w:r w:rsidRPr="00FE61B7">
        <w:rPr>
          <w:i/>
          <w:sz w:val="20"/>
          <w:szCs w:val="20"/>
        </w:rPr>
        <w:t>orangé</w:t>
      </w:r>
      <w:r w:rsidRPr="00FE61B7">
        <w:rPr>
          <w:sz w:val="20"/>
          <w:szCs w:val="20"/>
        </w:rPr>
        <w:t xml:space="preserve">, lequel constitue du reste une nuance et un concept chromatique pratiquement inconnus de la sensibilité médiévale, mais plutôt la </w:t>
      </w:r>
      <w:r w:rsidRPr="00FE61B7">
        <w:rPr>
          <w:sz w:val="20"/>
          <w:szCs w:val="20"/>
        </w:rPr>
        <w:lastRenderedPageBreak/>
        <w:t>version sombre et saturée de celui-ci : le roux, couleur des démons, du goupil, de l’hypocrisie, du mensonge et de la trahison</w:t>
      </w:r>
      <w:r w:rsidRPr="00FE61B7">
        <w:rPr>
          <w:rStyle w:val="Appelnotedebasdep"/>
          <w:sz w:val="20"/>
          <w:szCs w:val="20"/>
        </w:rPr>
        <w:footnoteReference w:id="142"/>
      </w:r>
      <w:r w:rsidRPr="00FE61B7">
        <w:rPr>
          <w:sz w:val="20"/>
          <w:szCs w:val="20"/>
        </w:rPr>
        <w:t>.</w:t>
      </w:r>
    </w:p>
    <w:p w:rsidR="00E70219" w:rsidRPr="00FE61B7" w:rsidRDefault="00E70219" w:rsidP="00F04FC5">
      <w:pPr>
        <w:spacing w:line="360" w:lineRule="auto"/>
        <w:jc w:val="both"/>
      </w:pPr>
      <w:r w:rsidRPr="00FE61B7">
        <w:t xml:space="preserve">Évidemment, Judas n’est pas le seul exemple. Généralement, les traîtres et les fourbes sont des êtres dépeints comme ayant les cheveux roux. Pendant la même période, bon nombre de personnages sont devenus roux dans la littérature. On peut prend exemple sur </w:t>
      </w:r>
      <w:proofErr w:type="spellStart"/>
      <w:r w:rsidRPr="00FE61B7">
        <w:t>Renart</w:t>
      </w:r>
      <w:proofErr w:type="spellEnd"/>
      <w:r w:rsidRPr="00FE61B7">
        <w:t xml:space="preserve"> dans le roman de </w:t>
      </w:r>
      <w:proofErr w:type="spellStart"/>
      <w:r w:rsidRPr="00FE61B7">
        <w:t>Renart</w:t>
      </w:r>
      <w:proofErr w:type="spellEnd"/>
      <w:r w:rsidRPr="00FE61B7">
        <w:t xml:space="preserve">. Roger Bellon explique justement cela dans un des actes d’un colloque du C.U.E.R.M.A. en 1987 : « Certes tous les goupils ont la peau rousse, mais quand on sait à quel point le Moyen Âge se méfiait, pour ne pas dire plus, des rousseaux, on mesure aussitôt de quel poids peut se charger le syntagme </w:t>
      </w:r>
      <w:proofErr w:type="spellStart"/>
      <w:r w:rsidRPr="00FE61B7">
        <w:t>Renart</w:t>
      </w:r>
      <w:proofErr w:type="spellEnd"/>
      <w:r w:rsidRPr="00FE61B7">
        <w:t xml:space="preserve"> li </w:t>
      </w:r>
      <w:proofErr w:type="spellStart"/>
      <w:r w:rsidRPr="00FE61B7">
        <w:t>rous</w:t>
      </w:r>
      <w:proofErr w:type="spellEnd"/>
      <w:r w:rsidRPr="00FE61B7">
        <w:t> »</w:t>
      </w:r>
      <w:r w:rsidRPr="00FE61B7">
        <w:rPr>
          <w:rStyle w:val="Appelnotedebasdep"/>
        </w:rPr>
        <w:footnoteReference w:id="143"/>
      </w:r>
      <w:r w:rsidRPr="00FE61B7">
        <w:t>. Ce dernier personnage est l’image parfaite de l’être roux qui trahit tout le monde. Mais, encore, le roux obtient sa symbolique principalement de sa filiation avec les feux de l’enfer. Nous avons vu plus tôt qu’il existait un mauvais rouge dont la symbolique était liée à celle du roux. Mais, Pastoureau fait une importante distinction. Ce n’est pas parce qu’un personnage est mauvais qu’il est nécessairement roux</w:t>
      </w:r>
      <w:r w:rsidR="002726FC" w:rsidRPr="00FE61B7">
        <w:t>,</w:t>
      </w:r>
      <w:r w:rsidRPr="00FE61B7">
        <w:t xml:space="preserve"> mais, s’il est un rouquin, il est forcément une mauvaise personne. Ce n’est donc pas surprenant de retrouver ici le Diable, symbole du mal à l’état pur, complètement en orange. </w:t>
      </w:r>
    </w:p>
    <w:p w:rsidR="00E70219" w:rsidRPr="00FE61B7" w:rsidRDefault="00E70219" w:rsidP="00F04FC5">
      <w:pPr>
        <w:spacing w:line="360" w:lineRule="auto"/>
        <w:jc w:val="both"/>
      </w:pPr>
      <w:r w:rsidRPr="00FE61B7">
        <w:tab/>
        <w:t>Quand on observe cette image, on remarque justement à quel point les enlumineurs jouaient avec les couleurs pour faire passer des messages. Dans l’enluminure de saint Michel, il est clair qu’il est question du combat du Jugement dernier entre saint Michel et Lucifer. En prenant en compte les dernières analyses que j’ai effectuées, on se rend compte que des couleurs positives affrontent une couleur négative. Si on se fit juste aux couleurs et non aux personnages, on peut comprendre que le bien et le mal sont sur le point de s’affronter. De plus, on voit que le bien l’emportera sur le mal juste en regardant la différence de grandeur entre les deux personnages. Satan est effectivement plus petit que saint Michel. Sans oublier qu’il est probablement en train de le supplier de l’épargner.</w:t>
      </w:r>
    </w:p>
    <w:p w:rsidR="00C12A61" w:rsidRPr="00FE61B7" w:rsidRDefault="00E70219" w:rsidP="00F04FC5">
      <w:pPr>
        <w:spacing w:line="360" w:lineRule="auto"/>
        <w:jc w:val="both"/>
      </w:pPr>
      <w:r w:rsidRPr="00FE61B7">
        <w:tab/>
        <w:t>Pour finir, j’aimerais porter une toute petite attention sur la bordure. J’en ai déjà beaucoup discuté quand il était question de la Vierge Marie et du Christ. La bordure est le symbole de l’encadrement des évènements bibliques par des êtres se trouvant au Paradis. L’association du bleu et du rouge symbolisent ce fait. Je ne veux pas en parler plus puisque le sujet a déjà traité.</w:t>
      </w:r>
    </w:p>
    <w:p w:rsidR="00913F1B" w:rsidRPr="00AC0AF7" w:rsidRDefault="00913F1B" w:rsidP="00F04FC5">
      <w:pPr>
        <w:pStyle w:val="Titre1"/>
        <w:spacing w:line="360" w:lineRule="auto"/>
        <w:jc w:val="both"/>
        <w:rPr>
          <w:rFonts w:ascii="Times New Roman" w:hAnsi="Times New Roman" w:cs="Times New Roman"/>
          <w:color w:val="auto"/>
        </w:rPr>
      </w:pPr>
      <w:bookmarkStart w:id="49" w:name="_Toc401478230"/>
      <w:r w:rsidRPr="00AC0AF7">
        <w:rPr>
          <w:rFonts w:ascii="Times New Roman" w:hAnsi="Times New Roman" w:cs="Times New Roman"/>
          <w:color w:val="auto"/>
        </w:rPr>
        <w:lastRenderedPageBreak/>
        <w:t>Conclusion</w:t>
      </w:r>
      <w:bookmarkEnd w:id="49"/>
    </w:p>
    <w:p w:rsidR="005A26D6" w:rsidRDefault="00913F1B" w:rsidP="00F04FC5">
      <w:pPr>
        <w:spacing w:line="360" w:lineRule="auto"/>
        <w:jc w:val="both"/>
      </w:pPr>
      <w:r w:rsidRPr="00FE61B7">
        <w:tab/>
      </w:r>
      <w:r w:rsidR="007D09B6">
        <w:t>Nous avons vu tout au long de ce mémoire à quel point les couleurs faisaient partie intégrante de la culture au Moyen Âge. Nous avons commencé notre étude par un contexte historique de la situation iconographique. Ce qui en ai</w:t>
      </w:r>
      <w:r w:rsidR="00FA113D">
        <w:t>t</w:t>
      </w:r>
      <w:r w:rsidR="007D09B6">
        <w:t xml:space="preserve"> ressorti est </w:t>
      </w:r>
      <w:r w:rsidR="00FA113D">
        <w:t>jusqu’à q</w:t>
      </w:r>
      <w:r w:rsidR="002B65A1">
        <w:t>uel point l’usage de l’image était</w:t>
      </w:r>
      <w:r w:rsidR="00FA113D">
        <w:t xml:space="preserve"> importante, surtout à la fin du Moyen Âge. On éduque les croyants à travers l</w:t>
      </w:r>
      <w:r w:rsidR="002B65A1">
        <w:t>’iconographie et cela leur donnait</w:t>
      </w:r>
      <w:r w:rsidR="00FA113D">
        <w:t xml:space="preserve"> également une aide pour leur méditation. L’</w:t>
      </w:r>
      <w:r w:rsidR="008130C9">
        <w:t xml:space="preserve">image </w:t>
      </w:r>
      <w:r w:rsidR="00FA113D">
        <w:t>était devenue essentielle à toutes so</w:t>
      </w:r>
      <w:r w:rsidR="008130C9">
        <w:t>rtes de types de vie religieuse que ce soit dans l’architecture, la littérature, l’enluminure ou la peinture</w:t>
      </w:r>
      <w:r w:rsidR="00FA113D">
        <w:t>. Les laïcs n’ont pas</w:t>
      </w:r>
      <w:r w:rsidR="002B65A1">
        <w:t xml:space="preserve"> été insensibles</w:t>
      </w:r>
      <w:r w:rsidR="00FA113D">
        <w:t xml:space="preserve"> à cela et, désireux d’avoir leur propre vie religieuse, de nombreuses nouveautés ont vu le jour grâce à ce groupe de personnes. Le livre d’Heures </w:t>
      </w:r>
      <w:r w:rsidR="008130C9">
        <w:t xml:space="preserve">était une de </w:t>
      </w:r>
      <w:r w:rsidR="00FA113D">
        <w:t>ces innovations religieuses</w:t>
      </w:r>
      <w:r w:rsidR="008130C9">
        <w:t xml:space="preserve"> qui a été plus populaire que la Bible à la fin du Moyen Âge. </w:t>
      </w:r>
      <w:r w:rsidR="007D09B6">
        <w:t>Ce type de doc</w:t>
      </w:r>
      <w:r w:rsidR="002B65A1">
        <w:t>ument qui a été très populaire</w:t>
      </w:r>
      <w:r w:rsidR="007D09B6">
        <w:t xml:space="preserve"> était un choix idéal pour étudier la sensibilité des gens à la couleur. Certes, nous avons analysé la vision d’une seule personne, le maître de Jean d’Albret, ou de son groupe d’artistes</w:t>
      </w:r>
      <w:r w:rsidR="008130C9">
        <w:t>. Cependant, son travail est une parfaite représentation de ce qui avait cours en France. Chaque util</w:t>
      </w:r>
      <w:r w:rsidR="002B65A1">
        <w:t>isation d’une couleur</w:t>
      </w:r>
      <w:r w:rsidR="008130C9">
        <w:t xml:space="preserve"> correspond parfaitement </w:t>
      </w:r>
      <w:r w:rsidR="0096520E">
        <w:t>à une</w:t>
      </w:r>
      <w:r w:rsidR="00164A87">
        <w:t xml:space="preserve"> signification </w:t>
      </w:r>
      <w:r w:rsidR="0096520E">
        <w:t>attachée à celle-ci. Nous avons pu observer cela à travers différentes études. Évidemment, Michel Pastoureau nous a été d’une grande aide dans cette démarche.</w:t>
      </w:r>
      <w:r w:rsidR="00850272">
        <w:t xml:space="preserve"> Bien qu’il s’intéresse généralement aux teintures et à l’héraldique, le lien entre ces derniers domaines d’études et les pigments n’a pas été très difficile à faire. D’ailleurs, quand on étudie la symbolique des couleurs, on remarque que celle-ci est souvent la même dans les différents </w:t>
      </w:r>
      <w:r w:rsidR="002B65A1">
        <w:t>domaines d’études sans oublier qu’i</w:t>
      </w:r>
      <w:r w:rsidR="00FB3516">
        <w:t xml:space="preserve">l </w:t>
      </w:r>
      <w:r w:rsidR="00850272">
        <w:t xml:space="preserve">existe </w:t>
      </w:r>
      <w:r w:rsidR="00FB3516">
        <w:t xml:space="preserve">sûrement </w:t>
      </w:r>
      <w:r w:rsidR="00850272">
        <w:t xml:space="preserve">certaines particularités. </w:t>
      </w:r>
    </w:p>
    <w:p w:rsidR="00913F1B" w:rsidRDefault="00850272" w:rsidP="005A26D6">
      <w:pPr>
        <w:spacing w:line="360" w:lineRule="auto"/>
        <w:ind w:firstLine="708"/>
        <w:jc w:val="both"/>
      </w:pPr>
      <w:r>
        <w:t xml:space="preserve">En résumé, l’or est sans aucun doute la couleur la plus importante de la chrétienté puisqu’il s’agit du symbole divin par excellence. </w:t>
      </w:r>
      <w:r w:rsidR="00FB3516">
        <w:t xml:space="preserve">En même temps, la luxure est attachée à cette couleur et beaucoup ont condamné l’Église pour son utilisation massive d’or dans le déroulement de son culte de la lumière. </w:t>
      </w:r>
      <w:r>
        <w:t xml:space="preserve">Ensuite, le blanc, un sous-or, est la couleur de la virginité et de la pureté. Nous avons pu observer ce fait à travers l’analyse de l’image de Bethsabée. </w:t>
      </w:r>
      <w:r w:rsidR="002C375B">
        <w:t>Lorsqu’une personne porte un vêtement noir, comme les moines d’où la symbolique positi</w:t>
      </w:r>
      <w:r w:rsidR="005D7A47">
        <w:t>ve</w:t>
      </w:r>
      <w:r w:rsidR="002C375B">
        <w:t xml:space="preserve"> de cette couleur provient, on pense tout de suite à simplicité et humilité. Néanmoins, on pense également aux ténèbres en voyant celle-ci. </w:t>
      </w:r>
      <w:r>
        <w:t>Le rouge, couleur de la force, du courage et du sacrifice, convient parfa</w:t>
      </w:r>
      <w:r w:rsidR="005F7F9F">
        <w:t xml:space="preserve">itement à la personne du Christ et à celle des saints. </w:t>
      </w:r>
      <w:r w:rsidR="00FB3516">
        <w:t>Pour son côté négatif, le pêché et l’envie peu</w:t>
      </w:r>
      <w:r w:rsidR="005D7A47">
        <w:t>ven</w:t>
      </w:r>
      <w:r w:rsidR="00FB3516">
        <w:t>t être représenté</w:t>
      </w:r>
      <w:r w:rsidR="005D7A47">
        <w:t>s</w:t>
      </w:r>
      <w:r w:rsidR="00FB3516">
        <w:t xml:space="preserve"> par cette couleur, car le rouge, tout comme le jaune</w:t>
      </w:r>
      <w:r w:rsidR="006F055A">
        <w:t xml:space="preserve"> et l’orange</w:t>
      </w:r>
      <w:r w:rsidR="00FB3516">
        <w:t xml:space="preserve">, peut être également associé au feu de l’enfer. </w:t>
      </w:r>
      <w:r w:rsidR="005A26D6">
        <w:t xml:space="preserve">Pour cette raison, le roi David a été associé à cette </w:t>
      </w:r>
      <w:r w:rsidR="005A26D6">
        <w:lastRenderedPageBreak/>
        <w:t xml:space="preserve">couleur. </w:t>
      </w:r>
      <w:r>
        <w:t>Le bleu symbolise amour, fidélité et loyauté en plus de nous informer que le personnage qui porte cette couleur est généralement un messager divin. Raison pour laquelle la Vierge Marie est habillé</w:t>
      </w:r>
      <w:r w:rsidR="005D7A47">
        <w:t>e</w:t>
      </w:r>
      <w:r>
        <w:t xml:space="preserve"> de bleu surtout à la fin de la période médiévale. À elle seule, elle représente </w:t>
      </w:r>
      <w:r w:rsidR="00011321">
        <w:t>tous ces aspects forts important</w:t>
      </w:r>
      <w:r w:rsidR="005D7A47">
        <w:t>s</w:t>
      </w:r>
      <w:r w:rsidR="00011321">
        <w:t xml:space="preserve"> pour tous chrétiens.</w:t>
      </w:r>
      <w:r w:rsidR="00F92EA8">
        <w:t xml:space="preserve"> Par contre, cette couleur peut aussi symboliser le barbarisme</w:t>
      </w:r>
      <w:r w:rsidR="005D7A47">
        <w:t xml:space="preserve">, </w:t>
      </w:r>
      <w:r w:rsidR="00F92EA8">
        <w:t>mais</w:t>
      </w:r>
      <w:r w:rsidR="005D7A47">
        <w:t xml:space="preserve"> </w:t>
      </w:r>
      <w:r w:rsidR="00164A87">
        <w:t>celle-ci</w:t>
      </w:r>
      <w:r w:rsidR="00F92EA8">
        <w:t xml:space="preserve"> date de l’Antiquité et du Haut Moyen Âge et peu d’exemple</w:t>
      </w:r>
      <w:r w:rsidR="005D7A47">
        <w:t>s</w:t>
      </w:r>
      <w:r w:rsidR="00F92EA8">
        <w:t xml:space="preserve"> ont été trouvés pour affirmer que cette </w:t>
      </w:r>
      <w:r w:rsidR="00164A87">
        <w:t>signification</w:t>
      </w:r>
      <w:r w:rsidR="00F92EA8">
        <w:t xml:space="preserve"> était toujours d’actualité à la fin du Moyen Âge.</w:t>
      </w:r>
      <w:r w:rsidR="005A26D6">
        <w:t xml:space="preserve"> </w:t>
      </w:r>
      <w:r w:rsidR="00164A87">
        <w:t>De plus, l</w:t>
      </w:r>
      <w:r w:rsidR="005A26D6">
        <w:t xml:space="preserve">a folie et la jeunesse ont été </w:t>
      </w:r>
      <w:r w:rsidR="00164A87">
        <w:t>données</w:t>
      </w:r>
      <w:r w:rsidR="00162703">
        <w:t xml:space="preserve"> </w:t>
      </w:r>
      <w:r w:rsidR="005A26D6">
        <w:t>au vert. La difficulté de production de la teinture verte est en lien direct avec l’aspect de la folie. L’autre lien entre folie et jeunesse a été par la suite facile à faire</w:t>
      </w:r>
      <w:r w:rsidR="002C375B">
        <w:t>.</w:t>
      </w:r>
    </w:p>
    <w:p w:rsidR="002C375B" w:rsidRPr="00FE61B7" w:rsidRDefault="002C375B" w:rsidP="005A26D6">
      <w:pPr>
        <w:spacing w:line="360" w:lineRule="auto"/>
        <w:ind w:firstLine="708"/>
        <w:jc w:val="both"/>
      </w:pPr>
      <w:r>
        <w:t>Donc, est-ce qu’on peut affirmer que les gens étaient sensibles aux différentes symboliques des couleurs? On peut affirmer que oui</w:t>
      </w:r>
      <w:r w:rsidR="005D7A47">
        <w:t>,</w:t>
      </w:r>
      <w:r>
        <w:t xml:space="preserve"> mais seulement sur le cas du maître de Jean d’Albret. Nous arrivons à cette conclusion après avoir lu et étudié les différents travaux en lien avec ce mémoire. Cet enlumineur, lorsqu’il appose une certaine</w:t>
      </w:r>
      <w:r w:rsidR="00162703">
        <w:t xml:space="preserve"> couleur</w:t>
      </w:r>
      <w:r>
        <w:t xml:space="preserve">, le fait pour une bonne raison et, en étant prudent pour ne pas </w:t>
      </w:r>
      <w:proofErr w:type="spellStart"/>
      <w:r>
        <w:t>surinterpréter</w:t>
      </w:r>
      <w:proofErr w:type="spellEnd"/>
      <w:r>
        <w:t xml:space="preserve">, </w:t>
      </w:r>
      <w:r w:rsidR="006F055A">
        <w:t xml:space="preserve">chacune de ses couleurs présents dans son document correspond à la bonne </w:t>
      </w:r>
      <w:r w:rsidR="00164A87">
        <w:t xml:space="preserve">signification </w:t>
      </w:r>
      <w:r w:rsidR="006F055A">
        <w:t>des couleurs. Bien entendu, nous n’avons pas pu trouver tous les exemples espérés. Cependant, ici, nous avons analysé le trav</w:t>
      </w:r>
      <w:r w:rsidR="00162703">
        <w:t>ail d’une seule personne ou</w:t>
      </w:r>
      <w:r w:rsidR="006F055A">
        <w:t xml:space="preserve"> d’un seul groupe d’artistes. Pour poursuivre dans la même lignée que ce travail, il serait intéressant d’établir un corpus de manuscrits pour mieux répondre à la problématique de ce travail et de ne pas seulement s’attarder à un seul livre d’Heures ou même à ce seul type de source. Il reste énormément de théories à établir quand il est question des couleurs au Moyen Âge puisque l’historiographie sur ce sujet est encore très pauvre et elle est très disparate. Bien que je ne </w:t>
      </w:r>
      <w:proofErr w:type="spellStart"/>
      <w:r w:rsidR="006F055A">
        <w:t>croie</w:t>
      </w:r>
      <w:proofErr w:type="spellEnd"/>
      <w:r w:rsidR="006F055A">
        <w:t xml:space="preserve"> pas qu’il soit possible d’écrire une histoire globale des couleurs pour cette époque, Pastoureau s’est intéressé principalement aux vêtements et aux blasons tandis que quelques autres historiens ont fait des études de cas portant sur la littérature, la peinture et l’enluminure. Peu d’écrits existent aujourd’hui sur l’architecture. Espérons que ce mémoire aide d’autres historiens a entamé des études plus poussées sur la symbolique des couleurs.</w:t>
      </w:r>
    </w:p>
    <w:p w:rsidR="00A66783" w:rsidRPr="00FE61B7" w:rsidRDefault="00A66783" w:rsidP="00F04FC5">
      <w:pPr>
        <w:spacing w:line="360" w:lineRule="auto"/>
        <w:jc w:val="both"/>
      </w:pPr>
      <w:r w:rsidRPr="00FE61B7">
        <w:br w:type="page"/>
      </w:r>
    </w:p>
    <w:p w:rsidR="00A66783" w:rsidRPr="00FE61B7" w:rsidRDefault="00A66783" w:rsidP="009448BC">
      <w:pPr>
        <w:pStyle w:val="Titre1"/>
        <w:jc w:val="both"/>
        <w:rPr>
          <w:rFonts w:ascii="Times New Roman" w:hAnsi="Times New Roman" w:cs="Times New Roman"/>
          <w:color w:val="auto"/>
          <w:sz w:val="24"/>
          <w:szCs w:val="24"/>
        </w:rPr>
      </w:pPr>
      <w:bookmarkStart w:id="50" w:name="_Toc401478231"/>
      <w:r w:rsidRPr="00FE61B7">
        <w:rPr>
          <w:rFonts w:ascii="Times New Roman" w:hAnsi="Times New Roman" w:cs="Times New Roman"/>
          <w:color w:val="auto"/>
          <w:sz w:val="24"/>
          <w:szCs w:val="24"/>
        </w:rPr>
        <w:lastRenderedPageBreak/>
        <w:t>Bibliographie</w:t>
      </w:r>
      <w:bookmarkEnd w:id="50"/>
    </w:p>
    <w:p w:rsidR="00A42C19" w:rsidRPr="00FE61B7" w:rsidRDefault="00A42C19" w:rsidP="009448BC">
      <w:pPr>
        <w:jc w:val="both"/>
        <w:rPr>
          <w:i/>
          <w:u w:val="single"/>
        </w:rPr>
      </w:pPr>
      <w:r w:rsidRPr="00FE61B7">
        <w:rPr>
          <w:i/>
          <w:u w:val="single"/>
        </w:rPr>
        <w:t>Sources</w:t>
      </w:r>
    </w:p>
    <w:p w:rsidR="00A42C19" w:rsidRPr="00FE61B7" w:rsidRDefault="00A42C19" w:rsidP="009448BC">
      <w:pPr>
        <w:jc w:val="both"/>
      </w:pPr>
      <w:r w:rsidRPr="00FE61B7">
        <w:t xml:space="preserve">Alberti, </w:t>
      </w:r>
      <w:proofErr w:type="spellStart"/>
      <w:r w:rsidRPr="00FE61B7">
        <w:t>Leon-Battista</w:t>
      </w:r>
      <w:proofErr w:type="spellEnd"/>
      <w:r w:rsidRPr="00FE61B7">
        <w:t xml:space="preserve">. </w:t>
      </w:r>
      <w:r w:rsidRPr="00FE61B7">
        <w:rPr>
          <w:i/>
        </w:rPr>
        <w:t>De la statue et de la peinture.</w:t>
      </w:r>
      <w:r w:rsidRPr="00FE61B7">
        <w:t xml:space="preserve"> Traduction par Claudius </w:t>
      </w:r>
      <w:proofErr w:type="spellStart"/>
      <w:r w:rsidRPr="00FE61B7">
        <w:t>Popelin</w:t>
      </w:r>
      <w:proofErr w:type="spellEnd"/>
      <w:r w:rsidRPr="00FE61B7">
        <w:t>. Paris, A. Lévy, 1869. 190 pages.</w:t>
      </w:r>
    </w:p>
    <w:p w:rsidR="00A42C19" w:rsidRPr="00FE61B7" w:rsidRDefault="00A42C19" w:rsidP="009448BC">
      <w:pPr>
        <w:jc w:val="both"/>
      </w:pPr>
      <w:r w:rsidRPr="00FE61B7">
        <w:t xml:space="preserve">Bernard de Clairvaux. </w:t>
      </w:r>
      <w:r w:rsidRPr="00FE61B7">
        <w:rPr>
          <w:i/>
        </w:rPr>
        <w:t>Lettres</w:t>
      </w:r>
      <w:r w:rsidRPr="00FE61B7">
        <w:t xml:space="preserve">. Traduction par Henri Rochais. </w:t>
      </w:r>
      <w:r w:rsidRPr="00FE61B7">
        <w:rPr>
          <w:rStyle w:val="apple-style-span"/>
        </w:rPr>
        <w:t>Paris, Éditions du Cerf</w:t>
      </w:r>
      <w:r w:rsidRPr="00FE61B7">
        <w:rPr>
          <w:rStyle w:val="apple-converted-space"/>
        </w:rPr>
        <w:t>, 1997. 2 volumes.</w:t>
      </w:r>
      <w:r w:rsidRPr="00FE61B7">
        <w:t xml:space="preserve"> </w:t>
      </w:r>
    </w:p>
    <w:p w:rsidR="00A42C19" w:rsidRPr="00FE61B7" w:rsidRDefault="00A42C19" w:rsidP="009448BC">
      <w:pPr>
        <w:jc w:val="both"/>
        <w:rPr>
          <w:bCs/>
        </w:rPr>
      </w:pPr>
      <w:r w:rsidRPr="00FE61B7">
        <w:t xml:space="preserve">Pierre le Vénérable. </w:t>
      </w:r>
      <w:r w:rsidRPr="00FE61B7">
        <w:rPr>
          <w:i/>
        </w:rPr>
        <w:t xml:space="preserve">The </w:t>
      </w:r>
      <w:proofErr w:type="spellStart"/>
      <w:r w:rsidRPr="00FE61B7">
        <w:rPr>
          <w:i/>
        </w:rPr>
        <w:t>Letters</w:t>
      </w:r>
      <w:proofErr w:type="spellEnd"/>
      <w:r w:rsidRPr="00FE61B7">
        <w:rPr>
          <w:i/>
        </w:rPr>
        <w:t xml:space="preserve"> of Peter the </w:t>
      </w:r>
      <w:proofErr w:type="spellStart"/>
      <w:r w:rsidRPr="00FE61B7">
        <w:rPr>
          <w:i/>
        </w:rPr>
        <w:t>Venerable</w:t>
      </w:r>
      <w:proofErr w:type="spellEnd"/>
      <w:r w:rsidRPr="00FE61B7">
        <w:t xml:space="preserve">. Édition par Giles Constable. </w:t>
      </w:r>
      <w:r w:rsidRPr="00FE61B7">
        <w:rPr>
          <w:bCs/>
        </w:rPr>
        <w:t xml:space="preserve">Cambridge, Harvard </w:t>
      </w:r>
      <w:proofErr w:type="spellStart"/>
      <w:r w:rsidRPr="00FE61B7">
        <w:rPr>
          <w:bCs/>
        </w:rPr>
        <w:t>University</w:t>
      </w:r>
      <w:proofErr w:type="spellEnd"/>
      <w:r w:rsidRPr="00FE61B7">
        <w:rPr>
          <w:bCs/>
        </w:rPr>
        <w:t xml:space="preserve"> </w:t>
      </w:r>
      <w:proofErr w:type="spellStart"/>
      <w:r w:rsidRPr="00FE61B7">
        <w:rPr>
          <w:bCs/>
        </w:rPr>
        <w:t>Press</w:t>
      </w:r>
      <w:proofErr w:type="spellEnd"/>
      <w:r w:rsidRPr="00FE61B7">
        <w:rPr>
          <w:bCs/>
        </w:rPr>
        <w:t>, 1967.  2 volumes.</w:t>
      </w:r>
    </w:p>
    <w:p w:rsidR="00A42C19" w:rsidRPr="00FE61B7" w:rsidRDefault="00A42C19" w:rsidP="009448BC">
      <w:pPr>
        <w:jc w:val="both"/>
      </w:pPr>
      <w:r w:rsidRPr="00FE61B7">
        <w:t xml:space="preserve">Suger. </w:t>
      </w:r>
      <w:r w:rsidRPr="00FE61B7">
        <w:rPr>
          <w:i/>
        </w:rPr>
        <w:t>Œuvres : Tome</w:t>
      </w:r>
      <w:r w:rsidR="005D7A47">
        <w:rPr>
          <w:i/>
        </w:rPr>
        <w:t> </w:t>
      </w:r>
      <w:r w:rsidRPr="00FE61B7">
        <w:rPr>
          <w:i/>
        </w:rPr>
        <w:t>1</w:t>
      </w:r>
      <w:r w:rsidRPr="00FE61B7">
        <w:t>. Traduction par Françoise Gasparri. Paris, Les Belles Lettres, 1996. 261 pages.</w:t>
      </w:r>
    </w:p>
    <w:p w:rsidR="00A42C19" w:rsidRPr="00FE61B7" w:rsidRDefault="00A42C19" w:rsidP="009448BC">
      <w:pPr>
        <w:jc w:val="both"/>
        <w:rPr>
          <w:bCs/>
        </w:rPr>
      </w:pPr>
      <w:r w:rsidRPr="00FE61B7">
        <w:t xml:space="preserve">Théophile. </w:t>
      </w:r>
      <w:r w:rsidRPr="00FE61B7">
        <w:rPr>
          <w:i/>
        </w:rPr>
        <w:t xml:space="preserve">De </w:t>
      </w:r>
      <w:proofErr w:type="spellStart"/>
      <w:r w:rsidRPr="00FE61B7">
        <w:rPr>
          <w:i/>
        </w:rPr>
        <w:t>Diversis</w:t>
      </w:r>
      <w:proofErr w:type="spellEnd"/>
      <w:r w:rsidRPr="00FE61B7">
        <w:rPr>
          <w:i/>
        </w:rPr>
        <w:t xml:space="preserve"> </w:t>
      </w:r>
      <w:proofErr w:type="spellStart"/>
      <w:r w:rsidRPr="00FE61B7">
        <w:rPr>
          <w:i/>
        </w:rPr>
        <w:t>Artibus</w:t>
      </w:r>
      <w:proofErr w:type="spellEnd"/>
      <w:r w:rsidRPr="00FE61B7">
        <w:t xml:space="preserve">. Traduction par C.R. </w:t>
      </w:r>
      <w:proofErr w:type="spellStart"/>
      <w:r w:rsidRPr="00FE61B7">
        <w:t>Dodwell</w:t>
      </w:r>
      <w:proofErr w:type="spellEnd"/>
      <w:r w:rsidRPr="00FE61B7">
        <w:t xml:space="preserve">. </w:t>
      </w:r>
      <w:r w:rsidRPr="00FE61B7">
        <w:rPr>
          <w:bCs/>
        </w:rPr>
        <w:t>London, T. Nelson, 1961. 178 pages.</w:t>
      </w:r>
    </w:p>
    <w:p w:rsidR="00A42C19" w:rsidRPr="00FE61B7" w:rsidRDefault="00A42C19" w:rsidP="009448BC">
      <w:pPr>
        <w:jc w:val="both"/>
        <w:rPr>
          <w:i/>
          <w:u w:val="single"/>
        </w:rPr>
      </w:pPr>
      <w:r w:rsidRPr="00FE61B7">
        <w:rPr>
          <w:i/>
          <w:u w:val="single"/>
        </w:rPr>
        <w:t>Dictionnaires</w:t>
      </w:r>
    </w:p>
    <w:p w:rsidR="00A42C19" w:rsidRPr="00FE61B7" w:rsidRDefault="00A42C19" w:rsidP="009448BC">
      <w:pPr>
        <w:jc w:val="both"/>
      </w:pPr>
      <w:r w:rsidRPr="00FE61B7">
        <w:t xml:space="preserve">Chevalier, Jean et Alain </w:t>
      </w:r>
      <w:proofErr w:type="spellStart"/>
      <w:r w:rsidRPr="00FE61B7">
        <w:t>Gheerbrant</w:t>
      </w:r>
      <w:proofErr w:type="spellEnd"/>
      <w:r w:rsidRPr="00FE61B7">
        <w:t xml:space="preserve">. </w:t>
      </w:r>
      <w:r w:rsidRPr="00FE61B7">
        <w:rPr>
          <w:i/>
        </w:rPr>
        <w:t>Dictionnaire des symboles : Mythes, rêves, coutumes, gestes, formes, figures, couleurs, nombres.</w:t>
      </w:r>
      <w:r w:rsidRPr="00FE61B7">
        <w:t xml:space="preserve"> Paris, Robert Laffont/Jupiter, 1982. 1060 pages.</w:t>
      </w:r>
    </w:p>
    <w:p w:rsidR="00A42C19" w:rsidRPr="00FE61B7" w:rsidRDefault="00A42C19" w:rsidP="009448BC">
      <w:pPr>
        <w:jc w:val="both"/>
        <w:rPr>
          <w:i/>
          <w:u w:val="single"/>
        </w:rPr>
      </w:pPr>
      <w:r w:rsidRPr="00FE61B7">
        <w:rPr>
          <w:i/>
          <w:u w:val="single"/>
        </w:rPr>
        <w:t>Ouvrages généraux</w:t>
      </w:r>
    </w:p>
    <w:p w:rsidR="005315C4" w:rsidRPr="00FE61B7" w:rsidRDefault="005315C4" w:rsidP="009448BC">
      <w:pPr>
        <w:jc w:val="both"/>
        <w:rPr>
          <w:rStyle w:val="apple-style-span"/>
          <w:u w:val="single"/>
        </w:rPr>
      </w:pPr>
      <w:r w:rsidRPr="00FE61B7">
        <w:rPr>
          <w:rStyle w:val="apple-style-span"/>
          <w:u w:val="single"/>
        </w:rPr>
        <w:t>Iconographie</w:t>
      </w:r>
    </w:p>
    <w:p w:rsidR="005315C4" w:rsidRPr="00FE61B7" w:rsidRDefault="005315C4" w:rsidP="009448BC">
      <w:pPr>
        <w:jc w:val="both"/>
      </w:pPr>
      <w:proofErr w:type="spellStart"/>
      <w:r w:rsidRPr="00FE61B7">
        <w:t>Belting</w:t>
      </w:r>
      <w:proofErr w:type="spellEnd"/>
      <w:r w:rsidRPr="00FE61B7">
        <w:t xml:space="preserve">, Hans. </w:t>
      </w:r>
      <w:r w:rsidRPr="00FE61B7">
        <w:rPr>
          <w:i/>
        </w:rPr>
        <w:t>L’image et son public au Moyen Âge</w:t>
      </w:r>
      <w:r w:rsidRPr="00FE61B7">
        <w:t xml:space="preserve">. </w:t>
      </w:r>
      <w:r w:rsidRPr="00FE61B7">
        <w:rPr>
          <w:rStyle w:val="apple-style-span"/>
          <w:shd w:val="clear" w:color="auto" w:fill="FFFFFF"/>
        </w:rPr>
        <w:t xml:space="preserve">Paris, G. </w:t>
      </w:r>
      <w:proofErr w:type="spellStart"/>
      <w:r w:rsidRPr="00FE61B7">
        <w:rPr>
          <w:rStyle w:val="apple-style-span"/>
          <w:shd w:val="clear" w:color="auto" w:fill="FFFFFF"/>
        </w:rPr>
        <w:t>Monfort</w:t>
      </w:r>
      <w:proofErr w:type="spellEnd"/>
      <w:r w:rsidRPr="00FE61B7">
        <w:rPr>
          <w:rStyle w:val="apple-style-span"/>
          <w:shd w:val="clear" w:color="auto" w:fill="FFFFFF"/>
        </w:rPr>
        <w:t>, 1998. 282 pages.</w:t>
      </w:r>
    </w:p>
    <w:p w:rsidR="00B93A95" w:rsidRPr="00FE61B7" w:rsidRDefault="00B93A95" w:rsidP="009448BC">
      <w:pPr>
        <w:jc w:val="both"/>
      </w:pPr>
      <w:proofErr w:type="spellStart"/>
      <w:r w:rsidRPr="00FE61B7">
        <w:t>Baragli</w:t>
      </w:r>
      <w:proofErr w:type="spellEnd"/>
      <w:r w:rsidRPr="00FE61B7">
        <w:t xml:space="preserve">, Sandra. </w:t>
      </w:r>
      <w:r w:rsidRPr="00FE61B7">
        <w:rPr>
          <w:i/>
        </w:rPr>
        <w:t>L’Art au XIV</w:t>
      </w:r>
      <w:r w:rsidRPr="00FE61B7">
        <w:rPr>
          <w:i/>
          <w:vertAlign w:val="superscript"/>
        </w:rPr>
        <w:t>e</w:t>
      </w:r>
      <w:r w:rsidRPr="00FE61B7">
        <w:rPr>
          <w:i/>
        </w:rPr>
        <w:t xml:space="preserve"> siècle</w:t>
      </w:r>
      <w:r w:rsidRPr="00FE61B7">
        <w:t>. Paris, Hazan, 2005. 384 pages.</w:t>
      </w:r>
    </w:p>
    <w:p w:rsidR="00B93A95" w:rsidRPr="00FE61B7" w:rsidRDefault="00B93A95" w:rsidP="009448BC">
      <w:pPr>
        <w:jc w:val="both"/>
      </w:pPr>
      <w:proofErr w:type="spellStart"/>
      <w:r w:rsidRPr="00FE61B7">
        <w:t>Baschet</w:t>
      </w:r>
      <w:proofErr w:type="spellEnd"/>
      <w:r w:rsidRPr="00FE61B7">
        <w:t xml:space="preserve">, Jérôme. </w:t>
      </w:r>
      <w:r w:rsidRPr="00FE61B7">
        <w:rPr>
          <w:i/>
        </w:rPr>
        <w:t>L’iconographie médiévale</w:t>
      </w:r>
      <w:r w:rsidRPr="00FE61B7">
        <w:t>. Paris, Gallimard, 2008. 468 pages.</w:t>
      </w:r>
    </w:p>
    <w:p w:rsidR="00B93A95" w:rsidRPr="00FE61B7" w:rsidRDefault="00B93A95" w:rsidP="009448BC">
      <w:pPr>
        <w:jc w:val="both"/>
      </w:pPr>
      <w:proofErr w:type="spellStart"/>
      <w:r w:rsidRPr="00FE61B7">
        <w:t>Boulnois</w:t>
      </w:r>
      <w:proofErr w:type="spellEnd"/>
      <w:r w:rsidRPr="00FE61B7">
        <w:t xml:space="preserve">, Olivier. </w:t>
      </w:r>
      <w:r w:rsidRPr="00FE61B7">
        <w:rPr>
          <w:i/>
        </w:rPr>
        <w:t>Au-delà de l’image; Une archéologie du visuel au Moyen Âge (V</w:t>
      </w:r>
      <w:r w:rsidRPr="00FE61B7">
        <w:rPr>
          <w:i/>
          <w:vertAlign w:val="superscript"/>
        </w:rPr>
        <w:t>e</w:t>
      </w:r>
      <w:r w:rsidRPr="00FE61B7">
        <w:rPr>
          <w:i/>
        </w:rPr>
        <w:t>-XVI</w:t>
      </w:r>
      <w:r w:rsidRPr="00FE61B7">
        <w:rPr>
          <w:i/>
          <w:vertAlign w:val="superscript"/>
        </w:rPr>
        <w:t>e</w:t>
      </w:r>
      <w:r w:rsidRPr="00FE61B7">
        <w:rPr>
          <w:i/>
        </w:rPr>
        <w:t xml:space="preserve"> siècle)</w:t>
      </w:r>
      <w:r w:rsidRPr="00FE61B7">
        <w:t>. Paris, Éditions du Seuil, 2008. 506 pages.</w:t>
      </w:r>
    </w:p>
    <w:p w:rsidR="005315C4" w:rsidRPr="00FE61B7" w:rsidRDefault="005315C4" w:rsidP="009448BC">
      <w:pPr>
        <w:jc w:val="both"/>
      </w:pPr>
      <w:proofErr w:type="spellStart"/>
      <w:r w:rsidRPr="00FE61B7">
        <w:t>Coulot</w:t>
      </w:r>
      <w:proofErr w:type="spellEnd"/>
      <w:r w:rsidRPr="00FE61B7">
        <w:t xml:space="preserve">, Claude </w:t>
      </w:r>
      <w:r w:rsidRPr="00FE61B7">
        <w:rPr>
          <w:i/>
        </w:rPr>
        <w:t>et al.</w:t>
      </w:r>
      <w:r w:rsidRPr="00FE61B7">
        <w:t xml:space="preserve"> </w:t>
      </w:r>
      <w:r w:rsidRPr="00FE61B7">
        <w:rPr>
          <w:i/>
        </w:rPr>
        <w:t>De la Bible à l’image : pastorale et iconographie</w:t>
      </w:r>
      <w:r w:rsidRPr="00FE61B7">
        <w:t>. Strasbourg, Presses universitaires de Strasbourg, 2000. 250 pages.</w:t>
      </w:r>
    </w:p>
    <w:p w:rsidR="00B93A95" w:rsidRPr="00FE61B7" w:rsidRDefault="00B93A95" w:rsidP="009448BC">
      <w:pPr>
        <w:jc w:val="both"/>
      </w:pPr>
      <w:proofErr w:type="spellStart"/>
      <w:r w:rsidRPr="00FE61B7">
        <w:t>Duchet-Suchaux</w:t>
      </w:r>
      <w:proofErr w:type="spellEnd"/>
      <w:r w:rsidRPr="00FE61B7">
        <w:t xml:space="preserve">, Gaston et Michel Pastoureau. </w:t>
      </w:r>
      <w:r w:rsidRPr="00FE61B7">
        <w:rPr>
          <w:i/>
        </w:rPr>
        <w:t>La Bible et les saints : Guide iconographique.</w:t>
      </w:r>
      <w:r w:rsidRPr="00FE61B7">
        <w:t xml:space="preserve"> Paris, Flammarion, 2000. p.224-225.</w:t>
      </w:r>
    </w:p>
    <w:p w:rsidR="00B93A95" w:rsidRPr="00FE61B7" w:rsidRDefault="00B93A95" w:rsidP="009448BC">
      <w:pPr>
        <w:jc w:val="both"/>
      </w:pPr>
      <w:proofErr w:type="spellStart"/>
      <w:r w:rsidRPr="00FE61B7">
        <w:t>Heck</w:t>
      </w:r>
      <w:proofErr w:type="spellEnd"/>
      <w:r w:rsidRPr="00FE61B7">
        <w:t xml:space="preserve">, Christian. </w:t>
      </w:r>
      <w:r w:rsidRPr="00FE61B7">
        <w:rPr>
          <w:i/>
        </w:rPr>
        <w:t>L’image comme texte et l’image comme signe (XI</w:t>
      </w:r>
      <w:r w:rsidRPr="00FE61B7">
        <w:rPr>
          <w:i/>
          <w:vertAlign w:val="superscript"/>
        </w:rPr>
        <w:t>e</w:t>
      </w:r>
      <w:r w:rsidRPr="00FE61B7">
        <w:rPr>
          <w:i/>
        </w:rPr>
        <w:t>-XVII</w:t>
      </w:r>
      <w:r w:rsidRPr="00FE61B7">
        <w:rPr>
          <w:i/>
          <w:vertAlign w:val="superscript"/>
        </w:rPr>
        <w:t>e</w:t>
      </w:r>
      <w:r w:rsidRPr="00FE61B7">
        <w:rPr>
          <w:i/>
        </w:rPr>
        <w:t xml:space="preserve"> siècle).</w:t>
      </w:r>
      <w:r w:rsidRPr="00FE61B7">
        <w:t xml:space="preserve"> </w:t>
      </w:r>
      <w:r w:rsidRPr="00FE61B7">
        <w:rPr>
          <w:rStyle w:val="apple-style-span"/>
        </w:rPr>
        <w:t>Villeneuve d</w:t>
      </w:r>
      <w:r w:rsidR="005D7A47">
        <w:rPr>
          <w:rStyle w:val="apple-style-span"/>
        </w:rPr>
        <w:t>’</w:t>
      </w:r>
      <w:r w:rsidRPr="00FE61B7">
        <w:rPr>
          <w:rStyle w:val="apple-style-span"/>
        </w:rPr>
        <w:t xml:space="preserve">Ascq, Université Charles de Gaulle </w:t>
      </w:r>
      <w:r w:rsidR="005D7A47">
        <w:rPr>
          <w:rStyle w:val="apple-style-span"/>
        </w:rPr>
        <w:t>—</w:t>
      </w:r>
      <w:r w:rsidRPr="00FE61B7">
        <w:rPr>
          <w:rStyle w:val="apple-style-span"/>
        </w:rPr>
        <w:t xml:space="preserve"> Lille</w:t>
      </w:r>
      <w:r w:rsidR="005D7A47">
        <w:rPr>
          <w:rStyle w:val="apple-style-span"/>
        </w:rPr>
        <w:t> </w:t>
      </w:r>
      <w:r w:rsidRPr="00FE61B7">
        <w:rPr>
          <w:rStyle w:val="apple-style-span"/>
        </w:rPr>
        <w:t>3, 2007</w:t>
      </w:r>
      <w:r w:rsidRPr="00FE61B7">
        <w:rPr>
          <w:rStyle w:val="apple-converted-space"/>
        </w:rPr>
        <w:t>. 232 pages</w:t>
      </w:r>
    </w:p>
    <w:p w:rsidR="00B93A95" w:rsidRPr="00FE61B7" w:rsidRDefault="00B93A95" w:rsidP="009448BC">
      <w:pPr>
        <w:jc w:val="both"/>
      </w:pPr>
      <w:r w:rsidRPr="00FE61B7">
        <w:t xml:space="preserve">Le Goff, Jacques. </w:t>
      </w:r>
      <w:r w:rsidRPr="00FE61B7">
        <w:rPr>
          <w:i/>
        </w:rPr>
        <w:t>Un Moyen Âge en images</w:t>
      </w:r>
      <w:r w:rsidRPr="00FE61B7">
        <w:t>. Paris, Hazan, 2007. 303 pages.</w:t>
      </w:r>
    </w:p>
    <w:p w:rsidR="005315C4" w:rsidRPr="00FE61B7" w:rsidRDefault="005315C4" w:rsidP="009448BC">
      <w:pPr>
        <w:jc w:val="both"/>
      </w:pPr>
      <w:r w:rsidRPr="00FE61B7">
        <w:lastRenderedPageBreak/>
        <w:t xml:space="preserve">Mâle, Émile. </w:t>
      </w:r>
      <w:r w:rsidRPr="00FE61B7">
        <w:rPr>
          <w:i/>
        </w:rPr>
        <w:t>L’art religieux de la fin du Moyen Âge en France : étude sur l’iconographie du Moyen Âge et sur ses sources d’inspiration</w:t>
      </w:r>
      <w:r w:rsidRPr="00FE61B7">
        <w:t>, 7</w:t>
      </w:r>
      <w:r w:rsidRPr="00FE61B7">
        <w:rPr>
          <w:vertAlign w:val="superscript"/>
        </w:rPr>
        <w:t>e</w:t>
      </w:r>
      <w:r w:rsidRPr="00FE61B7">
        <w:t xml:space="preserve"> édition. Paris, Armand Colin, 1995 [1908]. 570 pages.</w:t>
      </w:r>
    </w:p>
    <w:p w:rsidR="005315C4" w:rsidRPr="00FE61B7" w:rsidRDefault="005315C4" w:rsidP="009448BC">
      <w:pPr>
        <w:jc w:val="both"/>
      </w:pPr>
      <w:r w:rsidRPr="00FE61B7">
        <w:t xml:space="preserve">Mâle, Émile. </w:t>
      </w:r>
      <w:r w:rsidRPr="00FE61B7">
        <w:rPr>
          <w:rStyle w:val="apple-style-span"/>
          <w:i/>
          <w:shd w:val="clear" w:color="auto" w:fill="FFFFFF"/>
        </w:rPr>
        <w:t>L</w:t>
      </w:r>
      <w:r w:rsidR="005D7A47">
        <w:rPr>
          <w:rStyle w:val="apple-style-span"/>
          <w:i/>
          <w:shd w:val="clear" w:color="auto" w:fill="FFFFFF"/>
        </w:rPr>
        <w:t>’</w:t>
      </w:r>
      <w:r w:rsidRPr="00FE61B7">
        <w:rPr>
          <w:rStyle w:val="apple-style-span"/>
          <w:i/>
          <w:shd w:val="clear" w:color="auto" w:fill="FFFFFF"/>
        </w:rPr>
        <w:t>art religieux du XIIe siècle en France : étude sur les origines de l</w:t>
      </w:r>
      <w:r w:rsidR="005D7A47">
        <w:rPr>
          <w:rStyle w:val="apple-style-span"/>
          <w:i/>
          <w:shd w:val="clear" w:color="auto" w:fill="FFFFFF"/>
        </w:rPr>
        <w:t>’</w:t>
      </w:r>
      <w:r w:rsidRPr="00FE61B7">
        <w:rPr>
          <w:rStyle w:val="apple-style-span"/>
          <w:i/>
          <w:shd w:val="clear" w:color="auto" w:fill="FFFFFF"/>
        </w:rPr>
        <w:t>iconographie du Moyen Âge</w:t>
      </w:r>
      <w:r w:rsidRPr="00FE61B7">
        <w:rPr>
          <w:rStyle w:val="apple-style-span"/>
          <w:shd w:val="clear" w:color="auto" w:fill="FFFFFF"/>
        </w:rPr>
        <w:t>, 8</w:t>
      </w:r>
      <w:r w:rsidRPr="00FE61B7">
        <w:rPr>
          <w:rStyle w:val="apple-style-span"/>
          <w:shd w:val="clear" w:color="auto" w:fill="FFFFFF"/>
          <w:vertAlign w:val="superscript"/>
        </w:rPr>
        <w:t>e</w:t>
      </w:r>
      <w:r w:rsidRPr="00FE61B7">
        <w:rPr>
          <w:rStyle w:val="apple-style-span"/>
          <w:shd w:val="clear" w:color="auto" w:fill="FFFFFF"/>
        </w:rPr>
        <w:t xml:space="preserve"> édition. Paris, Armand Colin, 1998 [1922]. 526 pages.</w:t>
      </w:r>
    </w:p>
    <w:p w:rsidR="00B93A95" w:rsidRPr="00FE61B7" w:rsidRDefault="00424104" w:rsidP="009448BC">
      <w:pPr>
        <w:jc w:val="both"/>
      </w:pPr>
      <w:hyperlink r:id="rId9" w:history="1">
        <w:r w:rsidR="00B93A95" w:rsidRPr="00FE61B7">
          <w:rPr>
            <w:rStyle w:val="Lienhypertexte"/>
            <w:bCs/>
            <w:color w:val="auto"/>
            <w:u w:val="none"/>
          </w:rPr>
          <w:t>Panofsky, Erwin</w:t>
        </w:r>
      </w:hyperlink>
      <w:r w:rsidR="00B93A95" w:rsidRPr="00FE61B7">
        <w:rPr>
          <w:rStyle w:val="apple-style-span"/>
        </w:rPr>
        <w:t xml:space="preserve">. </w:t>
      </w:r>
      <w:r w:rsidR="00B93A95" w:rsidRPr="00FE61B7">
        <w:rPr>
          <w:rStyle w:val="apple-style-span"/>
          <w:i/>
        </w:rPr>
        <w:t>Peinture et dévotion en Europe du Nord à la fin du Moyen Âge</w:t>
      </w:r>
      <w:r w:rsidR="00B93A95" w:rsidRPr="00FE61B7">
        <w:rPr>
          <w:rStyle w:val="apple-style-span"/>
        </w:rPr>
        <w:t>. Paris, Flammarion, 1997. 187 pages.</w:t>
      </w:r>
    </w:p>
    <w:p w:rsidR="00F04FC5" w:rsidRPr="00FE61B7" w:rsidRDefault="00F04FC5" w:rsidP="009448BC">
      <w:pPr>
        <w:jc w:val="both"/>
      </w:pPr>
      <w:proofErr w:type="spellStart"/>
      <w:r w:rsidRPr="00FE61B7">
        <w:t>Plagnieux</w:t>
      </w:r>
      <w:proofErr w:type="spellEnd"/>
      <w:r w:rsidRPr="00FE61B7">
        <w:t xml:space="preserve">, Philippe </w:t>
      </w:r>
      <w:r w:rsidRPr="00FE61B7">
        <w:rPr>
          <w:i/>
        </w:rPr>
        <w:t>et al</w:t>
      </w:r>
      <w:r w:rsidRPr="00FE61B7">
        <w:t xml:space="preserve">. </w:t>
      </w:r>
      <w:r w:rsidRPr="00FE61B7">
        <w:rPr>
          <w:i/>
        </w:rPr>
        <w:t>L’art du Moyen Âge en France</w:t>
      </w:r>
      <w:r w:rsidRPr="00FE61B7">
        <w:t>. Paris, Citadelles &amp; Mazenod, 2010. 599 pages.</w:t>
      </w:r>
    </w:p>
    <w:p w:rsidR="00F04FC5" w:rsidRPr="00FE61B7" w:rsidRDefault="00F04FC5" w:rsidP="009448BC">
      <w:pPr>
        <w:jc w:val="both"/>
      </w:pPr>
      <w:r w:rsidRPr="005B797F">
        <w:rPr>
          <w:lang w:val="en-CA"/>
        </w:rPr>
        <w:t xml:space="preserve">Plummer, John. </w:t>
      </w:r>
      <w:r w:rsidRPr="00AC0AF7">
        <w:rPr>
          <w:i/>
          <w:lang w:val="en-CA"/>
        </w:rPr>
        <w:t>The Last Flowering: French Painting in Manuscripts, 1420-1530</w:t>
      </w:r>
      <w:r w:rsidRPr="00AC0AF7">
        <w:rPr>
          <w:lang w:val="en-CA"/>
        </w:rPr>
        <w:t xml:space="preserve">. New York &amp; London, </w:t>
      </w:r>
      <w:proofErr w:type="gramStart"/>
      <w:r w:rsidRPr="00AC0AF7">
        <w:rPr>
          <w:lang w:val="en-CA"/>
        </w:rPr>
        <w:t>The</w:t>
      </w:r>
      <w:proofErr w:type="gramEnd"/>
      <w:r w:rsidRPr="00AC0AF7">
        <w:rPr>
          <w:lang w:val="en-CA"/>
        </w:rPr>
        <w:t xml:space="preserve"> Pierpont Morgan Library &amp; Oxford University Press, 1982. </w:t>
      </w:r>
      <w:r w:rsidRPr="00FE61B7">
        <w:t>123 pages.</w:t>
      </w:r>
    </w:p>
    <w:p w:rsidR="005315C4" w:rsidRPr="00FE61B7" w:rsidRDefault="005315C4" w:rsidP="009448BC">
      <w:pPr>
        <w:jc w:val="both"/>
      </w:pPr>
      <w:r w:rsidRPr="00FE61B7">
        <w:t xml:space="preserve">Schmitt, Jean-Claude. </w:t>
      </w:r>
      <w:r w:rsidRPr="00FE61B7">
        <w:rPr>
          <w:i/>
        </w:rPr>
        <w:t>Le corps des images : Essais sur la culture visuelle au Moyen Âge</w:t>
      </w:r>
      <w:r w:rsidRPr="00FE61B7">
        <w:t>. Paris, Gallimard, 2002. 409 pages.</w:t>
      </w:r>
    </w:p>
    <w:p w:rsidR="005315C4" w:rsidRPr="00FE61B7" w:rsidRDefault="005315C4" w:rsidP="009448BC">
      <w:pPr>
        <w:jc w:val="both"/>
        <w:rPr>
          <w:rStyle w:val="apple-style-span"/>
        </w:rPr>
      </w:pPr>
      <w:proofErr w:type="spellStart"/>
      <w:r w:rsidRPr="00FE61B7">
        <w:t>Wirth</w:t>
      </w:r>
      <w:proofErr w:type="spellEnd"/>
      <w:r w:rsidRPr="00FE61B7">
        <w:t xml:space="preserve">, Jean. </w:t>
      </w:r>
      <w:r w:rsidRPr="00FE61B7">
        <w:rPr>
          <w:i/>
          <w:iCs/>
        </w:rPr>
        <w:t>L</w:t>
      </w:r>
      <w:r w:rsidR="005D7A47">
        <w:rPr>
          <w:i/>
          <w:iCs/>
        </w:rPr>
        <w:t>’</w:t>
      </w:r>
      <w:r w:rsidRPr="00FE61B7">
        <w:rPr>
          <w:i/>
          <w:iCs/>
        </w:rPr>
        <w:t>image médiévale. Naissance et développements (VI</w:t>
      </w:r>
      <w:r w:rsidRPr="00FE61B7">
        <w:rPr>
          <w:i/>
          <w:iCs/>
          <w:vertAlign w:val="superscript"/>
        </w:rPr>
        <w:t>e</w:t>
      </w:r>
      <w:r w:rsidRPr="00FE61B7">
        <w:rPr>
          <w:i/>
          <w:iCs/>
        </w:rPr>
        <w:t>-XV</w:t>
      </w:r>
      <w:r w:rsidRPr="00FE61B7">
        <w:rPr>
          <w:i/>
          <w:iCs/>
          <w:vertAlign w:val="superscript"/>
        </w:rPr>
        <w:t>e</w:t>
      </w:r>
      <w:r w:rsidRPr="00FE61B7">
        <w:rPr>
          <w:i/>
          <w:iCs/>
        </w:rPr>
        <w:t xml:space="preserve"> siècles)</w:t>
      </w:r>
      <w:r w:rsidRPr="00FE61B7">
        <w:t xml:space="preserve">. Paris, Méridiens </w:t>
      </w:r>
      <w:proofErr w:type="spellStart"/>
      <w:r w:rsidRPr="00FE61B7">
        <w:t>Klincksieck</w:t>
      </w:r>
      <w:proofErr w:type="spellEnd"/>
      <w:r w:rsidRPr="00FE61B7">
        <w:t>, 1989. 396 pages.</w:t>
      </w:r>
    </w:p>
    <w:p w:rsidR="00F04FC5" w:rsidRPr="00FE61B7" w:rsidRDefault="00F04FC5" w:rsidP="009448BC">
      <w:pPr>
        <w:jc w:val="both"/>
        <w:rPr>
          <w:rStyle w:val="apple-style-span"/>
        </w:rPr>
      </w:pPr>
      <w:proofErr w:type="spellStart"/>
      <w:r w:rsidRPr="00FE61B7">
        <w:t>Zuffi</w:t>
      </w:r>
      <w:proofErr w:type="spellEnd"/>
      <w:r w:rsidRPr="00FE61B7">
        <w:t>, Stefano.</w:t>
      </w:r>
      <w:r w:rsidRPr="00FE61B7">
        <w:rPr>
          <w:i/>
        </w:rPr>
        <w:t xml:space="preserve"> L’Art au XV</w:t>
      </w:r>
      <w:r w:rsidRPr="00FE61B7">
        <w:rPr>
          <w:i/>
          <w:vertAlign w:val="superscript"/>
        </w:rPr>
        <w:t>e</w:t>
      </w:r>
      <w:r w:rsidRPr="00FE61B7">
        <w:rPr>
          <w:i/>
        </w:rPr>
        <w:t xml:space="preserve"> siècle</w:t>
      </w:r>
      <w:r w:rsidRPr="00FE61B7">
        <w:t>. Paris, Hazan, 2005. 383 pages.</w:t>
      </w:r>
    </w:p>
    <w:p w:rsidR="005315C4" w:rsidRPr="00FE61B7" w:rsidRDefault="005315C4" w:rsidP="009448BC">
      <w:pPr>
        <w:jc w:val="both"/>
        <w:rPr>
          <w:rStyle w:val="apple-style-span"/>
          <w:u w:val="single"/>
        </w:rPr>
      </w:pPr>
      <w:r w:rsidRPr="00FE61B7">
        <w:rPr>
          <w:rStyle w:val="apple-style-span"/>
          <w:u w:val="single"/>
        </w:rPr>
        <w:t>Livres d’Heures</w:t>
      </w:r>
    </w:p>
    <w:p w:rsidR="00B93A95" w:rsidRPr="00FE61B7" w:rsidRDefault="00B93A95" w:rsidP="009448BC">
      <w:pPr>
        <w:jc w:val="both"/>
      </w:pPr>
      <w:r w:rsidRPr="00FE61B7">
        <w:t xml:space="preserve">Avril, François et Nicole Reynaud. </w:t>
      </w:r>
      <w:r w:rsidRPr="00FE61B7">
        <w:rPr>
          <w:i/>
        </w:rPr>
        <w:t>Les manuscrits à peintures en France (1440-1520)</w:t>
      </w:r>
      <w:r w:rsidRPr="00FE61B7">
        <w:t>. Paris, Flammarion, 1995. 440 pages.</w:t>
      </w:r>
    </w:p>
    <w:p w:rsidR="00B93A95" w:rsidRPr="00FE61B7" w:rsidRDefault="00B93A95" w:rsidP="009448BC">
      <w:pPr>
        <w:jc w:val="both"/>
      </w:pPr>
      <w:r w:rsidRPr="00FE61B7">
        <w:rPr>
          <w:rStyle w:val="apple-style-span"/>
        </w:rPr>
        <w:t xml:space="preserve">Châtelet, Albert. </w:t>
      </w:r>
      <w:r w:rsidRPr="00FE61B7">
        <w:rPr>
          <w:rStyle w:val="apple-style-span"/>
          <w:i/>
        </w:rPr>
        <w:t>L</w:t>
      </w:r>
      <w:r w:rsidR="005D7A47">
        <w:rPr>
          <w:rStyle w:val="apple-style-span"/>
          <w:i/>
        </w:rPr>
        <w:t>’</w:t>
      </w:r>
      <w:r w:rsidRPr="00FE61B7">
        <w:rPr>
          <w:rStyle w:val="apple-style-span"/>
          <w:i/>
        </w:rPr>
        <w:t>âge d</w:t>
      </w:r>
      <w:r w:rsidR="005D7A47">
        <w:rPr>
          <w:rStyle w:val="apple-style-span"/>
          <w:i/>
        </w:rPr>
        <w:t>’</w:t>
      </w:r>
      <w:r w:rsidRPr="00FE61B7">
        <w:rPr>
          <w:rStyle w:val="apple-style-span"/>
          <w:i/>
        </w:rPr>
        <w:t>or du manuscrit à peintures en France au temps de Charles</w:t>
      </w:r>
      <w:r w:rsidR="005D7A47">
        <w:rPr>
          <w:rStyle w:val="apple-style-span"/>
          <w:i/>
        </w:rPr>
        <w:t> </w:t>
      </w:r>
      <w:r w:rsidRPr="00FE61B7">
        <w:rPr>
          <w:rStyle w:val="apple-style-span"/>
          <w:i/>
        </w:rPr>
        <w:t>VI et les Heures du maréchal Boucicaut</w:t>
      </w:r>
      <w:r w:rsidRPr="00FE61B7">
        <w:rPr>
          <w:rStyle w:val="apple-style-span"/>
        </w:rPr>
        <w:t xml:space="preserve">. Dijon, </w:t>
      </w:r>
      <w:proofErr w:type="spellStart"/>
      <w:r w:rsidRPr="00FE61B7">
        <w:rPr>
          <w:rStyle w:val="apple-style-span"/>
        </w:rPr>
        <w:t>Faton</w:t>
      </w:r>
      <w:proofErr w:type="spellEnd"/>
      <w:r w:rsidRPr="00FE61B7">
        <w:rPr>
          <w:rStyle w:val="apple-style-span"/>
        </w:rPr>
        <w:t>, 2000. 340 pages.</w:t>
      </w:r>
    </w:p>
    <w:p w:rsidR="00B93A95" w:rsidRPr="00FE61B7" w:rsidRDefault="00B93A95" w:rsidP="00CA75C5">
      <w:pPr>
        <w:jc w:val="both"/>
      </w:pPr>
      <w:r w:rsidRPr="00FE61B7">
        <w:t xml:space="preserve">Delaunay, Isabelle </w:t>
      </w:r>
      <w:r w:rsidRPr="00FE61B7">
        <w:rPr>
          <w:i/>
        </w:rPr>
        <w:t>et al.</w:t>
      </w:r>
      <w:r w:rsidRPr="00FE61B7">
        <w:t xml:space="preserve"> </w:t>
      </w:r>
      <w:r w:rsidRPr="00FE61B7">
        <w:rPr>
          <w:i/>
        </w:rPr>
        <w:t>L’enluminure en France au temps de Jean Fouquet</w:t>
      </w:r>
      <w:r w:rsidRPr="00FE61B7">
        <w:t>. Paris, Somogy éditions d’art, 2003. 95 pages.</w:t>
      </w:r>
    </w:p>
    <w:p w:rsidR="00B93A95" w:rsidRPr="00FE61B7" w:rsidRDefault="00B93A95" w:rsidP="00CA75C5">
      <w:pPr>
        <w:jc w:val="both"/>
      </w:pPr>
      <w:proofErr w:type="spellStart"/>
      <w:r w:rsidRPr="00FE61B7">
        <w:rPr>
          <w:rStyle w:val="apple-style-span"/>
        </w:rPr>
        <w:t>Faÿ-Sallois</w:t>
      </w:r>
      <w:proofErr w:type="spellEnd"/>
      <w:r w:rsidRPr="00FE61B7">
        <w:rPr>
          <w:rStyle w:val="apple-style-span"/>
        </w:rPr>
        <w:t xml:space="preserve">, Fanny. </w:t>
      </w:r>
      <w:r w:rsidRPr="00FE61B7">
        <w:rPr>
          <w:rStyle w:val="apple-style-span"/>
          <w:i/>
        </w:rPr>
        <w:t>Le trésor des Heures</w:t>
      </w:r>
      <w:r w:rsidRPr="00FE61B7">
        <w:rPr>
          <w:rStyle w:val="apple-style-span"/>
        </w:rPr>
        <w:t xml:space="preserve">. </w:t>
      </w:r>
      <w:hyperlink r:id="rId10" w:tooltip="Rechercher sur Paris : Desclée de Brouwer, c2002. " w:history="1">
        <w:r w:rsidRPr="00FE61B7">
          <w:rPr>
            <w:rStyle w:val="Lienhypertexte"/>
            <w:color w:val="auto"/>
            <w:u w:val="none"/>
          </w:rPr>
          <w:t xml:space="preserve">Paris, </w:t>
        </w:r>
        <w:proofErr w:type="spellStart"/>
        <w:r w:rsidRPr="00FE61B7">
          <w:rPr>
            <w:rStyle w:val="Lienhypertexte"/>
            <w:color w:val="auto"/>
            <w:u w:val="none"/>
          </w:rPr>
          <w:t>Desclée</w:t>
        </w:r>
        <w:proofErr w:type="spellEnd"/>
        <w:r w:rsidRPr="00FE61B7">
          <w:rPr>
            <w:rStyle w:val="Lienhypertexte"/>
            <w:color w:val="auto"/>
            <w:u w:val="none"/>
          </w:rPr>
          <w:t xml:space="preserve"> de Brouwer, 2002</w:t>
        </w:r>
      </w:hyperlink>
      <w:r w:rsidRPr="00FE61B7">
        <w:rPr>
          <w:rStyle w:val="apple-style-span"/>
        </w:rPr>
        <w:t>. 132 pages.</w:t>
      </w:r>
    </w:p>
    <w:p w:rsidR="005315C4" w:rsidRPr="00582F4F" w:rsidRDefault="00B93A95" w:rsidP="00CA75C5">
      <w:pPr>
        <w:jc w:val="both"/>
        <w:rPr>
          <w:rStyle w:val="apple-style-span"/>
        </w:rPr>
      </w:pPr>
      <w:proofErr w:type="spellStart"/>
      <w:r w:rsidRPr="00CA75C5">
        <w:rPr>
          <w:rStyle w:val="apple-style-span"/>
        </w:rPr>
        <w:t>Harthan</w:t>
      </w:r>
      <w:proofErr w:type="spellEnd"/>
      <w:r w:rsidRPr="00CA75C5">
        <w:rPr>
          <w:rStyle w:val="apple-style-span"/>
        </w:rPr>
        <w:t xml:space="preserve">, J.P. </w:t>
      </w:r>
      <w:r w:rsidRPr="00CA75C5">
        <w:rPr>
          <w:rStyle w:val="apple-style-span"/>
          <w:i/>
        </w:rPr>
        <w:t>L</w:t>
      </w:r>
      <w:r w:rsidR="005D7A47" w:rsidRPr="00CA75C5">
        <w:rPr>
          <w:rStyle w:val="apple-style-span"/>
          <w:i/>
        </w:rPr>
        <w:t>’</w:t>
      </w:r>
      <w:r w:rsidRPr="00CA75C5">
        <w:rPr>
          <w:rStyle w:val="apple-style-span"/>
          <w:i/>
        </w:rPr>
        <w:t>âge d</w:t>
      </w:r>
      <w:r w:rsidR="005D7A47" w:rsidRPr="00CA75C5">
        <w:rPr>
          <w:rStyle w:val="apple-style-span"/>
          <w:i/>
        </w:rPr>
        <w:t>’</w:t>
      </w:r>
      <w:r w:rsidRPr="00CA75C5">
        <w:rPr>
          <w:rStyle w:val="apple-style-span"/>
          <w:i/>
        </w:rPr>
        <w:t>or des livres d</w:t>
      </w:r>
      <w:r w:rsidR="005D7A47" w:rsidRPr="00CA75C5">
        <w:rPr>
          <w:rStyle w:val="apple-style-span"/>
          <w:i/>
        </w:rPr>
        <w:t>’</w:t>
      </w:r>
      <w:r w:rsidRPr="00CA75C5">
        <w:rPr>
          <w:rStyle w:val="apple-style-span"/>
          <w:i/>
        </w:rPr>
        <w:t>heures</w:t>
      </w:r>
      <w:r w:rsidRPr="00CA75C5">
        <w:rPr>
          <w:rStyle w:val="apple-style-span"/>
        </w:rPr>
        <w:t xml:space="preserve">. </w:t>
      </w:r>
      <w:r w:rsidRPr="00582F4F">
        <w:rPr>
          <w:rStyle w:val="apple-style-span"/>
        </w:rPr>
        <w:t>Paris, Elsevier Séquoia, 1977. 192 pages</w:t>
      </w:r>
      <w:r w:rsidR="00F04FC5" w:rsidRPr="00582F4F">
        <w:rPr>
          <w:rStyle w:val="apple-style-span"/>
        </w:rPr>
        <w:t>.</w:t>
      </w:r>
    </w:p>
    <w:p w:rsidR="00CA75C5" w:rsidRPr="00CA75C5" w:rsidRDefault="00CA75C5" w:rsidP="00CA75C5">
      <w:pPr>
        <w:jc w:val="both"/>
        <w:rPr>
          <w:rStyle w:val="apple-style-span"/>
          <w:lang w:val="en-CA"/>
        </w:rPr>
      </w:pPr>
      <w:r w:rsidRPr="00CA75C5">
        <w:t xml:space="preserve">Victor </w:t>
      </w:r>
      <w:proofErr w:type="spellStart"/>
      <w:r w:rsidRPr="00CA75C5">
        <w:t>Leroquais</w:t>
      </w:r>
      <w:proofErr w:type="spellEnd"/>
      <w:r w:rsidRPr="00CA75C5">
        <w:t xml:space="preserve">. </w:t>
      </w:r>
      <w:r w:rsidRPr="00CA75C5">
        <w:rPr>
          <w:rStyle w:val="fn"/>
          <w:i/>
        </w:rPr>
        <w:t>Les livres d</w:t>
      </w:r>
      <w:r w:rsidR="00162703">
        <w:rPr>
          <w:rStyle w:val="fn"/>
          <w:i/>
        </w:rPr>
        <w:t>’</w:t>
      </w:r>
      <w:r w:rsidRPr="00CA75C5">
        <w:rPr>
          <w:rStyle w:val="fn"/>
          <w:i/>
        </w:rPr>
        <w:t>heures manuscrits de la Bibliothèque nationale</w:t>
      </w:r>
      <w:r w:rsidRPr="00CA75C5">
        <w:rPr>
          <w:rStyle w:val="fn"/>
        </w:rPr>
        <w:t xml:space="preserve">. </w:t>
      </w:r>
      <w:proofErr w:type="spellStart"/>
      <w:proofErr w:type="gramStart"/>
      <w:r w:rsidRPr="00CA75C5">
        <w:rPr>
          <w:shd w:val="clear" w:color="auto" w:fill="FFFFFF"/>
          <w:lang w:val="en-CA"/>
        </w:rPr>
        <w:t>Maçon</w:t>
      </w:r>
      <w:proofErr w:type="spellEnd"/>
      <w:r w:rsidRPr="00CA75C5">
        <w:rPr>
          <w:shd w:val="clear" w:color="auto" w:fill="FFFFFF"/>
          <w:lang w:val="en-CA"/>
        </w:rPr>
        <w:t xml:space="preserve">, </w:t>
      </w:r>
      <w:proofErr w:type="spellStart"/>
      <w:r w:rsidRPr="00CA75C5">
        <w:rPr>
          <w:shd w:val="clear" w:color="auto" w:fill="FFFFFF"/>
          <w:lang w:val="en-CA"/>
        </w:rPr>
        <w:t>Protat</w:t>
      </w:r>
      <w:proofErr w:type="spellEnd"/>
      <w:r w:rsidRPr="00CA75C5">
        <w:rPr>
          <w:shd w:val="clear" w:color="auto" w:fill="FFFFFF"/>
          <w:lang w:val="en-CA"/>
        </w:rPr>
        <w:t xml:space="preserve"> frères, 1927.</w:t>
      </w:r>
      <w:proofErr w:type="gramEnd"/>
    </w:p>
    <w:p w:rsidR="00F04FC5" w:rsidRPr="00AC0AF7" w:rsidRDefault="00F04FC5" w:rsidP="00CA75C5">
      <w:pPr>
        <w:jc w:val="both"/>
        <w:rPr>
          <w:lang w:val="en-CA"/>
        </w:rPr>
      </w:pPr>
      <w:r w:rsidRPr="00CA75C5">
        <w:rPr>
          <w:rStyle w:val="apple-style-span"/>
          <w:lang w:val="en-CA"/>
        </w:rPr>
        <w:t>Smith,</w:t>
      </w:r>
      <w:r w:rsidRPr="00AC0AF7">
        <w:rPr>
          <w:rStyle w:val="apple-style-span"/>
          <w:lang w:val="en-CA"/>
        </w:rPr>
        <w:t xml:space="preserve"> Kathryn A. </w:t>
      </w:r>
      <w:r w:rsidRPr="00AC0AF7">
        <w:rPr>
          <w:rStyle w:val="apple-style-span"/>
          <w:i/>
          <w:lang w:val="en-CA"/>
        </w:rPr>
        <w:t xml:space="preserve">Art, identity and devotion in fourteenth-century </w:t>
      </w:r>
      <w:proofErr w:type="gramStart"/>
      <w:r w:rsidRPr="00AC0AF7">
        <w:rPr>
          <w:rStyle w:val="apple-style-span"/>
          <w:i/>
          <w:lang w:val="en-CA"/>
        </w:rPr>
        <w:t>England :</w:t>
      </w:r>
      <w:proofErr w:type="gramEnd"/>
      <w:r w:rsidRPr="00AC0AF7">
        <w:rPr>
          <w:rStyle w:val="apple-style-span"/>
          <w:i/>
          <w:lang w:val="en-CA"/>
        </w:rPr>
        <w:t xml:space="preserve"> three women and their books of hours</w:t>
      </w:r>
      <w:r w:rsidRPr="00AC0AF7">
        <w:rPr>
          <w:rStyle w:val="apple-style-span"/>
          <w:lang w:val="en-CA"/>
        </w:rPr>
        <w:t xml:space="preserve">. </w:t>
      </w:r>
      <w:proofErr w:type="gramStart"/>
      <w:r w:rsidRPr="00AC0AF7">
        <w:rPr>
          <w:rStyle w:val="apple-style-span"/>
          <w:lang w:val="en-CA"/>
        </w:rPr>
        <w:t>London, British Library; Toronto, University of Toronto Press, 2003.</w:t>
      </w:r>
      <w:proofErr w:type="gramEnd"/>
      <w:r w:rsidRPr="00AC0AF7">
        <w:rPr>
          <w:rStyle w:val="apple-style-span"/>
          <w:lang w:val="en-CA"/>
        </w:rPr>
        <w:t xml:space="preserve"> </w:t>
      </w:r>
      <w:proofErr w:type="gramStart"/>
      <w:r w:rsidRPr="00AC0AF7">
        <w:rPr>
          <w:rStyle w:val="apple-style-span"/>
          <w:lang w:val="en-CA"/>
        </w:rPr>
        <w:t>364 pages.</w:t>
      </w:r>
      <w:proofErr w:type="gramEnd"/>
    </w:p>
    <w:p w:rsidR="00F04FC5" w:rsidRPr="00AC0AF7" w:rsidRDefault="00424104" w:rsidP="009448BC">
      <w:pPr>
        <w:jc w:val="both"/>
        <w:rPr>
          <w:lang w:val="en-CA"/>
        </w:rPr>
      </w:pPr>
      <w:hyperlink r:id="rId11" w:history="1">
        <w:r w:rsidR="00F04FC5" w:rsidRPr="00AC0AF7">
          <w:rPr>
            <w:rStyle w:val="Lienhypertexte"/>
            <w:bCs/>
            <w:color w:val="auto"/>
            <w:u w:val="none"/>
            <w:lang w:val="en-CA"/>
          </w:rPr>
          <w:t>Wieck, Roger S.</w:t>
        </w:r>
      </w:hyperlink>
      <w:r w:rsidR="00F04FC5" w:rsidRPr="00AC0AF7">
        <w:rPr>
          <w:rStyle w:val="apple-style-span"/>
          <w:lang w:val="en-CA"/>
        </w:rPr>
        <w:t> </w:t>
      </w:r>
      <w:r w:rsidR="00F04FC5" w:rsidRPr="00AC0AF7">
        <w:rPr>
          <w:rStyle w:val="apple-style-span"/>
          <w:i/>
          <w:lang w:val="en-CA"/>
        </w:rPr>
        <w:t xml:space="preserve">Time </w:t>
      </w:r>
      <w:proofErr w:type="gramStart"/>
      <w:r w:rsidR="00F04FC5" w:rsidRPr="00AC0AF7">
        <w:rPr>
          <w:rStyle w:val="apple-style-span"/>
          <w:i/>
          <w:lang w:val="en-CA"/>
        </w:rPr>
        <w:t>sanctified</w:t>
      </w:r>
      <w:r w:rsidR="005D7A47">
        <w:rPr>
          <w:rStyle w:val="apple-style-span"/>
          <w:i/>
          <w:lang w:val="en-CA"/>
        </w:rPr>
        <w:t> </w:t>
      </w:r>
      <w:r w:rsidR="00F04FC5" w:rsidRPr="00AC0AF7">
        <w:rPr>
          <w:rStyle w:val="apple-style-span"/>
          <w:i/>
          <w:lang w:val="en-CA"/>
        </w:rPr>
        <w:t>:</w:t>
      </w:r>
      <w:proofErr w:type="gramEnd"/>
      <w:r w:rsidR="00F04FC5" w:rsidRPr="00AC0AF7">
        <w:rPr>
          <w:rStyle w:val="apple-style-span"/>
          <w:i/>
          <w:lang w:val="en-CA"/>
        </w:rPr>
        <w:t xml:space="preserve"> the Book of hours in medieval art and life</w:t>
      </w:r>
      <w:r w:rsidR="00F04FC5" w:rsidRPr="00AC0AF7">
        <w:rPr>
          <w:rStyle w:val="apple-style-span"/>
          <w:lang w:val="en-CA"/>
        </w:rPr>
        <w:t xml:space="preserve">. New York, G. </w:t>
      </w:r>
      <w:proofErr w:type="spellStart"/>
      <w:r w:rsidR="00F04FC5" w:rsidRPr="00AC0AF7">
        <w:rPr>
          <w:rStyle w:val="apple-style-span"/>
          <w:lang w:val="en-CA"/>
        </w:rPr>
        <w:t>Braziller</w:t>
      </w:r>
      <w:proofErr w:type="spellEnd"/>
      <w:r w:rsidR="00F04FC5" w:rsidRPr="00AC0AF7">
        <w:rPr>
          <w:rStyle w:val="apple-style-span"/>
          <w:lang w:val="en-CA"/>
        </w:rPr>
        <w:t xml:space="preserve"> in association with the Walters Art Gallery, Baltimore, 1988. </w:t>
      </w:r>
      <w:proofErr w:type="gramStart"/>
      <w:r w:rsidR="00F04FC5" w:rsidRPr="00AC0AF7">
        <w:rPr>
          <w:rStyle w:val="apple-style-span"/>
          <w:lang w:val="en-CA"/>
        </w:rPr>
        <w:t>230 pages.</w:t>
      </w:r>
      <w:proofErr w:type="gramEnd"/>
    </w:p>
    <w:p w:rsidR="00F04FC5" w:rsidRPr="00AC0AF7" w:rsidRDefault="00F04FC5" w:rsidP="009448BC">
      <w:pPr>
        <w:jc w:val="both"/>
        <w:rPr>
          <w:rStyle w:val="apple-style-span"/>
          <w:lang w:val="en-CA"/>
        </w:rPr>
      </w:pPr>
      <w:r w:rsidRPr="00AC0AF7">
        <w:rPr>
          <w:lang w:val="en-CA"/>
        </w:rPr>
        <w:t xml:space="preserve">Wieck, Roger S. </w:t>
      </w:r>
      <w:r w:rsidRPr="00AC0AF7">
        <w:rPr>
          <w:i/>
          <w:lang w:val="en-CA"/>
        </w:rPr>
        <w:t xml:space="preserve">et al. The Hours of Henry VIII: A Renaissance Masterpiece by Jean </w:t>
      </w:r>
      <w:proofErr w:type="spellStart"/>
      <w:r w:rsidRPr="00AC0AF7">
        <w:rPr>
          <w:i/>
          <w:lang w:val="en-CA"/>
        </w:rPr>
        <w:t>Poyet</w:t>
      </w:r>
      <w:proofErr w:type="spellEnd"/>
      <w:r w:rsidRPr="00AC0AF7">
        <w:rPr>
          <w:lang w:val="en-CA"/>
        </w:rPr>
        <w:t xml:space="preserve">. New York, George </w:t>
      </w:r>
      <w:proofErr w:type="spellStart"/>
      <w:r w:rsidRPr="00AC0AF7">
        <w:rPr>
          <w:lang w:val="en-CA"/>
        </w:rPr>
        <w:t>Braziller</w:t>
      </w:r>
      <w:proofErr w:type="spellEnd"/>
      <w:r w:rsidRPr="00AC0AF7">
        <w:rPr>
          <w:lang w:val="en-CA"/>
        </w:rPr>
        <w:t xml:space="preserve">, 2000. </w:t>
      </w:r>
      <w:proofErr w:type="gramStart"/>
      <w:r w:rsidRPr="00AC0AF7">
        <w:rPr>
          <w:lang w:val="en-CA"/>
        </w:rPr>
        <w:t>194 pages.</w:t>
      </w:r>
      <w:proofErr w:type="gramEnd"/>
    </w:p>
    <w:p w:rsidR="005315C4" w:rsidRPr="00AC0AF7" w:rsidRDefault="005315C4" w:rsidP="009448BC">
      <w:pPr>
        <w:jc w:val="both"/>
        <w:rPr>
          <w:rStyle w:val="apple-style-span"/>
          <w:u w:val="single"/>
          <w:lang w:val="en-CA"/>
        </w:rPr>
      </w:pPr>
      <w:proofErr w:type="spellStart"/>
      <w:r w:rsidRPr="00AC0AF7">
        <w:rPr>
          <w:rStyle w:val="apple-style-span"/>
          <w:u w:val="single"/>
          <w:lang w:val="en-CA"/>
        </w:rPr>
        <w:t>Autres</w:t>
      </w:r>
      <w:proofErr w:type="spellEnd"/>
    </w:p>
    <w:p w:rsidR="00A42C19" w:rsidRPr="00FE61B7" w:rsidRDefault="00A42C19" w:rsidP="009448BC">
      <w:pPr>
        <w:jc w:val="both"/>
      </w:pPr>
      <w:r w:rsidRPr="00AC0AF7">
        <w:rPr>
          <w:rStyle w:val="apple-style-span"/>
          <w:lang w:val="en-CA"/>
        </w:rPr>
        <w:t xml:space="preserve">Aston, Margaret. </w:t>
      </w:r>
      <w:r w:rsidRPr="00AC0AF7">
        <w:rPr>
          <w:rStyle w:val="apple-style-span"/>
          <w:i/>
          <w:lang w:val="en-CA"/>
        </w:rPr>
        <w:t>Faith and fire: popular and unpopular religion, 1350-1600</w:t>
      </w:r>
      <w:r w:rsidRPr="00AC0AF7">
        <w:rPr>
          <w:rStyle w:val="apple-style-span"/>
          <w:lang w:val="en-CA"/>
        </w:rPr>
        <w:t xml:space="preserve">. </w:t>
      </w:r>
      <w:hyperlink r:id="rId12" w:tooltip="Rechercher sur London ; Rio Grande, Ohio : Hambledon Press, c1993. " w:history="1">
        <w:r w:rsidRPr="00FE61B7">
          <w:rPr>
            <w:rStyle w:val="Lienhypertexte"/>
            <w:color w:val="auto"/>
            <w:u w:val="none"/>
          </w:rPr>
          <w:t xml:space="preserve">London, Rio Grande, Ohio, </w:t>
        </w:r>
        <w:proofErr w:type="spellStart"/>
        <w:r w:rsidRPr="00FE61B7">
          <w:rPr>
            <w:rStyle w:val="Lienhypertexte"/>
            <w:color w:val="auto"/>
            <w:u w:val="none"/>
          </w:rPr>
          <w:t>Hambledon</w:t>
        </w:r>
        <w:proofErr w:type="spellEnd"/>
        <w:r w:rsidRPr="00FE61B7">
          <w:rPr>
            <w:rStyle w:val="Lienhypertexte"/>
            <w:color w:val="auto"/>
            <w:u w:val="none"/>
          </w:rPr>
          <w:t xml:space="preserve"> </w:t>
        </w:r>
        <w:proofErr w:type="spellStart"/>
        <w:r w:rsidRPr="00FE61B7">
          <w:rPr>
            <w:rStyle w:val="Lienhypertexte"/>
            <w:color w:val="auto"/>
            <w:u w:val="none"/>
          </w:rPr>
          <w:t>Press</w:t>
        </w:r>
        <w:proofErr w:type="spellEnd"/>
        <w:r w:rsidRPr="00FE61B7">
          <w:rPr>
            <w:rStyle w:val="Lienhypertexte"/>
            <w:color w:val="auto"/>
            <w:u w:val="none"/>
          </w:rPr>
          <w:t>, 1993.</w:t>
        </w:r>
      </w:hyperlink>
      <w:r w:rsidRPr="00FE61B7">
        <w:rPr>
          <w:rStyle w:val="apple-style-span"/>
        </w:rPr>
        <w:t xml:space="preserve"> 333 pages.</w:t>
      </w:r>
    </w:p>
    <w:p w:rsidR="00A42C19" w:rsidRPr="00FE61B7" w:rsidRDefault="00A42C19" w:rsidP="009448BC">
      <w:pPr>
        <w:jc w:val="both"/>
      </w:pPr>
      <w:proofErr w:type="spellStart"/>
      <w:r w:rsidRPr="00FE61B7">
        <w:t>Bredero</w:t>
      </w:r>
      <w:proofErr w:type="spellEnd"/>
      <w:r w:rsidRPr="00FE61B7">
        <w:t xml:space="preserve">, Adriaan H. </w:t>
      </w:r>
      <w:r w:rsidRPr="00FE61B7">
        <w:rPr>
          <w:i/>
        </w:rPr>
        <w:t>Cluny et Cîteaux au douzième siècle; L’Histoire d’une controverse monastique</w:t>
      </w:r>
      <w:r w:rsidRPr="00FE61B7">
        <w:t xml:space="preserve">. </w:t>
      </w:r>
      <w:proofErr w:type="spellStart"/>
      <w:r w:rsidRPr="00FE61B7">
        <w:t>Armsterdam</w:t>
      </w:r>
      <w:proofErr w:type="spellEnd"/>
      <w:r w:rsidRPr="00FE61B7">
        <w:t xml:space="preserve">, APA – Holland </w:t>
      </w:r>
      <w:proofErr w:type="spellStart"/>
      <w:r w:rsidRPr="00FE61B7">
        <w:t>University</w:t>
      </w:r>
      <w:proofErr w:type="spellEnd"/>
      <w:r w:rsidRPr="00FE61B7">
        <w:t xml:space="preserve"> </w:t>
      </w:r>
      <w:proofErr w:type="spellStart"/>
      <w:r w:rsidRPr="00FE61B7">
        <w:t>Press</w:t>
      </w:r>
      <w:proofErr w:type="spellEnd"/>
      <w:r w:rsidRPr="00FE61B7">
        <w:t>, 1985. 410 pages.</w:t>
      </w:r>
    </w:p>
    <w:p w:rsidR="00A42C19" w:rsidRPr="00FE61B7" w:rsidRDefault="00A42C19" w:rsidP="009448BC">
      <w:pPr>
        <w:jc w:val="both"/>
      </w:pPr>
      <w:proofErr w:type="spellStart"/>
      <w:r w:rsidRPr="00FE61B7">
        <w:t>Iogna</w:t>
      </w:r>
      <w:proofErr w:type="spellEnd"/>
      <w:r w:rsidRPr="00FE61B7">
        <w:t xml:space="preserve">-Prat, Dominique. </w:t>
      </w:r>
      <w:r w:rsidRPr="00FE61B7">
        <w:rPr>
          <w:i/>
        </w:rPr>
        <w:t>La Maison Dieu; Une histoire monumentale de l’Église au Moyen Âge (v. 800-v, 1200)</w:t>
      </w:r>
      <w:r w:rsidRPr="00FE61B7">
        <w:t>. Paris, Éditions du Seuil, 2006. 683 pages.</w:t>
      </w:r>
    </w:p>
    <w:p w:rsidR="00A42C19" w:rsidRPr="00FE61B7" w:rsidRDefault="00A42C19" w:rsidP="009448BC">
      <w:pPr>
        <w:jc w:val="both"/>
      </w:pPr>
      <w:proofErr w:type="spellStart"/>
      <w:r w:rsidRPr="00FE61B7">
        <w:t>Plagnieux</w:t>
      </w:r>
      <w:proofErr w:type="spellEnd"/>
      <w:r w:rsidRPr="00FE61B7">
        <w:t xml:space="preserve">, Philippe </w:t>
      </w:r>
      <w:r w:rsidRPr="00FE61B7">
        <w:rPr>
          <w:i/>
        </w:rPr>
        <w:t>et al</w:t>
      </w:r>
      <w:r w:rsidRPr="00FE61B7">
        <w:t xml:space="preserve">. </w:t>
      </w:r>
      <w:r w:rsidRPr="00FE61B7">
        <w:rPr>
          <w:i/>
        </w:rPr>
        <w:t>L’art du Moyen Âge en France</w:t>
      </w:r>
      <w:r w:rsidRPr="00FE61B7">
        <w:t>. Paris, Citadelles &amp; Mazenod, 2010. 599 pages.</w:t>
      </w:r>
    </w:p>
    <w:p w:rsidR="00A42C19" w:rsidRPr="00FE61B7" w:rsidRDefault="00A42C19" w:rsidP="009448BC">
      <w:pPr>
        <w:jc w:val="both"/>
      </w:pPr>
      <w:r w:rsidRPr="005B797F">
        <w:rPr>
          <w:lang w:val="en-CA"/>
        </w:rPr>
        <w:t xml:space="preserve">Plummer, John. </w:t>
      </w:r>
      <w:r w:rsidRPr="00AC0AF7">
        <w:rPr>
          <w:i/>
          <w:lang w:val="en-CA"/>
        </w:rPr>
        <w:t>The Last Flowering: French Painting in Manuscripts, 1420-1530</w:t>
      </w:r>
      <w:r w:rsidRPr="00AC0AF7">
        <w:rPr>
          <w:lang w:val="en-CA"/>
        </w:rPr>
        <w:t xml:space="preserve">. New York &amp; London, </w:t>
      </w:r>
      <w:proofErr w:type="gramStart"/>
      <w:r w:rsidRPr="00AC0AF7">
        <w:rPr>
          <w:lang w:val="en-CA"/>
        </w:rPr>
        <w:t>The</w:t>
      </w:r>
      <w:proofErr w:type="gramEnd"/>
      <w:r w:rsidRPr="00AC0AF7">
        <w:rPr>
          <w:lang w:val="en-CA"/>
        </w:rPr>
        <w:t xml:space="preserve"> Pierpont Morgan Library &amp; Oxford University Press, 1982. </w:t>
      </w:r>
      <w:r w:rsidRPr="00FE61B7">
        <w:t>123 pages.</w:t>
      </w:r>
    </w:p>
    <w:p w:rsidR="00A42C19" w:rsidRPr="00FE61B7" w:rsidRDefault="00A42C19" w:rsidP="009448BC">
      <w:pPr>
        <w:jc w:val="both"/>
      </w:pPr>
      <w:r w:rsidRPr="00FE61B7">
        <w:t xml:space="preserve">Porter, J.R. </w:t>
      </w:r>
      <w:r w:rsidRPr="00FE61B7">
        <w:rPr>
          <w:i/>
        </w:rPr>
        <w:t>Jésus-Christ</w:t>
      </w:r>
      <w:r w:rsidRPr="00FE61B7">
        <w:t xml:space="preserve">. </w:t>
      </w:r>
      <w:proofErr w:type="spellStart"/>
      <w:r w:rsidRPr="00FE61B7">
        <w:t>Köln</w:t>
      </w:r>
      <w:proofErr w:type="spellEnd"/>
      <w:r w:rsidRPr="00FE61B7">
        <w:t xml:space="preserve">, </w:t>
      </w:r>
      <w:proofErr w:type="spellStart"/>
      <w:r w:rsidRPr="00FE61B7">
        <w:t>Evergreen</w:t>
      </w:r>
      <w:proofErr w:type="spellEnd"/>
      <w:r w:rsidRPr="00FE61B7">
        <w:t>, 240 pages. 2007 pages.</w:t>
      </w:r>
    </w:p>
    <w:p w:rsidR="002C52B1" w:rsidRPr="00FE61B7" w:rsidRDefault="002C52B1" w:rsidP="009448BC">
      <w:pPr>
        <w:jc w:val="both"/>
        <w:rPr>
          <w:rStyle w:val="Lienhypertexte"/>
          <w:color w:val="auto"/>
          <w:u w:val="none"/>
        </w:rPr>
      </w:pPr>
      <w:r w:rsidRPr="00FE61B7">
        <w:rPr>
          <w:rStyle w:val="apple-style-span"/>
        </w:rPr>
        <w:t xml:space="preserve">Rapp, Francis. </w:t>
      </w:r>
      <w:r w:rsidRPr="00FE61B7">
        <w:rPr>
          <w:rStyle w:val="apple-style-span"/>
          <w:i/>
        </w:rPr>
        <w:t>L’Église et la vie religieuse en Occident à la fin du Moyen Âge</w:t>
      </w:r>
      <w:r w:rsidRPr="00FE61B7">
        <w:rPr>
          <w:rStyle w:val="apple-style-span"/>
        </w:rPr>
        <w:t xml:space="preserve">. </w:t>
      </w:r>
      <w:hyperlink r:id="rId13" w:tooltip="Rechercher sur Paris : Presses universitaires de France, 1999, c1971. " w:history="1">
        <w:r w:rsidRPr="00FE61B7">
          <w:rPr>
            <w:rStyle w:val="Lienhypertexte"/>
            <w:color w:val="auto"/>
            <w:u w:val="none"/>
          </w:rPr>
          <w:t>Paris, Presses universitaires de France, 1999. 381 pages.</w:t>
        </w:r>
      </w:hyperlink>
    </w:p>
    <w:p w:rsidR="002C52B1" w:rsidRPr="00FE61B7" w:rsidRDefault="002C52B1" w:rsidP="009448BC">
      <w:pPr>
        <w:jc w:val="both"/>
        <w:rPr>
          <w:rFonts w:eastAsia="Times New Roman"/>
          <w:lang w:eastAsia="fr-CA"/>
        </w:rPr>
      </w:pPr>
      <w:r w:rsidRPr="00FE61B7">
        <w:rPr>
          <w:rStyle w:val="apple-style-span"/>
        </w:rPr>
        <w:t xml:space="preserve">Vauchez, André. </w:t>
      </w:r>
      <w:r w:rsidRPr="00FE61B7">
        <w:rPr>
          <w:rStyle w:val="apple-style-span"/>
          <w:i/>
        </w:rPr>
        <w:t>Les laïcs au Moyen Âge : pratiques et expériences religieuses</w:t>
      </w:r>
      <w:r w:rsidRPr="00FE61B7">
        <w:rPr>
          <w:rStyle w:val="apple-style-span"/>
        </w:rPr>
        <w:t xml:space="preserve">. </w:t>
      </w:r>
      <w:hyperlink r:id="rId14" w:tooltip="Rechercher sur Paris : Editions du Cerf, 1987. " w:history="1">
        <w:r w:rsidRPr="00FE61B7">
          <w:rPr>
            <w:rFonts w:eastAsia="Times New Roman"/>
            <w:lang w:eastAsia="fr-CA"/>
          </w:rPr>
          <w:br/>
          <w:t>Paris, Éditions du Cerf, 1987</w:t>
        </w:r>
      </w:hyperlink>
      <w:r w:rsidRPr="00FE61B7">
        <w:rPr>
          <w:rFonts w:eastAsia="Times New Roman"/>
          <w:lang w:eastAsia="fr-CA"/>
        </w:rPr>
        <w:t>. 309 pages.</w:t>
      </w:r>
    </w:p>
    <w:p w:rsidR="002C52B1" w:rsidRPr="00FE61B7" w:rsidRDefault="002C52B1" w:rsidP="009448BC">
      <w:pPr>
        <w:jc w:val="both"/>
        <w:rPr>
          <w:rFonts w:eastAsia="Times New Roman"/>
          <w:lang w:eastAsia="fr-CA"/>
        </w:rPr>
      </w:pPr>
      <w:r w:rsidRPr="00FE61B7">
        <w:rPr>
          <w:rStyle w:val="apple-style-span"/>
        </w:rPr>
        <w:t xml:space="preserve">Vauchez, André. </w:t>
      </w:r>
      <w:r w:rsidRPr="00FE61B7">
        <w:rPr>
          <w:rStyle w:val="apple-style-span"/>
          <w:i/>
        </w:rPr>
        <w:t>La spiritualité du Moyen Âge occidental, VIII</w:t>
      </w:r>
      <w:r w:rsidRPr="00FE61B7">
        <w:rPr>
          <w:rStyle w:val="apple-style-span"/>
          <w:i/>
          <w:vertAlign w:val="superscript"/>
        </w:rPr>
        <w:t>e</w:t>
      </w:r>
      <w:r w:rsidRPr="00FE61B7">
        <w:rPr>
          <w:rStyle w:val="apple-style-span"/>
          <w:i/>
        </w:rPr>
        <w:t>-XIII</w:t>
      </w:r>
      <w:r w:rsidRPr="00FE61B7">
        <w:rPr>
          <w:rStyle w:val="apple-style-span"/>
          <w:i/>
          <w:vertAlign w:val="superscript"/>
        </w:rPr>
        <w:t>e</w:t>
      </w:r>
      <w:r w:rsidRPr="00FE61B7">
        <w:rPr>
          <w:rStyle w:val="apple-style-span"/>
          <w:i/>
        </w:rPr>
        <w:t xml:space="preserve"> siècles</w:t>
      </w:r>
      <w:r w:rsidRPr="00FE61B7">
        <w:rPr>
          <w:rStyle w:val="apple-style-span"/>
        </w:rPr>
        <w:t>. Paris, Éditions du Seuil, 1994.</w:t>
      </w:r>
      <w:r w:rsidRPr="00FE61B7">
        <w:rPr>
          <w:rFonts w:eastAsia="Times New Roman"/>
          <w:lang w:eastAsia="fr-CA"/>
        </w:rPr>
        <w:t xml:space="preserve"> 212 pages.</w:t>
      </w:r>
    </w:p>
    <w:p w:rsidR="00A42C19" w:rsidRPr="00FE61B7" w:rsidRDefault="00A42C19" w:rsidP="009448BC">
      <w:pPr>
        <w:jc w:val="both"/>
      </w:pPr>
      <w:proofErr w:type="spellStart"/>
      <w:r w:rsidRPr="00AC0AF7">
        <w:t>Winn</w:t>
      </w:r>
      <w:proofErr w:type="spellEnd"/>
      <w:r w:rsidRPr="00AC0AF7">
        <w:t xml:space="preserve">, Mary Beth. </w:t>
      </w:r>
      <w:proofErr w:type="spellStart"/>
      <w:r w:rsidRPr="00AC0AF7">
        <w:rPr>
          <w:i/>
        </w:rPr>
        <w:t>Anthoine</w:t>
      </w:r>
      <w:proofErr w:type="spellEnd"/>
      <w:r w:rsidRPr="00AC0AF7">
        <w:rPr>
          <w:i/>
        </w:rPr>
        <w:t xml:space="preserve"> </w:t>
      </w:r>
      <w:proofErr w:type="spellStart"/>
      <w:r w:rsidRPr="00AC0AF7">
        <w:rPr>
          <w:i/>
        </w:rPr>
        <w:t>Vérard</w:t>
      </w:r>
      <w:proofErr w:type="spellEnd"/>
      <w:r w:rsidRPr="00AC0AF7">
        <w:rPr>
          <w:i/>
        </w:rPr>
        <w:t xml:space="preserve">: </w:t>
      </w:r>
      <w:proofErr w:type="spellStart"/>
      <w:r w:rsidRPr="00AC0AF7">
        <w:rPr>
          <w:i/>
        </w:rPr>
        <w:t>Parisian</w:t>
      </w:r>
      <w:proofErr w:type="spellEnd"/>
      <w:r w:rsidRPr="00AC0AF7">
        <w:rPr>
          <w:i/>
        </w:rPr>
        <w:t xml:space="preserve"> Publisher, 1485-1512</w:t>
      </w:r>
      <w:r w:rsidRPr="00AC0AF7">
        <w:t xml:space="preserve">. </w:t>
      </w:r>
      <w:r w:rsidRPr="00FE61B7">
        <w:t>Genève, Librairie Droz, 1997. 555 pages.</w:t>
      </w:r>
    </w:p>
    <w:p w:rsidR="00A42C19" w:rsidRPr="00FE61B7" w:rsidRDefault="00A42C19" w:rsidP="009448BC">
      <w:pPr>
        <w:jc w:val="both"/>
        <w:rPr>
          <w:i/>
          <w:u w:val="single"/>
        </w:rPr>
      </w:pPr>
      <w:r w:rsidRPr="00FE61B7">
        <w:rPr>
          <w:i/>
          <w:u w:val="single"/>
        </w:rPr>
        <w:t>Monographies</w:t>
      </w:r>
    </w:p>
    <w:p w:rsidR="00A42C19" w:rsidRPr="00FE61B7" w:rsidRDefault="00A42C19" w:rsidP="009448BC">
      <w:pPr>
        <w:jc w:val="both"/>
      </w:pPr>
      <w:r w:rsidRPr="00FE61B7">
        <w:t xml:space="preserve">Ball, Philip. </w:t>
      </w:r>
      <w:r w:rsidRPr="00FE61B7">
        <w:rPr>
          <w:i/>
        </w:rPr>
        <w:t>Histoire vivante des couleurs; 5000 ans de peinture racontée par les pigments</w:t>
      </w:r>
      <w:r w:rsidRPr="00FE61B7">
        <w:t>. Paris, Hazan, 2010. 512 pages.</w:t>
      </w:r>
    </w:p>
    <w:p w:rsidR="00A42C19" w:rsidRPr="00AC0AF7" w:rsidRDefault="00A42C19" w:rsidP="009448BC">
      <w:pPr>
        <w:jc w:val="both"/>
        <w:rPr>
          <w:bCs/>
          <w:lang w:val="en-CA"/>
        </w:rPr>
      </w:pPr>
      <w:r w:rsidRPr="00FE61B7">
        <w:t xml:space="preserve">C.U.E.R.M.A. </w:t>
      </w:r>
      <w:r w:rsidRPr="00FE61B7">
        <w:rPr>
          <w:i/>
        </w:rPr>
        <w:t>Les couleurs au Moyen Âge</w:t>
      </w:r>
      <w:r w:rsidRPr="00FE61B7">
        <w:t xml:space="preserve">. </w:t>
      </w:r>
      <w:r w:rsidRPr="00FE61B7">
        <w:rPr>
          <w:bCs/>
        </w:rPr>
        <w:t xml:space="preserve">Aix-en-Provence, Université de Provence, 1988. </w:t>
      </w:r>
      <w:proofErr w:type="gramStart"/>
      <w:r w:rsidRPr="00AC0AF7">
        <w:rPr>
          <w:bCs/>
          <w:lang w:val="en-CA"/>
        </w:rPr>
        <w:t>651 pages.</w:t>
      </w:r>
      <w:proofErr w:type="gramEnd"/>
    </w:p>
    <w:p w:rsidR="00A42C19" w:rsidRPr="00FE61B7" w:rsidRDefault="00A42C19" w:rsidP="009448BC">
      <w:pPr>
        <w:jc w:val="both"/>
      </w:pPr>
      <w:r w:rsidRPr="00AC0AF7">
        <w:rPr>
          <w:lang w:val="en-CA"/>
        </w:rPr>
        <w:t xml:space="preserve">Gage, John. </w:t>
      </w:r>
      <w:r w:rsidRPr="00AC0AF7">
        <w:rPr>
          <w:i/>
          <w:lang w:val="en-CA"/>
        </w:rPr>
        <w:t>Color and Meaning; Art, Science, and Symbolism</w:t>
      </w:r>
      <w:r w:rsidRPr="00AC0AF7">
        <w:rPr>
          <w:lang w:val="en-CA"/>
        </w:rPr>
        <w:t xml:space="preserve">. Berkeley &amp; Los Angeles, University of California Press, 1999. </w:t>
      </w:r>
      <w:r w:rsidRPr="00FE61B7">
        <w:t>320 pages.</w:t>
      </w:r>
    </w:p>
    <w:p w:rsidR="00A42C19" w:rsidRPr="00FE61B7" w:rsidRDefault="00A42C19" w:rsidP="009448BC">
      <w:pPr>
        <w:jc w:val="both"/>
      </w:pPr>
      <w:r w:rsidRPr="00FE61B7">
        <w:lastRenderedPageBreak/>
        <w:t xml:space="preserve">Gage, John. </w:t>
      </w:r>
      <w:r w:rsidRPr="00FE61B7">
        <w:rPr>
          <w:i/>
        </w:rPr>
        <w:t>Couleur &amp; Culture; Usages et significations de la couleur de l’Antiquité à l’</w:t>
      </w:r>
      <w:proofErr w:type="spellStart"/>
      <w:r w:rsidRPr="00FE61B7">
        <w:rPr>
          <w:i/>
        </w:rPr>
        <w:t>asbtraction</w:t>
      </w:r>
      <w:proofErr w:type="spellEnd"/>
      <w:r w:rsidRPr="00FE61B7">
        <w:rPr>
          <w:i/>
        </w:rPr>
        <w:t>.</w:t>
      </w:r>
      <w:r w:rsidRPr="00FE61B7">
        <w:t xml:space="preserve"> Paris, Thames &amp; Hudson SARL, 2008. 336 pages.</w:t>
      </w:r>
    </w:p>
    <w:p w:rsidR="00A42C19" w:rsidRPr="00FE61B7" w:rsidRDefault="00A42C19" w:rsidP="009448BC">
      <w:pPr>
        <w:jc w:val="both"/>
      </w:pPr>
      <w:r w:rsidRPr="00FE61B7">
        <w:t xml:space="preserve">Gage, John. </w:t>
      </w:r>
      <w:r w:rsidRPr="00FE61B7">
        <w:rPr>
          <w:i/>
        </w:rPr>
        <w:t>La Couleur dans l’art</w:t>
      </w:r>
      <w:r w:rsidRPr="00FE61B7">
        <w:t>. Paris, Thames &amp; Hudson SARL, 2009. 224 pages.</w:t>
      </w:r>
    </w:p>
    <w:p w:rsidR="00A42C19" w:rsidRPr="00FE61B7" w:rsidRDefault="00A42C19" w:rsidP="009448BC">
      <w:pPr>
        <w:jc w:val="both"/>
      </w:pPr>
      <w:proofErr w:type="spellStart"/>
      <w:r w:rsidRPr="00FE61B7">
        <w:t>Junod</w:t>
      </w:r>
      <w:proofErr w:type="spellEnd"/>
      <w:r w:rsidRPr="00FE61B7">
        <w:t xml:space="preserve">, Philippe et Michel Pastoureau. </w:t>
      </w:r>
      <w:r w:rsidRPr="00FE61B7">
        <w:rPr>
          <w:i/>
        </w:rPr>
        <w:t>La couleur : Regards croisés sur la couleur du Moyen Âge au XX</w:t>
      </w:r>
      <w:r w:rsidRPr="00FE61B7">
        <w:rPr>
          <w:i/>
          <w:vertAlign w:val="superscript"/>
        </w:rPr>
        <w:t>e</w:t>
      </w:r>
      <w:r w:rsidRPr="00FE61B7">
        <w:rPr>
          <w:i/>
        </w:rPr>
        <w:t xml:space="preserve"> siècle.</w:t>
      </w:r>
      <w:r w:rsidRPr="00FE61B7">
        <w:t xml:space="preserve"> </w:t>
      </w:r>
      <w:r w:rsidRPr="00FE61B7">
        <w:rPr>
          <w:rStyle w:val="apple-style-span"/>
        </w:rPr>
        <w:t>Paris, Léopard d</w:t>
      </w:r>
      <w:r w:rsidR="005D7A47">
        <w:rPr>
          <w:rStyle w:val="apple-style-span"/>
        </w:rPr>
        <w:t>’</w:t>
      </w:r>
      <w:r w:rsidRPr="00FE61B7">
        <w:rPr>
          <w:rStyle w:val="apple-style-span"/>
        </w:rPr>
        <w:t>or, 1994. 236 pages.</w:t>
      </w:r>
    </w:p>
    <w:p w:rsidR="006823D7" w:rsidRPr="00FE61B7" w:rsidRDefault="006823D7" w:rsidP="009448BC">
      <w:pPr>
        <w:jc w:val="both"/>
        <w:rPr>
          <w:b/>
        </w:rPr>
      </w:pPr>
      <w:r w:rsidRPr="00FE61B7">
        <w:t xml:space="preserve">Pastoureau, Michel. </w:t>
      </w:r>
      <w:r w:rsidRPr="00FE61B7">
        <w:rPr>
          <w:i/>
        </w:rPr>
        <w:t>Figures et couleurs</w:t>
      </w:r>
      <w:r w:rsidR="005D7A47">
        <w:rPr>
          <w:i/>
        </w:rPr>
        <w:t> </w:t>
      </w:r>
      <w:r w:rsidRPr="00FE61B7">
        <w:rPr>
          <w:i/>
        </w:rPr>
        <w:t>: études sur la symbolique et la sensibilité médiévales</w:t>
      </w:r>
      <w:r w:rsidRPr="00FE61B7">
        <w:t>. Paris, Le Léopard d</w:t>
      </w:r>
      <w:r w:rsidR="005D7A47">
        <w:t>’</w:t>
      </w:r>
      <w:r w:rsidRPr="00FE61B7">
        <w:t>or, 1986. 244 pages</w:t>
      </w:r>
      <w:r w:rsidRPr="00FE61B7">
        <w:rPr>
          <w:b/>
        </w:rPr>
        <w:t>.</w:t>
      </w:r>
    </w:p>
    <w:p w:rsidR="006823D7" w:rsidRPr="00FE61B7" w:rsidRDefault="006823D7" w:rsidP="009448BC">
      <w:pPr>
        <w:jc w:val="both"/>
      </w:pPr>
      <w:r w:rsidRPr="00FE61B7">
        <w:t xml:space="preserve">Pastoureau, Michel. </w:t>
      </w:r>
      <w:r w:rsidRPr="00FE61B7">
        <w:rPr>
          <w:i/>
        </w:rPr>
        <w:t>Couleurs, images, symboles</w:t>
      </w:r>
      <w:r w:rsidR="005D7A47">
        <w:rPr>
          <w:i/>
        </w:rPr>
        <w:t> </w:t>
      </w:r>
      <w:r w:rsidRPr="00FE61B7">
        <w:rPr>
          <w:i/>
        </w:rPr>
        <w:t>: études d</w:t>
      </w:r>
      <w:r w:rsidR="005D7A47">
        <w:rPr>
          <w:i/>
        </w:rPr>
        <w:t>’</w:t>
      </w:r>
      <w:r w:rsidRPr="00FE61B7">
        <w:rPr>
          <w:i/>
        </w:rPr>
        <w:t>histoire et d</w:t>
      </w:r>
      <w:r w:rsidR="005D7A47">
        <w:rPr>
          <w:i/>
        </w:rPr>
        <w:t>’</w:t>
      </w:r>
      <w:r w:rsidRPr="00FE61B7">
        <w:rPr>
          <w:i/>
        </w:rPr>
        <w:t>anthropologie</w:t>
      </w:r>
      <w:r w:rsidRPr="00FE61B7">
        <w:t>. Paris, Léopard d</w:t>
      </w:r>
      <w:r w:rsidR="005D7A47">
        <w:t>’</w:t>
      </w:r>
      <w:r w:rsidRPr="00FE61B7">
        <w:t>or, 1989. 291 pages.</w:t>
      </w:r>
    </w:p>
    <w:p w:rsidR="00F04FC5" w:rsidRPr="00FE61B7" w:rsidRDefault="00F04FC5" w:rsidP="009448BC">
      <w:pPr>
        <w:jc w:val="both"/>
      </w:pPr>
      <w:r w:rsidRPr="00FE61B7">
        <w:t xml:space="preserve">Pastoureau, Michel. </w:t>
      </w:r>
      <w:r w:rsidRPr="00FE61B7">
        <w:rPr>
          <w:i/>
        </w:rPr>
        <w:t>Une histoire symbolique du Moyen Âge occidental</w:t>
      </w:r>
      <w:r w:rsidRPr="00FE61B7">
        <w:t>. Paris, Éditions du Seuil, 2004. 487 pages.</w:t>
      </w:r>
    </w:p>
    <w:p w:rsidR="00A42C19" w:rsidRPr="00FE61B7" w:rsidRDefault="00A42C19" w:rsidP="009448BC">
      <w:pPr>
        <w:jc w:val="both"/>
      </w:pPr>
      <w:r w:rsidRPr="00FE61B7">
        <w:t xml:space="preserve">Pastoureau, Michel. </w:t>
      </w:r>
      <w:r w:rsidRPr="00FE61B7">
        <w:rPr>
          <w:i/>
        </w:rPr>
        <w:t>Bleu</w:t>
      </w:r>
      <w:r w:rsidR="005D7A47">
        <w:rPr>
          <w:i/>
        </w:rPr>
        <w:t> </w:t>
      </w:r>
      <w:r w:rsidRPr="00FE61B7">
        <w:rPr>
          <w:i/>
        </w:rPr>
        <w:t>: Histoire d’une couleur</w:t>
      </w:r>
      <w:r w:rsidRPr="00FE61B7">
        <w:t>. Paris, Seuil, 2006. 217 pages.</w:t>
      </w:r>
    </w:p>
    <w:p w:rsidR="00A42C19" w:rsidRPr="00AC0AF7" w:rsidRDefault="00A42C19" w:rsidP="009448BC">
      <w:pPr>
        <w:jc w:val="both"/>
        <w:rPr>
          <w:lang w:val="en-CA"/>
        </w:rPr>
      </w:pPr>
      <w:r w:rsidRPr="00FE61B7">
        <w:t xml:space="preserve">Pastoureau, Michel. </w:t>
      </w:r>
      <w:r w:rsidRPr="00FE61B7">
        <w:rPr>
          <w:i/>
        </w:rPr>
        <w:t>Noir</w:t>
      </w:r>
      <w:r w:rsidR="005D7A47">
        <w:rPr>
          <w:i/>
        </w:rPr>
        <w:t> </w:t>
      </w:r>
      <w:r w:rsidRPr="00FE61B7">
        <w:rPr>
          <w:i/>
        </w:rPr>
        <w:t>: Histoire d’une couleur</w:t>
      </w:r>
      <w:r w:rsidRPr="00FE61B7">
        <w:t xml:space="preserve">. Paris, Seuil, 2008. </w:t>
      </w:r>
      <w:proofErr w:type="gramStart"/>
      <w:r w:rsidRPr="00AC0AF7">
        <w:rPr>
          <w:lang w:val="en-CA"/>
        </w:rPr>
        <w:t>271 pages.</w:t>
      </w:r>
      <w:proofErr w:type="gramEnd"/>
    </w:p>
    <w:p w:rsidR="00A42C19" w:rsidRPr="00AC0AF7" w:rsidRDefault="00A42C19" w:rsidP="009448BC">
      <w:pPr>
        <w:jc w:val="both"/>
        <w:rPr>
          <w:i/>
          <w:u w:val="single"/>
          <w:lang w:val="en-CA"/>
        </w:rPr>
      </w:pPr>
      <w:r w:rsidRPr="00AC0AF7">
        <w:rPr>
          <w:i/>
          <w:u w:val="single"/>
          <w:lang w:val="en-CA"/>
        </w:rPr>
        <w:t>Articles</w:t>
      </w:r>
    </w:p>
    <w:p w:rsidR="00B93A95" w:rsidRPr="00AC0AF7" w:rsidRDefault="00B93A95" w:rsidP="009448BC">
      <w:pPr>
        <w:jc w:val="both"/>
        <w:rPr>
          <w:u w:val="single"/>
          <w:lang w:val="en-CA"/>
        </w:rPr>
      </w:pPr>
      <w:proofErr w:type="spellStart"/>
      <w:r w:rsidRPr="00AC0AF7">
        <w:rPr>
          <w:u w:val="single"/>
          <w:lang w:val="en-CA"/>
        </w:rPr>
        <w:t>Iconographie</w:t>
      </w:r>
      <w:proofErr w:type="spellEnd"/>
    </w:p>
    <w:p w:rsidR="00B93A95" w:rsidRPr="00AC0AF7" w:rsidRDefault="00B93A95" w:rsidP="009448BC">
      <w:pPr>
        <w:jc w:val="both"/>
        <w:rPr>
          <w:lang w:val="en-CA"/>
        </w:rPr>
      </w:pPr>
      <w:r w:rsidRPr="00AC0AF7">
        <w:rPr>
          <w:lang w:val="en-CA"/>
        </w:rPr>
        <w:t xml:space="preserve">Barber, Charles. </w:t>
      </w:r>
      <w:proofErr w:type="gramStart"/>
      <w:r w:rsidRPr="00AC0AF7">
        <w:rPr>
          <w:lang w:val="en-CA"/>
        </w:rPr>
        <w:t>« The Truth in painting ».</w:t>
      </w:r>
      <w:proofErr w:type="gramEnd"/>
      <w:r w:rsidRPr="00AC0AF7">
        <w:rPr>
          <w:lang w:val="en-CA"/>
        </w:rPr>
        <w:t xml:space="preserve"> </w:t>
      </w:r>
      <w:proofErr w:type="gramStart"/>
      <w:r w:rsidRPr="00AC0AF7">
        <w:rPr>
          <w:i/>
          <w:lang w:val="en-CA"/>
        </w:rPr>
        <w:t>Speculum</w:t>
      </w:r>
      <w:r w:rsidRPr="00AC0AF7">
        <w:rPr>
          <w:lang w:val="en-CA"/>
        </w:rPr>
        <w:t>, 72 (1997).</w:t>
      </w:r>
      <w:proofErr w:type="gramEnd"/>
      <w:r w:rsidRPr="00AC0AF7">
        <w:rPr>
          <w:lang w:val="en-CA"/>
        </w:rPr>
        <w:t xml:space="preserve"> </w:t>
      </w:r>
      <w:proofErr w:type="gramStart"/>
      <w:r w:rsidRPr="00AC0AF7">
        <w:rPr>
          <w:lang w:val="en-CA"/>
        </w:rPr>
        <w:t>p.1019-1036</w:t>
      </w:r>
      <w:proofErr w:type="gramEnd"/>
      <w:r w:rsidRPr="00AC0AF7">
        <w:rPr>
          <w:lang w:val="en-CA"/>
        </w:rPr>
        <w:t>.</w:t>
      </w:r>
    </w:p>
    <w:p w:rsidR="00B93A95" w:rsidRPr="00AC0AF7" w:rsidRDefault="00B93A95" w:rsidP="009448BC">
      <w:pPr>
        <w:jc w:val="both"/>
        <w:rPr>
          <w:lang w:val="en-CA"/>
        </w:rPr>
      </w:pPr>
      <w:r w:rsidRPr="00AC0AF7">
        <w:rPr>
          <w:lang w:val="en-CA"/>
        </w:rPr>
        <w:t xml:space="preserve">Belting, Hans. « Images as a substitute for Writing » </w:t>
      </w:r>
      <w:proofErr w:type="spellStart"/>
      <w:r w:rsidRPr="00AC0AF7">
        <w:rPr>
          <w:lang w:val="en-CA"/>
        </w:rPr>
        <w:t>dans</w:t>
      </w:r>
      <w:proofErr w:type="spellEnd"/>
      <w:r w:rsidRPr="00AC0AF7">
        <w:rPr>
          <w:lang w:val="en-CA"/>
        </w:rPr>
        <w:t xml:space="preserve"> </w:t>
      </w:r>
      <w:proofErr w:type="spellStart"/>
      <w:r w:rsidRPr="00AC0AF7">
        <w:rPr>
          <w:lang w:val="en-CA"/>
        </w:rPr>
        <w:t>Evangelos</w:t>
      </w:r>
      <w:proofErr w:type="spellEnd"/>
      <w:r w:rsidRPr="00AC0AF7">
        <w:rPr>
          <w:lang w:val="en-CA"/>
        </w:rPr>
        <w:t xml:space="preserve"> </w:t>
      </w:r>
      <w:proofErr w:type="spellStart"/>
      <w:r w:rsidRPr="00AC0AF7">
        <w:rPr>
          <w:lang w:val="en-CA"/>
        </w:rPr>
        <w:t>Chrysos</w:t>
      </w:r>
      <w:proofErr w:type="spellEnd"/>
      <w:r w:rsidRPr="00AC0AF7">
        <w:rPr>
          <w:lang w:val="en-CA"/>
        </w:rPr>
        <w:t xml:space="preserve"> </w:t>
      </w:r>
      <w:proofErr w:type="gramStart"/>
      <w:r w:rsidRPr="00AC0AF7">
        <w:rPr>
          <w:lang w:val="en-CA"/>
        </w:rPr>
        <w:t>et</w:t>
      </w:r>
      <w:proofErr w:type="gramEnd"/>
      <w:r w:rsidRPr="00AC0AF7">
        <w:rPr>
          <w:lang w:val="en-CA"/>
        </w:rPr>
        <w:t xml:space="preserve"> Ian Wood (</w:t>
      </w:r>
      <w:proofErr w:type="spellStart"/>
      <w:r w:rsidRPr="00AC0AF7">
        <w:rPr>
          <w:lang w:val="en-CA"/>
        </w:rPr>
        <w:t>éd</w:t>
      </w:r>
      <w:proofErr w:type="spellEnd"/>
      <w:r w:rsidRPr="00AC0AF7">
        <w:rPr>
          <w:lang w:val="en-CA"/>
        </w:rPr>
        <w:t xml:space="preserve">.). </w:t>
      </w:r>
      <w:r w:rsidRPr="00AC0AF7">
        <w:rPr>
          <w:i/>
          <w:lang w:val="en-CA"/>
        </w:rPr>
        <w:t xml:space="preserve">East and </w:t>
      </w:r>
      <w:proofErr w:type="gramStart"/>
      <w:r w:rsidRPr="00AC0AF7">
        <w:rPr>
          <w:i/>
          <w:lang w:val="en-CA"/>
        </w:rPr>
        <w:t>West :</w:t>
      </w:r>
      <w:proofErr w:type="gramEnd"/>
      <w:r w:rsidRPr="00AC0AF7">
        <w:rPr>
          <w:i/>
          <w:lang w:val="en-CA"/>
        </w:rPr>
        <w:t xml:space="preserve"> Modes of Communications, Proceedings of the First Plenary Conference of Merida</w:t>
      </w:r>
      <w:r w:rsidRPr="00AC0AF7">
        <w:rPr>
          <w:lang w:val="en-CA"/>
        </w:rPr>
        <w:t xml:space="preserve">. Leiden, Brill, 1999. </w:t>
      </w:r>
      <w:proofErr w:type="gramStart"/>
      <w:r w:rsidRPr="00AC0AF7">
        <w:rPr>
          <w:lang w:val="en-CA"/>
        </w:rPr>
        <w:t>p.15-34</w:t>
      </w:r>
      <w:proofErr w:type="gramEnd"/>
      <w:r w:rsidRPr="00AC0AF7">
        <w:rPr>
          <w:lang w:val="en-CA"/>
        </w:rPr>
        <w:t>.</w:t>
      </w:r>
    </w:p>
    <w:p w:rsidR="00B93A95" w:rsidRPr="00FE61B7" w:rsidRDefault="00B93A95" w:rsidP="009448BC">
      <w:pPr>
        <w:jc w:val="both"/>
      </w:pPr>
      <w:proofErr w:type="spellStart"/>
      <w:r w:rsidRPr="00AC0AF7">
        <w:rPr>
          <w:lang w:val="en-CA"/>
        </w:rPr>
        <w:t>Chazelle</w:t>
      </w:r>
      <w:proofErr w:type="spellEnd"/>
      <w:r w:rsidRPr="00AC0AF7">
        <w:rPr>
          <w:lang w:val="en-CA"/>
        </w:rPr>
        <w:t xml:space="preserve">, Celia M. « Pictures, books, and the </w:t>
      </w:r>
      <w:proofErr w:type="spellStart"/>
      <w:proofErr w:type="gramStart"/>
      <w:r w:rsidRPr="00AC0AF7">
        <w:rPr>
          <w:lang w:val="en-CA"/>
        </w:rPr>
        <w:t>illerate</w:t>
      </w:r>
      <w:proofErr w:type="spellEnd"/>
      <w:r w:rsidRPr="00AC0AF7">
        <w:rPr>
          <w:lang w:val="en-CA"/>
        </w:rPr>
        <w:t xml:space="preserve"> :</w:t>
      </w:r>
      <w:proofErr w:type="gramEnd"/>
      <w:r w:rsidRPr="00AC0AF7">
        <w:rPr>
          <w:lang w:val="en-CA"/>
        </w:rPr>
        <w:t xml:space="preserve"> Gregory I’s letters to </w:t>
      </w:r>
      <w:proofErr w:type="spellStart"/>
      <w:r w:rsidRPr="00AC0AF7">
        <w:rPr>
          <w:lang w:val="en-CA"/>
        </w:rPr>
        <w:t>Serenus</w:t>
      </w:r>
      <w:proofErr w:type="spellEnd"/>
      <w:r w:rsidRPr="00AC0AF7">
        <w:rPr>
          <w:lang w:val="en-CA"/>
        </w:rPr>
        <w:t xml:space="preserve"> of Marseilles ». </w:t>
      </w:r>
      <w:r w:rsidRPr="00FE61B7">
        <w:rPr>
          <w:i/>
        </w:rPr>
        <w:t>Word and Image</w:t>
      </w:r>
      <w:r w:rsidRPr="00FE61B7">
        <w:t>, 6 (1990). p.138-153.</w:t>
      </w:r>
    </w:p>
    <w:p w:rsidR="00B93A95" w:rsidRPr="00FE61B7" w:rsidRDefault="00B93A95" w:rsidP="009448BC">
      <w:pPr>
        <w:jc w:val="both"/>
      </w:pPr>
      <w:proofErr w:type="spellStart"/>
      <w:r w:rsidRPr="00FE61B7">
        <w:t>Dagron</w:t>
      </w:r>
      <w:proofErr w:type="spellEnd"/>
      <w:r w:rsidRPr="00FE61B7">
        <w:t xml:space="preserve">, Gilbert. « Mots, images, icônes ». </w:t>
      </w:r>
      <w:r w:rsidRPr="00FE61B7">
        <w:rPr>
          <w:i/>
        </w:rPr>
        <w:t>Destins de l’image : Nouvelle revue de psychanalyse</w:t>
      </w:r>
      <w:r w:rsidRPr="00FE61B7">
        <w:t>, 44 (1991). p.151-168.</w:t>
      </w:r>
    </w:p>
    <w:p w:rsidR="00B93A95" w:rsidRPr="00FE61B7" w:rsidRDefault="00B93A95" w:rsidP="009448BC">
      <w:pPr>
        <w:jc w:val="both"/>
      </w:pPr>
      <w:r w:rsidRPr="00AC0AF7">
        <w:rPr>
          <w:lang w:val="en-CA"/>
        </w:rPr>
        <w:t xml:space="preserve">Duffy, </w:t>
      </w:r>
      <w:proofErr w:type="spellStart"/>
      <w:r w:rsidRPr="00AC0AF7">
        <w:rPr>
          <w:lang w:val="en-CA"/>
        </w:rPr>
        <w:t>Eamon</w:t>
      </w:r>
      <w:proofErr w:type="spellEnd"/>
      <w:r w:rsidRPr="00AC0AF7">
        <w:rPr>
          <w:lang w:val="en-CA"/>
        </w:rPr>
        <w:t xml:space="preserve">. « Elite and Popular Religion, </w:t>
      </w:r>
      <w:proofErr w:type="gramStart"/>
      <w:r w:rsidRPr="00AC0AF7">
        <w:rPr>
          <w:lang w:val="en-CA"/>
        </w:rPr>
        <w:t>The</w:t>
      </w:r>
      <w:proofErr w:type="gramEnd"/>
      <w:r w:rsidRPr="00AC0AF7">
        <w:rPr>
          <w:lang w:val="en-CA"/>
        </w:rPr>
        <w:t xml:space="preserve"> Book of Hours and Lay Piety in the Later Middle Ages ». </w:t>
      </w:r>
      <w:proofErr w:type="spellStart"/>
      <w:r w:rsidRPr="00FE61B7">
        <w:rPr>
          <w:i/>
        </w:rPr>
        <w:t>Studies</w:t>
      </w:r>
      <w:proofErr w:type="spellEnd"/>
      <w:r w:rsidRPr="00FE61B7">
        <w:rPr>
          <w:i/>
        </w:rPr>
        <w:t xml:space="preserve"> in Church </w:t>
      </w:r>
      <w:proofErr w:type="spellStart"/>
      <w:r w:rsidRPr="00FE61B7">
        <w:rPr>
          <w:i/>
        </w:rPr>
        <w:t>History</w:t>
      </w:r>
      <w:proofErr w:type="spellEnd"/>
      <w:r w:rsidRPr="00FE61B7">
        <w:t xml:space="preserve">. </w:t>
      </w:r>
      <w:proofErr w:type="gramStart"/>
      <w:r w:rsidRPr="00FE61B7">
        <w:t>vol</w:t>
      </w:r>
      <w:proofErr w:type="gramEnd"/>
      <w:r w:rsidRPr="00FE61B7">
        <w:t>.</w:t>
      </w:r>
      <w:r w:rsidR="005D7A47">
        <w:t> </w:t>
      </w:r>
      <w:r w:rsidRPr="00FE61B7">
        <w:t>42, 2006, p.140-161.</w:t>
      </w:r>
    </w:p>
    <w:p w:rsidR="00B93A95" w:rsidRPr="00AC0AF7" w:rsidRDefault="00B93A95" w:rsidP="009448BC">
      <w:pPr>
        <w:jc w:val="both"/>
        <w:rPr>
          <w:lang w:val="en-CA"/>
        </w:rPr>
      </w:pPr>
      <w:proofErr w:type="spellStart"/>
      <w:r w:rsidRPr="00FE61B7">
        <w:t>Federici</w:t>
      </w:r>
      <w:proofErr w:type="spellEnd"/>
      <w:r w:rsidRPr="00FE61B7">
        <w:t xml:space="preserve"> </w:t>
      </w:r>
      <w:proofErr w:type="spellStart"/>
      <w:r w:rsidRPr="00FE61B7">
        <w:t>Vescovini</w:t>
      </w:r>
      <w:proofErr w:type="spellEnd"/>
      <w:r w:rsidRPr="00FE61B7">
        <w:t>, Graziella. « Vision et réalité dans la perspective au XIV</w:t>
      </w:r>
      <w:r w:rsidRPr="00FE61B7">
        <w:rPr>
          <w:vertAlign w:val="superscript"/>
        </w:rPr>
        <w:t>e</w:t>
      </w:r>
      <w:r w:rsidRPr="00FE61B7">
        <w:t xml:space="preserve"> siècle ». </w:t>
      </w:r>
      <w:proofErr w:type="spellStart"/>
      <w:proofErr w:type="gramStart"/>
      <w:r w:rsidRPr="00AC0AF7">
        <w:rPr>
          <w:i/>
          <w:lang w:val="en-CA"/>
        </w:rPr>
        <w:t>Micrologus</w:t>
      </w:r>
      <w:proofErr w:type="spellEnd"/>
      <w:r w:rsidRPr="00AC0AF7">
        <w:rPr>
          <w:lang w:val="en-CA"/>
        </w:rPr>
        <w:t>, 5 (1997).</w:t>
      </w:r>
      <w:proofErr w:type="gramEnd"/>
      <w:r w:rsidRPr="00AC0AF7">
        <w:rPr>
          <w:lang w:val="en-CA"/>
        </w:rPr>
        <w:t xml:space="preserve"> </w:t>
      </w:r>
      <w:proofErr w:type="gramStart"/>
      <w:r w:rsidRPr="00AC0AF7">
        <w:rPr>
          <w:lang w:val="en-CA"/>
        </w:rPr>
        <w:t>p.161-180</w:t>
      </w:r>
      <w:proofErr w:type="gramEnd"/>
      <w:r w:rsidRPr="00AC0AF7">
        <w:rPr>
          <w:lang w:val="en-CA"/>
        </w:rPr>
        <w:t>.</w:t>
      </w:r>
    </w:p>
    <w:p w:rsidR="00B93A95" w:rsidRPr="00AC0AF7" w:rsidRDefault="00B93A95" w:rsidP="009448BC">
      <w:pPr>
        <w:jc w:val="both"/>
        <w:rPr>
          <w:lang w:val="en-CA"/>
        </w:rPr>
      </w:pPr>
      <w:r w:rsidRPr="00AC0AF7">
        <w:rPr>
          <w:lang w:val="en-CA"/>
        </w:rPr>
        <w:t xml:space="preserve">Rapp, Francis. </w:t>
      </w:r>
      <w:proofErr w:type="gramStart"/>
      <w:r w:rsidRPr="00AC0AF7">
        <w:rPr>
          <w:lang w:val="en-CA"/>
        </w:rPr>
        <w:t xml:space="preserve">« Religious belief and practice » </w:t>
      </w:r>
      <w:proofErr w:type="spellStart"/>
      <w:r w:rsidRPr="00AC0AF7">
        <w:rPr>
          <w:lang w:val="en-CA"/>
        </w:rPr>
        <w:t>dans</w:t>
      </w:r>
      <w:proofErr w:type="spellEnd"/>
      <w:r w:rsidRPr="00AC0AF7">
        <w:rPr>
          <w:lang w:val="en-CA"/>
        </w:rPr>
        <w:t xml:space="preserve"> Christopher </w:t>
      </w:r>
      <w:proofErr w:type="spellStart"/>
      <w:r w:rsidRPr="00AC0AF7">
        <w:rPr>
          <w:lang w:val="en-CA"/>
        </w:rPr>
        <w:t>Allmand</w:t>
      </w:r>
      <w:proofErr w:type="spellEnd"/>
      <w:r w:rsidRPr="00AC0AF7">
        <w:rPr>
          <w:lang w:val="en-CA"/>
        </w:rPr>
        <w:t xml:space="preserve"> (</w:t>
      </w:r>
      <w:proofErr w:type="spellStart"/>
      <w:r w:rsidRPr="00AC0AF7">
        <w:rPr>
          <w:lang w:val="en-CA"/>
        </w:rPr>
        <w:t>éd</w:t>
      </w:r>
      <w:proofErr w:type="spellEnd"/>
      <w:r w:rsidRPr="00AC0AF7">
        <w:rPr>
          <w:lang w:val="en-CA"/>
        </w:rPr>
        <w:t>.).</w:t>
      </w:r>
      <w:proofErr w:type="gramEnd"/>
      <w:r w:rsidRPr="00AC0AF7">
        <w:rPr>
          <w:lang w:val="en-CA"/>
        </w:rPr>
        <w:t xml:space="preserve"> </w:t>
      </w:r>
      <w:r w:rsidRPr="00AC0AF7">
        <w:rPr>
          <w:i/>
          <w:lang w:val="en-CA"/>
        </w:rPr>
        <w:t>The New Cambridge Medieval History</w:t>
      </w:r>
      <w:r w:rsidRPr="00AC0AF7">
        <w:rPr>
          <w:lang w:val="en-CA"/>
        </w:rPr>
        <w:t>, vol.</w:t>
      </w:r>
      <w:r w:rsidR="005D7A47">
        <w:rPr>
          <w:lang w:val="en-CA"/>
        </w:rPr>
        <w:t> </w:t>
      </w:r>
      <w:r w:rsidRPr="00AC0AF7">
        <w:rPr>
          <w:lang w:val="en-CA"/>
        </w:rPr>
        <w:t xml:space="preserve">VII, c. 1415-c.1500. Cambridge, Cambridge University Press, 1998. </w:t>
      </w:r>
      <w:proofErr w:type="gramStart"/>
      <w:r w:rsidRPr="00AC0AF7">
        <w:rPr>
          <w:lang w:val="en-CA"/>
        </w:rPr>
        <w:t>p.205-219</w:t>
      </w:r>
      <w:proofErr w:type="gramEnd"/>
      <w:r w:rsidRPr="00AC0AF7">
        <w:rPr>
          <w:lang w:val="en-CA"/>
        </w:rPr>
        <w:t>.</w:t>
      </w:r>
    </w:p>
    <w:p w:rsidR="00787DDE" w:rsidRPr="00AC0AF7" w:rsidRDefault="00787DDE" w:rsidP="009448BC">
      <w:pPr>
        <w:jc w:val="both"/>
        <w:rPr>
          <w:u w:val="single"/>
          <w:lang w:val="en-CA"/>
        </w:rPr>
      </w:pPr>
    </w:p>
    <w:p w:rsidR="00787DDE" w:rsidRPr="00AC0AF7" w:rsidRDefault="00787DDE" w:rsidP="009448BC">
      <w:pPr>
        <w:jc w:val="both"/>
        <w:rPr>
          <w:u w:val="single"/>
          <w:lang w:val="en-CA"/>
        </w:rPr>
      </w:pPr>
    </w:p>
    <w:p w:rsidR="00B93A95" w:rsidRPr="00AC0AF7" w:rsidRDefault="00B93A95" w:rsidP="009448BC">
      <w:pPr>
        <w:jc w:val="both"/>
        <w:rPr>
          <w:u w:val="single"/>
          <w:lang w:val="en-CA"/>
        </w:rPr>
      </w:pPr>
      <w:r w:rsidRPr="00AC0AF7">
        <w:rPr>
          <w:u w:val="single"/>
          <w:lang w:val="en-CA"/>
        </w:rPr>
        <w:t xml:space="preserve">Livres </w:t>
      </w:r>
      <w:proofErr w:type="spellStart"/>
      <w:r w:rsidRPr="00AC0AF7">
        <w:rPr>
          <w:u w:val="single"/>
          <w:lang w:val="en-CA"/>
        </w:rPr>
        <w:t>d’Heures</w:t>
      </w:r>
      <w:proofErr w:type="spellEnd"/>
    </w:p>
    <w:p w:rsidR="00B93A95" w:rsidRPr="00AC0AF7" w:rsidRDefault="00B93A95" w:rsidP="009448BC">
      <w:pPr>
        <w:jc w:val="both"/>
        <w:rPr>
          <w:lang w:val="en-CA"/>
        </w:rPr>
      </w:pPr>
      <w:r w:rsidRPr="00AC0AF7">
        <w:rPr>
          <w:rStyle w:val="apple-style-span"/>
          <w:lang w:val="en-CA"/>
        </w:rPr>
        <w:t xml:space="preserve">Duffy, </w:t>
      </w:r>
      <w:proofErr w:type="spellStart"/>
      <w:r w:rsidRPr="00AC0AF7">
        <w:rPr>
          <w:rStyle w:val="apple-style-span"/>
          <w:lang w:val="en-CA"/>
        </w:rPr>
        <w:t>Eamon</w:t>
      </w:r>
      <w:proofErr w:type="spellEnd"/>
      <w:r w:rsidRPr="00AC0AF7">
        <w:rPr>
          <w:rStyle w:val="apple-style-span"/>
          <w:lang w:val="en-CA"/>
        </w:rPr>
        <w:t xml:space="preserve">. « Elite and Popular </w:t>
      </w:r>
      <w:proofErr w:type="gramStart"/>
      <w:r w:rsidRPr="00AC0AF7">
        <w:rPr>
          <w:rStyle w:val="apple-style-span"/>
          <w:lang w:val="en-CA"/>
        </w:rPr>
        <w:t>Religion :</w:t>
      </w:r>
      <w:proofErr w:type="gramEnd"/>
      <w:r w:rsidRPr="00AC0AF7">
        <w:rPr>
          <w:rStyle w:val="apple-style-span"/>
          <w:lang w:val="en-CA"/>
        </w:rPr>
        <w:t xml:space="preserve"> The Book of Hours and Lay Piety in the Later Middle Ages ». </w:t>
      </w:r>
      <w:hyperlink r:id="rId15" w:history="1">
        <w:proofErr w:type="gramStart"/>
        <w:r w:rsidRPr="00AC0AF7">
          <w:rPr>
            <w:rStyle w:val="Lienhypertexte"/>
            <w:i/>
            <w:color w:val="auto"/>
            <w:u w:val="none"/>
            <w:lang w:val="en-CA"/>
          </w:rPr>
          <w:t>Studies in Church History</w:t>
        </w:r>
      </w:hyperlink>
      <w:r w:rsidRPr="00AC0AF7">
        <w:rPr>
          <w:rStyle w:val="apple-style-span"/>
          <w:lang w:val="en-CA"/>
        </w:rPr>
        <w:t>, 42 (2006), p.140-161.</w:t>
      </w:r>
      <w:proofErr w:type="gramEnd"/>
    </w:p>
    <w:p w:rsidR="00B93A95" w:rsidRPr="00AC0AF7" w:rsidRDefault="00B93A95" w:rsidP="009448BC">
      <w:pPr>
        <w:jc w:val="both"/>
        <w:rPr>
          <w:lang w:val="en-CA"/>
        </w:rPr>
      </w:pPr>
      <w:proofErr w:type="spellStart"/>
      <w:r w:rsidRPr="00CF2D8D">
        <w:rPr>
          <w:rStyle w:val="apple-style-span"/>
          <w:lang w:val="en-CA"/>
        </w:rPr>
        <w:t>Erler</w:t>
      </w:r>
      <w:proofErr w:type="spellEnd"/>
      <w:r w:rsidRPr="00CF2D8D">
        <w:rPr>
          <w:rStyle w:val="apple-style-span"/>
          <w:lang w:val="en-CA"/>
        </w:rPr>
        <w:t xml:space="preserve">, Mary C. « Devotional literature » </w:t>
      </w:r>
      <w:proofErr w:type="spellStart"/>
      <w:r w:rsidRPr="00CF2D8D">
        <w:rPr>
          <w:rStyle w:val="apple-style-span"/>
          <w:lang w:val="en-CA"/>
        </w:rPr>
        <w:t>dans</w:t>
      </w:r>
      <w:proofErr w:type="spellEnd"/>
      <w:r w:rsidRPr="00CF2D8D">
        <w:rPr>
          <w:rStyle w:val="apple-style-span"/>
          <w:lang w:val="en-CA"/>
        </w:rPr>
        <w:t xml:space="preserve"> </w:t>
      </w:r>
      <w:proofErr w:type="spellStart"/>
      <w:r w:rsidRPr="00CF2D8D">
        <w:rPr>
          <w:rStyle w:val="apple-style-span"/>
          <w:lang w:val="en-CA"/>
        </w:rPr>
        <w:t>Lotte</w:t>
      </w:r>
      <w:proofErr w:type="spellEnd"/>
      <w:r w:rsidRPr="00CF2D8D">
        <w:rPr>
          <w:rStyle w:val="apple-style-span"/>
          <w:lang w:val="en-CA"/>
        </w:rPr>
        <w:t xml:space="preserve"> </w:t>
      </w:r>
      <w:proofErr w:type="spellStart"/>
      <w:r w:rsidRPr="00CF2D8D">
        <w:rPr>
          <w:rStyle w:val="apple-style-span"/>
          <w:lang w:val="en-CA"/>
        </w:rPr>
        <w:t>Hellinga</w:t>
      </w:r>
      <w:proofErr w:type="spellEnd"/>
      <w:r w:rsidRPr="00CF2D8D">
        <w:rPr>
          <w:rStyle w:val="apple-style-span"/>
          <w:lang w:val="en-CA"/>
        </w:rPr>
        <w:t xml:space="preserve"> </w:t>
      </w:r>
      <w:proofErr w:type="gramStart"/>
      <w:r w:rsidRPr="00CF2D8D">
        <w:rPr>
          <w:rStyle w:val="apple-style-span"/>
          <w:lang w:val="en-CA"/>
        </w:rPr>
        <w:t>et</w:t>
      </w:r>
      <w:proofErr w:type="gramEnd"/>
      <w:r w:rsidRPr="00CF2D8D">
        <w:rPr>
          <w:rStyle w:val="apple-style-span"/>
          <w:lang w:val="en-CA"/>
        </w:rPr>
        <w:t xml:space="preserve"> J.B. Trapp. </w:t>
      </w:r>
      <w:proofErr w:type="gramStart"/>
      <w:r w:rsidRPr="00AC0AF7">
        <w:rPr>
          <w:rStyle w:val="apple-style-span"/>
          <w:i/>
          <w:lang w:val="en-CA"/>
        </w:rPr>
        <w:t>The Cambridge history of the book in Britain</w:t>
      </w:r>
      <w:r w:rsidRPr="00AC0AF7">
        <w:rPr>
          <w:rStyle w:val="apple-style-span"/>
          <w:lang w:val="en-CA"/>
        </w:rPr>
        <w:t>.</w:t>
      </w:r>
      <w:proofErr w:type="gramEnd"/>
      <w:r w:rsidRPr="00AC0AF7">
        <w:rPr>
          <w:rStyle w:val="apple-style-span"/>
          <w:lang w:val="en-CA"/>
        </w:rPr>
        <w:t xml:space="preserve"> Volume</w:t>
      </w:r>
      <w:r w:rsidR="005D7A47">
        <w:rPr>
          <w:rStyle w:val="apple-style-span"/>
          <w:lang w:val="en-CA"/>
        </w:rPr>
        <w:t> </w:t>
      </w:r>
      <w:proofErr w:type="gramStart"/>
      <w:r w:rsidRPr="00AC0AF7">
        <w:rPr>
          <w:rStyle w:val="apple-style-span"/>
          <w:lang w:val="en-CA"/>
        </w:rPr>
        <w:t>III</w:t>
      </w:r>
      <w:r w:rsidR="005D7A47">
        <w:rPr>
          <w:rStyle w:val="apple-style-span"/>
          <w:lang w:val="en-CA"/>
        </w:rPr>
        <w:t> </w:t>
      </w:r>
      <w:r w:rsidRPr="00AC0AF7">
        <w:rPr>
          <w:rStyle w:val="apple-style-span"/>
          <w:lang w:val="en-CA"/>
        </w:rPr>
        <w:t>:</w:t>
      </w:r>
      <w:proofErr w:type="gramEnd"/>
      <w:r w:rsidRPr="00AC0AF7">
        <w:rPr>
          <w:rStyle w:val="apple-style-span"/>
          <w:lang w:val="en-CA"/>
        </w:rPr>
        <w:t xml:space="preserve"> </w:t>
      </w:r>
      <w:r w:rsidRPr="00AC0AF7">
        <w:rPr>
          <w:rStyle w:val="apple-style-span"/>
          <w:i/>
          <w:lang w:val="en-CA"/>
        </w:rPr>
        <w:t>1400-1557</w:t>
      </w:r>
      <w:r w:rsidRPr="00AC0AF7">
        <w:rPr>
          <w:rStyle w:val="apple-style-span"/>
          <w:lang w:val="en-CA"/>
        </w:rPr>
        <w:t xml:space="preserve">, New York, Cambridge University Press, 1998. </w:t>
      </w:r>
      <w:proofErr w:type="gramStart"/>
      <w:r w:rsidRPr="00AC0AF7">
        <w:rPr>
          <w:rStyle w:val="apple-style-span"/>
          <w:lang w:val="en-CA"/>
        </w:rPr>
        <w:t>p.495-525</w:t>
      </w:r>
      <w:proofErr w:type="gramEnd"/>
      <w:r w:rsidRPr="00AC0AF7">
        <w:rPr>
          <w:rStyle w:val="apple-style-span"/>
          <w:lang w:val="en-CA"/>
        </w:rPr>
        <w:t>.</w:t>
      </w:r>
    </w:p>
    <w:p w:rsidR="00B93A95" w:rsidRPr="00FE61B7" w:rsidRDefault="00B93A95" w:rsidP="009448BC">
      <w:pPr>
        <w:jc w:val="both"/>
      </w:pPr>
      <w:proofErr w:type="spellStart"/>
      <w:r w:rsidRPr="00FE61B7">
        <w:t>Saenger</w:t>
      </w:r>
      <w:proofErr w:type="spellEnd"/>
      <w:r w:rsidRPr="00FE61B7">
        <w:t>, Paul. « Prier de bouche et prier de cœur. Les livres d’heures du manuscrit à l’imprimé » dans Roger Chartier</w:t>
      </w:r>
      <w:r w:rsidRPr="00FE61B7">
        <w:rPr>
          <w:i/>
        </w:rPr>
        <w:t>. Les usages de l’imprimé</w:t>
      </w:r>
      <w:r w:rsidRPr="00FE61B7">
        <w:t>. Paris, Fayard, 1987. p.191-227.</w:t>
      </w:r>
    </w:p>
    <w:p w:rsidR="00B93A95" w:rsidRPr="00AC0AF7" w:rsidRDefault="00B93A95" w:rsidP="009448BC">
      <w:pPr>
        <w:jc w:val="both"/>
        <w:rPr>
          <w:lang w:val="en-CA"/>
        </w:rPr>
      </w:pPr>
      <w:r w:rsidRPr="005B797F">
        <w:rPr>
          <w:lang w:val="en-CA"/>
        </w:rPr>
        <w:t xml:space="preserve">Vale, Malcolm. </w:t>
      </w:r>
      <w:proofErr w:type="gramStart"/>
      <w:r w:rsidRPr="005B797F">
        <w:rPr>
          <w:lang w:val="en-CA"/>
        </w:rPr>
        <w:t xml:space="preserve">« Manuscripts and books » </w:t>
      </w:r>
      <w:proofErr w:type="spellStart"/>
      <w:r w:rsidRPr="005B797F">
        <w:rPr>
          <w:lang w:val="en-CA"/>
        </w:rPr>
        <w:t>dans</w:t>
      </w:r>
      <w:proofErr w:type="spellEnd"/>
      <w:r w:rsidRPr="005B797F">
        <w:rPr>
          <w:lang w:val="en-CA"/>
        </w:rPr>
        <w:t xml:space="preserve"> Christopher </w:t>
      </w:r>
      <w:proofErr w:type="spellStart"/>
      <w:r w:rsidRPr="005B797F">
        <w:rPr>
          <w:lang w:val="en-CA"/>
        </w:rPr>
        <w:t>Allmand</w:t>
      </w:r>
      <w:proofErr w:type="spellEnd"/>
      <w:r w:rsidRPr="005B797F">
        <w:rPr>
          <w:lang w:val="en-CA"/>
        </w:rPr>
        <w:t xml:space="preserve"> (</w:t>
      </w:r>
      <w:proofErr w:type="spellStart"/>
      <w:r w:rsidRPr="005B797F">
        <w:rPr>
          <w:lang w:val="en-CA"/>
        </w:rPr>
        <w:t>éd</w:t>
      </w:r>
      <w:proofErr w:type="spellEnd"/>
      <w:r w:rsidRPr="005B797F">
        <w:rPr>
          <w:lang w:val="en-CA"/>
        </w:rPr>
        <w:t>.).</w:t>
      </w:r>
      <w:proofErr w:type="gramEnd"/>
      <w:r w:rsidRPr="005B797F">
        <w:rPr>
          <w:lang w:val="en-CA"/>
        </w:rPr>
        <w:t xml:space="preserve"> </w:t>
      </w:r>
      <w:r w:rsidRPr="00AC0AF7">
        <w:rPr>
          <w:i/>
          <w:lang w:val="en-CA"/>
        </w:rPr>
        <w:t>The New Cambridge Medieval History</w:t>
      </w:r>
      <w:r w:rsidRPr="00AC0AF7">
        <w:rPr>
          <w:lang w:val="en-CA"/>
        </w:rPr>
        <w:t>, vol.</w:t>
      </w:r>
      <w:r w:rsidR="005D7A47">
        <w:rPr>
          <w:lang w:val="en-CA"/>
        </w:rPr>
        <w:t> </w:t>
      </w:r>
      <w:r w:rsidRPr="00AC0AF7">
        <w:rPr>
          <w:lang w:val="en-CA"/>
        </w:rPr>
        <w:t xml:space="preserve">VII, c. 1415-c.1500. Cambridge, Cambridge University Press, 1998. </w:t>
      </w:r>
      <w:proofErr w:type="gramStart"/>
      <w:r w:rsidRPr="00AC0AF7">
        <w:rPr>
          <w:lang w:val="en-CA"/>
        </w:rPr>
        <w:t>p.278-286</w:t>
      </w:r>
      <w:proofErr w:type="gramEnd"/>
      <w:r w:rsidRPr="00AC0AF7">
        <w:rPr>
          <w:lang w:val="en-CA"/>
        </w:rPr>
        <w:t>.</w:t>
      </w:r>
    </w:p>
    <w:p w:rsidR="00B93A95" w:rsidRPr="00AC0AF7" w:rsidRDefault="00B93A95" w:rsidP="009448BC">
      <w:pPr>
        <w:jc w:val="both"/>
        <w:rPr>
          <w:lang w:val="en-CA"/>
        </w:rPr>
      </w:pPr>
      <w:r w:rsidRPr="00AC0AF7">
        <w:rPr>
          <w:rStyle w:val="apple-style-span"/>
          <w:lang w:val="en-CA"/>
        </w:rPr>
        <w:t xml:space="preserve">Wieck, Roger S. « The Book of Hours » </w:t>
      </w:r>
      <w:proofErr w:type="spellStart"/>
      <w:r w:rsidRPr="00AC0AF7">
        <w:rPr>
          <w:rStyle w:val="apple-style-span"/>
          <w:lang w:val="en-CA"/>
        </w:rPr>
        <w:t>dans</w:t>
      </w:r>
      <w:proofErr w:type="spellEnd"/>
      <w:r w:rsidRPr="00AC0AF7">
        <w:rPr>
          <w:rStyle w:val="apple-style-span"/>
          <w:lang w:val="en-CA"/>
        </w:rPr>
        <w:t xml:space="preserve"> Thomas J. Heffernan </w:t>
      </w:r>
      <w:proofErr w:type="gramStart"/>
      <w:r w:rsidRPr="00AC0AF7">
        <w:rPr>
          <w:rStyle w:val="apple-style-span"/>
          <w:lang w:val="en-CA"/>
        </w:rPr>
        <w:t>et</w:t>
      </w:r>
      <w:proofErr w:type="gramEnd"/>
      <w:r w:rsidRPr="00AC0AF7">
        <w:rPr>
          <w:rStyle w:val="apple-style-span"/>
          <w:lang w:val="en-CA"/>
        </w:rPr>
        <w:t xml:space="preserve"> Ann Matter, </w:t>
      </w:r>
      <w:proofErr w:type="spellStart"/>
      <w:r w:rsidRPr="00AC0AF7">
        <w:rPr>
          <w:rStyle w:val="apple-style-span"/>
          <w:lang w:val="en-CA"/>
        </w:rPr>
        <w:t>éd</w:t>
      </w:r>
      <w:proofErr w:type="spellEnd"/>
      <w:r w:rsidRPr="00AC0AF7">
        <w:rPr>
          <w:rStyle w:val="apple-style-span"/>
          <w:lang w:val="en-CA"/>
        </w:rPr>
        <w:t xml:space="preserve">. </w:t>
      </w:r>
      <w:proofErr w:type="gramStart"/>
      <w:r w:rsidRPr="00AC0AF7">
        <w:rPr>
          <w:rStyle w:val="lev"/>
          <w:b w:val="0"/>
          <w:i/>
          <w:lang w:val="en-CA"/>
        </w:rPr>
        <w:t>The Liturgy of the Medieval Church</w:t>
      </w:r>
      <w:r w:rsidRPr="00AC0AF7">
        <w:rPr>
          <w:rStyle w:val="lev"/>
          <w:b w:val="0"/>
          <w:lang w:val="en-CA"/>
        </w:rPr>
        <w:t>.</w:t>
      </w:r>
      <w:proofErr w:type="gramEnd"/>
      <w:r w:rsidRPr="00AC0AF7">
        <w:rPr>
          <w:rStyle w:val="lev"/>
          <w:b w:val="0"/>
          <w:lang w:val="en-CA"/>
        </w:rPr>
        <w:t xml:space="preserve"> </w:t>
      </w:r>
      <w:proofErr w:type="gramStart"/>
      <w:r w:rsidRPr="00AC0AF7">
        <w:rPr>
          <w:rStyle w:val="apple-style-span"/>
          <w:lang w:val="en-CA"/>
        </w:rPr>
        <w:t>Kalamazoo, Medieval Institute Publications</w:t>
      </w:r>
      <w:r w:rsidRPr="00AC0AF7">
        <w:rPr>
          <w:lang w:val="en-CA"/>
        </w:rPr>
        <w:t>, 2001.</w:t>
      </w:r>
      <w:proofErr w:type="gramEnd"/>
      <w:r w:rsidRPr="00AC0AF7">
        <w:rPr>
          <w:lang w:val="en-CA"/>
        </w:rPr>
        <w:t xml:space="preserve"> </w:t>
      </w:r>
      <w:proofErr w:type="gramStart"/>
      <w:r w:rsidRPr="00AC0AF7">
        <w:rPr>
          <w:lang w:val="en-CA"/>
        </w:rPr>
        <w:t>p.473-513</w:t>
      </w:r>
      <w:proofErr w:type="gramEnd"/>
      <w:r w:rsidRPr="00AC0AF7">
        <w:rPr>
          <w:lang w:val="en-CA"/>
        </w:rPr>
        <w:t>.</w:t>
      </w:r>
    </w:p>
    <w:p w:rsidR="00B93A95" w:rsidRPr="00AC0AF7" w:rsidRDefault="00B93A95" w:rsidP="009448BC">
      <w:pPr>
        <w:jc w:val="both"/>
        <w:rPr>
          <w:u w:val="single"/>
          <w:lang w:val="en-CA"/>
        </w:rPr>
      </w:pPr>
      <w:proofErr w:type="spellStart"/>
      <w:r w:rsidRPr="00AC0AF7">
        <w:rPr>
          <w:u w:val="single"/>
          <w:lang w:val="en-CA"/>
        </w:rPr>
        <w:t>Couleurs</w:t>
      </w:r>
      <w:proofErr w:type="spellEnd"/>
    </w:p>
    <w:p w:rsidR="007F7EE2" w:rsidRPr="00AC0AF7" w:rsidRDefault="007F7EE2" w:rsidP="009448BC">
      <w:pPr>
        <w:jc w:val="both"/>
        <w:rPr>
          <w:lang w:val="en-CA"/>
        </w:rPr>
      </w:pPr>
      <w:proofErr w:type="spellStart"/>
      <w:r w:rsidRPr="00AC0AF7">
        <w:rPr>
          <w:lang w:val="en-CA"/>
        </w:rPr>
        <w:t>Bärsch</w:t>
      </w:r>
      <w:proofErr w:type="spellEnd"/>
      <w:r w:rsidRPr="00AC0AF7">
        <w:rPr>
          <w:lang w:val="en-CA"/>
        </w:rPr>
        <w:t>, Jürgen. «</w:t>
      </w:r>
      <w:r w:rsidR="005D7A47">
        <w:rPr>
          <w:lang w:val="en-CA"/>
        </w:rPr>
        <w:t> </w:t>
      </w:r>
      <w:proofErr w:type="spellStart"/>
      <w:r w:rsidRPr="00AC0AF7">
        <w:rPr>
          <w:lang w:val="en-CA"/>
        </w:rPr>
        <w:t>Farbiger</w:t>
      </w:r>
      <w:proofErr w:type="spellEnd"/>
      <w:r w:rsidRPr="00AC0AF7">
        <w:rPr>
          <w:lang w:val="en-CA"/>
        </w:rPr>
        <w:t xml:space="preserve"> </w:t>
      </w:r>
      <w:proofErr w:type="spellStart"/>
      <w:proofErr w:type="gramStart"/>
      <w:r w:rsidRPr="00AC0AF7">
        <w:rPr>
          <w:lang w:val="en-CA"/>
        </w:rPr>
        <w:t>Gottesdienst</w:t>
      </w:r>
      <w:proofErr w:type="spellEnd"/>
      <w:r w:rsidRPr="00AC0AF7">
        <w:rPr>
          <w:lang w:val="en-CA"/>
        </w:rPr>
        <w:t xml:space="preserve"> :</w:t>
      </w:r>
      <w:proofErr w:type="gramEnd"/>
      <w:r w:rsidRPr="00AC0AF7">
        <w:rPr>
          <w:lang w:val="en-CA"/>
        </w:rPr>
        <w:t xml:space="preserve"> </w:t>
      </w:r>
      <w:proofErr w:type="spellStart"/>
      <w:r w:rsidRPr="00AC0AF7">
        <w:rPr>
          <w:lang w:val="en-CA"/>
        </w:rPr>
        <w:t>Zur</w:t>
      </w:r>
      <w:proofErr w:type="spellEnd"/>
      <w:r w:rsidRPr="00AC0AF7">
        <w:rPr>
          <w:lang w:val="en-CA"/>
        </w:rPr>
        <w:t xml:space="preserve"> </w:t>
      </w:r>
      <w:proofErr w:type="spellStart"/>
      <w:r w:rsidRPr="00AC0AF7">
        <w:rPr>
          <w:lang w:val="en-CA"/>
        </w:rPr>
        <w:t>Bedeutung</w:t>
      </w:r>
      <w:proofErr w:type="spellEnd"/>
      <w:r w:rsidRPr="00AC0AF7">
        <w:rPr>
          <w:lang w:val="en-CA"/>
        </w:rPr>
        <w:t xml:space="preserve"> der </w:t>
      </w:r>
      <w:proofErr w:type="spellStart"/>
      <w:r w:rsidRPr="00AC0AF7">
        <w:rPr>
          <w:lang w:val="en-CA"/>
        </w:rPr>
        <w:t>liturgischen</w:t>
      </w:r>
      <w:proofErr w:type="spellEnd"/>
      <w:r w:rsidRPr="00AC0AF7">
        <w:rPr>
          <w:lang w:val="en-CA"/>
        </w:rPr>
        <w:t xml:space="preserve"> </w:t>
      </w:r>
      <w:proofErr w:type="spellStart"/>
      <w:r w:rsidRPr="00AC0AF7">
        <w:rPr>
          <w:lang w:val="en-CA"/>
        </w:rPr>
        <w:t>Farben</w:t>
      </w:r>
      <w:proofErr w:type="spellEnd"/>
      <w:r w:rsidRPr="00AC0AF7">
        <w:rPr>
          <w:lang w:val="en-CA"/>
        </w:rPr>
        <w:t xml:space="preserve"> in </w:t>
      </w:r>
      <w:proofErr w:type="spellStart"/>
      <w:r w:rsidRPr="00AC0AF7">
        <w:rPr>
          <w:lang w:val="en-CA"/>
        </w:rPr>
        <w:t>Vollzug</w:t>
      </w:r>
      <w:proofErr w:type="spellEnd"/>
      <w:r w:rsidRPr="00AC0AF7">
        <w:rPr>
          <w:lang w:val="en-CA"/>
        </w:rPr>
        <w:t xml:space="preserve"> und </w:t>
      </w:r>
      <w:proofErr w:type="spellStart"/>
      <w:r w:rsidRPr="00AC0AF7">
        <w:rPr>
          <w:lang w:val="en-CA"/>
        </w:rPr>
        <w:t>Wahrnehmung</w:t>
      </w:r>
      <w:proofErr w:type="spellEnd"/>
      <w:r w:rsidRPr="00AC0AF7">
        <w:rPr>
          <w:lang w:val="en-CA"/>
        </w:rPr>
        <w:t xml:space="preserve"> der </w:t>
      </w:r>
      <w:proofErr w:type="spellStart"/>
      <w:r w:rsidRPr="00AC0AF7">
        <w:rPr>
          <w:lang w:val="en-CA"/>
        </w:rPr>
        <w:t>Liturgie</w:t>
      </w:r>
      <w:proofErr w:type="spellEnd"/>
      <w:r w:rsidRPr="00AC0AF7">
        <w:rPr>
          <w:lang w:val="en-CA"/>
        </w:rPr>
        <w:t xml:space="preserve"> </w:t>
      </w:r>
      <w:proofErr w:type="spellStart"/>
      <w:r w:rsidRPr="00AC0AF7">
        <w:rPr>
          <w:lang w:val="en-CA"/>
        </w:rPr>
        <w:t>im</w:t>
      </w:r>
      <w:proofErr w:type="spellEnd"/>
      <w:r w:rsidRPr="00AC0AF7">
        <w:rPr>
          <w:lang w:val="en-CA"/>
        </w:rPr>
        <w:t xml:space="preserve"> </w:t>
      </w:r>
      <w:proofErr w:type="spellStart"/>
      <w:r w:rsidRPr="00AC0AF7">
        <w:rPr>
          <w:lang w:val="en-CA"/>
        </w:rPr>
        <w:t>späten</w:t>
      </w:r>
      <w:proofErr w:type="spellEnd"/>
      <w:r w:rsidRPr="00AC0AF7">
        <w:rPr>
          <w:lang w:val="en-CA"/>
        </w:rPr>
        <w:t xml:space="preserve"> </w:t>
      </w:r>
      <w:proofErr w:type="spellStart"/>
      <w:r w:rsidRPr="00AC0AF7">
        <w:rPr>
          <w:lang w:val="en-CA"/>
        </w:rPr>
        <w:t>Mittelalter</w:t>
      </w:r>
      <w:proofErr w:type="spellEnd"/>
      <w:r w:rsidRPr="00AC0AF7">
        <w:rPr>
          <w:lang w:val="en-CA"/>
        </w:rPr>
        <w:t xml:space="preserve">» </w:t>
      </w:r>
      <w:proofErr w:type="spellStart"/>
      <w:r w:rsidRPr="00AC0AF7">
        <w:rPr>
          <w:lang w:val="en-CA"/>
        </w:rPr>
        <w:t>dans</w:t>
      </w:r>
      <w:proofErr w:type="spellEnd"/>
      <w:r w:rsidRPr="00AC0AF7">
        <w:rPr>
          <w:lang w:val="en-CA"/>
        </w:rPr>
        <w:t xml:space="preserve"> Ingrid </w:t>
      </w:r>
      <w:proofErr w:type="spellStart"/>
      <w:r w:rsidRPr="00AC0AF7">
        <w:rPr>
          <w:lang w:val="en-CA"/>
        </w:rPr>
        <w:t>Bennewitz</w:t>
      </w:r>
      <w:proofErr w:type="spellEnd"/>
      <w:r w:rsidRPr="00AC0AF7">
        <w:rPr>
          <w:lang w:val="en-CA"/>
        </w:rPr>
        <w:t xml:space="preserve"> et Andrea Schindler. </w:t>
      </w:r>
      <w:proofErr w:type="spellStart"/>
      <w:r w:rsidRPr="00AC0AF7">
        <w:rPr>
          <w:i/>
          <w:lang w:val="en-CA"/>
        </w:rPr>
        <w:t>Farbe</w:t>
      </w:r>
      <w:proofErr w:type="spellEnd"/>
      <w:r w:rsidRPr="00AC0AF7">
        <w:rPr>
          <w:i/>
          <w:lang w:val="en-CA"/>
        </w:rPr>
        <w:t xml:space="preserve"> </w:t>
      </w:r>
      <w:proofErr w:type="spellStart"/>
      <w:r w:rsidRPr="00AC0AF7">
        <w:rPr>
          <w:i/>
          <w:lang w:val="en-CA"/>
        </w:rPr>
        <w:t>im</w:t>
      </w:r>
      <w:proofErr w:type="spellEnd"/>
      <w:r w:rsidRPr="00AC0AF7">
        <w:rPr>
          <w:i/>
          <w:lang w:val="en-CA"/>
        </w:rPr>
        <w:t xml:space="preserve"> </w:t>
      </w:r>
      <w:proofErr w:type="spellStart"/>
      <w:r w:rsidRPr="00AC0AF7">
        <w:rPr>
          <w:i/>
          <w:lang w:val="en-CA"/>
        </w:rPr>
        <w:t>Mittelalter</w:t>
      </w:r>
      <w:proofErr w:type="spellEnd"/>
      <w:r w:rsidRPr="00AC0AF7">
        <w:rPr>
          <w:i/>
          <w:lang w:val="en-CA"/>
        </w:rPr>
        <w:t xml:space="preserve">: </w:t>
      </w:r>
      <w:proofErr w:type="spellStart"/>
      <w:r w:rsidRPr="00AC0AF7">
        <w:rPr>
          <w:i/>
          <w:lang w:val="en-CA"/>
        </w:rPr>
        <w:t>Materialität</w:t>
      </w:r>
      <w:proofErr w:type="spellEnd"/>
      <w:r w:rsidRPr="00AC0AF7">
        <w:rPr>
          <w:i/>
          <w:lang w:val="en-CA"/>
        </w:rPr>
        <w:t xml:space="preserve"> – </w:t>
      </w:r>
      <w:proofErr w:type="spellStart"/>
      <w:r w:rsidRPr="00AC0AF7">
        <w:rPr>
          <w:i/>
          <w:lang w:val="en-CA"/>
        </w:rPr>
        <w:t>Medialität</w:t>
      </w:r>
      <w:proofErr w:type="spellEnd"/>
      <w:r w:rsidRPr="00AC0AF7">
        <w:rPr>
          <w:i/>
          <w:lang w:val="en-CA"/>
        </w:rPr>
        <w:t xml:space="preserve"> – </w:t>
      </w:r>
      <w:proofErr w:type="spellStart"/>
      <w:r w:rsidRPr="00AC0AF7">
        <w:rPr>
          <w:i/>
          <w:lang w:val="en-CA"/>
        </w:rPr>
        <w:t>Semantik</w:t>
      </w:r>
      <w:proofErr w:type="spellEnd"/>
      <w:r w:rsidRPr="00AC0AF7">
        <w:rPr>
          <w:lang w:val="en-CA"/>
        </w:rPr>
        <w:t xml:space="preserve">, Tome 1. Berlin, </w:t>
      </w:r>
      <w:proofErr w:type="spellStart"/>
      <w:r w:rsidRPr="00AC0AF7">
        <w:rPr>
          <w:lang w:val="en-CA"/>
        </w:rPr>
        <w:t>Akademie</w:t>
      </w:r>
      <w:proofErr w:type="spellEnd"/>
      <w:r w:rsidRPr="00AC0AF7">
        <w:rPr>
          <w:lang w:val="en-CA"/>
        </w:rPr>
        <w:t xml:space="preserve"> </w:t>
      </w:r>
      <w:proofErr w:type="spellStart"/>
      <w:r w:rsidRPr="00AC0AF7">
        <w:rPr>
          <w:lang w:val="en-CA"/>
        </w:rPr>
        <w:t>Verlag</w:t>
      </w:r>
      <w:proofErr w:type="spellEnd"/>
      <w:r w:rsidRPr="00AC0AF7">
        <w:rPr>
          <w:lang w:val="en-CA"/>
        </w:rPr>
        <w:t xml:space="preserve">, 2011. </w:t>
      </w:r>
      <w:proofErr w:type="gramStart"/>
      <w:r w:rsidRPr="00AC0AF7">
        <w:rPr>
          <w:lang w:val="en-CA"/>
        </w:rPr>
        <w:t>P.749-766.</w:t>
      </w:r>
      <w:proofErr w:type="gramEnd"/>
    </w:p>
    <w:p w:rsidR="007F7EE2" w:rsidRPr="00FE61B7" w:rsidRDefault="007F7EE2" w:rsidP="009448BC">
      <w:pPr>
        <w:jc w:val="both"/>
      </w:pPr>
      <w:proofErr w:type="spellStart"/>
      <w:r w:rsidRPr="00AC0AF7">
        <w:rPr>
          <w:lang w:val="en-CA"/>
        </w:rPr>
        <w:t>Bartl</w:t>
      </w:r>
      <w:proofErr w:type="spellEnd"/>
      <w:r w:rsidRPr="00AC0AF7">
        <w:rPr>
          <w:lang w:val="en-CA"/>
        </w:rPr>
        <w:t xml:space="preserve">, Anna </w:t>
      </w:r>
      <w:proofErr w:type="gramStart"/>
      <w:r w:rsidRPr="00AC0AF7">
        <w:rPr>
          <w:lang w:val="en-CA"/>
        </w:rPr>
        <w:t>et</w:t>
      </w:r>
      <w:proofErr w:type="gramEnd"/>
      <w:r w:rsidRPr="00AC0AF7">
        <w:rPr>
          <w:lang w:val="en-CA"/>
        </w:rPr>
        <w:t xml:space="preserve"> Manfred </w:t>
      </w:r>
      <w:proofErr w:type="spellStart"/>
      <w:r w:rsidRPr="00AC0AF7">
        <w:rPr>
          <w:lang w:val="en-CA"/>
        </w:rPr>
        <w:t>Lautenschlager</w:t>
      </w:r>
      <w:proofErr w:type="spellEnd"/>
      <w:r w:rsidRPr="00AC0AF7">
        <w:rPr>
          <w:lang w:val="en-CA"/>
        </w:rPr>
        <w:t>. «</w:t>
      </w:r>
      <w:r w:rsidR="005D7A47">
        <w:rPr>
          <w:lang w:val="en-CA"/>
        </w:rPr>
        <w:t> </w:t>
      </w:r>
      <w:r w:rsidRPr="00AC0AF7">
        <w:rPr>
          <w:lang w:val="en-CA"/>
        </w:rPr>
        <w:t xml:space="preserve">Die </w:t>
      </w:r>
      <w:proofErr w:type="spellStart"/>
      <w:r w:rsidRPr="00AC0AF7">
        <w:rPr>
          <w:lang w:val="en-CA"/>
        </w:rPr>
        <w:t>Farben</w:t>
      </w:r>
      <w:proofErr w:type="spellEnd"/>
      <w:r w:rsidRPr="00AC0AF7">
        <w:rPr>
          <w:lang w:val="en-CA"/>
        </w:rPr>
        <w:t xml:space="preserve"> des </w:t>
      </w:r>
      <w:proofErr w:type="spellStart"/>
      <w:proofErr w:type="gramStart"/>
      <w:r w:rsidRPr="00AC0AF7">
        <w:rPr>
          <w:lang w:val="en-CA"/>
        </w:rPr>
        <w:t>Goldes</w:t>
      </w:r>
      <w:proofErr w:type="spellEnd"/>
      <w:r w:rsidRPr="00AC0AF7">
        <w:rPr>
          <w:lang w:val="en-CA"/>
        </w:rPr>
        <w:t> :</w:t>
      </w:r>
      <w:proofErr w:type="gramEnd"/>
      <w:r w:rsidRPr="00AC0AF7">
        <w:rPr>
          <w:lang w:val="en-CA"/>
        </w:rPr>
        <w:t xml:space="preserve"> </w:t>
      </w:r>
      <w:proofErr w:type="spellStart"/>
      <w:r w:rsidRPr="00AC0AF7">
        <w:rPr>
          <w:lang w:val="en-CA"/>
        </w:rPr>
        <w:t>Glanzvergoldung</w:t>
      </w:r>
      <w:proofErr w:type="spellEnd"/>
      <w:r w:rsidRPr="00AC0AF7">
        <w:rPr>
          <w:lang w:val="en-CA"/>
        </w:rPr>
        <w:t xml:space="preserve"> in der </w:t>
      </w:r>
      <w:proofErr w:type="spellStart"/>
      <w:r w:rsidRPr="00AC0AF7">
        <w:rPr>
          <w:lang w:val="en-CA"/>
        </w:rPr>
        <w:t>Buchmalerei</w:t>
      </w:r>
      <w:proofErr w:type="spellEnd"/>
      <w:r w:rsidRPr="00AC0AF7">
        <w:rPr>
          <w:lang w:val="en-CA"/>
        </w:rPr>
        <w:t xml:space="preserve"> des </w:t>
      </w:r>
      <w:proofErr w:type="spellStart"/>
      <w:r w:rsidRPr="00AC0AF7">
        <w:rPr>
          <w:lang w:val="en-CA"/>
        </w:rPr>
        <w:t>Mittelalters</w:t>
      </w:r>
      <w:proofErr w:type="spellEnd"/>
      <w:r w:rsidRPr="00AC0AF7">
        <w:rPr>
          <w:lang w:val="en-CA"/>
        </w:rPr>
        <w:t xml:space="preserve">» </w:t>
      </w:r>
      <w:proofErr w:type="spellStart"/>
      <w:r w:rsidRPr="00AC0AF7">
        <w:rPr>
          <w:lang w:val="en-CA"/>
        </w:rPr>
        <w:t>dans</w:t>
      </w:r>
      <w:proofErr w:type="spellEnd"/>
      <w:r w:rsidRPr="00AC0AF7">
        <w:rPr>
          <w:lang w:val="en-CA"/>
        </w:rPr>
        <w:t xml:space="preserve"> Ingrid </w:t>
      </w:r>
      <w:proofErr w:type="spellStart"/>
      <w:r w:rsidRPr="00AC0AF7">
        <w:rPr>
          <w:lang w:val="en-CA"/>
        </w:rPr>
        <w:t>Bennewitz</w:t>
      </w:r>
      <w:proofErr w:type="spellEnd"/>
      <w:r w:rsidRPr="00AC0AF7">
        <w:rPr>
          <w:lang w:val="en-CA"/>
        </w:rPr>
        <w:t xml:space="preserve"> et Andrea Schindler. </w:t>
      </w:r>
      <w:proofErr w:type="spellStart"/>
      <w:r w:rsidRPr="00AC0AF7">
        <w:rPr>
          <w:i/>
          <w:lang w:val="en-CA"/>
        </w:rPr>
        <w:t>Farbe</w:t>
      </w:r>
      <w:proofErr w:type="spellEnd"/>
      <w:r w:rsidRPr="00AC0AF7">
        <w:rPr>
          <w:i/>
          <w:lang w:val="en-CA"/>
        </w:rPr>
        <w:t xml:space="preserve"> </w:t>
      </w:r>
      <w:proofErr w:type="spellStart"/>
      <w:r w:rsidRPr="00AC0AF7">
        <w:rPr>
          <w:i/>
          <w:lang w:val="en-CA"/>
        </w:rPr>
        <w:t>im</w:t>
      </w:r>
      <w:proofErr w:type="spellEnd"/>
      <w:r w:rsidRPr="00AC0AF7">
        <w:rPr>
          <w:i/>
          <w:lang w:val="en-CA"/>
        </w:rPr>
        <w:t xml:space="preserve"> </w:t>
      </w:r>
      <w:proofErr w:type="spellStart"/>
      <w:r w:rsidRPr="00AC0AF7">
        <w:rPr>
          <w:i/>
          <w:lang w:val="en-CA"/>
        </w:rPr>
        <w:t>Mittelalter</w:t>
      </w:r>
      <w:proofErr w:type="spellEnd"/>
      <w:r w:rsidRPr="00AC0AF7">
        <w:rPr>
          <w:i/>
          <w:lang w:val="en-CA"/>
        </w:rPr>
        <w:t xml:space="preserve">: </w:t>
      </w:r>
      <w:proofErr w:type="spellStart"/>
      <w:r w:rsidRPr="00AC0AF7">
        <w:rPr>
          <w:i/>
          <w:lang w:val="en-CA"/>
        </w:rPr>
        <w:t>Materialität</w:t>
      </w:r>
      <w:proofErr w:type="spellEnd"/>
      <w:r w:rsidRPr="00AC0AF7">
        <w:rPr>
          <w:i/>
          <w:lang w:val="en-CA"/>
        </w:rPr>
        <w:t xml:space="preserve"> – </w:t>
      </w:r>
      <w:proofErr w:type="spellStart"/>
      <w:r w:rsidRPr="00AC0AF7">
        <w:rPr>
          <w:i/>
          <w:lang w:val="en-CA"/>
        </w:rPr>
        <w:t>Medialität</w:t>
      </w:r>
      <w:proofErr w:type="spellEnd"/>
      <w:r w:rsidRPr="00AC0AF7">
        <w:rPr>
          <w:i/>
          <w:lang w:val="en-CA"/>
        </w:rPr>
        <w:t xml:space="preserve"> – </w:t>
      </w:r>
      <w:proofErr w:type="spellStart"/>
      <w:r w:rsidRPr="00AC0AF7">
        <w:rPr>
          <w:i/>
          <w:lang w:val="en-CA"/>
        </w:rPr>
        <w:t>Semantik</w:t>
      </w:r>
      <w:proofErr w:type="spellEnd"/>
      <w:r w:rsidRPr="00AC0AF7">
        <w:rPr>
          <w:lang w:val="en-CA"/>
        </w:rPr>
        <w:t xml:space="preserve">, Tome 1. Berlin, </w:t>
      </w:r>
      <w:proofErr w:type="spellStart"/>
      <w:r w:rsidRPr="00AC0AF7">
        <w:rPr>
          <w:lang w:val="en-CA"/>
        </w:rPr>
        <w:t>Akademie</w:t>
      </w:r>
      <w:proofErr w:type="spellEnd"/>
      <w:r w:rsidRPr="00AC0AF7">
        <w:rPr>
          <w:lang w:val="en-CA"/>
        </w:rPr>
        <w:t xml:space="preserve"> </w:t>
      </w:r>
      <w:proofErr w:type="spellStart"/>
      <w:r w:rsidRPr="00AC0AF7">
        <w:rPr>
          <w:lang w:val="en-CA"/>
        </w:rPr>
        <w:t>Verlag</w:t>
      </w:r>
      <w:proofErr w:type="spellEnd"/>
      <w:r w:rsidRPr="00AC0AF7">
        <w:rPr>
          <w:lang w:val="en-CA"/>
        </w:rPr>
        <w:t xml:space="preserve">, 2011. </w:t>
      </w:r>
      <w:r w:rsidRPr="00FE61B7">
        <w:t>P.275-282.</w:t>
      </w:r>
    </w:p>
    <w:p w:rsidR="00B93A95" w:rsidRPr="00AC0AF7" w:rsidRDefault="00424104" w:rsidP="009448BC">
      <w:pPr>
        <w:jc w:val="both"/>
        <w:rPr>
          <w:lang w:val="en-CA"/>
        </w:rPr>
      </w:pPr>
      <w:hyperlink r:id="rId16" w:history="1">
        <w:proofErr w:type="spellStart"/>
        <w:r w:rsidR="00B93A95" w:rsidRPr="00FE61B7">
          <w:rPr>
            <w:rStyle w:val="Lienhypertexte"/>
            <w:color w:val="auto"/>
            <w:u w:val="none"/>
          </w:rPr>
          <w:t>Binski</w:t>
        </w:r>
        <w:proofErr w:type="spellEnd"/>
        <w:r w:rsidR="00B93A95" w:rsidRPr="00FE61B7">
          <w:rPr>
            <w:rStyle w:val="Lienhypertexte"/>
            <w:color w:val="auto"/>
            <w:u w:val="none"/>
          </w:rPr>
          <w:t>, Paul</w:t>
        </w:r>
      </w:hyperlink>
      <w:r w:rsidR="00B93A95" w:rsidRPr="00FE61B7">
        <w:rPr>
          <w:rStyle w:val="apple-style-span"/>
        </w:rPr>
        <w:t xml:space="preserve"> et </w:t>
      </w:r>
      <w:hyperlink r:id="rId17" w:history="1">
        <w:r w:rsidR="00B93A95" w:rsidRPr="00FE61B7">
          <w:rPr>
            <w:rStyle w:val="Lienhypertexte"/>
            <w:color w:val="auto"/>
            <w:u w:val="none"/>
          </w:rPr>
          <w:t>Nigel</w:t>
        </w:r>
      </w:hyperlink>
      <w:r w:rsidR="00B93A95" w:rsidRPr="00FE61B7">
        <w:rPr>
          <w:rStyle w:val="apple-style-span"/>
        </w:rPr>
        <w:t xml:space="preserve"> Morgan. </w:t>
      </w:r>
      <w:r w:rsidR="00B93A95" w:rsidRPr="005B797F">
        <w:rPr>
          <w:rStyle w:val="apple-style-span"/>
          <w:lang w:val="en-CA"/>
        </w:rPr>
        <w:t>« Private devotion</w:t>
      </w:r>
      <w:r w:rsidR="00F23E7C">
        <w:rPr>
          <w:rStyle w:val="apple-style-span"/>
          <w:lang w:val="en-CA"/>
        </w:rPr>
        <w:t> </w:t>
      </w:r>
      <w:r w:rsidR="00B93A95" w:rsidRPr="005B797F">
        <w:rPr>
          <w:rStyle w:val="apple-style-span"/>
          <w:lang w:val="en-CA"/>
        </w:rPr>
        <w:t xml:space="preserve">: humility and splendour » </w:t>
      </w:r>
      <w:proofErr w:type="spellStart"/>
      <w:r w:rsidR="00B93A95" w:rsidRPr="005B797F">
        <w:rPr>
          <w:rStyle w:val="apple-style-span"/>
          <w:lang w:val="en-CA"/>
        </w:rPr>
        <w:t>dans</w:t>
      </w:r>
      <w:proofErr w:type="spellEnd"/>
      <w:r w:rsidR="00B93A95" w:rsidRPr="005B797F">
        <w:rPr>
          <w:rStyle w:val="apple-style-span"/>
          <w:lang w:val="en-CA"/>
        </w:rPr>
        <w:t xml:space="preserve"> </w:t>
      </w:r>
      <w:hyperlink r:id="rId18" w:history="1">
        <w:r w:rsidR="00B93A95" w:rsidRPr="005B797F">
          <w:rPr>
            <w:rStyle w:val="Lienhypertexte"/>
            <w:color w:val="auto"/>
            <w:u w:val="none"/>
            <w:lang w:val="en-CA"/>
          </w:rPr>
          <w:t>Paul</w:t>
        </w:r>
      </w:hyperlink>
      <w:r w:rsidR="00B93A95" w:rsidRPr="005B797F">
        <w:rPr>
          <w:rStyle w:val="apple-style-span"/>
          <w:lang w:val="en-CA"/>
        </w:rPr>
        <w:t xml:space="preserve"> </w:t>
      </w:r>
      <w:proofErr w:type="spellStart"/>
      <w:r w:rsidR="00B93A95" w:rsidRPr="005B797F">
        <w:rPr>
          <w:rStyle w:val="apple-style-span"/>
          <w:lang w:val="en-CA"/>
        </w:rPr>
        <w:t>Binski</w:t>
      </w:r>
      <w:proofErr w:type="spellEnd"/>
      <w:r w:rsidR="00B93A95" w:rsidRPr="005B797F">
        <w:rPr>
          <w:rStyle w:val="apple-style-span"/>
          <w:lang w:val="en-CA"/>
        </w:rPr>
        <w:t xml:space="preserve"> et </w:t>
      </w:r>
      <w:hyperlink r:id="rId19" w:history="1">
        <w:r w:rsidR="00B93A95" w:rsidRPr="005B797F">
          <w:rPr>
            <w:rStyle w:val="Lienhypertexte"/>
            <w:color w:val="auto"/>
            <w:u w:val="none"/>
            <w:lang w:val="en-CA"/>
          </w:rPr>
          <w:t>Nigel</w:t>
        </w:r>
      </w:hyperlink>
      <w:r w:rsidR="00B93A95" w:rsidRPr="005B797F">
        <w:rPr>
          <w:rStyle w:val="apple-style-span"/>
          <w:lang w:val="en-CA"/>
        </w:rPr>
        <w:t xml:space="preserve"> Morgan, </w:t>
      </w:r>
      <w:proofErr w:type="spellStart"/>
      <w:r w:rsidR="00B93A95" w:rsidRPr="005B797F">
        <w:rPr>
          <w:rStyle w:val="apple-style-span"/>
          <w:lang w:val="en-CA"/>
        </w:rPr>
        <w:t>éd</w:t>
      </w:r>
      <w:proofErr w:type="spellEnd"/>
      <w:r w:rsidR="00B93A95" w:rsidRPr="005B797F">
        <w:rPr>
          <w:rStyle w:val="apple-style-span"/>
          <w:lang w:val="en-CA"/>
        </w:rPr>
        <w:t xml:space="preserve">. </w:t>
      </w:r>
      <w:r w:rsidR="00B93A95" w:rsidRPr="00AC0AF7">
        <w:rPr>
          <w:rStyle w:val="apple-style-span"/>
          <w:i/>
          <w:lang w:val="en-CA"/>
        </w:rPr>
        <w:t>The Cambridge Illuminations: Ten Centuries of Book Production in the Medieval West</w:t>
      </w:r>
      <w:r w:rsidR="00B93A95" w:rsidRPr="00AC0AF7">
        <w:rPr>
          <w:rStyle w:val="apple-style-span"/>
          <w:lang w:val="en-CA"/>
        </w:rPr>
        <w:t xml:space="preserve">. London, Harvey Miller, 2005. </w:t>
      </w:r>
      <w:proofErr w:type="gramStart"/>
      <w:r w:rsidR="00B93A95" w:rsidRPr="00AC0AF7">
        <w:rPr>
          <w:rStyle w:val="apple-style-span"/>
          <w:lang w:val="en-CA"/>
        </w:rPr>
        <w:t>p.163-169</w:t>
      </w:r>
      <w:proofErr w:type="gramEnd"/>
      <w:r w:rsidR="00B93A95" w:rsidRPr="00AC0AF7">
        <w:rPr>
          <w:rStyle w:val="apple-style-span"/>
          <w:lang w:val="en-CA"/>
        </w:rPr>
        <w:t>.</w:t>
      </w:r>
    </w:p>
    <w:p w:rsidR="00B93A95" w:rsidRPr="00AC0AF7" w:rsidRDefault="00B93A95" w:rsidP="009448BC">
      <w:pPr>
        <w:jc w:val="both"/>
        <w:rPr>
          <w:lang w:val="en-CA"/>
        </w:rPr>
      </w:pPr>
      <w:proofErr w:type="spellStart"/>
      <w:r w:rsidRPr="00AC0AF7">
        <w:rPr>
          <w:lang w:val="en-CA"/>
        </w:rPr>
        <w:t>Carmassi</w:t>
      </w:r>
      <w:proofErr w:type="spellEnd"/>
      <w:r w:rsidRPr="00AC0AF7">
        <w:rPr>
          <w:lang w:val="en-CA"/>
        </w:rPr>
        <w:t xml:space="preserve">, </w:t>
      </w:r>
      <w:proofErr w:type="spellStart"/>
      <w:r w:rsidRPr="00AC0AF7">
        <w:rPr>
          <w:lang w:val="en-CA"/>
        </w:rPr>
        <w:t>Patrizia</w:t>
      </w:r>
      <w:proofErr w:type="spellEnd"/>
      <w:r w:rsidRPr="00AC0AF7">
        <w:rPr>
          <w:lang w:val="en-CA"/>
        </w:rPr>
        <w:t>. «</w:t>
      </w:r>
      <w:r w:rsidR="005D7A47">
        <w:rPr>
          <w:lang w:val="en-CA"/>
        </w:rPr>
        <w:t> </w:t>
      </w:r>
      <w:proofErr w:type="spellStart"/>
      <w:r w:rsidRPr="00AC0AF7">
        <w:rPr>
          <w:lang w:val="en-CA"/>
        </w:rPr>
        <w:t>Purpurism</w:t>
      </w:r>
      <w:proofErr w:type="spellEnd"/>
      <w:r w:rsidRPr="00AC0AF7">
        <w:rPr>
          <w:lang w:val="en-CA"/>
        </w:rPr>
        <w:t xml:space="preserve"> in </w:t>
      </w:r>
      <w:proofErr w:type="spellStart"/>
      <w:r w:rsidRPr="00AC0AF7">
        <w:rPr>
          <w:lang w:val="en-CA"/>
        </w:rPr>
        <w:t>martyrio</w:t>
      </w:r>
      <w:proofErr w:type="spellEnd"/>
      <w:r w:rsidRPr="00AC0AF7">
        <w:rPr>
          <w:lang w:val="en-CA"/>
        </w:rPr>
        <w:t xml:space="preserve">; Die </w:t>
      </w:r>
      <w:proofErr w:type="spellStart"/>
      <w:r w:rsidRPr="00AC0AF7">
        <w:rPr>
          <w:lang w:val="en-CA"/>
        </w:rPr>
        <w:t>Farbe</w:t>
      </w:r>
      <w:proofErr w:type="spellEnd"/>
      <w:r w:rsidRPr="00AC0AF7">
        <w:rPr>
          <w:lang w:val="en-CA"/>
        </w:rPr>
        <w:t xml:space="preserve"> des </w:t>
      </w:r>
      <w:proofErr w:type="spellStart"/>
      <w:r w:rsidRPr="00AC0AF7">
        <w:rPr>
          <w:lang w:val="en-CA"/>
        </w:rPr>
        <w:t>Blutes</w:t>
      </w:r>
      <w:proofErr w:type="spellEnd"/>
      <w:r w:rsidRPr="00AC0AF7">
        <w:rPr>
          <w:lang w:val="en-CA"/>
        </w:rPr>
        <w:t xml:space="preserve"> in </w:t>
      </w:r>
      <w:proofErr w:type="spellStart"/>
      <w:r w:rsidRPr="00AC0AF7">
        <w:rPr>
          <w:lang w:val="en-CA"/>
        </w:rPr>
        <w:t>mittelalterlichen</w:t>
      </w:r>
      <w:proofErr w:type="spellEnd"/>
      <w:r w:rsidRPr="00AC0AF7">
        <w:rPr>
          <w:lang w:val="en-CA"/>
        </w:rPr>
        <w:t xml:space="preserve"> </w:t>
      </w:r>
      <w:proofErr w:type="spellStart"/>
      <w:r w:rsidRPr="00AC0AF7">
        <w:rPr>
          <w:lang w:val="en-CA"/>
        </w:rPr>
        <w:t>Handschriften</w:t>
      </w:r>
      <w:proofErr w:type="spellEnd"/>
      <w:r w:rsidRPr="00AC0AF7">
        <w:rPr>
          <w:lang w:val="en-CA"/>
        </w:rPr>
        <w:t xml:space="preserve">» </w:t>
      </w:r>
      <w:proofErr w:type="spellStart"/>
      <w:r w:rsidRPr="00AC0AF7">
        <w:rPr>
          <w:lang w:val="en-CA"/>
        </w:rPr>
        <w:t>dans</w:t>
      </w:r>
      <w:proofErr w:type="spellEnd"/>
      <w:r w:rsidRPr="00AC0AF7">
        <w:rPr>
          <w:lang w:val="en-CA"/>
        </w:rPr>
        <w:t xml:space="preserve"> Ingrid </w:t>
      </w:r>
      <w:proofErr w:type="spellStart"/>
      <w:r w:rsidRPr="00AC0AF7">
        <w:rPr>
          <w:lang w:val="en-CA"/>
        </w:rPr>
        <w:t>Bennewitz</w:t>
      </w:r>
      <w:proofErr w:type="spellEnd"/>
      <w:r w:rsidRPr="00AC0AF7">
        <w:rPr>
          <w:lang w:val="en-CA"/>
        </w:rPr>
        <w:t xml:space="preserve"> </w:t>
      </w:r>
      <w:proofErr w:type="gramStart"/>
      <w:r w:rsidRPr="00AC0AF7">
        <w:rPr>
          <w:lang w:val="en-CA"/>
        </w:rPr>
        <w:t>et</w:t>
      </w:r>
      <w:proofErr w:type="gramEnd"/>
      <w:r w:rsidRPr="00AC0AF7">
        <w:rPr>
          <w:lang w:val="en-CA"/>
        </w:rPr>
        <w:t xml:space="preserve"> Andrea Schindler. </w:t>
      </w:r>
      <w:proofErr w:type="spellStart"/>
      <w:r w:rsidRPr="00AC0AF7">
        <w:rPr>
          <w:i/>
          <w:lang w:val="en-CA"/>
        </w:rPr>
        <w:t>Farbe</w:t>
      </w:r>
      <w:proofErr w:type="spellEnd"/>
      <w:r w:rsidRPr="00AC0AF7">
        <w:rPr>
          <w:i/>
          <w:lang w:val="en-CA"/>
        </w:rPr>
        <w:t xml:space="preserve"> </w:t>
      </w:r>
      <w:proofErr w:type="spellStart"/>
      <w:r w:rsidRPr="00AC0AF7">
        <w:rPr>
          <w:i/>
          <w:lang w:val="en-CA"/>
        </w:rPr>
        <w:t>im</w:t>
      </w:r>
      <w:proofErr w:type="spellEnd"/>
      <w:r w:rsidRPr="00AC0AF7">
        <w:rPr>
          <w:i/>
          <w:lang w:val="en-CA"/>
        </w:rPr>
        <w:t xml:space="preserve"> </w:t>
      </w:r>
      <w:proofErr w:type="spellStart"/>
      <w:r w:rsidRPr="00AC0AF7">
        <w:rPr>
          <w:i/>
          <w:lang w:val="en-CA"/>
        </w:rPr>
        <w:t>Mittelalter</w:t>
      </w:r>
      <w:proofErr w:type="spellEnd"/>
      <w:r w:rsidRPr="00AC0AF7">
        <w:rPr>
          <w:i/>
          <w:lang w:val="en-CA"/>
        </w:rPr>
        <w:t xml:space="preserve">: </w:t>
      </w:r>
      <w:proofErr w:type="spellStart"/>
      <w:r w:rsidRPr="00AC0AF7">
        <w:rPr>
          <w:i/>
          <w:lang w:val="en-CA"/>
        </w:rPr>
        <w:t>Materialität</w:t>
      </w:r>
      <w:proofErr w:type="spellEnd"/>
      <w:r w:rsidRPr="00AC0AF7">
        <w:rPr>
          <w:i/>
          <w:lang w:val="en-CA"/>
        </w:rPr>
        <w:t xml:space="preserve"> – </w:t>
      </w:r>
      <w:proofErr w:type="spellStart"/>
      <w:r w:rsidRPr="00AC0AF7">
        <w:rPr>
          <w:i/>
          <w:lang w:val="en-CA"/>
        </w:rPr>
        <w:t>Medialität</w:t>
      </w:r>
      <w:proofErr w:type="spellEnd"/>
      <w:r w:rsidRPr="00AC0AF7">
        <w:rPr>
          <w:i/>
          <w:lang w:val="en-CA"/>
        </w:rPr>
        <w:t xml:space="preserve"> – </w:t>
      </w:r>
      <w:proofErr w:type="spellStart"/>
      <w:r w:rsidRPr="00AC0AF7">
        <w:rPr>
          <w:i/>
          <w:lang w:val="en-CA"/>
        </w:rPr>
        <w:t>Semantik</w:t>
      </w:r>
      <w:proofErr w:type="spellEnd"/>
      <w:r w:rsidRPr="00AC0AF7">
        <w:rPr>
          <w:lang w:val="en-CA"/>
        </w:rPr>
        <w:t xml:space="preserve">, Tome 1. Berlin, </w:t>
      </w:r>
      <w:proofErr w:type="spellStart"/>
      <w:r w:rsidRPr="00AC0AF7">
        <w:rPr>
          <w:lang w:val="en-CA"/>
        </w:rPr>
        <w:t>Akademie</w:t>
      </w:r>
      <w:proofErr w:type="spellEnd"/>
      <w:r w:rsidRPr="00AC0AF7">
        <w:rPr>
          <w:lang w:val="en-CA"/>
        </w:rPr>
        <w:t xml:space="preserve"> </w:t>
      </w:r>
      <w:proofErr w:type="spellStart"/>
      <w:r w:rsidRPr="00AC0AF7">
        <w:rPr>
          <w:lang w:val="en-CA"/>
        </w:rPr>
        <w:t>Verlag</w:t>
      </w:r>
      <w:proofErr w:type="spellEnd"/>
      <w:r w:rsidRPr="00AC0AF7">
        <w:rPr>
          <w:lang w:val="en-CA"/>
        </w:rPr>
        <w:t xml:space="preserve">, 2011. </w:t>
      </w:r>
      <w:proofErr w:type="gramStart"/>
      <w:r w:rsidRPr="00AC0AF7">
        <w:rPr>
          <w:lang w:val="en-CA"/>
        </w:rPr>
        <w:t>P.251-273.</w:t>
      </w:r>
      <w:proofErr w:type="gramEnd"/>
    </w:p>
    <w:p w:rsidR="00B93A95" w:rsidRPr="00AC0AF7" w:rsidRDefault="00B93A95" w:rsidP="009448BC">
      <w:pPr>
        <w:jc w:val="both"/>
        <w:rPr>
          <w:lang w:val="en-CA"/>
        </w:rPr>
      </w:pPr>
      <w:r w:rsidRPr="00AC0AF7">
        <w:rPr>
          <w:lang w:val="en-CA"/>
        </w:rPr>
        <w:t>Linares, Marina. «</w:t>
      </w:r>
      <w:r w:rsidR="005D7A47">
        <w:rPr>
          <w:lang w:val="en-CA"/>
        </w:rPr>
        <w:t> </w:t>
      </w:r>
      <w:proofErr w:type="spellStart"/>
      <w:r w:rsidRPr="00AC0AF7">
        <w:rPr>
          <w:lang w:val="en-CA"/>
        </w:rPr>
        <w:t>Kunst</w:t>
      </w:r>
      <w:proofErr w:type="spellEnd"/>
      <w:r w:rsidRPr="00AC0AF7">
        <w:rPr>
          <w:lang w:val="en-CA"/>
        </w:rPr>
        <w:t xml:space="preserve"> and </w:t>
      </w:r>
      <w:proofErr w:type="spellStart"/>
      <w:r w:rsidRPr="00AC0AF7">
        <w:rPr>
          <w:lang w:val="en-CA"/>
        </w:rPr>
        <w:t>Kultur</w:t>
      </w:r>
      <w:proofErr w:type="spellEnd"/>
      <w:r w:rsidRPr="00AC0AF7">
        <w:rPr>
          <w:lang w:val="en-CA"/>
        </w:rPr>
        <w:t xml:space="preserve"> </w:t>
      </w:r>
      <w:proofErr w:type="spellStart"/>
      <w:r w:rsidRPr="00AC0AF7">
        <w:rPr>
          <w:lang w:val="en-CA"/>
        </w:rPr>
        <w:t>im</w:t>
      </w:r>
      <w:proofErr w:type="spellEnd"/>
      <w:r w:rsidRPr="00AC0AF7">
        <w:rPr>
          <w:lang w:val="en-CA"/>
        </w:rPr>
        <w:t xml:space="preserve"> </w:t>
      </w:r>
      <w:proofErr w:type="spellStart"/>
      <w:proofErr w:type="gramStart"/>
      <w:r w:rsidRPr="00AC0AF7">
        <w:rPr>
          <w:lang w:val="en-CA"/>
        </w:rPr>
        <w:t>Mittelalter</w:t>
      </w:r>
      <w:proofErr w:type="spellEnd"/>
      <w:r w:rsidRPr="00AC0AF7">
        <w:rPr>
          <w:lang w:val="en-CA"/>
        </w:rPr>
        <w:t> :</w:t>
      </w:r>
      <w:proofErr w:type="gramEnd"/>
      <w:r w:rsidRPr="00AC0AF7">
        <w:rPr>
          <w:lang w:val="en-CA"/>
        </w:rPr>
        <w:t xml:space="preserve"> </w:t>
      </w:r>
      <w:proofErr w:type="spellStart"/>
      <w:r w:rsidRPr="00AC0AF7">
        <w:rPr>
          <w:lang w:val="en-CA"/>
        </w:rPr>
        <w:t>Farbeschemata</w:t>
      </w:r>
      <w:proofErr w:type="spellEnd"/>
      <w:r w:rsidRPr="00AC0AF7">
        <w:rPr>
          <w:lang w:val="en-CA"/>
        </w:rPr>
        <w:t xml:space="preserve"> und </w:t>
      </w:r>
      <w:proofErr w:type="spellStart"/>
      <w:r w:rsidRPr="00AC0AF7">
        <w:rPr>
          <w:lang w:val="en-CA"/>
        </w:rPr>
        <w:t>Farbsymbole</w:t>
      </w:r>
      <w:proofErr w:type="spellEnd"/>
      <w:r w:rsidRPr="00AC0AF7">
        <w:rPr>
          <w:lang w:val="en-CA"/>
        </w:rPr>
        <w:t xml:space="preserve">» </w:t>
      </w:r>
      <w:proofErr w:type="spellStart"/>
      <w:r w:rsidRPr="00AC0AF7">
        <w:rPr>
          <w:lang w:val="en-CA"/>
        </w:rPr>
        <w:t>dans</w:t>
      </w:r>
      <w:proofErr w:type="spellEnd"/>
      <w:r w:rsidRPr="00AC0AF7">
        <w:rPr>
          <w:lang w:val="en-CA"/>
        </w:rPr>
        <w:t xml:space="preserve"> Ingrid </w:t>
      </w:r>
      <w:proofErr w:type="spellStart"/>
      <w:r w:rsidRPr="00AC0AF7">
        <w:rPr>
          <w:lang w:val="en-CA"/>
        </w:rPr>
        <w:t>Bennewitz</w:t>
      </w:r>
      <w:proofErr w:type="spellEnd"/>
      <w:r w:rsidRPr="00AC0AF7">
        <w:rPr>
          <w:lang w:val="en-CA"/>
        </w:rPr>
        <w:t xml:space="preserve"> et Andrea Schindler. </w:t>
      </w:r>
      <w:proofErr w:type="spellStart"/>
      <w:r w:rsidRPr="00AC0AF7">
        <w:rPr>
          <w:i/>
          <w:lang w:val="en-CA"/>
        </w:rPr>
        <w:t>Farbe</w:t>
      </w:r>
      <w:proofErr w:type="spellEnd"/>
      <w:r w:rsidRPr="00AC0AF7">
        <w:rPr>
          <w:i/>
          <w:lang w:val="en-CA"/>
        </w:rPr>
        <w:t xml:space="preserve"> </w:t>
      </w:r>
      <w:proofErr w:type="spellStart"/>
      <w:r w:rsidRPr="00AC0AF7">
        <w:rPr>
          <w:i/>
          <w:lang w:val="en-CA"/>
        </w:rPr>
        <w:t>im</w:t>
      </w:r>
      <w:proofErr w:type="spellEnd"/>
      <w:r w:rsidRPr="00AC0AF7">
        <w:rPr>
          <w:i/>
          <w:lang w:val="en-CA"/>
        </w:rPr>
        <w:t xml:space="preserve"> </w:t>
      </w:r>
      <w:proofErr w:type="spellStart"/>
      <w:r w:rsidRPr="00AC0AF7">
        <w:rPr>
          <w:i/>
          <w:lang w:val="en-CA"/>
        </w:rPr>
        <w:t>Mittelalter</w:t>
      </w:r>
      <w:proofErr w:type="spellEnd"/>
      <w:r w:rsidRPr="00AC0AF7">
        <w:rPr>
          <w:i/>
          <w:lang w:val="en-CA"/>
        </w:rPr>
        <w:t xml:space="preserve">: </w:t>
      </w:r>
      <w:proofErr w:type="spellStart"/>
      <w:r w:rsidRPr="00AC0AF7">
        <w:rPr>
          <w:i/>
          <w:lang w:val="en-CA"/>
        </w:rPr>
        <w:t>Materialität</w:t>
      </w:r>
      <w:proofErr w:type="spellEnd"/>
      <w:r w:rsidRPr="00AC0AF7">
        <w:rPr>
          <w:i/>
          <w:lang w:val="en-CA"/>
        </w:rPr>
        <w:t xml:space="preserve"> – </w:t>
      </w:r>
      <w:proofErr w:type="spellStart"/>
      <w:r w:rsidRPr="00AC0AF7">
        <w:rPr>
          <w:i/>
          <w:lang w:val="en-CA"/>
        </w:rPr>
        <w:t>Medialität</w:t>
      </w:r>
      <w:proofErr w:type="spellEnd"/>
      <w:r w:rsidRPr="00AC0AF7">
        <w:rPr>
          <w:i/>
          <w:lang w:val="en-CA"/>
        </w:rPr>
        <w:t xml:space="preserve"> – </w:t>
      </w:r>
      <w:proofErr w:type="spellStart"/>
      <w:r w:rsidRPr="00AC0AF7">
        <w:rPr>
          <w:i/>
          <w:lang w:val="en-CA"/>
        </w:rPr>
        <w:t>Semantik</w:t>
      </w:r>
      <w:proofErr w:type="spellEnd"/>
      <w:r w:rsidRPr="00AC0AF7">
        <w:rPr>
          <w:lang w:val="en-CA"/>
        </w:rPr>
        <w:t xml:space="preserve">, Tome 1. Berlin, </w:t>
      </w:r>
      <w:proofErr w:type="spellStart"/>
      <w:r w:rsidRPr="00AC0AF7">
        <w:rPr>
          <w:lang w:val="en-CA"/>
        </w:rPr>
        <w:t>Akademie</w:t>
      </w:r>
      <w:proofErr w:type="spellEnd"/>
      <w:r w:rsidRPr="00AC0AF7">
        <w:rPr>
          <w:lang w:val="en-CA"/>
        </w:rPr>
        <w:t xml:space="preserve"> </w:t>
      </w:r>
      <w:proofErr w:type="spellStart"/>
      <w:r w:rsidRPr="00AC0AF7">
        <w:rPr>
          <w:lang w:val="en-CA"/>
        </w:rPr>
        <w:t>Verlag</w:t>
      </w:r>
      <w:proofErr w:type="spellEnd"/>
      <w:r w:rsidRPr="00AC0AF7">
        <w:rPr>
          <w:lang w:val="en-CA"/>
        </w:rPr>
        <w:t xml:space="preserve">, 2011. </w:t>
      </w:r>
      <w:proofErr w:type="gramStart"/>
      <w:r w:rsidRPr="00AC0AF7">
        <w:rPr>
          <w:lang w:val="en-CA"/>
        </w:rPr>
        <w:t>P.297-311.</w:t>
      </w:r>
      <w:proofErr w:type="gramEnd"/>
    </w:p>
    <w:p w:rsidR="00B93A95" w:rsidRPr="00FE61B7" w:rsidRDefault="00B93A95" w:rsidP="009448BC">
      <w:pPr>
        <w:jc w:val="both"/>
      </w:pPr>
      <w:r w:rsidRPr="00AC0AF7">
        <w:rPr>
          <w:lang w:val="en-CA"/>
        </w:rPr>
        <w:lastRenderedPageBreak/>
        <w:t xml:space="preserve">Meier, </w:t>
      </w:r>
      <w:proofErr w:type="spellStart"/>
      <w:r w:rsidRPr="00AC0AF7">
        <w:rPr>
          <w:lang w:val="en-CA"/>
        </w:rPr>
        <w:t>Christel</w:t>
      </w:r>
      <w:proofErr w:type="spellEnd"/>
      <w:r w:rsidRPr="00AC0AF7">
        <w:rPr>
          <w:lang w:val="en-CA"/>
        </w:rPr>
        <w:t xml:space="preserve">. </w:t>
      </w:r>
      <w:proofErr w:type="gramStart"/>
      <w:r w:rsidRPr="00AC0AF7">
        <w:rPr>
          <w:lang w:val="en-CA"/>
        </w:rPr>
        <w:t>«</w:t>
      </w:r>
      <w:r w:rsidR="005D7A47">
        <w:rPr>
          <w:lang w:val="en-CA"/>
        </w:rPr>
        <w:t> </w:t>
      </w:r>
      <w:r w:rsidRPr="00AC0AF7">
        <w:rPr>
          <w:lang w:val="en-CA"/>
        </w:rPr>
        <w:t>The Colourful Middle Ages.</w:t>
      </w:r>
      <w:proofErr w:type="gramEnd"/>
      <w:r w:rsidRPr="00AC0AF7">
        <w:rPr>
          <w:lang w:val="en-CA"/>
        </w:rPr>
        <w:t xml:space="preserve"> Anthropological, Social, and Literary Dimensions of Colour Symbolism and Colour Hermeneutics» </w:t>
      </w:r>
      <w:proofErr w:type="spellStart"/>
      <w:proofErr w:type="gramStart"/>
      <w:r w:rsidRPr="00AC0AF7">
        <w:rPr>
          <w:lang w:val="en-CA"/>
        </w:rPr>
        <w:t>dans</w:t>
      </w:r>
      <w:proofErr w:type="spellEnd"/>
      <w:r w:rsidRPr="00AC0AF7">
        <w:rPr>
          <w:lang w:val="en-CA"/>
        </w:rPr>
        <w:t xml:space="preserve">  Rudolf</w:t>
      </w:r>
      <w:proofErr w:type="gramEnd"/>
      <w:r w:rsidRPr="00AC0AF7">
        <w:rPr>
          <w:lang w:val="en-CA"/>
        </w:rPr>
        <w:t xml:space="preserve"> </w:t>
      </w:r>
      <w:proofErr w:type="spellStart"/>
      <w:r w:rsidRPr="00AC0AF7">
        <w:rPr>
          <w:lang w:val="en-CA"/>
        </w:rPr>
        <w:t>Suntrup</w:t>
      </w:r>
      <w:proofErr w:type="spellEnd"/>
      <w:r w:rsidRPr="00AC0AF7">
        <w:rPr>
          <w:lang w:val="en-CA"/>
        </w:rPr>
        <w:t xml:space="preserve"> et Jan R. </w:t>
      </w:r>
      <w:proofErr w:type="spellStart"/>
      <w:r w:rsidRPr="00AC0AF7">
        <w:rPr>
          <w:lang w:val="en-CA"/>
        </w:rPr>
        <w:t>Veenstra</w:t>
      </w:r>
      <w:proofErr w:type="spellEnd"/>
      <w:r w:rsidRPr="00AC0AF7">
        <w:rPr>
          <w:lang w:val="en-CA"/>
        </w:rPr>
        <w:t xml:space="preserve">. </w:t>
      </w:r>
      <w:proofErr w:type="gramStart"/>
      <w:r w:rsidRPr="00AC0AF7">
        <w:rPr>
          <w:i/>
          <w:lang w:val="en-CA"/>
        </w:rPr>
        <w:t xml:space="preserve">Tradition and Innovation in an Era of Change/Tradition und Innovation </w:t>
      </w:r>
      <w:proofErr w:type="spellStart"/>
      <w:r w:rsidRPr="00AC0AF7">
        <w:rPr>
          <w:i/>
          <w:lang w:val="en-CA"/>
        </w:rPr>
        <w:t>im</w:t>
      </w:r>
      <w:proofErr w:type="spellEnd"/>
      <w:r w:rsidRPr="00AC0AF7">
        <w:rPr>
          <w:i/>
          <w:lang w:val="en-CA"/>
        </w:rPr>
        <w:t xml:space="preserve"> </w:t>
      </w:r>
      <w:proofErr w:type="spellStart"/>
      <w:r w:rsidRPr="00AC0AF7">
        <w:rPr>
          <w:i/>
          <w:lang w:val="en-CA"/>
        </w:rPr>
        <w:t>Ubergang</w:t>
      </w:r>
      <w:proofErr w:type="spellEnd"/>
      <w:r w:rsidRPr="00AC0AF7">
        <w:rPr>
          <w:i/>
          <w:lang w:val="en-CA"/>
        </w:rPr>
        <w:t xml:space="preserve"> </w:t>
      </w:r>
      <w:proofErr w:type="spellStart"/>
      <w:r w:rsidRPr="00AC0AF7">
        <w:rPr>
          <w:i/>
          <w:lang w:val="en-CA"/>
        </w:rPr>
        <w:t>zur</w:t>
      </w:r>
      <w:proofErr w:type="spellEnd"/>
      <w:r w:rsidRPr="00AC0AF7">
        <w:rPr>
          <w:i/>
          <w:lang w:val="en-CA"/>
        </w:rPr>
        <w:t xml:space="preserve"> </w:t>
      </w:r>
      <w:proofErr w:type="spellStart"/>
      <w:r w:rsidRPr="00AC0AF7">
        <w:rPr>
          <w:i/>
          <w:lang w:val="en-CA"/>
        </w:rPr>
        <w:t>frühen</w:t>
      </w:r>
      <w:proofErr w:type="spellEnd"/>
      <w:r w:rsidRPr="00AC0AF7">
        <w:rPr>
          <w:i/>
          <w:lang w:val="en-CA"/>
        </w:rPr>
        <w:t xml:space="preserve"> </w:t>
      </w:r>
      <w:proofErr w:type="spellStart"/>
      <w:r w:rsidRPr="00AC0AF7">
        <w:rPr>
          <w:i/>
          <w:lang w:val="en-CA"/>
        </w:rPr>
        <w:t>Neuzeit</w:t>
      </w:r>
      <w:proofErr w:type="spellEnd"/>
      <w:r w:rsidRPr="00AC0AF7">
        <w:rPr>
          <w:i/>
          <w:lang w:val="en-CA"/>
        </w:rPr>
        <w:t>.</w:t>
      </w:r>
      <w:proofErr w:type="gramEnd"/>
      <w:r w:rsidRPr="00AC0AF7">
        <w:rPr>
          <w:lang w:val="en-CA"/>
        </w:rPr>
        <w:t xml:space="preserve"> </w:t>
      </w:r>
      <w:r w:rsidRPr="00FE61B7">
        <w:t xml:space="preserve">Bern, Peter Lang Pub </w:t>
      </w:r>
      <w:proofErr w:type="spellStart"/>
      <w:r w:rsidRPr="00FE61B7">
        <w:t>Inc</w:t>
      </w:r>
      <w:proofErr w:type="spellEnd"/>
      <w:r w:rsidRPr="00FE61B7">
        <w:t>, 2011. P.227-255.</w:t>
      </w:r>
    </w:p>
    <w:p w:rsidR="007F7EE2" w:rsidRPr="00FE61B7" w:rsidRDefault="007F7EE2" w:rsidP="009448BC">
      <w:pPr>
        <w:jc w:val="both"/>
      </w:pPr>
      <w:proofErr w:type="spellStart"/>
      <w:r w:rsidRPr="00FE61B7">
        <w:t>Oltrogge</w:t>
      </w:r>
      <w:proofErr w:type="spellEnd"/>
      <w:r w:rsidRPr="00FE61B7">
        <w:t xml:space="preserve">, Doris et Robert Fuchs. </w:t>
      </w:r>
      <w:r w:rsidRPr="00AC0AF7">
        <w:rPr>
          <w:lang w:val="en-CA"/>
        </w:rPr>
        <w:t>«</w:t>
      </w:r>
      <w:r w:rsidR="005D7A47">
        <w:rPr>
          <w:lang w:val="en-CA"/>
        </w:rPr>
        <w:t> </w:t>
      </w:r>
      <w:proofErr w:type="spellStart"/>
      <w:r w:rsidRPr="00AC0AF7">
        <w:rPr>
          <w:lang w:val="en-CA"/>
        </w:rPr>
        <w:t>Farbe</w:t>
      </w:r>
      <w:proofErr w:type="spellEnd"/>
      <w:r w:rsidRPr="00AC0AF7">
        <w:rPr>
          <w:lang w:val="en-CA"/>
        </w:rPr>
        <w:t xml:space="preserve"> in der </w:t>
      </w:r>
      <w:proofErr w:type="spellStart"/>
      <w:proofErr w:type="gramStart"/>
      <w:r w:rsidRPr="00AC0AF7">
        <w:rPr>
          <w:lang w:val="en-CA"/>
        </w:rPr>
        <w:t>Buchmalerei</w:t>
      </w:r>
      <w:proofErr w:type="spellEnd"/>
      <w:r w:rsidRPr="00AC0AF7">
        <w:rPr>
          <w:lang w:val="en-CA"/>
        </w:rPr>
        <w:t> :</w:t>
      </w:r>
      <w:proofErr w:type="gramEnd"/>
      <w:r w:rsidRPr="00AC0AF7">
        <w:rPr>
          <w:lang w:val="en-CA"/>
        </w:rPr>
        <w:t xml:space="preserve"> </w:t>
      </w:r>
      <w:proofErr w:type="spellStart"/>
      <w:r w:rsidRPr="00AC0AF7">
        <w:rPr>
          <w:lang w:val="en-CA"/>
        </w:rPr>
        <w:t>Rezeptliteratur</w:t>
      </w:r>
      <w:proofErr w:type="spellEnd"/>
      <w:r w:rsidRPr="00AC0AF7">
        <w:rPr>
          <w:lang w:val="en-CA"/>
        </w:rPr>
        <w:t xml:space="preserve"> und </w:t>
      </w:r>
      <w:proofErr w:type="spellStart"/>
      <w:r w:rsidRPr="00AC0AF7">
        <w:rPr>
          <w:lang w:val="en-CA"/>
        </w:rPr>
        <w:t>Befunde</w:t>
      </w:r>
      <w:proofErr w:type="spellEnd"/>
      <w:r w:rsidRPr="00AC0AF7">
        <w:rPr>
          <w:lang w:val="en-CA"/>
        </w:rPr>
        <w:t xml:space="preserve">» </w:t>
      </w:r>
      <w:proofErr w:type="spellStart"/>
      <w:r w:rsidRPr="00AC0AF7">
        <w:rPr>
          <w:lang w:val="en-CA"/>
        </w:rPr>
        <w:t>dans</w:t>
      </w:r>
      <w:proofErr w:type="spellEnd"/>
      <w:r w:rsidRPr="00AC0AF7">
        <w:rPr>
          <w:lang w:val="en-CA"/>
        </w:rPr>
        <w:t xml:space="preserve"> Ingrid </w:t>
      </w:r>
      <w:proofErr w:type="spellStart"/>
      <w:r w:rsidRPr="00AC0AF7">
        <w:rPr>
          <w:lang w:val="en-CA"/>
        </w:rPr>
        <w:t>Bennewitz</w:t>
      </w:r>
      <w:proofErr w:type="spellEnd"/>
      <w:r w:rsidRPr="00AC0AF7">
        <w:rPr>
          <w:lang w:val="en-CA"/>
        </w:rPr>
        <w:t xml:space="preserve"> et Andrea Schindler. </w:t>
      </w:r>
      <w:proofErr w:type="spellStart"/>
      <w:r w:rsidRPr="00AC0AF7">
        <w:rPr>
          <w:i/>
          <w:lang w:val="en-CA"/>
        </w:rPr>
        <w:t>Farbe</w:t>
      </w:r>
      <w:proofErr w:type="spellEnd"/>
      <w:r w:rsidRPr="00AC0AF7">
        <w:rPr>
          <w:i/>
          <w:lang w:val="en-CA"/>
        </w:rPr>
        <w:t xml:space="preserve"> </w:t>
      </w:r>
      <w:proofErr w:type="spellStart"/>
      <w:r w:rsidRPr="00AC0AF7">
        <w:rPr>
          <w:i/>
          <w:lang w:val="en-CA"/>
        </w:rPr>
        <w:t>im</w:t>
      </w:r>
      <w:proofErr w:type="spellEnd"/>
      <w:r w:rsidRPr="00AC0AF7">
        <w:rPr>
          <w:i/>
          <w:lang w:val="en-CA"/>
        </w:rPr>
        <w:t xml:space="preserve"> </w:t>
      </w:r>
      <w:proofErr w:type="spellStart"/>
      <w:r w:rsidRPr="00AC0AF7">
        <w:rPr>
          <w:i/>
          <w:lang w:val="en-CA"/>
        </w:rPr>
        <w:t>Mittelalter</w:t>
      </w:r>
      <w:proofErr w:type="spellEnd"/>
      <w:r w:rsidRPr="00AC0AF7">
        <w:rPr>
          <w:i/>
          <w:lang w:val="en-CA"/>
        </w:rPr>
        <w:t xml:space="preserve">: </w:t>
      </w:r>
      <w:proofErr w:type="spellStart"/>
      <w:r w:rsidRPr="00AC0AF7">
        <w:rPr>
          <w:i/>
          <w:lang w:val="en-CA"/>
        </w:rPr>
        <w:t>Materialität</w:t>
      </w:r>
      <w:proofErr w:type="spellEnd"/>
      <w:r w:rsidRPr="00AC0AF7">
        <w:rPr>
          <w:i/>
          <w:lang w:val="en-CA"/>
        </w:rPr>
        <w:t xml:space="preserve"> – </w:t>
      </w:r>
      <w:proofErr w:type="spellStart"/>
      <w:r w:rsidRPr="00AC0AF7">
        <w:rPr>
          <w:i/>
          <w:lang w:val="en-CA"/>
        </w:rPr>
        <w:t>Medialität</w:t>
      </w:r>
      <w:proofErr w:type="spellEnd"/>
      <w:r w:rsidRPr="00AC0AF7">
        <w:rPr>
          <w:i/>
          <w:lang w:val="en-CA"/>
        </w:rPr>
        <w:t xml:space="preserve"> – </w:t>
      </w:r>
      <w:proofErr w:type="spellStart"/>
      <w:r w:rsidRPr="00AC0AF7">
        <w:rPr>
          <w:i/>
          <w:lang w:val="en-CA"/>
        </w:rPr>
        <w:t>Semantik</w:t>
      </w:r>
      <w:proofErr w:type="spellEnd"/>
      <w:r w:rsidRPr="00AC0AF7">
        <w:rPr>
          <w:lang w:val="en-CA"/>
        </w:rPr>
        <w:t xml:space="preserve">, Tome 1. Berlin, </w:t>
      </w:r>
      <w:proofErr w:type="spellStart"/>
      <w:r w:rsidRPr="00AC0AF7">
        <w:rPr>
          <w:lang w:val="en-CA"/>
        </w:rPr>
        <w:t>Akademie</w:t>
      </w:r>
      <w:proofErr w:type="spellEnd"/>
      <w:r w:rsidRPr="00AC0AF7">
        <w:rPr>
          <w:lang w:val="en-CA"/>
        </w:rPr>
        <w:t xml:space="preserve"> </w:t>
      </w:r>
      <w:proofErr w:type="spellStart"/>
      <w:r w:rsidRPr="00AC0AF7">
        <w:rPr>
          <w:lang w:val="en-CA"/>
        </w:rPr>
        <w:t>Verlag</w:t>
      </w:r>
      <w:proofErr w:type="spellEnd"/>
      <w:r w:rsidRPr="00AC0AF7">
        <w:rPr>
          <w:lang w:val="en-CA"/>
        </w:rPr>
        <w:t xml:space="preserve">, 2011. </w:t>
      </w:r>
      <w:r w:rsidRPr="00FE61B7">
        <w:t>P.221-234.</w:t>
      </w:r>
    </w:p>
    <w:p w:rsidR="00B93A95" w:rsidRPr="00FE61B7" w:rsidRDefault="00B93A95" w:rsidP="009448BC">
      <w:pPr>
        <w:jc w:val="both"/>
      </w:pPr>
      <w:r w:rsidRPr="00FE61B7">
        <w:t>Pastoureau, Michel. «</w:t>
      </w:r>
      <w:hyperlink r:id="rId20" w:history="1">
        <w:r w:rsidR="005D7A47">
          <w:t> </w:t>
        </w:r>
        <w:r w:rsidRPr="00FE61B7">
          <w:rPr>
            <w:rStyle w:val="Lienhypertexte"/>
            <w:color w:val="auto"/>
            <w:u w:val="none"/>
          </w:rPr>
          <w:t>Une couleur en mutation</w:t>
        </w:r>
        <w:r w:rsidR="005D7A47">
          <w:rPr>
            <w:rStyle w:val="Lienhypertexte"/>
            <w:color w:val="auto"/>
            <w:u w:val="none"/>
          </w:rPr>
          <w:t> </w:t>
        </w:r>
        <w:r w:rsidRPr="00FE61B7">
          <w:rPr>
            <w:rStyle w:val="Lienhypertexte"/>
            <w:color w:val="auto"/>
            <w:u w:val="none"/>
          </w:rPr>
          <w:t>: le vert à la fin du Moyen Âge</w:t>
        </w:r>
      </w:hyperlink>
      <w:r w:rsidR="005D7A47">
        <w:rPr>
          <w:rStyle w:val="Lienhypertexte"/>
          <w:color w:val="auto"/>
          <w:u w:val="none"/>
        </w:rPr>
        <w:t> </w:t>
      </w:r>
      <w:r w:rsidRPr="00FE61B7">
        <w:t xml:space="preserve">». </w:t>
      </w:r>
      <w:hyperlink r:id="rId21" w:history="1">
        <w:r w:rsidRPr="00FE61B7">
          <w:rPr>
            <w:rStyle w:val="Lienhypertexte"/>
            <w:i/>
            <w:color w:val="auto"/>
            <w:u w:val="none"/>
          </w:rPr>
          <w:t xml:space="preserve">Académie des inscriptions et belles-lettres. </w:t>
        </w:r>
        <w:proofErr w:type="spellStart"/>
        <w:r w:rsidRPr="00FE61B7">
          <w:rPr>
            <w:rStyle w:val="Lienhypertexte"/>
            <w:i/>
            <w:color w:val="auto"/>
            <w:u w:val="none"/>
          </w:rPr>
          <w:t>Comptes-rendus</w:t>
        </w:r>
        <w:proofErr w:type="spellEnd"/>
        <w:r w:rsidRPr="00FE61B7">
          <w:rPr>
            <w:rStyle w:val="Lienhypertexte"/>
            <w:i/>
            <w:color w:val="auto"/>
            <w:u w:val="none"/>
          </w:rPr>
          <w:t xml:space="preserve"> des séances</w:t>
        </w:r>
      </w:hyperlink>
      <w:r w:rsidRPr="00FE61B7">
        <w:rPr>
          <w:i/>
        </w:rPr>
        <w:t xml:space="preserve">, </w:t>
      </w:r>
      <w:r w:rsidRPr="00FE61B7">
        <w:t>2 (2007), p.705-731.</w:t>
      </w:r>
    </w:p>
    <w:p w:rsidR="00B93A95" w:rsidRPr="00AC0AF7" w:rsidRDefault="00B93A95" w:rsidP="009448BC">
      <w:pPr>
        <w:jc w:val="both"/>
        <w:rPr>
          <w:lang w:val="en-CA"/>
        </w:rPr>
      </w:pPr>
      <w:r w:rsidRPr="00AC0AF7">
        <w:rPr>
          <w:lang w:val="en-CA"/>
        </w:rPr>
        <w:t xml:space="preserve">Pulliam, Heather. </w:t>
      </w:r>
      <w:proofErr w:type="gramStart"/>
      <w:r w:rsidRPr="00AC0AF7">
        <w:rPr>
          <w:lang w:val="en-CA"/>
        </w:rPr>
        <w:t>«</w:t>
      </w:r>
      <w:r w:rsidR="005D7A47">
        <w:rPr>
          <w:lang w:val="en-CA"/>
        </w:rPr>
        <w:t> </w:t>
      </w:r>
      <w:r w:rsidRPr="00AC0AF7">
        <w:rPr>
          <w:lang w:val="en-CA"/>
        </w:rPr>
        <w:t>Color</w:t>
      </w:r>
      <w:r w:rsidR="005D7A47">
        <w:rPr>
          <w:lang w:val="en-CA"/>
        </w:rPr>
        <w:t> </w:t>
      </w:r>
      <w:r w:rsidRPr="00AC0AF7">
        <w:rPr>
          <w:lang w:val="en-CA"/>
        </w:rPr>
        <w:t>».</w:t>
      </w:r>
      <w:proofErr w:type="gramEnd"/>
      <w:r w:rsidRPr="00AC0AF7">
        <w:rPr>
          <w:lang w:val="en-CA"/>
        </w:rPr>
        <w:t xml:space="preserve"> </w:t>
      </w:r>
      <w:proofErr w:type="gramStart"/>
      <w:r w:rsidRPr="00AC0AF7">
        <w:rPr>
          <w:i/>
          <w:lang w:val="en-CA"/>
        </w:rPr>
        <w:t>Studies in iconography</w:t>
      </w:r>
      <w:r w:rsidRPr="00AC0AF7">
        <w:rPr>
          <w:lang w:val="en-CA"/>
        </w:rPr>
        <w:t>, 33 (2012), p.3-14.</w:t>
      </w:r>
      <w:proofErr w:type="gramEnd"/>
      <w:r w:rsidRPr="00AC0AF7">
        <w:rPr>
          <w:lang w:val="en-CA"/>
        </w:rPr>
        <w:t xml:space="preserve"> </w:t>
      </w:r>
    </w:p>
    <w:p w:rsidR="00A42C19" w:rsidRPr="00FE61B7" w:rsidRDefault="00A42C19" w:rsidP="009448BC">
      <w:pPr>
        <w:jc w:val="both"/>
        <w:rPr>
          <w:i/>
          <w:u w:val="single"/>
        </w:rPr>
      </w:pPr>
      <w:r w:rsidRPr="00FE61B7">
        <w:rPr>
          <w:i/>
          <w:u w:val="single"/>
        </w:rPr>
        <w:t>Thèse</w:t>
      </w:r>
    </w:p>
    <w:p w:rsidR="00A42C19" w:rsidRPr="00FE61B7" w:rsidRDefault="00A42C19" w:rsidP="009448BC">
      <w:pPr>
        <w:jc w:val="both"/>
      </w:pPr>
      <w:r w:rsidRPr="00FE61B7">
        <w:t xml:space="preserve">Delaunay, Isabelle. </w:t>
      </w:r>
      <w:r w:rsidRPr="00FE61B7">
        <w:rPr>
          <w:i/>
        </w:rPr>
        <w:t>Échanges artistiques entre livres d’heures, manuscrits et imprimés produits à Paris vers 1480-1500</w:t>
      </w:r>
      <w:r w:rsidRPr="00FE61B7">
        <w:t>. Thèse de doctorat, Paris IV, Sorbonne, 2000, 2 volumes.</w:t>
      </w:r>
    </w:p>
    <w:p w:rsidR="00A42C19" w:rsidRPr="00FE61B7" w:rsidRDefault="00A42C19" w:rsidP="009448BC">
      <w:pPr>
        <w:jc w:val="both"/>
        <w:rPr>
          <w:i/>
          <w:u w:val="single"/>
        </w:rPr>
      </w:pPr>
      <w:r w:rsidRPr="00FE61B7">
        <w:rPr>
          <w:i/>
          <w:u w:val="single"/>
        </w:rPr>
        <w:t>Internet</w:t>
      </w:r>
    </w:p>
    <w:p w:rsidR="00A42C19" w:rsidRPr="00FE61B7" w:rsidRDefault="00A42C19" w:rsidP="009448BC">
      <w:pPr>
        <w:jc w:val="both"/>
      </w:pPr>
      <w:r w:rsidRPr="005B797F">
        <w:rPr>
          <w:lang w:val="en-CA"/>
        </w:rPr>
        <w:t xml:space="preserve">Les </w:t>
      </w:r>
      <w:proofErr w:type="spellStart"/>
      <w:r w:rsidRPr="005B797F">
        <w:rPr>
          <w:lang w:val="en-CA"/>
        </w:rPr>
        <w:t>Enluminures</w:t>
      </w:r>
      <w:proofErr w:type="spellEnd"/>
      <w:r w:rsidRPr="005B797F">
        <w:rPr>
          <w:lang w:val="en-CA"/>
        </w:rPr>
        <w:t xml:space="preserve">. </w:t>
      </w:r>
      <w:proofErr w:type="gramStart"/>
      <w:r w:rsidRPr="00AC0AF7">
        <w:rPr>
          <w:i/>
          <w:lang w:val="en-CA"/>
        </w:rPr>
        <w:t>Book of Hours (use of Rome)</w:t>
      </w:r>
      <w:r w:rsidRPr="00AC0AF7">
        <w:rPr>
          <w:lang w:val="en-CA"/>
        </w:rPr>
        <w:t>, [</w:t>
      </w:r>
      <w:proofErr w:type="spellStart"/>
      <w:r w:rsidRPr="00AC0AF7">
        <w:rPr>
          <w:lang w:val="en-CA"/>
        </w:rPr>
        <w:t>En</w:t>
      </w:r>
      <w:proofErr w:type="spellEnd"/>
      <w:r w:rsidRPr="00AC0AF7">
        <w:rPr>
          <w:lang w:val="en-CA"/>
        </w:rPr>
        <w:t xml:space="preserve"> </w:t>
      </w:r>
      <w:proofErr w:type="spellStart"/>
      <w:r w:rsidRPr="00AC0AF7">
        <w:rPr>
          <w:lang w:val="en-CA"/>
        </w:rPr>
        <w:t>ligne</w:t>
      </w:r>
      <w:proofErr w:type="spellEnd"/>
      <w:r w:rsidRPr="00AC0AF7">
        <w:rPr>
          <w:lang w:val="en-CA"/>
        </w:rPr>
        <w:t>].</w:t>
      </w:r>
      <w:proofErr w:type="gramEnd"/>
      <w:r w:rsidRPr="00AC0AF7">
        <w:rPr>
          <w:lang w:val="en-CA"/>
        </w:rPr>
        <w:t xml:space="preserve"> </w:t>
      </w:r>
      <w:hyperlink r:id="rId22" w:history="1">
        <w:r w:rsidRPr="00FE61B7">
          <w:rPr>
            <w:rStyle w:val="Lienhypertexte"/>
            <w:color w:val="auto"/>
          </w:rPr>
          <w:t>http://www.lesenluminures-france1500.com/pdf/7_boh.pdf</w:t>
        </w:r>
      </w:hyperlink>
      <w:r w:rsidRPr="00FE61B7">
        <w:t xml:space="preserve"> (Page consultée le 11 octobre 2014)</w:t>
      </w:r>
    </w:p>
    <w:p w:rsidR="00A42C19" w:rsidRPr="00FE61B7" w:rsidRDefault="00A42C19" w:rsidP="009448BC">
      <w:pPr>
        <w:jc w:val="both"/>
      </w:pPr>
      <w:r w:rsidRPr="00FE61B7">
        <w:t xml:space="preserve">Oscar Wilde. </w:t>
      </w:r>
      <w:r w:rsidRPr="00FE61B7">
        <w:rPr>
          <w:i/>
        </w:rPr>
        <w:t>L’Internaute</w:t>
      </w:r>
      <w:r w:rsidRPr="00FE61B7">
        <w:t xml:space="preserve">, [En ligne]. </w:t>
      </w:r>
      <w:hyperlink r:id="rId23" w:history="1">
        <w:r w:rsidRPr="00FE61B7">
          <w:rPr>
            <w:rStyle w:val="Lienhypertexte"/>
            <w:color w:val="auto"/>
          </w:rPr>
          <w:t>http://www.linternaute.com/citation/22913/qui-veut-retrouver-sa-jeunesse-n-a-qu-a-reprendre-ses-folies-oscar-wilde/</w:t>
        </w:r>
      </w:hyperlink>
      <w:r w:rsidRPr="00FE61B7">
        <w:t xml:space="preserve"> (Page consultée le 4 octobre 2014).</w:t>
      </w:r>
    </w:p>
    <w:sectPr w:rsidR="00A42C19" w:rsidRPr="00FE61B7" w:rsidSect="00D24332">
      <w:headerReference w:type="even" r:id="rId24"/>
      <w:headerReference w:type="default" r:id="rId25"/>
      <w:footerReference w:type="even" r:id="rId26"/>
      <w:footerReference w:type="default" r:id="rId27"/>
      <w:headerReference w:type="first" r:id="rId28"/>
      <w:footerReference w:type="first" r:id="rId29"/>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104" w:rsidRDefault="00424104" w:rsidP="00F82339">
      <w:pPr>
        <w:spacing w:after="0" w:line="240" w:lineRule="auto"/>
      </w:pPr>
      <w:r>
        <w:separator/>
      </w:r>
    </w:p>
  </w:endnote>
  <w:endnote w:type="continuationSeparator" w:id="0">
    <w:p w:rsidR="00424104" w:rsidRDefault="00424104" w:rsidP="00F82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7C" w:rsidRDefault="00F23E7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763506"/>
      <w:docPartObj>
        <w:docPartGallery w:val="Page Numbers (Bottom of Page)"/>
        <w:docPartUnique/>
      </w:docPartObj>
    </w:sdtPr>
    <w:sdtEndPr/>
    <w:sdtContent>
      <w:p w:rsidR="00D24332" w:rsidRDefault="00D24332">
        <w:pPr>
          <w:pStyle w:val="Pieddepage"/>
          <w:jc w:val="right"/>
        </w:pPr>
        <w:r>
          <w:fldChar w:fldCharType="begin"/>
        </w:r>
        <w:r>
          <w:instrText>PAGE   \* MERGEFORMAT</w:instrText>
        </w:r>
        <w:r>
          <w:fldChar w:fldCharType="separate"/>
        </w:r>
        <w:r w:rsidR="00F23E7C" w:rsidRPr="00F23E7C">
          <w:rPr>
            <w:noProof/>
            <w:lang w:val="fr-FR"/>
          </w:rPr>
          <w:t>1</w:t>
        </w:r>
        <w:r>
          <w:fldChar w:fldCharType="end"/>
        </w:r>
      </w:p>
    </w:sdtContent>
  </w:sdt>
  <w:p w:rsidR="00D24332" w:rsidRDefault="00D2433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7C" w:rsidRDefault="00F23E7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104" w:rsidRDefault="00424104" w:rsidP="00F82339">
      <w:pPr>
        <w:spacing w:after="0" w:line="240" w:lineRule="auto"/>
      </w:pPr>
      <w:r>
        <w:separator/>
      </w:r>
    </w:p>
  </w:footnote>
  <w:footnote w:type="continuationSeparator" w:id="0">
    <w:p w:rsidR="00424104" w:rsidRDefault="00424104" w:rsidP="00F82339">
      <w:pPr>
        <w:spacing w:after="0" w:line="240" w:lineRule="auto"/>
      </w:pPr>
      <w:r>
        <w:continuationSeparator/>
      </w:r>
    </w:p>
  </w:footnote>
  <w:footnote w:id="1">
    <w:p w:rsidR="00D24332" w:rsidRPr="009B2B5C" w:rsidRDefault="00D24332" w:rsidP="00162703">
      <w:pPr>
        <w:pStyle w:val="Notedebasdepage"/>
        <w:jc w:val="both"/>
      </w:pPr>
      <w:r w:rsidRPr="009B2B5C">
        <w:rPr>
          <w:rStyle w:val="Appelnotedebasdep"/>
        </w:rPr>
        <w:footnoteRef/>
      </w:r>
      <w:r w:rsidRPr="009B2B5C">
        <w:t xml:space="preserve"> «Tu ne te fabriqueras aucune idole, aucun objet qui représente ce qui est dans le ciel, sur la terre ou dans l’eau sous la terre; tu ne t’inclineras pas devant des statues de ce genre, tu ne les adoreras pas».</w:t>
      </w:r>
    </w:p>
  </w:footnote>
  <w:footnote w:id="2">
    <w:p w:rsidR="00D24332" w:rsidRPr="009B2B5C" w:rsidRDefault="00D24332" w:rsidP="00162703">
      <w:pPr>
        <w:pStyle w:val="Notedebasdepage"/>
        <w:jc w:val="both"/>
      </w:pPr>
      <w:r w:rsidRPr="009B2B5C">
        <w:rPr>
          <w:rStyle w:val="Appelnotedebasdep"/>
        </w:rPr>
        <w:footnoteRef/>
      </w:r>
      <w:r w:rsidRPr="009B2B5C">
        <w:t xml:space="preserve"> Jean </w:t>
      </w:r>
      <w:proofErr w:type="spellStart"/>
      <w:r w:rsidRPr="009B2B5C">
        <w:t>Wirth</w:t>
      </w:r>
      <w:proofErr w:type="spellEnd"/>
      <w:r w:rsidRPr="009B2B5C">
        <w:t xml:space="preserve">. </w:t>
      </w:r>
      <w:r w:rsidRPr="009B2B5C">
        <w:rPr>
          <w:i/>
        </w:rPr>
        <w:t>L’image médiévale : naissance et développements, VI</w:t>
      </w:r>
      <w:r w:rsidRPr="009B2B5C">
        <w:rPr>
          <w:i/>
          <w:vertAlign w:val="superscript"/>
        </w:rPr>
        <w:t>e</w:t>
      </w:r>
      <w:r w:rsidRPr="009B2B5C">
        <w:rPr>
          <w:i/>
        </w:rPr>
        <w:t>-XV</w:t>
      </w:r>
      <w:r w:rsidRPr="009B2B5C">
        <w:rPr>
          <w:i/>
          <w:vertAlign w:val="superscript"/>
        </w:rPr>
        <w:t>e</w:t>
      </w:r>
      <w:r w:rsidRPr="009B2B5C">
        <w:rPr>
          <w:i/>
        </w:rPr>
        <w:t xml:space="preserve"> siècle</w:t>
      </w:r>
      <w:r w:rsidRPr="009B2B5C">
        <w:t xml:space="preserve">. Paris, Méridiens </w:t>
      </w:r>
      <w:proofErr w:type="spellStart"/>
      <w:r w:rsidRPr="009B2B5C">
        <w:t>Klincksieck</w:t>
      </w:r>
      <w:proofErr w:type="spellEnd"/>
      <w:r w:rsidRPr="009B2B5C">
        <w:t>, 1989. p.81.</w:t>
      </w:r>
    </w:p>
  </w:footnote>
  <w:footnote w:id="3">
    <w:p w:rsidR="00D24332" w:rsidRPr="009B2B5C" w:rsidRDefault="00D24332" w:rsidP="00162703">
      <w:pPr>
        <w:pStyle w:val="Notedebasdepage"/>
        <w:jc w:val="both"/>
      </w:pPr>
      <w:r w:rsidRPr="009B2B5C">
        <w:rPr>
          <w:rStyle w:val="Appelnotedebasdep"/>
        </w:rPr>
        <w:footnoteRef/>
      </w:r>
      <w:r w:rsidRPr="009B2B5C">
        <w:t xml:space="preserve"> </w:t>
      </w:r>
      <w:r>
        <w:rPr>
          <w:i/>
        </w:rPr>
        <w:t>Ibid.</w:t>
      </w:r>
      <w:r>
        <w:t xml:space="preserve">, </w:t>
      </w:r>
      <w:r w:rsidRPr="009B2B5C">
        <w:t>p.83.</w:t>
      </w:r>
    </w:p>
  </w:footnote>
  <w:footnote w:id="4">
    <w:p w:rsidR="00D24332" w:rsidRPr="009B2B5C" w:rsidRDefault="00D24332" w:rsidP="00162703">
      <w:pPr>
        <w:pStyle w:val="Notedebasdepage"/>
        <w:jc w:val="both"/>
      </w:pPr>
      <w:r w:rsidRPr="009B2B5C">
        <w:rPr>
          <w:rStyle w:val="Appelnotedebasdep"/>
        </w:rPr>
        <w:footnoteRef/>
      </w:r>
      <w:r w:rsidRPr="009B2B5C">
        <w:t xml:space="preserve"> Olivier </w:t>
      </w:r>
      <w:proofErr w:type="spellStart"/>
      <w:r w:rsidRPr="009B2B5C">
        <w:t>Boulnois</w:t>
      </w:r>
      <w:proofErr w:type="spellEnd"/>
      <w:r w:rsidRPr="009B2B5C">
        <w:t xml:space="preserve">. </w:t>
      </w:r>
      <w:r w:rsidRPr="009B2B5C">
        <w:rPr>
          <w:i/>
          <w:lang w:val="fr-FR"/>
        </w:rPr>
        <w:t xml:space="preserve">Au-delà de l’image : Une archéologie du visuel au Moyen </w:t>
      </w:r>
      <w:r w:rsidRPr="009B2B5C">
        <w:rPr>
          <w:i/>
        </w:rPr>
        <w:t>Âge, V</w:t>
      </w:r>
      <w:r w:rsidRPr="009B2B5C">
        <w:rPr>
          <w:i/>
          <w:vertAlign w:val="superscript"/>
        </w:rPr>
        <w:t>e</w:t>
      </w:r>
      <w:r w:rsidRPr="009B2B5C">
        <w:rPr>
          <w:i/>
        </w:rPr>
        <w:t>-XVI</w:t>
      </w:r>
      <w:r w:rsidRPr="009B2B5C">
        <w:rPr>
          <w:i/>
          <w:vertAlign w:val="superscript"/>
        </w:rPr>
        <w:t>e</w:t>
      </w:r>
      <w:r w:rsidRPr="009B2B5C">
        <w:rPr>
          <w:i/>
        </w:rPr>
        <w:t xml:space="preserve"> siècle</w:t>
      </w:r>
      <w:r w:rsidRPr="009B2B5C">
        <w:t>. Paris, Seuil, 2008. p.64.</w:t>
      </w:r>
    </w:p>
  </w:footnote>
  <w:footnote w:id="5">
    <w:p w:rsidR="00D24332" w:rsidRPr="009B2B5C" w:rsidRDefault="00D24332" w:rsidP="00162703">
      <w:pPr>
        <w:pStyle w:val="Notedebasdepage"/>
        <w:jc w:val="both"/>
      </w:pPr>
      <w:r w:rsidRPr="009B2B5C">
        <w:rPr>
          <w:rStyle w:val="Appelnotedebasdep"/>
        </w:rPr>
        <w:footnoteRef/>
      </w:r>
      <w:r w:rsidRPr="009B2B5C">
        <w:t xml:space="preserve"> Jean-Claude Schmitt. </w:t>
      </w:r>
      <w:r w:rsidRPr="009B2B5C">
        <w:rPr>
          <w:i/>
        </w:rPr>
        <w:t>Le corps des images : Essais sur la culture visuelle au Moyen Âge</w:t>
      </w:r>
      <w:r w:rsidRPr="009B2B5C">
        <w:t>. Paris, Gallimard, 2002. p.131.</w:t>
      </w:r>
    </w:p>
  </w:footnote>
  <w:footnote w:id="6">
    <w:p w:rsidR="00D24332" w:rsidRPr="009B2B5C" w:rsidRDefault="00D24332" w:rsidP="00162703">
      <w:pPr>
        <w:pStyle w:val="Notedebasdepage"/>
        <w:jc w:val="both"/>
      </w:pPr>
      <w:r w:rsidRPr="009B2B5C">
        <w:rPr>
          <w:rStyle w:val="Appelnotedebasdep"/>
        </w:rPr>
        <w:footnoteRef/>
      </w:r>
      <w:r w:rsidRPr="009B2B5C">
        <w:t xml:space="preserve"> Olivier </w:t>
      </w:r>
      <w:proofErr w:type="spellStart"/>
      <w:r w:rsidRPr="009B2B5C">
        <w:t>Boulnois</w:t>
      </w:r>
      <w:proofErr w:type="spellEnd"/>
      <w:r w:rsidRPr="009B2B5C">
        <w:t xml:space="preserve">. </w:t>
      </w:r>
      <w:r w:rsidRPr="009B2B5C">
        <w:rPr>
          <w:i/>
          <w:lang w:val="fr-FR"/>
        </w:rPr>
        <w:t xml:space="preserve">Au-delà de l’image, Une archéologie du visuel au Moyen </w:t>
      </w:r>
      <w:r w:rsidRPr="009B2B5C">
        <w:rPr>
          <w:i/>
        </w:rPr>
        <w:t>Âge, V</w:t>
      </w:r>
      <w:r w:rsidRPr="009B2B5C">
        <w:rPr>
          <w:i/>
          <w:vertAlign w:val="superscript"/>
        </w:rPr>
        <w:t>e</w:t>
      </w:r>
      <w:r w:rsidRPr="009B2B5C">
        <w:rPr>
          <w:i/>
        </w:rPr>
        <w:t>-XVI</w:t>
      </w:r>
      <w:r w:rsidRPr="009B2B5C">
        <w:rPr>
          <w:i/>
          <w:vertAlign w:val="superscript"/>
        </w:rPr>
        <w:t>e</w:t>
      </w:r>
      <w:r w:rsidRPr="009B2B5C">
        <w:rPr>
          <w:i/>
        </w:rPr>
        <w:t xml:space="preserve"> siècle</w:t>
      </w:r>
      <w:r w:rsidRPr="009B2B5C">
        <w:t>. Paris, Seuil, 2008. p.90.</w:t>
      </w:r>
    </w:p>
  </w:footnote>
  <w:footnote w:id="7">
    <w:p w:rsidR="00D24332" w:rsidRPr="009B2B5C" w:rsidRDefault="00D24332" w:rsidP="00162703">
      <w:pPr>
        <w:pStyle w:val="Notedebasdepage"/>
        <w:jc w:val="both"/>
      </w:pPr>
      <w:r w:rsidRPr="009B2B5C">
        <w:rPr>
          <w:rStyle w:val="Appelnotedebasdep"/>
        </w:rPr>
        <w:footnoteRef/>
      </w:r>
      <w:r w:rsidRPr="009B2B5C">
        <w:t xml:space="preserve"> Jean </w:t>
      </w:r>
      <w:proofErr w:type="spellStart"/>
      <w:r w:rsidRPr="009B2B5C">
        <w:t>Wirth</w:t>
      </w:r>
      <w:proofErr w:type="spellEnd"/>
      <w:r w:rsidRPr="009B2B5C">
        <w:t xml:space="preserve">. </w:t>
      </w:r>
      <w:r w:rsidRPr="009B2B5C">
        <w:rPr>
          <w:i/>
        </w:rPr>
        <w:t>L’image médiévale : naissance et développements, VI</w:t>
      </w:r>
      <w:r w:rsidRPr="009B2B5C">
        <w:rPr>
          <w:i/>
          <w:vertAlign w:val="superscript"/>
        </w:rPr>
        <w:t>e</w:t>
      </w:r>
      <w:r w:rsidRPr="009B2B5C">
        <w:rPr>
          <w:i/>
        </w:rPr>
        <w:t>-XV</w:t>
      </w:r>
      <w:r w:rsidRPr="009B2B5C">
        <w:rPr>
          <w:i/>
          <w:vertAlign w:val="superscript"/>
        </w:rPr>
        <w:t>e</w:t>
      </w:r>
      <w:r w:rsidRPr="009B2B5C">
        <w:rPr>
          <w:i/>
        </w:rPr>
        <w:t xml:space="preserve"> siècle</w:t>
      </w:r>
      <w:r w:rsidRPr="009B2B5C">
        <w:t xml:space="preserve">. Paris, Méridiens </w:t>
      </w:r>
      <w:proofErr w:type="spellStart"/>
      <w:r w:rsidRPr="009B2B5C">
        <w:t>Klincksieck</w:t>
      </w:r>
      <w:proofErr w:type="spellEnd"/>
      <w:r w:rsidRPr="009B2B5C">
        <w:t>, 1989. p.344.</w:t>
      </w:r>
    </w:p>
  </w:footnote>
  <w:footnote w:id="8">
    <w:p w:rsidR="00D24332" w:rsidRPr="009B2B5C" w:rsidRDefault="00D24332" w:rsidP="00162703">
      <w:pPr>
        <w:pStyle w:val="Notedebasdepage"/>
        <w:jc w:val="both"/>
      </w:pPr>
      <w:r w:rsidRPr="009B2B5C">
        <w:rPr>
          <w:rStyle w:val="Appelnotedebasdep"/>
        </w:rPr>
        <w:footnoteRef/>
      </w:r>
      <w:r w:rsidRPr="009B2B5C">
        <w:t xml:space="preserve"> Olivier </w:t>
      </w:r>
      <w:proofErr w:type="spellStart"/>
      <w:r w:rsidRPr="009B2B5C">
        <w:t>Boulnois</w:t>
      </w:r>
      <w:proofErr w:type="spellEnd"/>
      <w:r w:rsidRPr="009B2B5C">
        <w:t xml:space="preserve">. </w:t>
      </w:r>
      <w:r w:rsidRPr="009B2B5C">
        <w:rPr>
          <w:i/>
          <w:lang w:val="fr-FR"/>
        </w:rPr>
        <w:t xml:space="preserve">Au-delà de l’image, Une archéologie du visuel au Moyen </w:t>
      </w:r>
      <w:r w:rsidRPr="009B2B5C">
        <w:rPr>
          <w:i/>
        </w:rPr>
        <w:t>Âge, V</w:t>
      </w:r>
      <w:r w:rsidRPr="009B2B5C">
        <w:rPr>
          <w:i/>
          <w:vertAlign w:val="superscript"/>
        </w:rPr>
        <w:t>e</w:t>
      </w:r>
      <w:r w:rsidRPr="009B2B5C">
        <w:rPr>
          <w:i/>
        </w:rPr>
        <w:t>-XVI</w:t>
      </w:r>
      <w:r w:rsidRPr="009B2B5C">
        <w:rPr>
          <w:i/>
          <w:vertAlign w:val="superscript"/>
        </w:rPr>
        <w:t>e</w:t>
      </w:r>
      <w:r w:rsidRPr="009B2B5C">
        <w:rPr>
          <w:i/>
        </w:rPr>
        <w:t xml:space="preserve"> siècle</w:t>
      </w:r>
      <w:r w:rsidRPr="009B2B5C">
        <w:t>. Paris, Seuil, 2008. p.237.</w:t>
      </w:r>
    </w:p>
  </w:footnote>
  <w:footnote w:id="9">
    <w:p w:rsidR="00D24332" w:rsidRPr="009B2B5C" w:rsidRDefault="00D24332" w:rsidP="00162703">
      <w:pPr>
        <w:pStyle w:val="Notedebasdepage"/>
        <w:jc w:val="both"/>
      </w:pPr>
      <w:r w:rsidRPr="009B2B5C">
        <w:rPr>
          <w:rStyle w:val="Appelnotedebasdep"/>
        </w:rPr>
        <w:footnoteRef/>
      </w:r>
      <w:r w:rsidRPr="009B2B5C">
        <w:t xml:space="preserve"> Olivier </w:t>
      </w:r>
      <w:proofErr w:type="spellStart"/>
      <w:r w:rsidRPr="009B2B5C">
        <w:t>Boulnois</w:t>
      </w:r>
      <w:proofErr w:type="spellEnd"/>
      <w:r w:rsidRPr="009B2B5C">
        <w:t xml:space="preserve">. </w:t>
      </w:r>
      <w:r w:rsidRPr="009B2B5C">
        <w:rPr>
          <w:i/>
          <w:lang w:val="fr-FR"/>
        </w:rPr>
        <w:t xml:space="preserve">Au-delà de l’image, Une archéologie du visuel au Moyen </w:t>
      </w:r>
      <w:r w:rsidRPr="009B2B5C">
        <w:rPr>
          <w:i/>
        </w:rPr>
        <w:t>Âge, V</w:t>
      </w:r>
      <w:r w:rsidRPr="009B2B5C">
        <w:rPr>
          <w:i/>
          <w:vertAlign w:val="superscript"/>
        </w:rPr>
        <w:t>e</w:t>
      </w:r>
      <w:r w:rsidRPr="009B2B5C">
        <w:rPr>
          <w:i/>
        </w:rPr>
        <w:t>-XVI</w:t>
      </w:r>
      <w:r w:rsidRPr="009B2B5C">
        <w:rPr>
          <w:i/>
          <w:vertAlign w:val="superscript"/>
        </w:rPr>
        <w:t>e</w:t>
      </w:r>
      <w:r w:rsidRPr="009B2B5C">
        <w:rPr>
          <w:i/>
        </w:rPr>
        <w:t xml:space="preserve"> siècle</w:t>
      </w:r>
      <w:r w:rsidRPr="009B2B5C">
        <w:t>. Paris, Seuil, 2008. p 267.</w:t>
      </w:r>
    </w:p>
  </w:footnote>
  <w:footnote w:id="10">
    <w:p w:rsidR="00D24332" w:rsidRPr="009B2B5C" w:rsidRDefault="00D24332" w:rsidP="00162703">
      <w:pPr>
        <w:pStyle w:val="Notedebasdepage"/>
        <w:jc w:val="both"/>
        <w:rPr>
          <w:lang w:val="en-CA"/>
        </w:rPr>
      </w:pPr>
      <w:r w:rsidRPr="009B2B5C">
        <w:rPr>
          <w:rStyle w:val="Appelnotedebasdep"/>
        </w:rPr>
        <w:footnoteRef/>
      </w:r>
      <w:r w:rsidRPr="009B2B5C">
        <w:t xml:space="preserve"> Jean-Claude Schmitt. </w:t>
      </w:r>
      <w:r w:rsidRPr="009B2B5C">
        <w:rPr>
          <w:i/>
        </w:rPr>
        <w:t>Le corps des images : Essais sur la culture visuelle au Moyen Âge</w:t>
      </w:r>
      <w:r w:rsidRPr="009B2B5C">
        <w:t xml:space="preserve">. </w:t>
      </w:r>
      <w:r w:rsidRPr="009B2B5C">
        <w:rPr>
          <w:lang w:val="en-CA"/>
        </w:rPr>
        <w:t xml:space="preserve">Paris, </w:t>
      </w:r>
      <w:proofErr w:type="spellStart"/>
      <w:r w:rsidRPr="009B2B5C">
        <w:rPr>
          <w:lang w:val="en-CA"/>
        </w:rPr>
        <w:t>Gallimard</w:t>
      </w:r>
      <w:proofErr w:type="spellEnd"/>
      <w:r w:rsidRPr="009B2B5C">
        <w:rPr>
          <w:lang w:val="en-CA"/>
        </w:rPr>
        <w:t xml:space="preserve">, 2002. </w:t>
      </w:r>
      <w:proofErr w:type="gramStart"/>
      <w:r w:rsidRPr="009B2B5C">
        <w:rPr>
          <w:lang w:val="en-CA"/>
        </w:rPr>
        <w:t>p.79-80</w:t>
      </w:r>
      <w:proofErr w:type="gramEnd"/>
      <w:r w:rsidRPr="009B2B5C">
        <w:rPr>
          <w:lang w:val="en-CA"/>
        </w:rPr>
        <w:t>.</w:t>
      </w:r>
    </w:p>
  </w:footnote>
  <w:footnote w:id="11">
    <w:p w:rsidR="00D24332" w:rsidRPr="009B2B5C" w:rsidRDefault="00D24332" w:rsidP="00162703">
      <w:pPr>
        <w:pStyle w:val="Notedebasdepage"/>
        <w:jc w:val="both"/>
        <w:rPr>
          <w:lang w:val="en-CA"/>
        </w:rPr>
      </w:pPr>
      <w:r w:rsidRPr="009B2B5C">
        <w:rPr>
          <w:rStyle w:val="Appelnotedebasdep"/>
        </w:rPr>
        <w:footnoteRef/>
      </w:r>
      <w:r w:rsidRPr="009B2B5C">
        <w:rPr>
          <w:lang w:val="en-GB"/>
        </w:rPr>
        <w:t xml:space="preserve"> Francis Rapp. </w:t>
      </w:r>
      <w:proofErr w:type="gramStart"/>
      <w:r w:rsidRPr="009B2B5C">
        <w:rPr>
          <w:lang w:val="en-GB"/>
        </w:rPr>
        <w:t xml:space="preserve">« Religious belief and practice » </w:t>
      </w:r>
      <w:proofErr w:type="spellStart"/>
      <w:r w:rsidRPr="009B2B5C">
        <w:rPr>
          <w:lang w:val="en-GB"/>
        </w:rPr>
        <w:t>dans</w:t>
      </w:r>
      <w:proofErr w:type="spellEnd"/>
      <w:r w:rsidRPr="009B2B5C">
        <w:rPr>
          <w:lang w:val="en-GB"/>
        </w:rPr>
        <w:t xml:space="preserve"> Christopher </w:t>
      </w:r>
      <w:proofErr w:type="spellStart"/>
      <w:r w:rsidRPr="009B2B5C">
        <w:rPr>
          <w:lang w:val="en-GB"/>
        </w:rPr>
        <w:t>Allmand</w:t>
      </w:r>
      <w:proofErr w:type="spellEnd"/>
      <w:r w:rsidRPr="009B2B5C">
        <w:rPr>
          <w:lang w:val="en-GB"/>
        </w:rPr>
        <w:t xml:space="preserve"> (</w:t>
      </w:r>
      <w:proofErr w:type="spellStart"/>
      <w:r w:rsidRPr="009B2B5C">
        <w:rPr>
          <w:lang w:val="en-GB"/>
        </w:rPr>
        <w:t>éd</w:t>
      </w:r>
      <w:proofErr w:type="spellEnd"/>
      <w:r w:rsidRPr="009B2B5C">
        <w:rPr>
          <w:lang w:val="en-GB"/>
        </w:rPr>
        <w:t>.).</w:t>
      </w:r>
      <w:proofErr w:type="gramEnd"/>
      <w:r w:rsidRPr="009B2B5C">
        <w:rPr>
          <w:lang w:val="en-GB"/>
        </w:rPr>
        <w:t xml:space="preserve"> </w:t>
      </w:r>
      <w:r w:rsidRPr="009B2B5C">
        <w:rPr>
          <w:i/>
          <w:lang w:val="en-GB"/>
        </w:rPr>
        <w:t xml:space="preserve">The New Cambridge Medieval History, vol. VII, 1415-1500. </w:t>
      </w:r>
      <w:r w:rsidRPr="009B2B5C">
        <w:rPr>
          <w:lang w:val="en-GB"/>
        </w:rPr>
        <w:t xml:space="preserve">Cambridge, Cambridge University Press, 1998. </w:t>
      </w:r>
      <w:proofErr w:type="gramStart"/>
      <w:r w:rsidRPr="009B2B5C">
        <w:rPr>
          <w:lang w:val="en-GB"/>
        </w:rPr>
        <w:t>p.205.</w:t>
      </w:r>
      <w:proofErr w:type="gramEnd"/>
    </w:p>
  </w:footnote>
  <w:footnote w:id="12">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sidRPr="009B2B5C">
        <w:rPr>
          <w:i/>
          <w:lang w:val="en-CA"/>
        </w:rPr>
        <w:t>Ibid.</w:t>
      </w:r>
      <w:r w:rsidRPr="009B2B5C">
        <w:rPr>
          <w:lang w:val="en-CA"/>
        </w:rPr>
        <w:t>, p.209</w:t>
      </w:r>
    </w:p>
  </w:footnote>
  <w:footnote w:id="13">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sidRPr="009B2B5C">
        <w:rPr>
          <w:lang w:val="en-GB"/>
        </w:rPr>
        <w:t xml:space="preserve">Francis Rapp. </w:t>
      </w:r>
      <w:proofErr w:type="gramStart"/>
      <w:r w:rsidRPr="009B2B5C">
        <w:rPr>
          <w:lang w:val="en-GB"/>
        </w:rPr>
        <w:t xml:space="preserve">« Religious belief and practice » </w:t>
      </w:r>
      <w:proofErr w:type="spellStart"/>
      <w:r w:rsidRPr="009B2B5C">
        <w:rPr>
          <w:lang w:val="en-GB"/>
        </w:rPr>
        <w:t>dans</w:t>
      </w:r>
      <w:proofErr w:type="spellEnd"/>
      <w:r w:rsidRPr="009B2B5C">
        <w:rPr>
          <w:lang w:val="en-GB"/>
        </w:rPr>
        <w:t xml:space="preserve"> Christopher </w:t>
      </w:r>
      <w:proofErr w:type="spellStart"/>
      <w:r w:rsidRPr="009B2B5C">
        <w:rPr>
          <w:lang w:val="en-GB"/>
        </w:rPr>
        <w:t>Allmand</w:t>
      </w:r>
      <w:proofErr w:type="spellEnd"/>
      <w:r w:rsidRPr="009B2B5C">
        <w:rPr>
          <w:lang w:val="en-GB"/>
        </w:rPr>
        <w:t xml:space="preserve"> (</w:t>
      </w:r>
      <w:proofErr w:type="spellStart"/>
      <w:r w:rsidRPr="009B2B5C">
        <w:rPr>
          <w:lang w:val="en-GB"/>
        </w:rPr>
        <w:t>éd</w:t>
      </w:r>
      <w:proofErr w:type="spellEnd"/>
      <w:r w:rsidRPr="009B2B5C">
        <w:rPr>
          <w:lang w:val="en-GB"/>
        </w:rPr>
        <w:t>.).</w:t>
      </w:r>
      <w:proofErr w:type="gramEnd"/>
      <w:r w:rsidRPr="009B2B5C">
        <w:rPr>
          <w:lang w:val="en-GB"/>
        </w:rPr>
        <w:t xml:space="preserve"> </w:t>
      </w:r>
      <w:r w:rsidRPr="009B2B5C">
        <w:rPr>
          <w:i/>
          <w:lang w:val="en-GB"/>
        </w:rPr>
        <w:t xml:space="preserve">The New Cambridge Medieval History, vol. VII, 1415-1500. </w:t>
      </w:r>
      <w:r w:rsidRPr="009B2B5C">
        <w:rPr>
          <w:lang w:val="en-GB"/>
        </w:rPr>
        <w:t xml:space="preserve">Cambridge, Cambridge University Press, 1998. </w:t>
      </w:r>
      <w:proofErr w:type="gramStart"/>
      <w:r w:rsidRPr="009B2B5C">
        <w:rPr>
          <w:lang w:val="en-GB"/>
        </w:rPr>
        <w:t>p.209-210</w:t>
      </w:r>
      <w:proofErr w:type="gramEnd"/>
      <w:r w:rsidRPr="009B2B5C">
        <w:rPr>
          <w:lang w:val="en-GB"/>
        </w:rPr>
        <w:t>.</w:t>
      </w:r>
    </w:p>
  </w:footnote>
  <w:footnote w:id="14">
    <w:p w:rsidR="00D24332" w:rsidRPr="009B2B5C" w:rsidRDefault="00D24332" w:rsidP="00162703">
      <w:pPr>
        <w:pStyle w:val="Notedebasdepage"/>
        <w:jc w:val="both"/>
      </w:pPr>
      <w:r w:rsidRPr="009B2B5C">
        <w:rPr>
          <w:rStyle w:val="Appelnotedebasdep"/>
        </w:rPr>
        <w:footnoteRef/>
      </w:r>
      <w:r w:rsidRPr="009B2B5C">
        <w:rPr>
          <w:lang w:val="en-CA"/>
        </w:rPr>
        <w:t xml:space="preserve"> </w:t>
      </w:r>
      <w:proofErr w:type="spellStart"/>
      <w:r w:rsidRPr="009B2B5C">
        <w:rPr>
          <w:lang w:val="en-CA"/>
        </w:rPr>
        <w:t>Eamon</w:t>
      </w:r>
      <w:proofErr w:type="spellEnd"/>
      <w:r w:rsidRPr="009B2B5C">
        <w:rPr>
          <w:lang w:val="en-CA"/>
        </w:rPr>
        <w:t xml:space="preserve"> Duffy. « Elite and Popular Religion, </w:t>
      </w:r>
      <w:proofErr w:type="gramStart"/>
      <w:r w:rsidRPr="009B2B5C">
        <w:rPr>
          <w:lang w:val="en-CA"/>
        </w:rPr>
        <w:t>The</w:t>
      </w:r>
      <w:proofErr w:type="gramEnd"/>
      <w:r w:rsidRPr="009B2B5C">
        <w:rPr>
          <w:lang w:val="en-CA"/>
        </w:rPr>
        <w:t xml:space="preserve"> Book of Hours and Lay Piety in the Later Middle Ages ». </w:t>
      </w:r>
      <w:proofErr w:type="spellStart"/>
      <w:r w:rsidRPr="009B2B5C">
        <w:rPr>
          <w:i/>
        </w:rPr>
        <w:t>Studies</w:t>
      </w:r>
      <w:proofErr w:type="spellEnd"/>
      <w:r w:rsidRPr="009B2B5C">
        <w:rPr>
          <w:i/>
        </w:rPr>
        <w:t xml:space="preserve"> in Church </w:t>
      </w:r>
      <w:proofErr w:type="spellStart"/>
      <w:r w:rsidRPr="009B2B5C">
        <w:rPr>
          <w:i/>
        </w:rPr>
        <w:t>History</w:t>
      </w:r>
      <w:proofErr w:type="spellEnd"/>
      <w:r w:rsidRPr="009B2B5C">
        <w:t>. 42 (2006). p.152.</w:t>
      </w:r>
    </w:p>
  </w:footnote>
  <w:footnote w:id="15">
    <w:p w:rsidR="00D24332" w:rsidRPr="009B2B5C" w:rsidRDefault="00D24332" w:rsidP="00162703">
      <w:pPr>
        <w:pStyle w:val="Notedebasdepage"/>
        <w:jc w:val="both"/>
        <w:rPr>
          <w:lang w:val="en-CA"/>
        </w:rPr>
      </w:pPr>
      <w:r w:rsidRPr="009B2B5C">
        <w:rPr>
          <w:rStyle w:val="Appelnotedebasdep"/>
        </w:rPr>
        <w:footnoteRef/>
      </w:r>
      <w:r w:rsidRPr="009B2B5C">
        <w:t xml:space="preserve"> Olivier </w:t>
      </w:r>
      <w:proofErr w:type="spellStart"/>
      <w:r w:rsidRPr="009B2B5C">
        <w:t>Boulnois</w:t>
      </w:r>
      <w:proofErr w:type="spellEnd"/>
      <w:r w:rsidRPr="009B2B5C">
        <w:t xml:space="preserve">. </w:t>
      </w:r>
      <w:r w:rsidRPr="009B2B5C">
        <w:rPr>
          <w:i/>
          <w:lang w:val="fr-FR"/>
        </w:rPr>
        <w:t xml:space="preserve">Au-delà de l’image, Une archéologie du visuel au Moyen </w:t>
      </w:r>
      <w:r w:rsidRPr="009B2B5C">
        <w:rPr>
          <w:i/>
        </w:rPr>
        <w:t>Âge, V</w:t>
      </w:r>
      <w:r w:rsidRPr="009B2B5C">
        <w:rPr>
          <w:i/>
          <w:vertAlign w:val="superscript"/>
        </w:rPr>
        <w:t>e</w:t>
      </w:r>
      <w:r w:rsidRPr="009B2B5C">
        <w:rPr>
          <w:i/>
        </w:rPr>
        <w:t>-XVI</w:t>
      </w:r>
      <w:r w:rsidRPr="009B2B5C">
        <w:rPr>
          <w:i/>
          <w:vertAlign w:val="superscript"/>
        </w:rPr>
        <w:t>e</w:t>
      </w:r>
      <w:r w:rsidRPr="009B2B5C">
        <w:rPr>
          <w:i/>
        </w:rPr>
        <w:t xml:space="preserve"> siècle</w:t>
      </w:r>
      <w:r w:rsidRPr="009B2B5C">
        <w:t xml:space="preserve">. </w:t>
      </w:r>
      <w:r w:rsidRPr="009B2B5C">
        <w:rPr>
          <w:lang w:val="en-CA"/>
        </w:rPr>
        <w:t xml:space="preserve">Paris, </w:t>
      </w:r>
      <w:proofErr w:type="spellStart"/>
      <w:r w:rsidRPr="009B2B5C">
        <w:rPr>
          <w:lang w:val="en-CA"/>
        </w:rPr>
        <w:t>Seuil</w:t>
      </w:r>
      <w:proofErr w:type="spellEnd"/>
      <w:r w:rsidRPr="009B2B5C">
        <w:rPr>
          <w:lang w:val="en-CA"/>
        </w:rPr>
        <w:t xml:space="preserve">, 2008. </w:t>
      </w:r>
      <w:proofErr w:type="gramStart"/>
      <w:r w:rsidRPr="009B2B5C">
        <w:rPr>
          <w:lang w:val="en-CA"/>
        </w:rPr>
        <w:t>p.387.</w:t>
      </w:r>
      <w:proofErr w:type="gramEnd"/>
    </w:p>
  </w:footnote>
  <w:footnote w:id="16">
    <w:p w:rsidR="00D24332" w:rsidRPr="009B2B5C" w:rsidRDefault="00D24332" w:rsidP="00162703">
      <w:pPr>
        <w:pStyle w:val="Notedebasdepage"/>
        <w:jc w:val="both"/>
      </w:pPr>
      <w:r w:rsidRPr="009B2B5C">
        <w:rPr>
          <w:rStyle w:val="Appelnotedebasdep"/>
        </w:rPr>
        <w:footnoteRef/>
      </w:r>
      <w:r w:rsidRPr="009B2B5C">
        <w:rPr>
          <w:lang w:val="en-CA"/>
        </w:rPr>
        <w:t xml:space="preserve"> </w:t>
      </w:r>
      <w:r w:rsidRPr="009B2B5C">
        <w:rPr>
          <w:lang w:val="en-GB"/>
        </w:rPr>
        <w:t xml:space="preserve">Francis Rapp. </w:t>
      </w:r>
      <w:proofErr w:type="gramStart"/>
      <w:r w:rsidRPr="009B2B5C">
        <w:rPr>
          <w:lang w:val="en-GB"/>
        </w:rPr>
        <w:t xml:space="preserve">« Religious belief and practice », </w:t>
      </w:r>
      <w:proofErr w:type="spellStart"/>
      <w:r w:rsidRPr="009B2B5C">
        <w:rPr>
          <w:lang w:val="en-GB"/>
        </w:rPr>
        <w:t>dans</w:t>
      </w:r>
      <w:proofErr w:type="spellEnd"/>
      <w:r w:rsidRPr="009B2B5C">
        <w:rPr>
          <w:lang w:val="en-GB"/>
        </w:rPr>
        <w:t xml:space="preserve"> Christopher </w:t>
      </w:r>
      <w:proofErr w:type="spellStart"/>
      <w:r w:rsidRPr="009B2B5C">
        <w:rPr>
          <w:lang w:val="en-GB"/>
        </w:rPr>
        <w:t>Allmand</w:t>
      </w:r>
      <w:proofErr w:type="spellEnd"/>
      <w:r w:rsidRPr="009B2B5C">
        <w:rPr>
          <w:lang w:val="en-GB"/>
        </w:rPr>
        <w:t xml:space="preserve"> (</w:t>
      </w:r>
      <w:proofErr w:type="spellStart"/>
      <w:r w:rsidRPr="009B2B5C">
        <w:rPr>
          <w:lang w:val="en-GB"/>
        </w:rPr>
        <w:t>éd</w:t>
      </w:r>
      <w:proofErr w:type="spellEnd"/>
      <w:r w:rsidRPr="009B2B5C">
        <w:rPr>
          <w:lang w:val="en-GB"/>
        </w:rPr>
        <w:t>.).</w:t>
      </w:r>
      <w:proofErr w:type="gramEnd"/>
      <w:r w:rsidRPr="009B2B5C">
        <w:rPr>
          <w:lang w:val="en-GB"/>
        </w:rPr>
        <w:t xml:space="preserve"> </w:t>
      </w:r>
      <w:r w:rsidRPr="009B2B5C">
        <w:rPr>
          <w:i/>
          <w:lang w:val="en-GB"/>
        </w:rPr>
        <w:t xml:space="preserve">The New Cambridge Medieval History, vol. </w:t>
      </w:r>
      <w:r w:rsidRPr="009B2B5C">
        <w:rPr>
          <w:i/>
        </w:rPr>
        <w:t>VII, 1415-1500</w:t>
      </w:r>
      <w:r w:rsidRPr="009B2B5C">
        <w:t xml:space="preserve">. Cambridge, Cambridge </w:t>
      </w:r>
      <w:proofErr w:type="spellStart"/>
      <w:r w:rsidRPr="009B2B5C">
        <w:t>University</w:t>
      </w:r>
      <w:proofErr w:type="spellEnd"/>
      <w:r w:rsidRPr="009B2B5C">
        <w:t xml:space="preserve"> </w:t>
      </w:r>
      <w:proofErr w:type="spellStart"/>
      <w:r w:rsidRPr="009B2B5C">
        <w:t>Press</w:t>
      </w:r>
      <w:proofErr w:type="spellEnd"/>
      <w:r w:rsidRPr="009B2B5C">
        <w:t>, 1998. p.216.</w:t>
      </w:r>
    </w:p>
  </w:footnote>
  <w:footnote w:id="17">
    <w:p w:rsidR="00D24332" w:rsidRPr="009B2B5C" w:rsidRDefault="00D24332" w:rsidP="00162703">
      <w:pPr>
        <w:pStyle w:val="Notedebasdepage"/>
        <w:jc w:val="both"/>
      </w:pPr>
      <w:r w:rsidRPr="009B2B5C">
        <w:rPr>
          <w:rStyle w:val="Appelnotedebasdep"/>
        </w:rPr>
        <w:footnoteRef/>
      </w:r>
      <w:r w:rsidRPr="009B2B5C">
        <w:t xml:space="preserve"> Paul </w:t>
      </w:r>
      <w:proofErr w:type="spellStart"/>
      <w:r w:rsidRPr="009B2B5C">
        <w:t>Saenger</w:t>
      </w:r>
      <w:proofErr w:type="spellEnd"/>
      <w:r w:rsidRPr="009B2B5C">
        <w:t>. « Prier de bouche et prier de cœur. Les livres d’heures du manuscrit à l’imprimé » dans Roger Chartier</w:t>
      </w:r>
      <w:r w:rsidRPr="009B2B5C">
        <w:rPr>
          <w:i/>
        </w:rPr>
        <w:t>. Les usages de l’imprimé</w:t>
      </w:r>
      <w:r w:rsidRPr="009B2B5C">
        <w:t>. Paris, Fayard, 1987. p.212.</w:t>
      </w:r>
    </w:p>
  </w:footnote>
  <w:footnote w:id="18">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p.183.</w:t>
      </w:r>
    </w:p>
  </w:footnote>
  <w:footnote w:id="19">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p.139.</w:t>
      </w:r>
    </w:p>
  </w:footnote>
  <w:footnote w:id="20">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Idem</w:t>
      </w:r>
    </w:p>
  </w:footnote>
  <w:footnote w:id="21">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Idem</w:t>
      </w:r>
    </w:p>
  </w:footnote>
  <w:footnote w:id="22">
    <w:p w:rsidR="00D24332" w:rsidRPr="009B2B5C" w:rsidRDefault="00D24332" w:rsidP="00162703">
      <w:pPr>
        <w:pStyle w:val="Notedebasdepage"/>
        <w:jc w:val="both"/>
        <w:rPr>
          <w:i/>
        </w:rPr>
      </w:pPr>
      <w:r w:rsidRPr="009B2B5C">
        <w:rPr>
          <w:rStyle w:val="Appelnotedebasdep"/>
        </w:rPr>
        <w:footnoteRef/>
      </w:r>
      <w:r w:rsidRPr="009B2B5C">
        <w:t xml:space="preserve"> </w:t>
      </w:r>
      <w:r w:rsidRPr="009B2B5C">
        <w:rPr>
          <w:i/>
        </w:rPr>
        <w:t>Idem</w:t>
      </w:r>
    </w:p>
  </w:footnote>
  <w:footnote w:id="23">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p.140.</w:t>
      </w:r>
    </w:p>
  </w:footnote>
  <w:footnote w:id="24">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p.142.</w:t>
      </w:r>
    </w:p>
  </w:footnote>
  <w:footnote w:id="25">
    <w:p w:rsidR="00D24332" w:rsidRPr="009B2B5C" w:rsidRDefault="00D24332" w:rsidP="00162703">
      <w:pPr>
        <w:pStyle w:val="Notedebasdepage"/>
        <w:jc w:val="both"/>
      </w:pPr>
      <w:r w:rsidRPr="009B2B5C">
        <w:rPr>
          <w:rStyle w:val="Appelnotedebasdep"/>
        </w:rPr>
        <w:footnoteRef/>
      </w:r>
      <w:r w:rsidRPr="009B2B5C">
        <w:t xml:space="preserve"> </w:t>
      </w:r>
      <w:r w:rsidRPr="009B2B5C">
        <w:rPr>
          <w:rStyle w:val="apple-style-span"/>
        </w:rPr>
        <w:t xml:space="preserve">Francis Rapp. </w:t>
      </w:r>
      <w:r w:rsidRPr="009B2B5C">
        <w:rPr>
          <w:rStyle w:val="apple-style-span"/>
          <w:i/>
        </w:rPr>
        <w:t>L’Église et la vie religieuse en Occident à la fin du Moyen Âge</w:t>
      </w:r>
      <w:r w:rsidRPr="009B2B5C">
        <w:rPr>
          <w:rStyle w:val="apple-style-span"/>
        </w:rPr>
        <w:t xml:space="preserve">. </w:t>
      </w:r>
      <w:hyperlink r:id="rId1" w:tooltip="Rechercher sur Paris : Presses universitaires de France, 1999, c1971. " w:history="1">
        <w:r w:rsidRPr="009B2B5C">
          <w:rPr>
            <w:rStyle w:val="Lienhypertexte"/>
            <w:color w:val="auto"/>
            <w:u w:val="none"/>
          </w:rPr>
          <w:t>Paris, Presses universitaires de France, 1999, c1971. p.347.</w:t>
        </w:r>
      </w:hyperlink>
    </w:p>
  </w:footnote>
  <w:footnote w:id="26">
    <w:p w:rsidR="00D24332" w:rsidRPr="009B2B5C" w:rsidRDefault="00D24332" w:rsidP="00162703">
      <w:pPr>
        <w:pStyle w:val="Notedebasdepage"/>
        <w:jc w:val="both"/>
      </w:pPr>
      <w:r w:rsidRPr="009B2B5C">
        <w:rPr>
          <w:rStyle w:val="Appelnotedebasdep"/>
        </w:rPr>
        <w:footnoteRef/>
      </w:r>
      <w:r w:rsidRPr="009B2B5C">
        <w:t xml:space="preserve"> Margaret Aston. </w:t>
      </w:r>
      <w:r w:rsidRPr="009B2B5C">
        <w:rPr>
          <w:i/>
        </w:rPr>
        <w:t xml:space="preserve">Faith and </w:t>
      </w:r>
      <w:proofErr w:type="spellStart"/>
      <w:r w:rsidRPr="009B2B5C">
        <w:rPr>
          <w:i/>
        </w:rPr>
        <w:t>Fire</w:t>
      </w:r>
      <w:proofErr w:type="spellEnd"/>
      <w:r w:rsidRPr="009B2B5C">
        <w:rPr>
          <w:i/>
        </w:rPr>
        <w:t xml:space="preserve"> : </w:t>
      </w:r>
      <w:proofErr w:type="spellStart"/>
      <w:r w:rsidRPr="009B2B5C">
        <w:rPr>
          <w:i/>
        </w:rPr>
        <w:t>Popular</w:t>
      </w:r>
      <w:proofErr w:type="spellEnd"/>
      <w:r w:rsidRPr="009B2B5C">
        <w:rPr>
          <w:i/>
        </w:rPr>
        <w:t xml:space="preserve"> and </w:t>
      </w:r>
      <w:proofErr w:type="spellStart"/>
      <w:r w:rsidRPr="009B2B5C">
        <w:rPr>
          <w:i/>
        </w:rPr>
        <w:t>Unpopular</w:t>
      </w:r>
      <w:proofErr w:type="spellEnd"/>
      <w:r w:rsidRPr="009B2B5C">
        <w:rPr>
          <w:i/>
        </w:rPr>
        <w:t xml:space="preserve"> Religion, 1350-1600</w:t>
      </w:r>
      <w:r w:rsidRPr="009B2B5C">
        <w:t xml:space="preserve">. London, Rio Grande, Ohio, </w:t>
      </w:r>
      <w:proofErr w:type="spellStart"/>
      <w:r w:rsidRPr="009B2B5C">
        <w:t>Hambledon</w:t>
      </w:r>
      <w:proofErr w:type="spellEnd"/>
      <w:r w:rsidRPr="009B2B5C">
        <w:t xml:space="preserve"> </w:t>
      </w:r>
      <w:proofErr w:type="spellStart"/>
      <w:r w:rsidRPr="009B2B5C">
        <w:t>Press</w:t>
      </w:r>
      <w:proofErr w:type="spellEnd"/>
      <w:r w:rsidRPr="009B2B5C">
        <w:t>, 1993. p.1.</w:t>
      </w:r>
    </w:p>
  </w:footnote>
  <w:footnote w:id="27">
    <w:p w:rsidR="00D24332" w:rsidRPr="009B2B5C" w:rsidRDefault="00D24332" w:rsidP="00162703">
      <w:pPr>
        <w:pStyle w:val="Notedebasdepage"/>
        <w:jc w:val="both"/>
      </w:pPr>
      <w:r w:rsidRPr="009B2B5C">
        <w:rPr>
          <w:rStyle w:val="Appelnotedebasdep"/>
        </w:rPr>
        <w:footnoteRef/>
      </w:r>
      <w:r w:rsidRPr="009B2B5C">
        <w:rPr>
          <w:rStyle w:val="apple-style-span"/>
        </w:rPr>
        <w:t xml:space="preserve">André Vauchez. </w:t>
      </w:r>
      <w:r w:rsidRPr="009B2B5C">
        <w:rPr>
          <w:rStyle w:val="apple-style-span"/>
          <w:i/>
        </w:rPr>
        <w:t>Les laïcs au Moyen Âge : pratiques et expériences religieuses</w:t>
      </w:r>
      <w:r w:rsidRPr="009B2B5C">
        <w:rPr>
          <w:rStyle w:val="apple-style-span"/>
        </w:rPr>
        <w:t xml:space="preserve">. </w:t>
      </w:r>
      <w:hyperlink r:id="rId2" w:tooltip="Rechercher sur Paris : Editions du Cerf, 1987. " w:history="1">
        <w:r w:rsidRPr="009B2B5C">
          <w:rPr>
            <w:rFonts w:eastAsia="Times New Roman"/>
            <w:lang w:eastAsia="fr-CA"/>
          </w:rPr>
          <w:t>Paris, Éditions du Cerf, 1987</w:t>
        </w:r>
      </w:hyperlink>
      <w:r w:rsidRPr="009B2B5C">
        <w:rPr>
          <w:rFonts w:eastAsia="Times New Roman"/>
          <w:lang w:eastAsia="fr-CA"/>
        </w:rPr>
        <w:t>. p.96.</w:t>
      </w:r>
    </w:p>
  </w:footnote>
  <w:footnote w:id="28">
    <w:p w:rsidR="00D24332" w:rsidRPr="009B2B5C" w:rsidRDefault="00D24332" w:rsidP="00162703">
      <w:pPr>
        <w:spacing w:line="240" w:lineRule="auto"/>
        <w:jc w:val="both"/>
        <w:rPr>
          <w:sz w:val="20"/>
          <w:szCs w:val="20"/>
        </w:rPr>
      </w:pPr>
      <w:r w:rsidRPr="009B2B5C">
        <w:rPr>
          <w:rStyle w:val="Appelnotedebasdep"/>
          <w:sz w:val="20"/>
          <w:szCs w:val="20"/>
        </w:rPr>
        <w:footnoteRef/>
      </w:r>
      <w:r w:rsidRPr="009B2B5C">
        <w:rPr>
          <w:sz w:val="20"/>
          <w:szCs w:val="20"/>
        </w:rPr>
        <w:t xml:space="preserve"> </w:t>
      </w:r>
      <w:r w:rsidRPr="009B2B5C">
        <w:rPr>
          <w:rStyle w:val="apple-style-span"/>
          <w:sz w:val="20"/>
          <w:szCs w:val="20"/>
        </w:rPr>
        <w:t xml:space="preserve">André Vauchez. « Les laïcs au Moyen-Âge entre ecclésiologie et histoire ». In </w:t>
      </w:r>
      <w:r w:rsidRPr="009B2B5C">
        <w:rPr>
          <w:rStyle w:val="Accentuation"/>
          <w:sz w:val="20"/>
          <w:szCs w:val="20"/>
        </w:rPr>
        <w:t xml:space="preserve">Portail Cairn.info [En ligne]. </w:t>
      </w:r>
      <w:hyperlink r:id="rId3" w:history="1">
        <w:r w:rsidRPr="009B2B5C">
          <w:rPr>
            <w:rStyle w:val="Lienhypertexte"/>
            <w:color w:val="auto"/>
            <w:sz w:val="20"/>
            <w:szCs w:val="20"/>
            <w:u w:val="none"/>
          </w:rPr>
          <w:t>http://www.cairn.info/revue-etudes-2005-1-page-55.htm</w:t>
        </w:r>
      </w:hyperlink>
      <w:r w:rsidRPr="009B2B5C">
        <w:rPr>
          <w:sz w:val="20"/>
          <w:szCs w:val="20"/>
        </w:rPr>
        <w:t xml:space="preserve"> (Page consultée le 12 septembre 2014)</w:t>
      </w:r>
    </w:p>
  </w:footnote>
  <w:footnote w:id="29">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sidRPr="009B2B5C">
        <w:rPr>
          <w:rStyle w:val="apple-style-span"/>
          <w:lang w:val="en-CA"/>
        </w:rPr>
        <w:t xml:space="preserve">Roger S. Wieck. « The Book of Hours » </w:t>
      </w:r>
      <w:proofErr w:type="spellStart"/>
      <w:r w:rsidRPr="009B2B5C">
        <w:rPr>
          <w:rStyle w:val="apple-style-span"/>
          <w:lang w:val="en-CA"/>
        </w:rPr>
        <w:t>dans</w:t>
      </w:r>
      <w:proofErr w:type="spellEnd"/>
      <w:r w:rsidRPr="009B2B5C">
        <w:rPr>
          <w:rStyle w:val="apple-style-span"/>
          <w:lang w:val="en-CA"/>
        </w:rPr>
        <w:t xml:space="preserve"> Thomas J. Heffernan </w:t>
      </w:r>
      <w:proofErr w:type="gramStart"/>
      <w:r w:rsidRPr="009B2B5C">
        <w:rPr>
          <w:rStyle w:val="apple-style-span"/>
          <w:lang w:val="en-CA"/>
        </w:rPr>
        <w:t>et</w:t>
      </w:r>
      <w:proofErr w:type="gramEnd"/>
      <w:r w:rsidRPr="009B2B5C">
        <w:rPr>
          <w:rStyle w:val="apple-style-span"/>
          <w:lang w:val="en-CA"/>
        </w:rPr>
        <w:t xml:space="preserve"> Ann Matter, </w:t>
      </w:r>
      <w:proofErr w:type="spellStart"/>
      <w:r w:rsidRPr="009B2B5C">
        <w:rPr>
          <w:rStyle w:val="apple-style-span"/>
          <w:lang w:val="en-CA"/>
        </w:rPr>
        <w:t>éd</w:t>
      </w:r>
      <w:proofErr w:type="spellEnd"/>
      <w:r w:rsidRPr="009B2B5C">
        <w:rPr>
          <w:rStyle w:val="apple-style-span"/>
          <w:lang w:val="en-CA"/>
        </w:rPr>
        <w:t xml:space="preserve">. </w:t>
      </w:r>
      <w:proofErr w:type="gramStart"/>
      <w:r w:rsidRPr="009B2B5C">
        <w:rPr>
          <w:rStyle w:val="lev"/>
          <w:b w:val="0"/>
          <w:i/>
          <w:lang w:val="en-CA"/>
        </w:rPr>
        <w:t>The Liturgy of the Medieval Church</w:t>
      </w:r>
      <w:r w:rsidRPr="009B2B5C">
        <w:rPr>
          <w:rStyle w:val="lev"/>
          <w:b w:val="0"/>
          <w:lang w:val="en-CA"/>
        </w:rPr>
        <w:t>.</w:t>
      </w:r>
      <w:proofErr w:type="gramEnd"/>
      <w:r w:rsidRPr="009B2B5C">
        <w:rPr>
          <w:rStyle w:val="lev"/>
          <w:b w:val="0"/>
          <w:lang w:val="en-CA"/>
        </w:rPr>
        <w:t xml:space="preserve"> </w:t>
      </w:r>
      <w:proofErr w:type="gramStart"/>
      <w:r w:rsidRPr="009B2B5C">
        <w:rPr>
          <w:rStyle w:val="apple-style-span"/>
          <w:lang w:val="en-CA"/>
        </w:rPr>
        <w:t>Kalamazoo, Medieval Institute Publications</w:t>
      </w:r>
      <w:r w:rsidRPr="009B2B5C">
        <w:rPr>
          <w:lang w:val="en-CA"/>
        </w:rPr>
        <w:t>, 2001.</w:t>
      </w:r>
      <w:proofErr w:type="gramEnd"/>
      <w:r w:rsidRPr="009B2B5C">
        <w:rPr>
          <w:lang w:val="en-CA"/>
        </w:rPr>
        <w:t xml:space="preserve"> </w:t>
      </w:r>
      <w:proofErr w:type="gramStart"/>
      <w:r w:rsidRPr="009B2B5C">
        <w:rPr>
          <w:lang w:val="en-CA"/>
        </w:rPr>
        <w:t>p.473.</w:t>
      </w:r>
      <w:proofErr w:type="gramEnd"/>
    </w:p>
  </w:footnote>
  <w:footnote w:id="30">
    <w:p w:rsidR="00D24332" w:rsidRPr="009B2B5C" w:rsidRDefault="00D24332" w:rsidP="00162703">
      <w:pPr>
        <w:pStyle w:val="Titre1"/>
        <w:shd w:val="clear" w:color="auto" w:fill="FFFFFF"/>
        <w:spacing w:before="0" w:after="315" w:line="240" w:lineRule="auto"/>
        <w:jc w:val="both"/>
        <w:rPr>
          <w:rFonts w:ascii="Times New Roman" w:hAnsi="Times New Roman" w:cs="Times New Roman"/>
          <w:b w:val="0"/>
          <w:color w:val="auto"/>
          <w:sz w:val="20"/>
          <w:szCs w:val="20"/>
          <w:lang w:val="en-CA"/>
        </w:rPr>
      </w:pPr>
      <w:r w:rsidRPr="009B2B5C">
        <w:rPr>
          <w:rStyle w:val="Appelnotedebasdep"/>
          <w:rFonts w:ascii="Times New Roman" w:hAnsi="Times New Roman" w:cs="Times New Roman"/>
          <w:b w:val="0"/>
          <w:color w:val="auto"/>
          <w:sz w:val="20"/>
          <w:szCs w:val="20"/>
        </w:rPr>
        <w:footnoteRef/>
      </w:r>
      <w:r w:rsidRPr="009B2B5C">
        <w:rPr>
          <w:rFonts w:ascii="Times New Roman" w:hAnsi="Times New Roman" w:cs="Times New Roman"/>
          <w:b w:val="0"/>
          <w:color w:val="auto"/>
          <w:sz w:val="20"/>
          <w:szCs w:val="20"/>
        </w:rPr>
        <w:t xml:space="preserve"> Victor </w:t>
      </w:r>
      <w:proofErr w:type="spellStart"/>
      <w:r w:rsidRPr="009B2B5C">
        <w:rPr>
          <w:rFonts w:ascii="Times New Roman" w:hAnsi="Times New Roman" w:cs="Times New Roman"/>
          <w:b w:val="0"/>
          <w:color w:val="auto"/>
          <w:sz w:val="20"/>
          <w:szCs w:val="20"/>
        </w:rPr>
        <w:t>Leroquais</w:t>
      </w:r>
      <w:proofErr w:type="spellEnd"/>
      <w:r w:rsidRPr="009B2B5C">
        <w:rPr>
          <w:rFonts w:ascii="Times New Roman" w:hAnsi="Times New Roman" w:cs="Times New Roman"/>
          <w:b w:val="0"/>
          <w:color w:val="auto"/>
          <w:sz w:val="20"/>
          <w:szCs w:val="20"/>
        </w:rPr>
        <w:t xml:space="preserve">. </w:t>
      </w:r>
      <w:r w:rsidRPr="009B2B5C">
        <w:rPr>
          <w:rStyle w:val="fn"/>
          <w:rFonts w:ascii="Times New Roman" w:hAnsi="Times New Roman" w:cs="Times New Roman"/>
          <w:b w:val="0"/>
          <w:i/>
          <w:color w:val="auto"/>
          <w:sz w:val="20"/>
          <w:szCs w:val="20"/>
        </w:rPr>
        <w:t>Les livres d'heures manuscrits de la Bibliothèque nationale</w:t>
      </w:r>
      <w:r w:rsidRPr="009B2B5C">
        <w:rPr>
          <w:rStyle w:val="fn"/>
          <w:rFonts w:ascii="Times New Roman" w:hAnsi="Times New Roman" w:cs="Times New Roman"/>
          <w:b w:val="0"/>
          <w:color w:val="auto"/>
          <w:sz w:val="20"/>
          <w:szCs w:val="20"/>
        </w:rPr>
        <w:t xml:space="preserve">. </w:t>
      </w:r>
      <w:proofErr w:type="spellStart"/>
      <w:proofErr w:type="gramStart"/>
      <w:r w:rsidRPr="009B2B5C">
        <w:rPr>
          <w:rFonts w:ascii="Times New Roman" w:hAnsi="Times New Roman" w:cs="Times New Roman"/>
          <w:b w:val="0"/>
          <w:color w:val="auto"/>
          <w:sz w:val="20"/>
          <w:szCs w:val="20"/>
          <w:shd w:val="clear" w:color="auto" w:fill="FFFFFF"/>
          <w:lang w:val="en-CA"/>
        </w:rPr>
        <w:t>Maçon</w:t>
      </w:r>
      <w:proofErr w:type="spellEnd"/>
      <w:r w:rsidRPr="009B2B5C">
        <w:rPr>
          <w:rFonts w:ascii="Times New Roman" w:hAnsi="Times New Roman" w:cs="Times New Roman"/>
          <w:b w:val="0"/>
          <w:color w:val="auto"/>
          <w:sz w:val="20"/>
          <w:szCs w:val="20"/>
          <w:shd w:val="clear" w:color="auto" w:fill="FFFFFF"/>
          <w:lang w:val="en-CA"/>
        </w:rPr>
        <w:t xml:space="preserve">, </w:t>
      </w:r>
      <w:proofErr w:type="spellStart"/>
      <w:r w:rsidRPr="009B2B5C">
        <w:rPr>
          <w:rFonts w:ascii="Times New Roman" w:hAnsi="Times New Roman" w:cs="Times New Roman"/>
          <w:b w:val="0"/>
          <w:color w:val="auto"/>
          <w:sz w:val="20"/>
          <w:szCs w:val="20"/>
          <w:shd w:val="clear" w:color="auto" w:fill="FFFFFF"/>
          <w:lang w:val="en-CA"/>
        </w:rPr>
        <w:t>Protat</w:t>
      </w:r>
      <w:proofErr w:type="spellEnd"/>
      <w:r w:rsidRPr="009B2B5C">
        <w:rPr>
          <w:rFonts w:ascii="Times New Roman" w:hAnsi="Times New Roman" w:cs="Times New Roman"/>
          <w:b w:val="0"/>
          <w:color w:val="auto"/>
          <w:sz w:val="20"/>
          <w:szCs w:val="20"/>
          <w:shd w:val="clear" w:color="auto" w:fill="FFFFFF"/>
          <w:lang w:val="en-CA"/>
        </w:rPr>
        <w:t xml:space="preserve"> frères, 1927.</w:t>
      </w:r>
      <w:proofErr w:type="gramEnd"/>
      <w:r w:rsidRPr="009B2B5C">
        <w:rPr>
          <w:rFonts w:ascii="Times New Roman" w:hAnsi="Times New Roman" w:cs="Times New Roman"/>
          <w:b w:val="0"/>
          <w:color w:val="auto"/>
          <w:sz w:val="20"/>
          <w:szCs w:val="20"/>
          <w:shd w:val="clear" w:color="auto" w:fill="FFFFFF"/>
          <w:lang w:val="en-CA"/>
        </w:rPr>
        <w:t xml:space="preserve"> </w:t>
      </w:r>
      <w:proofErr w:type="spellStart"/>
      <w:proofErr w:type="gramStart"/>
      <w:r w:rsidRPr="009B2B5C">
        <w:rPr>
          <w:rFonts w:ascii="Times New Roman" w:hAnsi="Times New Roman" w:cs="Times New Roman"/>
          <w:b w:val="0"/>
          <w:color w:val="auto"/>
          <w:sz w:val="20"/>
          <w:szCs w:val="20"/>
          <w:shd w:val="clear" w:color="auto" w:fill="FFFFFF"/>
          <w:lang w:val="en-CA"/>
        </w:rPr>
        <w:t>p.V</w:t>
      </w:r>
      <w:proofErr w:type="spellEnd"/>
      <w:r w:rsidRPr="009B2B5C">
        <w:rPr>
          <w:rFonts w:ascii="Times New Roman" w:hAnsi="Times New Roman" w:cs="Times New Roman"/>
          <w:b w:val="0"/>
          <w:color w:val="auto"/>
          <w:sz w:val="20"/>
          <w:szCs w:val="20"/>
          <w:shd w:val="clear" w:color="auto" w:fill="FFFFFF"/>
          <w:lang w:val="en-CA"/>
        </w:rPr>
        <w:t>-VI</w:t>
      </w:r>
      <w:proofErr w:type="gramEnd"/>
      <w:r w:rsidRPr="009B2B5C">
        <w:rPr>
          <w:rFonts w:ascii="Times New Roman" w:hAnsi="Times New Roman" w:cs="Times New Roman"/>
          <w:b w:val="0"/>
          <w:color w:val="auto"/>
          <w:sz w:val="20"/>
          <w:szCs w:val="20"/>
          <w:shd w:val="clear" w:color="auto" w:fill="FFFFFF"/>
          <w:lang w:val="en-CA"/>
        </w:rPr>
        <w:t>.</w:t>
      </w:r>
    </w:p>
  </w:footnote>
  <w:footnote w:id="31">
    <w:p w:rsidR="00D24332" w:rsidRPr="009B2B5C" w:rsidRDefault="00D24332" w:rsidP="00162703">
      <w:pPr>
        <w:pStyle w:val="Notedebasdepage"/>
        <w:jc w:val="both"/>
      </w:pPr>
      <w:r w:rsidRPr="009B2B5C">
        <w:rPr>
          <w:rStyle w:val="Appelnotedebasdep"/>
        </w:rPr>
        <w:footnoteRef/>
      </w:r>
      <w:r w:rsidRPr="009B2B5C">
        <w:rPr>
          <w:lang w:val="en-CA"/>
        </w:rPr>
        <w:t xml:space="preserve"> </w:t>
      </w:r>
      <w:proofErr w:type="spellStart"/>
      <w:r w:rsidRPr="009B2B5C">
        <w:rPr>
          <w:rStyle w:val="apple-style-span"/>
          <w:lang w:val="en-CA"/>
        </w:rPr>
        <w:t>Eamon</w:t>
      </w:r>
      <w:proofErr w:type="spellEnd"/>
      <w:r w:rsidRPr="009B2B5C">
        <w:rPr>
          <w:rStyle w:val="apple-style-span"/>
          <w:lang w:val="en-CA"/>
        </w:rPr>
        <w:t xml:space="preserve"> Duffy. « Elite and Popular </w:t>
      </w:r>
      <w:proofErr w:type="gramStart"/>
      <w:r w:rsidRPr="009B2B5C">
        <w:rPr>
          <w:rStyle w:val="apple-style-span"/>
          <w:lang w:val="en-CA"/>
        </w:rPr>
        <w:t>Religion :</w:t>
      </w:r>
      <w:proofErr w:type="gramEnd"/>
      <w:r w:rsidRPr="009B2B5C">
        <w:rPr>
          <w:rStyle w:val="apple-style-span"/>
          <w:lang w:val="en-CA"/>
        </w:rPr>
        <w:t xml:space="preserve"> The Book of Hours and Lay Piety in the Later Middle Ages ». </w:t>
      </w:r>
      <w:r w:rsidR="00424104">
        <w:fldChar w:fldCharType="begin"/>
      </w:r>
      <w:r w:rsidR="00424104" w:rsidRPr="00F23E7C">
        <w:rPr>
          <w:lang w:val="en-CA"/>
        </w:rPr>
        <w:instrText xml:space="preserve"> HYPERLINK "http://apps.brepolis.net/bmb/search.cfm?action=search_simple_result&amp;startrow=1&amp;add_to_search_history=1&amp;log_advancedsearch=1&amp;source=IMB&amp;title_boolean=and&amp;title=%22Studies%20in%20Chur</w:instrText>
      </w:r>
      <w:r w:rsidR="00424104" w:rsidRPr="00F23E7C">
        <w:rPr>
          <w:lang w:val="en-CA"/>
        </w:rPr>
        <w:instrText xml:space="preserve">ch%20History%22" </w:instrText>
      </w:r>
      <w:r w:rsidR="00424104">
        <w:fldChar w:fldCharType="separate"/>
      </w:r>
      <w:proofErr w:type="spellStart"/>
      <w:r w:rsidRPr="009B2B5C">
        <w:rPr>
          <w:rStyle w:val="Lienhypertexte"/>
          <w:i/>
          <w:color w:val="auto"/>
        </w:rPr>
        <w:t>Studies</w:t>
      </w:r>
      <w:proofErr w:type="spellEnd"/>
      <w:r w:rsidRPr="009B2B5C">
        <w:rPr>
          <w:rStyle w:val="Lienhypertexte"/>
          <w:i/>
          <w:color w:val="auto"/>
        </w:rPr>
        <w:t xml:space="preserve"> in Church </w:t>
      </w:r>
      <w:proofErr w:type="spellStart"/>
      <w:r w:rsidRPr="009B2B5C">
        <w:rPr>
          <w:rStyle w:val="Lienhypertexte"/>
          <w:i/>
          <w:color w:val="auto"/>
        </w:rPr>
        <w:t>History</w:t>
      </w:r>
      <w:proofErr w:type="spellEnd"/>
      <w:r w:rsidR="00424104">
        <w:rPr>
          <w:rStyle w:val="Lienhypertexte"/>
          <w:i/>
          <w:color w:val="auto"/>
        </w:rPr>
        <w:fldChar w:fldCharType="end"/>
      </w:r>
      <w:r w:rsidRPr="009B2B5C">
        <w:rPr>
          <w:rStyle w:val="apple-style-span"/>
        </w:rPr>
        <w:t>, 42 (2006), p.144.</w:t>
      </w:r>
    </w:p>
  </w:footnote>
  <w:footnote w:id="32">
    <w:p w:rsidR="00D24332" w:rsidRPr="009B2B5C" w:rsidRDefault="00D24332" w:rsidP="00162703">
      <w:pPr>
        <w:pStyle w:val="Notedebasdepage"/>
        <w:jc w:val="both"/>
      </w:pPr>
      <w:r w:rsidRPr="009B2B5C">
        <w:rPr>
          <w:rStyle w:val="Appelnotedebasdep"/>
        </w:rPr>
        <w:footnoteRef/>
      </w:r>
      <w:r w:rsidRPr="009B2B5C">
        <w:t xml:space="preserve"> </w:t>
      </w:r>
      <w:r w:rsidRPr="009B2B5C">
        <w:rPr>
          <w:rStyle w:val="apple-style-span"/>
        </w:rPr>
        <w:t xml:space="preserve">Albert Châtelet. </w:t>
      </w:r>
      <w:r w:rsidRPr="009B2B5C">
        <w:rPr>
          <w:rStyle w:val="apple-style-span"/>
          <w:i/>
        </w:rPr>
        <w:t>L'âge d'or du manuscrit à peintures en France au temps de Charles VI et les Heures du maréchal Boucicaut</w:t>
      </w:r>
      <w:r w:rsidRPr="009B2B5C">
        <w:rPr>
          <w:rStyle w:val="apple-style-span"/>
        </w:rPr>
        <w:t xml:space="preserve">. Dijon, </w:t>
      </w:r>
      <w:proofErr w:type="spellStart"/>
      <w:r w:rsidRPr="009B2B5C">
        <w:rPr>
          <w:rStyle w:val="apple-style-span"/>
        </w:rPr>
        <w:t>Faton</w:t>
      </w:r>
      <w:proofErr w:type="spellEnd"/>
      <w:r w:rsidRPr="009B2B5C">
        <w:rPr>
          <w:rStyle w:val="apple-style-span"/>
        </w:rPr>
        <w:t>, 2000. p.44.</w:t>
      </w:r>
    </w:p>
  </w:footnote>
  <w:footnote w:id="33">
    <w:p w:rsidR="00D24332" w:rsidRPr="009B2B5C" w:rsidRDefault="00D24332" w:rsidP="00162703">
      <w:pPr>
        <w:pStyle w:val="Notedebasdepage"/>
        <w:jc w:val="both"/>
      </w:pPr>
      <w:r w:rsidRPr="009B2B5C">
        <w:rPr>
          <w:rStyle w:val="Appelnotedebasdep"/>
        </w:rPr>
        <w:footnoteRef/>
      </w:r>
      <w:r w:rsidRPr="009B2B5C">
        <w:rPr>
          <w:rStyle w:val="apple-style-span"/>
        </w:rPr>
        <w:t xml:space="preserve"> André Vauchez. La spiritualité du Moyen Âge occidental, VIII</w:t>
      </w:r>
      <w:r w:rsidRPr="009B2B5C">
        <w:rPr>
          <w:rStyle w:val="apple-style-span"/>
          <w:vertAlign w:val="superscript"/>
        </w:rPr>
        <w:t>e</w:t>
      </w:r>
      <w:r w:rsidRPr="009B2B5C">
        <w:rPr>
          <w:rStyle w:val="apple-style-span"/>
        </w:rPr>
        <w:t>-XIII</w:t>
      </w:r>
      <w:r w:rsidRPr="009B2B5C">
        <w:rPr>
          <w:rStyle w:val="apple-style-span"/>
          <w:vertAlign w:val="superscript"/>
        </w:rPr>
        <w:t>e</w:t>
      </w:r>
      <w:r w:rsidRPr="009B2B5C">
        <w:rPr>
          <w:rStyle w:val="apple-style-span"/>
        </w:rPr>
        <w:t xml:space="preserve"> siècles. Paris, Éditions du Seuil, 1994. p.124.</w:t>
      </w:r>
    </w:p>
  </w:footnote>
  <w:footnote w:id="34">
    <w:p w:rsidR="00D24332" w:rsidRPr="009B2B5C" w:rsidRDefault="00D24332" w:rsidP="00162703">
      <w:pPr>
        <w:pStyle w:val="Notedebasdepage"/>
        <w:jc w:val="both"/>
        <w:rPr>
          <w:lang w:val="en-CA"/>
        </w:rPr>
      </w:pPr>
      <w:r w:rsidRPr="009B2B5C">
        <w:rPr>
          <w:rStyle w:val="Appelnotedebasdep"/>
        </w:rPr>
        <w:footnoteRef/>
      </w:r>
      <w:r w:rsidRPr="005B797F">
        <w:rPr>
          <w:lang w:val="en-CA"/>
        </w:rPr>
        <w:t xml:space="preserve"> </w:t>
      </w:r>
      <w:r w:rsidRPr="005B797F">
        <w:rPr>
          <w:rStyle w:val="apple-style-span"/>
          <w:lang w:val="en-CA"/>
        </w:rPr>
        <w:t xml:space="preserve">Roger S. Wieck. « The Book of Hours » dans Thomas J. Heffernan et Ann Matter, éd. </w:t>
      </w:r>
      <w:r w:rsidRPr="009B2B5C">
        <w:rPr>
          <w:rStyle w:val="lev"/>
          <w:b w:val="0"/>
          <w:i/>
          <w:lang w:val="en-CA"/>
        </w:rPr>
        <w:t>The Liturgy of the Medieval Church</w:t>
      </w:r>
      <w:r w:rsidRPr="009B2B5C">
        <w:rPr>
          <w:rStyle w:val="lev"/>
          <w:b w:val="0"/>
          <w:lang w:val="en-CA"/>
        </w:rPr>
        <w:t xml:space="preserve">. </w:t>
      </w:r>
      <w:proofErr w:type="gramStart"/>
      <w:r w:rsidRPr="009B2B5C">
        <w:rPr>
          <w:rStyle w:val="apple-style-span"/>
          <w:lang w:val="en-CA"/>
        </w:rPr>
        <w:t>Kalamazoo, Medieval Institute Publications</w:t>
      </w:r>
      <w:r w:rsidRPr="009B2B5C">
        <w:rPr>
          <w:lang w:val="en-CA"/>
        </w:rPr>
        <w:t>, 2001.</w:t>
      </w:r>
      <w:proofErr w:type="gramEnd"/>
      <w:r w:rsidRPr="009B2B5C">
        <w:rPr>
          <w:lang w:val="en-CA"/>
        </w:rPr>
        <w:t xml:space="preserve"> </w:t>
      </w:r>
      <w:proofErr w:type="gramStart"/>
      <w:r w:rsidRPr="009B2B5C">
        <w:rPr>
          <w:lang w:val="en-CA"/>
        </w:rPr>
        <w:t>p.476.</w:t>
      </w:r>
      <w:proofErr w:type="gramEnd"/>
    </w:p>
  </w:footnote>
  <w:footnote w:id="35">
    <w:p w:rsidR="00D24332" w:rsidRPr="009B2B5C" w:rsidRDefault="00D24332" w:rsidP="00162703">
      <w:pPr>
        <w:pStyle w:val="Notedebasdepage"/>
        <w:jc w:val="both"/>
        <w:rPr>
          <w:lang w:val="en-CA"/>
        </w:rPr>
      </w:pPr>
      <w:r w:rsidRPr="009B2B5C">
        <w:rPr>
          <w:rStyle w:val="Appelnotedebasdep"/>
        </w:rPr>
        <w:footnoteRef/>
      </w:r>
      <w:r w:rsidRPr="009B2B5C">
        <w:rPr>
          <w:rStyle w:val="apple-style-span"/>
          <w:lang w:val="en-CA"/>
        </w:rPr>
        <w:t xml:space="preserve"> Roger S. Wieck. « The Book of Hours » </w:t>
      </w:r>
      <w:proofErr w:type="spellStart"/>
      <w:r w:rsidRPr="009B2B5C">
        <w:rPr>
          <w:rStyle w:val="apple-style-span"/>
          <w:lang w:val="en-CA"/>
        </w:rPr>
        <w:t>dans</w:t>
      </w:r>
      <w:proofErr w:type="spellEnd"/>
      <w:r w:rsidRPr="009B2B5C">
        <w:rPr>
          <w:rStyle w:val="apple-style-span"/>
          <w:lang w:val="en-CA"/>
        </w:rPr>
        <w:t xml:space="preserve"> Thomas J. Heffernan </w:t>
      </w:r>
      <w:proofErr w:type="gramStart"/>
      <w:r w:rsidRPr="009B2B5C">
        <w:rPr>
          <w:rStyle w:val="apple-style-span"/>
          <w:lang w:val="en-CA"/>
        </w:rPr>
        <w:t>et</w:t>
      </w:r>
      <w:proofErr w:type="gramEnd"/>
      <w:r w:rsidRPr="009B2B5C">
        <w:rPr>
          <w:rStyle w:val="apple-style-span"/>
          <w:lang w:val="en-CA"/>
        </w:rPr>
        <w:t xml:space="preserve"> Ann Matter, </w:t>
      </w:r>
      <w:proofErr w:type="spellStart"/>
      <w:r w:rsidRPr="009B2B5C">
        <w:rPr>
          <w:rStyle w:val="apple-style-span"/>
          <w:lang w:val="en-CA"/>
        </w:rPr>
        <w:t>éd</w:t>
      </w:r>
      <w:proofErr w:type="spellEnd"/>
      <w:r w:rsidRPr="009B2B5C">
        <w:rPr>
          <w:rStyle w:val="apple-style-span"/>
          <w:lang w:val="en-CA"/>
        </w:rPr>
        <w:t xml:space="preserve">. </w:t>
      </w:r>
      <w:proofErr w:type="gramStart"/>
      <w:r w:rsidRPr="009B2B5C">
        <w:rPr>
          <w:rStyle w:val="lev"/>
          <w:b w:val="0"/>
          <w:i/>
          <w:lang w:val="en-CA"/>
        </w:rPr>
        <w:t>The Liturgy of the Medieval Church</w:t>
      </w:r>
      <w:r w:rsidRPr="009B2B5C">
        <w:rPr>
          <w:rStyle w:val="lev"/>
          <w:b w:val="0"/>
          <w:lang w:val="en-CA"/>
        </w:rPr>
        <w:t>.</w:t>
      </w:r>
      <w:proofErr w:type="gramEnd"/>
      <w:r w:rsidRPr="009B2B5C">
        <w:rPr>
          <w:rStyle w:val="lev"/>
          <w:b w:val="0"/>
          <w:lang w:val="en-CA"/>
        </w:rPr>
        <w:t xml:space="preserve"> </w:t>
      </w:r>
      <w:proofErr w:type="gramStart"/>
      <w:r w:rsidRPr="009B2B5C">
        <w:rPr>
          <w:rStyle w:val="apple-style-span"/>
          <w:lang w:val="en-CA"/>
        </w:rPr>
        <w:t>Kalamazoo, Medieval Institute Publications</w:t>
      </w:r>
      <w:r w:rsidRPr="009B2B5C">
        <w:rPr>
          <w:lang w:val="en-CA"/>
        </w:rPr>
        <w:t>, 2001.</w:t>
      </w:r>
      <w:proofErr w:type="gramEnd"/>
      <w:r w:rsidRPr="009B2B5C">
        <w:rPr>
          <w:lang w:val="en-CA"/>
        </w:rPr>
        <w:t xml:space="preserve"> </w:t>
      </w:r>
      <w:proofErr w:type="gramStart"/>
      <w:r w:rsidRPr="009B2B5C">
        <w:rPr>
          <w:lang w:val="en-CA"/>
        </w:rPr>
        <w:t>p.473.</w:t>
      </w:r>
      <w:proofErr w:type="gramEnd"/>
    </w:p>
  </w:footnote>
  <w:footnote w:id="36">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sidRPr="009B2B5C">
        <w:rPr>
          <w:rStyle w:val="apple-style-span"/>
          <w:lang w:val="en-CA"/>
        </w:rPr>
        <w:t xml:space="preserve">Roger S. Wieck. « The Book of Hours » </w:t>
      </w:r>
      <w:proofErr w:type="spellStart"/>
      <w:r w:rsidRPr="009B2B5C">
        <w:rPr>
          <w:rStyle w:val="apple-style-span"/>
          <w:lang w:val="en-CA"/>
        </w:rPr>
        <w:t>dans</w:t>
      </w:r>
      <w:proofErr w:type="spellEnd"/>
      <w:r w:rsidRPr="009B2B5C">
        <w:rPr>
          <w:rStyle w:val="apple-style-span"/>
          <w:lang w:val="en-CA"/>
        </w:rPr>
        <w:t xml:space="preserve"> Thomas J. Heffernan </w:t>
      </w:r>
      <w:proofErr w:type="gramStart"/>
      <w:r w:rsidRPr="009B2B5C">
        <w:rPr>
          <w:rStyle w:val="apple-style-span"/>
          <w:lang w:val="en-CA"/>
        </w:rPr>
        <w:t>et</w:t>
      </w:r>
      <w:proofErr w:type="gramEnd"/>
      <w:r w:rsidRPr="009B2B5C">
        <w:rPr>
          <w:rStyle w:val="apple-style-span"/>
          <w:lang w:val="en-CA"/>
        </w:rPr>
        <w:t xml:space="preserve"> Ann Matter, </w:t>
      </w:r>
      <w:proofErr w:type="spellStart"/>
      <w:r w:rsidRPr="009B2B5C">
        <w:rPr>
          <w:rStyle w:val="apple-style-span"/>
          <w:lang w:val="en-CA"/>
        </w:rPr>
        <w:t>éd</w:t>
      </w:r>
      <w:proofErr w:type="spellEnd"/>
      <w:r w:rsidRPr="009B2B5C">
        <w:rPr>
          <w:rStyle w:val="apple-style-span"/>
          <w:lang w:val="en-CA"/>
        </w:rPr>
        <w:t xml:space="preserve">. </w:t>
      </w:r>
      <w:proofErr w:type="gramStart"/>
      <w:r w:rsidRPr="009B2B5C">
        <w:rPr>
          <w:rStyle w:val="lev"/>
          <w:b w:val="0"/>
          <w:i/>
          <w:lang w:val="en-CA"/>
        </w:rPr>
        <w:t>The Liturgy of the Medieval Church</w:t>
      </w:r>
      <w:r w:rsidRPr="009B2B5C">
        <w:rPr>
          <w:rStyle w:val="lev"/>
          <w:b w:val="0"/>
          <w:lang w:val="en-CA"/>
        </w:rPr>
        <w:t>.</w:t>
      </w:r>
      <w:proofErr w:type="gramEnd"/>
      <w:r w:rsidRPr="009B2B5C">
        <w:rPr>
          <w:rStyle w:val="lev"/>
          <w:b w:val="0"/>
          <w:lang w:val="en-CA"/>
        </w:rPr>
        <w:t xml:space="preserve"> </w:t>
      </w:r>
      <w:proofErr w:type="gramStart"/>
      <w:r w:rsidRPr="009B2B5C">
        <w:rPr>
          <w:rStyle w:val="apple-style-span"/>
          <w:lang w:val="en-CA"/>
        </w:rPr>
        <w:t>Kalamazoo, Medieval Institute Publications</w:t>
      </w:r>
      <w:r w:rsidRPr="009B2B5C">
        <w:rPr>
          <w:lang w:val="en-CA"/>
        </w:rPr>
        <w:t>, 2001.</w:t>
      </w:r>
      <w:proofErr w:type="gramEnd"/>
      <w:r w:rsidRPr="009B2B5C">
        <w:rPr>
          <w:lang w:val="en-CA"/>
        </w:rPr>
        <w:t xml:space="preserve"> </w:t>
      </w:r>
      <w:proofErr w:type="gramStart"/>
      <w:r w:rsidRPr="009B2B5C">
        <w:rPr>
          <w:lang w:val="en-CA"/>
        </w:rPr>
        <w:t>p.479.</w:t>
      </w:r>
      <w:proofErr w:type="gramEnd"/>
    </w:p>
  </w:footnote>
  <w:footnote w:id="37">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Virginia </w:t>
      </w:r>
      <w:proofErr w:type="spellStart"/>
      <w:r w:rsidRPr="009B2B5C">
        <w:rPr>
          <w:lang w:val="en-CA"/>
        </w:rPr>
        <w:t>Reinburg</w:t>
      </w:r>
      <w:proofErr w:type="spellEnd"/>
      <w:r w:rsidRPr="009B2B5C">
        <w:rPr>
          <w:lang w:val="en-CA"/>
        </w:rPr>
        <w:t xml:space="preserve">. </w:t>
      </w:r>
      <w:proofErr w:type="gramStart"/>
      <w:r w:rsidRPr="009B2B5C">
        <w:rPr>
          <w:lang w:val="en-CA"/>
        </w:rPr>
        <w:t xml:space="preserve">« Prayer and the Book of Hours » </w:t>
      </w:r>
      <w:proofErr w:type="spellStart"/>
      <w:r w:rsidRPr="009B2B5C">
        <w:rPr>
          <w:lang w:val="en-CA"/>
        </w:rPr>
        <w:t>dans</w:t>
      </w:r>
      <w:proofErr w:type="spellEnd"/>
      <w:r w:rsidRPr="009B2B5C">
        <w:rPr>
          <w:lang w:val="en-CA"/>
        </w:rPr>
        <w:t xml:space="preserve"> </w:t>
      </w:r>
      <w:r w:rsidRPr="009B2B5C">
        <w:rPr>
          <w:rStyle w:val="apple-style-span"/>
          <w:lang w:val="en-CA"/>
        </w:rPr>
        <w:t>Roger S. Wieck.</w:t>
      </w:r>
      <w:proofErr w:type="gramEnd"/>
      <w:r w:rsidRPr="009B2B5C">
        <w:rPr>
          <w:rStyle w:val="apple-style-span"/>
          <w:lang w:val="en-CA"/>
        </w:rPr>
        <w:t xml:space="preserve"> </w:t>
      </w:r>
      <w:r w:rsidRPr="009B2B5C">
        <w:rPr>
          <w:rStyle w:val="apple-style-span"/>
          <w:i/>
          <w:lang w:val="en-CA"/>
        </w:rPr>
        <w:t xml:space="preserve">Time </w:t>
      </w:r>
      <w:proofErr w:type="gramStart"/>
      <w:r w:rsidRPr="009B2B5C">
        <w:rPr>
          <w:rStyle w:val="apple-style-span"/>
          <w:i/>
          <w:lang w:val="en-CA"/>
        </w:rPr>
        <w:t>Sanctified :</w:t>
      </w:r>
      <w:proofErr w:type="gramEnd"/>
      <w:r w:rsidRPr="009B2B5C">
        <w:rPr>
          <w:rStyle w:val="apple-style-span"/>
          <w:i/>
          <w:lang w:val="en-CA"/>
        </w:rPr>
        <w:t xml:space="preserve"> the Book of Hours in Medieval Art and Life</w:t>
      </w:r>
      <w:r w:rsidRPr="009B2B5C">
        <w:rPr>
          <w:rStyle w:val="apple-style-span"/>
          <w:lang w:val="en-CA"/>
        </w:rPr>
        <w:t xml:space="preserve">. New York, G. </w:t>
      </w:r>
      <w:proofErr w:type="spellStart"/>
      <w:r w:rsidRPr="009B2B5C">
        <w:rPr>
          <w:rStyle w:val="apple-style-span"/>
          <w:lang w:val="en-CA"/>
        </w:rPr>
        <w:t>Braziller</w:t>
      </w:r>
      <w:proofErr w:type="spellEnd"/>
      <w:r w:rsidRPr="009B2B5C">
        <w:rPr>
          <w:rStyle w:val="apple-style-span"/>
          <w:lang w:val="en-CA"/>
        </w:rPr>
        <w:t xml:space="preserve"> in association with the Walters Art Gallery, Baltimore, 1988. </w:t>
      </w:r>
      <w:proofErr w:type="gramStart"/>
      <w:r w:rsidRPr="009B2B5C">
        <w:rPr>
          <w:rStyle w:val="apple-style-span"/>
          <w:lang w:val="en-CA"/>
        </w:rPr>
        <w:t>p.44.</w:t>
      </w:r>
      <w:proofErr w:type="gramEnd"/>
    </w:p>
  </w:footnote>
  <w:footnote w:id="38">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Pr>
          <w:rStyle w:val="apple-style-span"/>
          <w:lang w:val="en-CA"/>
        </w:rPr>
        <w:t xml:space="preserve">Wieck, </w:t>
      </w:r>
      <w:proofErr w:type="spellStart"/>
      <w:proofErr w:type="gramStart"/>
      <w:r>
        <w:rPr>
          <w:rStyle w:val="apple-style-span"/>
          <w:i/>
          <w:lang w:val="en-CA"/>
        </w:rPr>
        <w:t>op.cit</w:t>
      </w:r>
      <w:proofErr w:type="spellEnd"/>
      <w:r>
        <w:rPr>
          <w:rStyle w:val="apple-style-span"/>
          <w:i/>
          <w:lang w:val="en-CA"/>
        </w:rPr>
        <w:t>.</w:t>
      </w:r>
      <w:r>
        <w:rPr>
          <w:rStyle w:val="apple-style-span"/>
          <w:lang w:val="en-CA"/>
        </w:rPr>
        <w:t>,</w:t>
      </w:r>
      <w:proofErr w:type="gramEnd"/>
      <w:r>
        <w:rPr>
          <w:rStyle w:val="apple-style-span"/>
          <w:lang w:val="en-CA"/>
        </w:rPr>
        <w:t xml:space="preserve"> p.</w:t>
      </w:r>
      <w:r w:rsidRPr="009B2B5C">
        <w:rPr>
          <w:lang w:val="en-CA"/>
        </w:rPr>
        <w:t>476.</w:t>
      </w:r>
    </w:p>
  </w:footnote>
  <w:footnote w:id="39">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John Gage. </w:t>
      </w:r>
      <w:r w:rsidRPr="009B2B5C">
        <w:rPr>
          <w:i/>
          <w:lang w:val="en-CA"/>
        </w:rPr>
        <w:t>Color and Meaning: Art, Science and Symbolism</w:t>
      </w:r>
      <w:r w:rsidRPr="009B2B5C">
        <w:rPr>
          <w:lang w:val="en-CA"/>
        </w:rPr>
        <w:t xml:space="preserve">. Berkeley </w:t>
      </w:r>
      <w:proofErr w:type="gramStart"/>
      <w:r w:rsidRPr="009B2B5C">
        <w:rPr>
          <w:lang w:val="en-CA"/>
        </w:rPr>
        <w:t>et</w:t>
      </w:r>
      <w:proofErr w:type="gramEnd"/>
      <w:r w:rsidRPr="009B2B5C">
        <w:rPr>
          <w:lang w:val="en-CA"/>
        </w:rPr>
        <w:t xml:space="preserve"> Los Angeles, University of California Press, 1999. </w:t>
      </w:r>
      <w:proofErr w:type="gramStart"/>
      <w:r w:rsidRPr="009B2B5C">
        <w:rPr>
          <w:lang w:val="en-CA"/>
        </w:rPr>
        <w:t>p.66.</w:t>
      </w:r>
      <w:proofErr w:type="gramEnd"/>
    </w:p>
  </w:footnote>
  <w:footnote w:id="40">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p.128.</w:t>
      </w:r>
    </w:p>
  </w:footnote>
  <w:footnote w:id="41">
    <w:p w:rsidR="00D24332" w:rsidRPr="009B2B5C" w:rsidRDefault="00D24332" w:rsidP="00162703">
      <w:pPr>
        <w:pStyle w:val="Notedebasdepage"/>
        <w:jc w:val="both"/>
        <w:rPr>
          <w:i/>
        </w:rPr>
      </w:pPr>
      <w:r w:rsidRPr="009B2B5C">
        <w:rPr>
          <w:rStyle w:val="Appelnotedebasdep"/>
        </w:rPr>
        <w:footnoteRef/>
      </w:r>
      <w:r w:rsidRPr="009B2B5C">
        <w:t xml:space="preserve"> </w:t>
      </w:r>
      <w:r w:rsidRPr="009B2B5C">
        <w:rPr>
          <w:i/>
        </w:rPr>
        <w:t>Idem</w:t>
      </w:r>
    </w:p>
  </w:footnote>
  <w:footnote w:id="42">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p.139.</w:t>
      </w:r>
    </w:p>
  </w:footnote>
  <w:footnote w:id="43">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p.128-129.</w:t>
      </w:r>
    </w:p>
  </w:footnote>
  <w:footnote w:id="44">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p.129.</w:t>
      </w:r>
    </w:p>
  </w:footnote>
  <w:footnote w:id="45">
    <w:p w:rsidR="00D24332" w:rsidRDefault="00D24332" w:rsidP="00162703">
      <w:pPr>
        <w:pStyle w:val="Notedebasdepage"/>
        <w:jc w:val="both"/>
      </w:pPr>
      <w:r>
        <w:rPr>
          <w:rStyle w:val="Appelnotedebasdep"/>
        </w:rPr>
        <w:footnoteRef/>
      </w:r>
      <w:r>
        <w:t xml:space="preserve"> </w:t>
      </w:r>
    </w:p>
  </w:footnote>
  <w:footnote w:id="46">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p.131.</w:t>
      </w:r>
    </w:p>
  </w:footnote>
  <w:footnote w:id="47">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p.133.</w:t>
      </w:r>
    </w:p>
  </w:footnote>
  <w:footnote w:id="48">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p.137-138.</w:t>
      </w:r>
    </w:p>
  </w:footnote>
  <w:footnote w:id="49">
    <w:p w:rsidR="00D24332" w:rsidRPr="009B2B5C" w:rsidRDefault="00D24332" w:rsidP="00162703">
      <w:pPr>
        <w:pStyle w:val="Notedebasdepage"/>
        <w:jc w:val="both"/>
      </w:pPr>
      <w:r w:rsidRPr="009B2B5C">
        <w:rPr>
          <w:rStyle w:val="Appelnotedebasdep"/>
        </w:rPr>
        <w:footnoteRef/>
      </w:r>
      <w:r w:rsidRPr="009B2B5C">
        <w:t xml:space="preserve"> John Gage. </w:t>
      </w:r>
      <w:r w:rsidRPr="009B2B5C">
        <w:rPr>
          <w:rStyle w:val="apple-style-span"/>
          <w:i/>
        </w:rPr>
        <w:t>Couleur et Culture : Usages et significations de la couleur de l’Antiquité à l’abstraction</w:t>
      </w:r>
      <w:r w:rsidRPr="009B2B5C">
        <w:rPr>
          <w:rStyle w:val="apple-style-span"/>
        </w:rPr>
        <w:t>. Paris, Thames &amp; Hudson, 2008 (1993). p.71.</w:t>
      </w:r>
    </w:p>
  </w:footnote>
  <w:footnote w:id="50">
    <w:p w:rsidR="00D24332" w:rsidRPr="000971A0" w:rsidRDefault="00D24332" w:rsidP="00162703">
      <w:pPr>
        <w:pStyle w:val="Notedebasdepage"/>
        <w:jc w:val="both"/>
        <w:rPr>
          <w:lang w:val="en-CA"/>
        </w:rPr>
      </w:pPr>
      <w:r w:rsidRPr="009B2B5C">
        <w:rPr>
          <w:rStyle w:val="Appelnotedebasdep"/>
        </w:rPr>
        <w:footnoteRef/>
      </w:r>
      <w:r w:rsidRPr="009B2B5C">
        <w:t xml:space="preserve"> John Gage.</w:t>
      </w:r>
      <w:r w:rsidRPr="009B2B5C">
        <w:rPr>
          <w:rStyle w:val="apple-style-span"/>
          <w:i/>
        </w:rPr>
        <w:t xml:space="preserve"> La Couleur dans l’art</w:t>
      </w:r>
      <w:r w:rsidRPr="009B2B5C">
        <w:rPr>
          <w:rStyle w:val="apple-style-span"/>
        </w:rPr>
        <w:t xml:space="preserve">. </w:t>
      </w:r>
      <w:proofErr w:type="gramStart"/>
      <w:r w:rsidRPr="000971A0">
        <w:rPr>
          <w:rStyle w:val="apple-style-span"/>
          <w:lang w:val="en-CA"/>
        </w:rPr>
        <w:t>Paris, Thames &amp; Hudson, 2009 (2006).</w:t>
      </w:r>
      <w:proofErr w:type="gramEnd"/>
      <w:r w:rsidRPr="000971A0">
        <w:rPr>
          <w:rStyle w:val="apple-style-span"/>
          <w:lang w:val="en-CA"/>
        </w:rPr>
        <w:t xml:space="preserve"> </w:t>
      </w:r>
      <w:proofErr w:type="gramStart"/>
      <w:r w:rsidRPr="000971A0">
        <w:rPr>
          <w:rStyle w:val="apple-style-span"/>
          <w:lang w:val="en-CA"/>
        </w:rPr>
        <w:t>p.20-23</w:t>
      </w:r>
      <w:proofErr w:type="gramEnd"/>
      <w:r w:rsidRPr="000971A0">
        <w:rPr>
          <w:rStyle w:val="apple-style-span"/>
          <w:lang w:val="en-CA"/>
        </w:rPr>
        <w:t>.</w:t>
      </w:r>
    </w:p>
  </w:footnote>
  <w:footnote w:id="51">
    <w:p w:rsidR="00D24332" w:rsidRPr="009B2B5C" w:rsidRDefault="00D24332" w:rsidP="00162703">
      <w:pPr>
        <w:pStyle w:val="Notedebasdepage"/>
        <w:jc w:val="both"/>
        <w:rPr>
          <w:lang w:val="en-CA"/>
        </w:rPr>
      </w:pPr>
      <w:r w:rsidRPr="009B2B5C">
        <w:rPr>
          <w:rStyle w:val="Appelnotedebasdep"/>
        </w:rPr>
        <w:footnoteRef/>
      </w:r>
      <w:r>
        <w:rPr>
          <w:lang w:val="en-CA"/>
        </w:rPr>
        <w:t xml:space="preserve"> </w:t>
      </w:r>
      <w:r w:rsidRPr="000971A0">
        <w:rPr>
          <w:lang w:val="en-CA"/>
        </w:rPr>
        <w:t xml:space="preserve">John Gage. </w:t>
      </w:r>
      <w:r w:rsidRPr="009B2B5C">
        <w:rPr>
          <w:rStyle w:val="apple-style-span"/>
          <w:i/>
        </w:rPr>
        <w:t>Couleur et Culture : Usages et significations de la couleur de l’Antiquité à l’abstraction</w:t>
      </w:r>
      <w:r w:rsidRPr="009B2B5C">
        <w:rPr>
          <w:rStyle w:val="apple-style-span"/>
        </w:rPr>
        <w:t xml:space="preserve">. </w:t>
      </w:r>
      <w:proofErr w:type="gramStart"/>
      <w:r w:rsidRPr="009B2B5C">
        <w:rPr>
          <w:rStyle w:val="apple-style-span"/>
          <w:lang w:val="en-CA"/>
        </w:rPr>
        <w:t>Paris, Thames &amp; Hudson, 2008 (1993).</w:t>
      </w:r>
      <w:proofErr w:type="gramEnd"/>
      <w:r w:rsidRPr="009B2B5C">
        <w:rPr>
          <w:rStyle w:val="apple-style-span"/>
          <w:lang w:val="en-CA"/>
        </w:rPr>
        <w:t xml:space="preserve"> </w:t>
      </w:r>
      <w:proofErr w:type="gramStart"/>
      <w:r w:rsidRPr="009B2B5C">
        <w:rPr>
          <w:rStyle w:val="apple-style-span"/>
          <w:lang w:val="en-CA"/>
        </w:rPr>
        <w:t>p.</w:t>
      </w:r>
      <w:r w:rsidRPr="009B2B5C">
        <w:rPr>
          <w:lang w:val="en-CA"/>
        </w:rPr>
        <w:t>75.</w:t>
      </w:r>
      <w:proofErr w:type="gramEnd"/>
    </w:p>
  </w:footnote>
  <w:footnote w:id="52">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proofErr w:type="gramStart"/>
      <w:r w:rsidRPr="009B2B5C">
        <w:rPr>
          <w:i/>
          <w:lang w:val="en-CA"/>
        </w:rPr>
        <w:t>Ibid.</w:t>
      </w:r>
      <w:r w:rsidRPr="009B2B5C">
        <w:rPr>
          <w:lang w:val="en-CA"/>
        </w:rPr>
        <w:t>,</w:t>
      </w:r>
      <w:proofErr w:type="gramEnd"/>
      <w:r w:rsidRPr="009B2B5C">
        <w:rPr>
          <w:lang w:val="en-CA"/>
        </w:rPr>
        <w:t xml:space="preserve"> p.80.</w:t>
      </w:r>
    </w:p>
  </w:footnote>
  <w:footnote w:id="53">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proofErr w:type="gramStart"/>
      <w:r w:rsidRPr="009B2B5C">
        <w:rPr>
          <w:i/>
          <w:lang w:val="en-CA"/>
        </w:rPr>
        <w:t>Ibid.</w:t>
      </w:r>
      <w:r w:rsidRPr="009B2B5C">
        <w:rPr>
          <w:lang w:val="en-CA"/>
        </w:rPr>
        <w:t>,</w:t>
      </w:r>
      <w:proofErr w:type="gramEnd"/>
      <w:r w:rsidRPr="009B2B5C">
        <w:rPr>
          <w:lang w:val="en-CA"/>
        </w:rPr>
        <w:t xml:space="preserve"> p.54.</w:t>
      </w:r>
    </w:p>
  </w:footnote>
  <w:footnote w:id="54">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John Gage. </w:t>
      </w:r>
      <w:r w:rsidRPr="009B2B5C">
        <w:rPr>
          <w:i/>
          <w:lang w:val="en-CA"/>
        </w:rPr>
        <w:t>Color and Meaning: Art, Science and Symbolism</w:t>
      </w:r>
      <w:r w:rsidRPr="009B2B5C">
        <w:rPr>
          <w:lang w:val="en-CA"/>
        </w:rPr>
        <w:t xml:space="preserve">. Berkeley </w:t>
      </w:r>
      <w:proofErr w:type="gramStart"/>
      <w:r w:rsidRPr="009B2B5C">
        <w:rPr>
          <w:lang w:val="en-CA"/>
        </w:rPr>
        <w:t>et</w:t>
      </w:r>
      <w:proofErr w:type="gramEnd"/>
      <w:r w:rsidRPr="009B2B5C">
        <w:rPr>
          <w:lang w:val="en-CA"/>
        </w:rPr>
        <w:t xml:space="preserve"> Los Angeles, University of California Press, 1999. </w:t>
      </w:r>
      <w:proofErr w:type="gramStart"/>
      <w:r>
        <w:rPr>
          <w:lang w:val="en-CA"/>
        </w:rPr>
        <w:t>p.70.</w:t>
      </w:r>
      <w:proofErr w:type="gramEnd"/>
    </w:p>
  </w:footnote>
  <w:footnote w:id="55">
    <w:p w:rsidR="00D24332" w:rsidRPr="000971A0" w:rsidRDefault="00D24332" w:rsidP="00162703">
      <w:pPr>
        <w:pStyle w:val="Notedebasdepage"/>
        <w:jc w:val="both"/>
        <w:rPr>
          <w:lang w:val="en-CA"/>
        </w:rPr>
      </w:pPr>
      <w:r>
        <w:rPr>
          <w:rStyle w:val="Appelnotedebasdep"/>
        </w:rPr>
        <w:footnoteRef/>
      </w:r>
      <w:r w:rsidRPr="007D1174">
        <w:rPr>
          <w:lang w:val="en-CA"/>
        </w:rPr>
        <w:t xml:space="preserve"> </w:t>
      </w:r>
      <w:proofErr w:type="spellStart"/>
      <w:r w:rsidRPr="009B2B5C">
        <w:rPr>
          <w:lang w:val="en-CA"/>
        </w:rPr>
        <w:t>Christel</w:t>
      </w:r>
      <w:proofErr w:type="spellEnd"/>
      <w:r w:rsidRPr="009B2B5C">
        <w:rPr>
          <w:lang w:val="en-CA"/>
        </w:rPr>
        <w:t xml:space="preserve"> Meier. </w:t>
      </w:r>
      <w:proofErr w:type="gramStart"/>
      <w:r w:rsidRPr="009B2B5C">
        <w:rPr>
          <w:lang w:val="en-US"/>
        </w:rPr>
        <w:t xml:space="preserve">«The </w:t>
      </w:r>
      <w:proofErr w:type="spellStart"/>
      <w:r w:rsidRPr="009B2B5C">
        <w:rPr>
          <w:lang w:val="en-US"/>
        </w:rPr>
        <w:t>Colourful</w:t>
      </w:r>
      <w:proofErr w:type="spellEnd"/>
      <w:r w:rsidRPr="009B2B5C">
        <w:rPr>
          <w:lang w:val="en-US"/>
        </w:rPr>
        <w:t xml:space="preserve"> Middle Ages.</w:t>
      </w:r>
      <w:proofErr w:type="gramEnd"/>
      <w:r w:rsidRPr="009B2B5C">
        <w:rPr>
          <w:lang w:val="en-US"/>
        </w:rPr>
        <w:t xml:space="preserve"> Anthropological, Social, and Literary Dimensions of </w:t>
      </w:r>
      <w:proofErr w:type="spellStart"/>
      <w:r w:rsidRPr="009B2B5C">
        <w:rPr>
          <w:lang w:val="en-US"/>
        </w:rPr>
        <w:t>Colour</w:t>
      </w:r>
      <w:proofErr w:type="spellEnd"/>
      <w:r w:rsidRPr="009B2B5C">
        <w:rPr>
          <w:lang w:val="en-US"/>
        </w:rPr>
        <w:t xml:space="preserve"> Symbolism and </w:t>
      </w:r>
      <w:proofErr w:type="spellStart"/>
      <w:r w:rsidRPr="009B2B5C">
        <w:rPr>
          <w:lang w:val="en-US"/>
        </w:rPr>
        <w:t>Colour</w:t>
      </w:r>
      <w:proofErr w:type="spellEnd"/>
      <w:r w:rsidRPr="009B2B5C">
        <w:rPr>
          <w:lang w:val="en-US"/>
        </w:rPr>
        <w:t xml:space="preserve"> Hermeneutics» </w:t>
      </w:r>
      <w:proofErr w:type="spellStart"/>
      <w:proofErr w:type="gramStart"/>
      <w:r w:rsidRPr="009B2B5C">
        <w:rPr>
          <w:lang w:val="en-US"/>
        </w:rPr>
        <w:t>dans</w:t>
      </w:r>
      <w:proofErr w:type="spellEnd"/>
      <w:r w:rsidRPr="009B2B5C">
        <w:rPr>
          <w:lang w:val="en-US"/>
        </w:rPr>
        <w:t xml:space="preserve">  Rudolf</w:t>
      </w:r>
      <w:proofErr w:type="gramEnd"/>
      <w:r w:rsidRPr="009B2B5C">
        <w:rPr>
          <w:lang w:val="en-US"/>
        </w:rPr>
        <w:t xml:space="preserve"> </w:t>
      </w:r>
      <w:proofErr w:type="spellStart"/>
      <w:r w:rsidRPr="009B2B5C">
        <w:rPr>
          <w:lang w:val="en-US"/>
        </w:rPr>
        <w:t>Suntrup</w:t>
      </w:r>
      <w:proofErr w:type="spellEnd"/>
      <w:r w:rsidRPr="009B2B5C">
        <w:rPr>
          <w:lang w:val="en-US"/>
        </w:rPr>
        <w:t xml:space="preserve"> et Jan R. </w:t>
      </w:r>
      <w:proofErr w:type="spellStart"/>
      <w:r w:rsidRPr="009B2B5C">
        <w:rPr>
          <w:lang w:val="en-US"/>
        </w:rPr>
        <w:t>Veenstra</w:t>
      </w:r>
      <w:proofErr w:type="spellEnd"/>
      <w:r w:rsidRPr="009B2B5C">
        <w:rPr>
          <w:lang w:val="en-US"/>
        </w:rPr>
        <w:t xml:space="preserve">. </w:t>
      </w:r>
      <w:r w:rsidRPr="009B2B5C">
        <w:rPr>
          <w:i/>
          <w:lang w:val="de-DE"/>
        </w:rPr>
        <w:t xml:space="preserve">Tradition </w:t>
      </w:r>
      <w:proofErr w:type="spellStart"/>
      <w:r w:rsidRPr="009B2B5C">
        <w:rPr>
          <w:i/>
          <w:lang w:val="de-DE"/>
        </w:rPr>
        <w:t>and</w:t>
      </w:r>
      <w:proofErr w:type="spellEnd"/>
      <w:r w:rsidRPr="009B2B5C">
        <w:rPr>
          <w:i/>
          <w:lang w:val="de-DE"/>
        </w:rPr>
        <w:t xml:space="preserve"> Innovation in an </w:t>
      </w:r>
      <w:proofErr w:type="spellStart"/>
      <w:r w:rsidRPr="009B2B5C">
        <w:rPr>
          <w:i/>
          <w:lang w:val="de-DE"/>
        </w:rPr>
        <w:t>Era</w:t>
      </w:r>
      <w:proofErr w:type="spellEnd"/>
      <w:r w:rsidRPr="009B2B5C">
        <w:rPr>
          <w:i/>
          <w:lang w:val="de-DE"/>
        </w:rPr>
        <w:t xml:space="preserve"> </w:t>
      </w:r>
      <w:proofErr w:type="spellStart"/>
      <w:r w:rsidRPr="009B2B5C">
        <w:rPr>
          <w:i/>
          <w:lang w:val="de-DE"/>
        </w:rPr>
        <w:t>of</w:t>
      </w:r>
      <w:proofErr w:type="spellEnd"/>
      <w:r w:rsidRPr="009B2B5C">
        <w:rPr>
          <w:i/>
          <w:lang w:val="de-DE"/>
        </w:rPr>
        <w:t xml:space="preserve"> Change/Tradition und Innovation im </w:t>
      </w:r>
      <w:proofErr w:type="spellStart"/>
      <w:r w:rsidRPr="009B2B5C">
        <w:rPr>
          <w:i/>
          <w:lang w:val="de-DE"/>
        </w:rPr>
        <w:t>Ubergang</w:t>
      </w:r>
      <w:proofErr w:type="spellEnd"/>
      <w:r w:rsidRPr="009B2B5C">
        <w:rPr>
          <w:i/>
          <w:lang w:val="de-DE"/>
        </w:rPr>
        <w:t xml:space="preserve"> zur frühen Neuzeit.</w:t>
      </w:r>
      <w:r w:rsidRPr="009B2B5C">
        <w:rPr>
          <w:lang w:val="de-DE"/>
        </w:rPr>
        <w:t xml:space="preserve"> </w:t>
      </w:r>
      <w:r w:rsidRPr="000971A0">
        <w:rPr>
          <w:lang w:val="en-CA"/>
        </w:rPr>
        <w:t xml:space="preserve">Bern, Peter Lang Pub </w:t>
      </w:r>
      <w:proofErr w:type="spellStart"/>
      <w:r w:rsidRPr="000971A0">
        <w:rPr>
          <w:lang w:val="en-CA"/>
        </w:rPr>
        <w:t>Inc</w:t>
      </w:r>
      <w:proofErr w:type="spellEnd"/>
      <w:r w:rsidRPr="000971A0">
        <w:rPr>
          <w:lang w:val="en-CA"/>
        </w:rPr>
        <w:t xml:space="preserve">, 2011. </w:t>
      </w:r>
      <w:proofErr w:type="gramStart"/>
      <w:r w:rsidRPr="000971A0">
        <w:rPr>
          <w:lang w:val="en-CA"/>
        </w:rPr>
        <w:t>p.240.</w:t>
      </w:r>
      <w:proofErr w:type="gramEnd"/>
    </w:p>
  </w:footnote>
  <w:footnote w:id="56">
    <w:p w:rsidR="00D24332" w:rsidRPr="000971A0" w:rsidRDefault="00D24332" w:rsidP="00162703">
      <w:pPr>
        <w:pStyle w:val="Notedebasdepage"/>
        <w:jc w:val="both"/>
        <w:rPr>
          <w:lang w:val="en-CA"/>
        </w:rPr>
      </w:pPr>
      <w:r>
        <w:rPr>
          <w:rStyle w:val="Appelnotedebasdep"/>
        </w:rPr>
        <w:footnoteRef/>
      </w:r>
      <w:r w:rsidRPr="000971A0">
        <w:rPr>
          <w:lang w:val="en-CA"/>
        </w:rPr>
        <w:t xml:space="preserve"> </w:t>
      </w:r>
      <w:proofErr w:type="gramStart"/>
      <w:r>
        <w:rPr>
          <w:i/>
          <w:lang w:val="en-CA"/>
        </w:rPr>
        <w:t>Ibid.</w:t>
      </w:r>
      <w:r>
        <w:rPr>
          <w:lang w:val="en-CA"/>
        </w:rPr>
        <w:t>,</w:t>
      </w:r>
      <w:proofErr w:type="gramEnd"/>
      <w:r>
        <w:rPr>
          <w:lang w:val="en-CA"/>
        </w:rPr>
        <w:t xml:space="preserve"> p.</w:t>
      </w:r>
      <w:r w:rsidRPr="000971A0">
        <w:rPr>
          <w:lang w:val="en-CA"/>
        </w:rPr>
        <w:t>242.</w:t>
      </w:r>
    </w:p>
  </w:footnote>
  <w:footnote w:id="57">
    <w:p w:rsidR="00D24332" w:rsidRPr="00AD6C16" w:rsidRDefault="00D24332" w:rsidP="00162703">
      <w:pPr>
        <w:pStyle w:val="Notedebasdepage"/>
        <w:jc w:val="both"/>
        <w:rPr>
          <w:lang w:val="en-CA"/>
        </w:rPr>
      </w:pPr>
      <w:r>
        <w:rPr>
          <w:rStyle w:val="Appelnotedebasdep"/>
        </w:rPr>
        <w:footnoteRef/>
      </w:r>
      <w:r>
        <w:rPr>
          <w:szCs w:val="24"/>
          <w:lang w:val="en-US"/>
        </w:rPr>
        <w:t xml:space="preserve"> </w:t>
      </w:r>
      <w:r w:rsidRPr="00896238">
        <w:rPr>
          <w:szCs w:val="24"/>
          <w:lang w:val="en-US"/>
        </w:rPr>
        <w:t>Heather</w:t>
      </w:r>
      <w:r>
        <w:rPr>
          <w:szCs w:val="24"/>
          <w:lang w:val="en-US"/>
        </w:rPr>
        <w:t xml:space="preserve"> </w:t>
      </w:r>
      <w:r w:rsidRPr="00896238">
        <w:rPr>
          <w:szCs w:val="24"/>
          <w:lang w:val="en-US"/>
        </w:rPr>
        <w:t xml:space="preserve">Pulliam. </w:t>
      </w:r>
      <w:proofErr w:type="gramStart"/>
      <w:r w:rsidRPr="00896238">
        <w:rPr>
          <w:szCs w:val="24"/>
          <w:lang w:val="en-US"/>
        </w:rPr>
        <w:t>«Color».</w:t>
      </w:r>
      <w:proofErr w:type="gramEnd"/>
      <w:r w:rsidRPr="00896238">
        <w:rPr>
          <w:szCs w:val="24"/>
          <w:lang w:val="en-US"/>
        </w:rPr>
        <w:t xml:space="preserve"> </w:t>
      </w:r>
      <w:proofErr w:type="gramStart"/>
      <w:r w:rsidRPr="00896238">
        <w:rPr>
          <w:i/>
          <w:szCs w:val="24"/>
          <w:lang w:val="en-US"/>
        </w:rPr>
        <w:t>Studies in iconography</w:t>
      </w:r>
      <w:r w:rsidRPr="00896238">
        <w:rPr>
          <w:szCs w:val="24"/>
          <w:lang w:val="en-US"/>
        </w:rPr>
        <w:t>, 33 (2012), p.</w:t>
      </w:r>
      <w:r>
        <w:rPr>
          <w:szCs w:val="24"/>
          <w:lang w:val="en-US"/>
        </w:rPr>
        <w:t>5.</w:t>
      </w:r>
      <w:proofErr w:type="gramEnd"/>
    </w:p>
  </w:footnote>
  <w:footnote w:id="58">
    <w:p w:rsidR="00D24332" w:rsidRPr="00370D78" w:rsidRDefault="00D24332" w:rsidP="00162703">
      <w:pPr>
        <w:pStyle w:val="Notedebasdepage"/>
        <w:jc w:val="both"/>
        <w:rPr>
          <w:lang w:val="en-CA"/>
        </w:rPr>
      </w:pPr>
      <w:r>
        <w:rPr>
          <w:rStyle w:val="Appelnotedebasdep"/>
        </w:rPr>
        <w:footnoteRef/>
      </w:r>
      <w:r w:rsidRPr="00370D78">
        <w:rPr>
          <w:lang w:val="en-CA"/>
        </w:rPr>
        <w:t xml:space="preserve"> </w:t>
      </w:r>
      <w:r>
        <w:rPr>
          <w:i/>
          <w:lang w:val="en-CA"/>
        </w:rPr>
        <w:t>Idem</w:t>
      </w:r>
    </w:p>
  </w:footnote>
  <w:footnote w:id="59">
    <w:p w:rsidR="00D24332" w:rsidRPr="009868DA" w:rsidRDefault="00D24332" w:rsidP="00162703">
      <w:pPr>
        <w:pStyle w:val="Notedebasdepage"/>
        <w:jc w:val="both"/>
        <w:rPr>
          <w:lang w:val="en-CA"/>
        </w:rPr>
      </w:pPr>
      <w:r>
        <w:rPr>
          <w:rStyle w:val="Appelnotedebasdep"/>
        </w:rPr>
        <w:footnoteRef/>
      </w:r>
      <w:r w:rsidRPr="009868DA">
        <w:rPr>
          <w:lang w:val="en-CA"/>
        </w:rPr>
        <w:t xml:space="preserve"> </w:t>
      </w:r>
      <w:proofErr w:type="gramStart"/>
      <w:r>
        <w:rPr>
          <w:i/>
          <w:szCs w:val="24"/>
          <w:lang w:val="en-US"/>
        </w:rPr>
        <w:t>Ibid.</w:t>
      </w:r>
      <w:r>
        <w:rPr>
          <w:szCs w:val="24"/>
          <w:lang w:val="en-US"/>
        </w:rPr>
        <w:t>,</w:t>
      </w:r>
      <w:proofErr w:type="gramEnd"/>
      <w:r w:rsidRPr="00896238">
        <w:rPr>
          <w:szCs w:val="24"/>
          <w:lang w:val="en-US"/>
        </w:rPr>
        <w:t xml:space="preserve"> p.</w:t>
      </w:r>
      <w:r>
        <w:rPr>
          <w:szCs w:val="24"/>
          <w:lang w:val="en-US"/>
        </w:rPr>
        <w:t>8</w:t>
      </w:r>
      <w:r w:rsidRPr="009868DA">
        <w:rPr>
          <w:lang w:val="en-CA"/>
        </w:rPr>
        <w:t>.</w:t>
      </w:r>
    </w:p>
  </w:footnote>
  <w:footnote w:id="60">
    <w:p w:rsidR="00D24332" w:rsidRPr="00FE61B7" w:rsidRDefault="00D24332" w:rsidP="00162703">
      <w:pPr>
        <w:pStyle w:val="Notedebasdepage"/>
        <w:jc w:val="both"/>
        <w:rPr>
          <w:lang w:val="en-CA"/>
        </w:rPr>
      </w:pPr>
      <w:r>
        <w:rPr>
          <w:rStyle w:val="Appelnotedebasdep"/>
        </w:rPr>
        <w:footnoteRef/>
      </w:r>
      <w:r>
        <w:rPr>
          <w:lang w:val="en-CA"/>
        </w:rPr>
        <w:t xml:space="preserve"> </w:t>
      </w:r>
      <w:r w:rsidRPr="007F7EE2">
        <w:rPr>
          <w:lang w:val="en-CA"/>
        </w:rPr>
        <w:t>Jürgen</w:t>
      </w:r>
      <w:r>
        <w:rPr>
          <w:lang w:val="en-CA"/>
        </w:rPr>
        <w:t xml:space="preserve"> </w:t>
      </w:r>
      <w:proofErr w:type="spellStart"/>
      <w:r w:rsidRPr="007F7EE2">
        <w:rPr>
          <w:lang w:val="en-CA"/>
        </w:rPr>
        <w:t>Bärsch</w:t>
      </w:r>
      <w:proofErr w:type="spellEnd"/>
      <w:r w:rsidRPr="007F7EE2">
        <w:rPr>
          <w:lang w:val="en-CA"/>
        </w:rPr>
        <w:t>. «</w:t>
      </w:r>
      <w:proofErr w:type="spellStart"/>
      <w:r w:rsidRPr="007F7EE2">
        <w:rPr>
          <w:lang w:val="en-CA"/>
        </w:rPr>
        <w:t>Farbiger</w:t>
      </w:r>
      <w:proofErr w:type="spellEnd"/>
      <w:r w:rsidRPr="007F7EE2">
        <w:rPr>
          <w:lang w:val="en-CA"/>
        </w:rPr>
        <w:t xml:space="preserve"> </w:t>
      </w:r>
      <w:proofErr w:type="spellStart"/>
      <w:proofErr w:type="gramStart"/>
      <w:r w:rsidRPr="007F7EE2">
        <w:rPr>
          <w:lang w:val="en-CA"/>
        </w:rPr>
        <w:t>Go</w:t>
      </w:r>
      <w:r>
        <w:rPr>
          <w:lang w:val="en-CA"/>
        </w:rPr>
        <w:t>ttesdienst</w:t>
      </w:r>
      <w:proofErr w:type="spellEnd"/>
      <w:r>
        <w:rPr>
          <w:lang w:val="en-CA"/>
        </w:rPr>
        <w:t xml:space="preserve"> :</w:t>
      </w:r>
      <w:proofErr w:type="gramEnd"/>
      <w:r>
        <w:rPr>
          <w:lang w:val="en-CA"/>
        </w:rPr>
        <w:t xml:space="preserve"> </w:t>
      </w:r>
      <w:proofErr w:type="spellStart"/>
      <w:r>
        <w:rPr>
          <w:lang w:val="en-CA"/>
        </w:rPr>
        <w:t>Zur</w:t>
      </w:r>
      <w:proofErr w:type="spellEnd"/>
      <w:r>
        <w:rPr>
          <w:lang w:val="en-CA"/>
        </w:rPr>
        <w:t xml:space="preserve"> </w:t>
      </w:r>
      <w:proofErr w:type="spellStart"/>
      <w:r>
        <w:rPr>
          <w:lang w:val="en-CA"/>
        </w:rPr>
        <w:t>Bedeutung</w:t>
      </w:r>
      <w:proofErr w:type="spellEnd"/>
      <w:r>
        <w:rPr>
          <w:lang w:val="en-CA"/>
        </w:rPr>
        <w:t xml:space="preserve"> der </w:t>
      </w:r>
      <w:proofErr w:type="spellStart"/>
      <w:r>
        <w:rPr>
          <w:lang w:val="en-CA"/>
        </w:rPr>
        <w:t>liturgischen</w:t>
      </w:r>
      <w:proofErr w:type="spellEnd"/>
      <w:r>
        <w:rPr>
          <w:lang w:val="en-CA"/>
        </w:rPr>
        <w:t xml:space="preserve"> </w:t>
      </w:r>
      <w:proofErr w:type="spellStart"/>
      <w:r>
        <w:rPr>
          <w:lang w:val="en-CA"/>
        </w:rPr>
        <w:t>Farben</w:t>
      </w:r>
      <w:proofErr w:type="spellEnd"/>
      <w:r>
        <w:rPr>
          <w:lang w:val="en-CA"/>
        </w:rPr>
        <w:t xml:space="preserve"> in </w:t>
      </w:r>
      <w:proofErr w:type="spellStart"/>
      <w:r>
        <w:rPr>
          <w:lang w:val="en-CA"/>
        </w:rPr>
        <w:t>Vollzug</w:t>
      </w:r>
      <w:proofErr w:type="spellEnd"/>
      <w:r>
        <w:rPr>
          <w:lang w:val="en-CA"/>
        </w:rPr>
        <w:t xml:space="preserve"> und </w:t>
      </w:r>
      <w:proofErr w:type="spellStart"/>
      <w:r>
        <w:rPr>
          <w:lang w:val="en-CA"/>
        </w:rPr>
        <w:t>Wahrnehmung</w:t>
      </w:r>
      <w:proofErr w:type="spellEnd"/>
      <w:r>
        <w:rPr>
          <w:lang w:val="en-CA"/>
        </w:rPr>
        <w:t xml:space="preserve"> der </w:t>
      </w:r>
      <w:proofErr w:type="spellStart"/>
      <w:r>
        <w:rPr>
          <w:lang w:val="en-CA"/>
        </w:rPr>
        <w:t>Liturgie</w:t>
      </w:r>
      <w:proofErr w:type="spellEnd"/>
      <w:r>
        <w:rPr>
          <w:lang w:val="en-CA"/>
        </w:rPr>
        <w:t xml:space="preserve"> </w:t>
      </w:r>
      <w:proofErr w:type="spellStart"/>
      <w:r>
        <w:rPr>
          <w:lang w:val="en-CA"/>
        </w:rPr>
        <w:t>im</w:t>
      </w:r>
      <w:proofErr w:type="spellEnd"/>
      <w:r>
        <w:rPr>
          <w:lang w:val="en-CA"/>
        </w:rPr>
        <w:t xml:space="preserve"> </w:t>
      </w:r>
      <w:proofErr w:type="spellStart"/>
      <w:r>
        <w:rPr>
          <w:lang w:val="en-CA"/>
        </w:rPr>
        <w:t>späten</w:t>
      </w:r>
      <w:proofErr w:type="spellEnd"/>
      <w:r>
        <w:rPr>
          <w:lang w:val="en-CA"/>
        </w:rPr>
        <w:t xml:space="preserve"> </w:t>
      </w:r>
      <w:proofErr w:type="spellStart"/>
      <w:r>
        <w:rPr>
          <w:lang w:val="en-CA"/>
        </w:rPr>
        <w:t>Mittelalter</w:t>
      </w:r>
      <w:proofErr w:type="spellEnd"/>
      <w:r w:rsidRPr="007F7EE2">
        <w:rPr>
          <w:lang w:val="en-CA"/>
        </w:rPr>
        <w:t>»</w:t>
      </w:r>
      <w:r>
        <w:rPr>
          <w:lang w:val="en-CA"/>
        </w:rPr>
        <w:t xml:space="preserve"> </w:t>
      </w:r>
      <w:proofErr w:type="spellStart"/>
      <w:r w:rsidRPr="002C52B1">
        <w:rPr>
          <w:lang w:val="de-DE"/>
        </w:rPr>
        <w:t>dans</w:t>
      </w:r>
      <w:proofErr w:type="spellEnd"/>
      <w:r w:rsidRPr="002C52B1">
        <w:rPr>
          <w:lang w:val="de-DE"/>
        </w:rPr>
        <w:t xml:space="preserve"> Ingrid Bennewitz et Andrea Schindler. </w:t>
      </w:r>
      <w:r w:rsidRPr="002C52B1">
        <w:rPr>
          <w:i/>
          <w:lang w:val="de-DE"/>
        </w:rPr>
        <w:t>Farbe im Mittelalter: Materialität – Medialität – Semantik</w:t>
      </w:r>
      <w:r w:rsidRPr="002C52B1">
        <w:rPr>
          <w:lang w:val="de-DE"/>
        </w:rPr>
        <w:t>, Tome 1. B</w:t>
      </w:r>
      <w:r>
        <w:rPr>
          <w:lang w:val="de-DE"/>
        </w:rPr>
        <w:t>erlin, Akademie Verlag, 2011. p.761.</w:t>
      </w:r>
    </w:p>
  </w:footnote>
  <w:footnote w:id="61">
    <w:p w:rsidR="00D24332" w:rsidRPr="009B2B5C" w:rsidRDefault="00D24332" w:rsidP="00162703">
      <w:pPr>
        <w:pStyle w:val="Notedebasdepage"/>
        <w:jc w:val="both"/>
      </w:pPr>
      <w:r w:rsidRPr="009B2B5C">
        <w:rPr>
          <w:rStyle w:val="Appelnotedebasdep"/>
        </w:rPr>
        <w:footnoteRef/>
      </w:r>
      <w:r w:rsidRPr="00FE61B7">
        <w:t xml:space="preserve"> Isabelle Delaunay. </w:t>
      </w:r>
      <w:r w:rsidRPr="009B2B5C">
        <w:rPr>
          <w:i/>
        </w:rPr>
        <w:t>Échanges artistiques entre livres d’heures, manuscrits et imprimés produits à Paris vers 1480-1500</w:t>
      </w:r>
      <w:r w:rsidRPr="009B2B5C">
        <w:t>. Thèse de doctorat, Paris IV, Sorbonne, 2000, volume 2, p.28-31.</w:t>
      </w:r>
    </w:p>
  </w:footnote>
  <w:footnote w:id="62">
    <w:p w:rsidR="00D24332" w:rsidRPr="009B2B5C" w:rsidRDefault="00D24332" w:rsidP="00162703">
      <w:pPr>
        <w:pStyle w:val="Notedebasdepage"/>
        <w:jc w:val="both"/>
      </w:pPr>
      <w:r w:rsidRPr="009B2B5C">
        <w:rPr>
          <w:rStyle w:val="Appelnotedebasdep"/>
        </w:rPr>
        <w:footnoteRef/>
      </w:r>
      <w:r w:rsidRPr="005B797F">
        <w:rPr>
          <w:lang w:val="en-CA"/>
        </w:rPr>
        <w:t xml:space="preserve"> Les Enluminures. </w:t>
      </w:r>
      <w:proofErr w:type="gramStart"/>
      <w:r w:rsidRPr="009B2B5C">
        <w:rPr>
          <w:i/>
          <w:lang w:val="en-CA"/>
        </w:rPr>
        <w:t>Book of Hours (use of Rome)</w:t>
      </w:r>
      <w:r w:rsidRPr="009B2B5C">
        <w:rPr>
          <w:lang w:val="en-CA"/>
        </w:rPr>
        <w:t>, [</w:t>
      </w:r>
      <w:proofErr w:type="spellStart"/>
      <w:r w:rsidRPr="009B2B5C">
        <w:rPr>
          <w:lang w:val="en-CA"/>
        </w:rPr>
        <w:t>En</w:t>
      </w:r>
      <w:proofErr w:type="spellEnd"/>
      <w:r w:rsidRPr="009B2B5C">
        <w:rPr>
          <w:lang w:val="en-CA"/>
        </w:rPr>
        <w:t xml:space="preserve"> </w:t>
      </w:r>
      <w:proofErr w:type="spellStart"/>
      <w:r w:rsidRPr="009B2B5C">
        <w:rPr>
          <w:lang w:val="en-CA"/>
        </w:rPr>
        <w:t>ligne</w:t>
      </w:r>
      <w:proofErr w:type="spellEnd"/>
      <w:r w:rsidRPr="009B2B5C">
        <w:rPr>
          <w:lang w:val="en-CA"/>
        </w:rPr>
        <w:t>].</w:t>
      </w:r>
      <w:proofErr w:type="gramEnd"/>
      <w:r w:rsidRPr="009B2B5C">
        <w:rPr>
          <w:lang w:val="en-CA"/>
        </w:rPr>
        <w:t xml:space="preserve"> </w:t>
      </w:r>
      <w:r w:rsidR="00424104">
        <w:fldChar w:fldCharType="begin"/>
      </w:r>
      <w:r w:rsidR="00424104" w:rsidRPr="00F23E7C">
        <w:rPr>
          <w:lang w:val="en-CA"/>
        </w:rPr>
        <w:instrText xml:space="preserve"> HYPERLINK "http://www.lesenluminures-france1500.com/pdf/7_boh.pdf" </w:instrText>
      </w:r>
      <w:r w:rsidR="00424104">
        <w:fldChar w:fldCharType="separate"/>
      </w:r>
      <w:r w:rsidRPr="009B2B5C">
        <w:rPr>
          <w:rStyle w:val="Lienhypertexte"/>
          <w:color w:val="auto"/>
        </w:rPr>
        <w:t>http://www.lesenluminures-france1500.com/pdf/7_boh.pdf</w:t>
      </w:r>
      <w:r w:rsidR="00424104">
        <w:rPr>
          <w:rStyle w:val="Lienhypertexte"/>
          <w:color w:val="auto"/>
        </w:rPr>
        <w:fldChar w:fldCharType="end"/>
      </w:r>
      <w:r w:rsidRPr="009B2B5C">
        <w:t xml:space="preserve"> (Page consultée le 11 octobre 2014)</w:t>
      </w:r>
    </w:p>
  </w:footnote>
  <w:footnote w:id="63">
    <w:p w:rsidR="00D24332" w:rsidRPr="009B2B5C" w:rsidRDefault="00D24332" w:rsidP="00162703">
      <w:pPr>
        <w:pStyle w:val="Notedebasdepage"/>
        <w:jc w:val="both"/>
      </w:pPr>
      <w:r w:rsidRPr="009B2B5C">
        <w:rPr>
          <w:rStyle w:val="Appelnotedebasdep"/>
        </w:rPr>
        <w:footnoteRef/>
      </w:r>
      <w:r w:rsidRPr="00964817">
        <w:t xml:space="preserve"> Théophile. </w:t>
      </w:r>
      <w:r w:rsidRPr="009B2B5C">
        <w:rPr>
          <w:i/>
        </w:rPr>
        <w:t xml:space="preserve">De </w:t>
      </w:r>
      <w:proofErr w:type="spellStart"/>
      <w:r w:rsidRPr="009B2B5C">
        <w:rPr>
          <w:i/>
        </w:rPr>
        <w:t>Diversis</w:t>
      </w:r>
      <w:proofErr w:type="spellEnd"/>
      <w:r w:rsidRPr="009B2B5C">
        <w:rPr>
          <w:i/>
        </w:rPr>
        <w:t xml:space="preserve"> </w:t>
      </w:r>
      <w:proofErr w:type="spellStart"/>
      <w:r w:rsidRPr="009B2B5C">
        <w:rPr>
          <w:i/>
        </w:rPr>
        <w:t>Artibus</w:t>
      </w:r>
      <w:proofErr w:type="spellEnd"/>
      <w:r w:rsidRPr="009B2B5C">
        <w:t xml:space="preserve">. Traduction par C.R. </w:t>
      </w:r>
      <w:proofErr w:type="spellStart"/>
      <w:r w:rsidRPr="009B2B5C">
        <w:t>Dodwell</w:t>
      </w:r>
      <w:proofErr w:type="spellEnd"/>
      <w:r w:rsidRPr="009B2B5C">
        <w:t xml:space="preserve">. London, T. Nelson, 1961. </w:t>
      </w:r>
      <w:proofErr w:type="spellStart"/>
      <w:r w:rsidRPr="009B2B5C">
        <w:t>p.IX</w:t>
      </w:r>
      <w:proofErr w:type="spellEnd"/>
      <w:r w:rsidRPr="009B2B5C">
        <w:t>.</w:t>
      </w:r>
    </w:p>
  </w:footnote>
  <w:footnote w:id="64">
    <w:p w:rsidR="00D24332" w:rsidRPr="009B2B5C" w:rsidRDefault="00D24332" w:rsidP="00162703">
      <w:pPr>
        <w:pStyle w:val="Notedebasdepage"/>
        <w:jc w:val="both"/>
        <w:rPr>
          <w:lang w:val="en-CA"/>
        </w:rPr>
      </w:pPr>
      <w:r w:rsidRPr="009B2B5C">
        <w:rPr>
          <w:rStyle w:val="Appelnotedebasdep"/>
        </w:rPr>
        <w:footnoteRef/>
      </w:r>
      <w:r w:rsidRPr="009B2B5C">
        <w:t xml:space="preserve"> Théophile. </w:t>
      </w:r>
      <w:r w:rsidRPr="009B2B5C">
        <w:rPr>
          <w:i/>
        </w:rPr>
        <w:t xml:space="preserve">De </w:t>
      </w:r>
      <w:proofErr w:type="spellStart"/>
      <w:r w:rsidRPr="009B2B5C">
        <w:rPr>
          <w:i/>
        </w:rPr>
        <w:t>Diversis</w:t>
      </w:r>
      <w:proofErr w:type="spellEnd"/>
      <w:r w:rsidRPr="009B2B5C">
        <w:rPr>
          <w:i/>
        </w:rPr>
        <w:t xml:space="preserve"> </w:t>
      </w:r>
      <w:proofErr w:type="spellStart"/>
      <w:r w:rsidRPr="009B2B5C">
        <w:rPr>
          <w:i/>
        </w:rPr>
        <w:t>Artibus</w:t>
      </w:r>
      <w:proofErr w:type="spellEnd"/>
      <w:r w:rsidRPr="009B2B5C">
        <w:t xml:space="preserve">. Traduction par C.R. </w:t>
      </w:r>
      <w:proofErr w:type="spellStart"/>
      <w:r w:rsidRPr="009B2B5C">
        <w:t>Dodwell</w:t>
      </w:r>
      <w:proofErr w:type="spellEnd"/>
      <w:r w:rsidRPr="009B2B5C">
        <w:t xml:space="preserve">. </w:t>
      </w:r>
      <w:r w:rsidRPr="009B2B5C">
        <w:rPr>
          <w:lang w:val="en-CA"/>
        </w:rPr>
        <w:t xml:space="preserve">London, T. Nelson, 1961. </w:t>
      </w:r>
      <w:proofErr w:type="gramStart"/>
      <w:r w:rsidRPr="009B2B5C">
        <w:rPr>
          <w:lang w:val="en-CA"/>
        </w:rPr>
        <w:t>p.26.</w:t>
      </w:r>
      <w:proofErr w:type="gramEnd"/>
    </w:p>
  </w:footnote>
  <w:footnote w:id="65">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proofErr w:type="gramStart"/>
      <w:r w:rsidRPr="009B2B5C">
        <w:rPr>
          <w:i/>
          <w:lang w:val="en-CA"/>
        </w:rPr>
        <w:t>Ibid.</w:t>
      </w:r>
      <w:r w:rsidRPr="009B2B5C">
        <w:rPr>
          <w:lang w:val="en-CA"/>
        </w:rPr>
        <w:t>,</w:t>
      </w:r>
      <w:proofErr w:type="gramEnd"/>
      <w:r w:rsidRPr="009B2B5C">
        <w:rPr>
          <w:lang w:val="en-CA"/>
        </w:rPr>
        <w:t xml:space="preserve"> p.27.</w:t>
      </w:r>
    </w:p>
  </w:footnote>
  <w:footnote w:id="66">
    <w:p w:rsidR="00D24332" w:rsidRPr="009B2B5C" w:rsidRDefault="00D24332" w:rsidP="00162703">
      <w:pPr>
        <w:pStyle w:val="Notedebasdepage"/>
        <w:jc w:val="both"/>
      </w:pPr>
      <w:r w:rsidRPr="009B2B5C">
        <w:rPr>
          <w:rStyle w:val="Appelnotedebasdep"/>
        </w:rPr>
        <w:footnoteRef/>
      </w:r>
      <w:r w:rsidRPr="009B2B5C">
        <w:t xml:space="preserve"> Philip Ball. </w:t>
      </w:r>
      <w:r w:rsidRPr="009B2B5C">
        <w:rPr>
          <w:i/>
        </w:rPr>
        <w:t>Histoire vivante des couleurs; 5000 ans de peinture racontée par les pigments</w:t>
      </w:r>
      <w:r w:rsidRPr="009B2B5C">
        <w:t>. Paris, Hazan, 2010. p.147.</w:t>
      </w:r>
    </w:p>
  </w:footnote>
  <w:footnote w:id="67">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p.149.</w:t>
      </w:r>
    </w:p>
  </w:footnote>
  <w:footnote w:id="68">
    <w:p w:rsidR="00D24332" w:rsidRPr="009B2B5C" w:rsidRDefault="00D24332" w:rsidP="00162703">
      <w:pPr>
        <w:pStyle w:val="Notedebasdepage"/>
        <w:jc w:val="both"/>
      </w:pPr>
      <w:r w:rsidRPr="009B2B5C">
        <w:rPr>
          <w:rStyle w:val="Appelnotedebasdep"/>
        </w:rPr>
        <w:footnoteRef/>
      </w:r>
      <w:r w:rsidRPr="009B2B5C">
        <w:t xml:space="preserve"> Philip Ball. </w:t>
      </w:r>
      <w:r w:rsidRPr="009B2B5C">
        <w:rPr>
          <w:i/>
        </w:rPr>
        <w:t>Histoire vivante des couleurs; 5000 ans de peinture racontée par les pigments</w:t>
      </w:r>
      <w:r w:rsidRPr="009B2B5C">
        <w:t>. Paris, Hazan, 2010. p.149-150.</w:t>
      </w:r>
    </w:p>
  </w:footnote>
  <w:footnote w:id="69">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p.140.</w:t>
      </w:r>
    </w:p>
  </w:footnote>
  <w:footnote w:id="70">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p.150.</w:t>
      </w:r>
    </w:p>
  </w:footnote>
  <w:footnote w:id="71">
    <w:p w:rsidR="00D24332" w:rsidRPr="009B2B5C" w:rsidRDefault="00D24332" w:rsidP="00162703">
      <w:pPr>
        <w:pStyle w:val="Notedebasdepage"/>
        <w:jc w:val="both"/>
      </w:pPr>
      <w:r w:rsidRPr="009B2B5C">
        <w:rPr>
          <w:rStyle w:val="Appelnotedebasdep"/>
        </w:rPr>
        <w:footnoteRef/>
      </w:r>
      <w:r w:rsidRPr="009B2B5C">
        <w:t xml:space="preserve"> On peut trouver du soufre de différentes couleurs. Il peut être soit noir, blanc ou jaune.</w:t>
      </w:r>
    </w:p>
  </w:footnote>
  <w:footnote w:id="72">
    <w:p w:rsidR="00D24332" w:rsidRPr="009B2B5C" w:rsidRDefault="00D24332" w:rsidP="00162703">
      <w:pPr>
        <w:pStyle w:val="Notedebasdepage"/>
        <w:jc w:val="both"/>
      </w:pPr>
      <w:r w:rsidRPr="009B2B5C">
        <w:rPr>
          <w:rStyle w:val="Appelnotedebasdep"/>
        </w:rPr>
        <w:footnoteRef/>
      </w:r>
      <w:r w:rsidRPr="009B2B5C">
        <w:t xml:space="preserve"> Philip Ball. </w:t>
      </w:r>
      <w:r w:rsidRPr="009B2B5C">
        <w:rPr>
          <w:i/>
        </w:rPr>
        <w:t>Histoire vivante des couleurs; 5000 ans de peinture racontée par les pigments</w:t>
      </w:r>
      <w:r w:rsidRPr="009B2B5C">
        <w:t>. Paris, Hazan, 2010. p.143-145.</w:t>
      </w:r>
    </w:p>
  </w:footnote>
  <w:footnote w:id="73">
    <w:p w:rsidR="00D24332" w:rsidRPr="009B2B5C" w:rsidRDefault="00D24332" w:rsidP="00162703">
      <w:pPr>
        <w:pStyle w:val="Notedebasdepage"/>
        <w:jc w:val="both"/>
        <w:rPr>
          <w:lang w:val="en-CA"/>
        </w:rPr>
      </w:pPr>
      <w:r w:rsidRPr="009B2B5C">
        <w:rPr>
          <w:rStyle w:val="Appelnotedebasdep"/>
        </w:rPr>
        <w:footnoteRef/>
      </w:r>
      <w:r w:rsidRPr="007D09B6">
        <w:t xml:space="preserve"> Théophile. </w:t>
      </w:r>
      <w:r w:rsidRPr="009B2B5C">
        <w:rPr>
          <w:i/>
        </w:rPr>
        <w:t xml:space="preserve">De </w:t>
      </w:r>
      <w:proofErr w:type="spellStart"/>
      <w:r w:rsidRPr="009B2B5C">
        <w:rPr>
          <w:i/>
        </w:rPr>
        <w:t>Diversis</w:t>
      </w:r>
      <w:proofErr w:type="spellEnd"/>
      <w:r w:rsidRPr="009B2B5C">
        <w:rPr>
          <w:i/>
        </w:rPr>
        <w:t xml:space="preserve"> </w:t>
      </w:r>
      <w:proofErr w:type="spellStart"/>
      <w:r w:rsidRPr="009B2B5C">
        <w:rPr>
          <w:i/>
        </w:rPr>
        <w:t>Artibus</w:t>
      </w:r>
      <w:proofErr w:type="spellEnd"/>
      <w:r w:rsidRPr="009B2B5C">
        <w:t xml:space="preserve">. Traduction par C.R. </w:t>
      </w:r>
      <w:proofErr w:type="spellStart"/>
      <w:r w:rsidRPr="009B2B5C">
        <w:t>Dodwell</w:t>
      </w:r>
      <w:proofErr w:type="spellEnd"/>
      <w:r w:rsidRPr="009B2B5C">
        <w:t xml:space="preserve">. </w:t>
      </w:r>
      <w:r w:rsidRPr="009B2B5C">
        <w:rPr>
          <w:lang w:val="en-CA"/>
        </w:rPr>
        <w:t xml:space="preserve">London, T. Nelson, 1961. </w:t>
      </w:r>
      <w:proofErr w:type="gramStart"/>
      <w:r w:rsidRPr="009B2B5C">
        <w:rPr>
          <w:lang w:val="en-CA"/>
        </w:rPr>
        <w:t>p.32.</w:t>
      </w:r>
      <w:proofErr w:type="gramEnd"/>
    </w:p>
  </w:footnote>
  <w:footnote w:id="74">
    <w:p w:rsidR="00D24332" w:rsidRPr="009B2B5C" w:rsidRDefault="00D24332" w:rsidP="00162703">
      <w:pPr>
        <w:pStyle w:val="Notedebasdepage"/>
        <w:jc w:val="both"/>
        <w:rPr>
          <w:lang w:val="en-CA"/>
        </w:rPr>
      </w:pPr>
      <w:r w:rsidRPr="009B2B5C">
        <w:rPr>
          <w:rStyle w:val="Appelnotedebasdep"/>
        </w:rPr>
        <w:footnoteRef/>
      </w:r>
      <w:r w:rsidRPr="00FB5608">
        <w:rPr>
          <w:lang w:val="en-CA"/>
        </w:rPr>
        <w:t xml:space="preserve"> </w:t>
      </w:r>
      <w:r w:rsidRPr="009B2B5C">
        <w:rPr>
          <w:lang w:val="en-CA"/>
        </w:rPr>
        <w:t xml:space="preserve">Ball, </w:t>
      </w:r>
      <w:proofErr w:type="spellStart"/>
      <w:proofErr w:type="gramStart"/>
      <w:r w:rsidRPr="009B2B5C">
        <w:rPr>
          <w:i/>
          <w:lang w:val="en-CA"/>
        </w:rPr>
        <w:t>op.cit</w:t>
      </w:r>
      <w:proofErr w:type="spellEnd"/>
      <w:r w:rsidRPr="009B2B5C">
        <w:rPr>
          <w:i/>
          <w:lang w:val="en-CA"/>
        </w:rPr>
        <w:t>.</w:t>
      </w:r>
      <w:r w:rsidRPr="009B2B5C">
        <w:rPr>
          <w:lang w:val="en-CA"/>
        </w:rPr>
        <w:t>,</w:t>
      </w:r>
      <w:proofErr w:type="gramEnd"/>
      <w:r w:rsidRPr="009B2B5C">
        <w:rPr>
          <w:lang w:val="en-CA"/>
        </w:rPr>
        <w:t xml:space="preserve"> p.152.</w:t>
      </w:r>
    </w:p>
  </w:footnote>
  <w:footnote w:id="75">
    <w:p w:rsidR="00D24332" w:rsidRPr="005B797F" w:rsidRDefault="00D24332" w:rsidP="00162703">
      <w:pPr>
        <w:pStyle w:val="Notedebasdepage"/>
        <w:jc w:val="both"/>
      </w:pPr>
      <w:r w:rsidRPr="009B2B5C">
        <w:rPr>
          <w:rStyle w:val="Appelnotedebasdep"/>
        </w:rPr>
        <w:footnoteRef/>
      </w:r>
      <w:r w:rsidRPr="009B2B5C">
        <w:t xml:space="preserve"> Théophile</w:t>
      </w:r>
      <w:r w:rsidRPr="005B797F">
        <w:t xml:space="preserve">, </w:t>
      </w:r>
      <w:r w:rsidRPr="005B797F">
        <w:rPr>
          <w:i/>
        </w:rPr>
        <w:t>op.cit.</w:t>
      </w:r>
      <w:r w:rsidRPr="005B797F">
        <w:t>, p.33.</w:t>
      </w:r>
    </w:p>
  </w:footnote>
  <w:footnote w:id="76">
    <w:p w:rsidR="00D24332" w:rsidRPr="007D09B6" w:rsidRDefault="00D24332" w:rsidP="00162703">
      <w:pPr>
        <w:pStyle w:val="Notedebasdepage"/>
        <w:jc w:val="both"/>
      </w:pPr>
      <w:r w:rsidRPr="009B2B5C">
        <w:rPr>
          <w:rStyle w:val="Appelnotedebasdep"/>
        </w:rPr>
        <w:footnoteRef/>
      </w:r>
      <w:r w:rsidRPr="005B797F">
        <w:t xml:space="preserve"> Philip Ball. </w:t>
      </w:r>
      <w:r w:rsidRPr="009B2B5C">
        <w:rPr>
          <w:i/>
        </w:rPr>
        <w:t>Histoire vivante des couleurs; 5000 ans de peinture racontée par les pigments</w:t>
      </w:r>
      <w:r w:rsidRPr="009B2B5C">
        <w:t>. Paris, Hazan, 2010. p.</w:t>
      </w:r>
      <w:r w:rsidRPr="007D09B6">
        <w:t>152-153.</w:t>
      </w:r>
    </w:p>
  </w:footnote>
  <w:footnote w:id="77">
    <w:p w:rsidR="00D24332" w:rsidRPr="00A10B30" w:rsidRDefault="00D24332" w:rsidP="00162703">
      <w:pPr>
        <w:pStyle w:val="Notedebasdepage"/>
        <w:jc w:val="both"/>
      </w:pPr>
      <w:r>
        <w:rPr>
          <w:rStyle w:val="Appelnotedebasdep"/>
        </w:rPr>
        <w:footnoteRef/>
      </w:r>
      <w:r w:rsidRPr="00A10B30">
        <w:t xml:space="preserve"> </w:t>
      </w:r>
      <w:r w:rsidRPr="00FE61B7">
        <w:t>Michel</w:t>
      </w:r>
      <w:r>
        <w:t xml:space="preserve"> </w:t>
      </w:r>
      <w:r w:rsidRPr="00FE61B7">
        <w:t>Pastoureau. «</w:t>
      </w:r>
      <w:hyperlink r:id="rId4" w:history="1">
        <w:r w:rsidRPr="00FE61B7">
          <w:rPr>
            <w:rStyle w:val="Lienhypertexte"/>
            <w:color w:val="auto"/>
            <w:u w:val="none"/>
          </w:rPr>
          <w:t>Une couleur en mutation: le vert à la fin du Moyen Âge</w:t>
        </w:r>
      </w:hyperlink>
      <w:r w:rsidRPr="00FE61B7">
        <w:t xml:space="preserve">». </w:t>
      </w:r>
      <w:hyperlink r:id="rId5" w:history="1">
        <w:r w:rsidRPr="00FE61B7">
          <w:rPr>
            <w:rStyle w:val="Lienhypertexte"/>
            <w:i/>
            <w:color w:val="auto"/>
            <w:u w:val="none"/>
          </w:rPr>
          <w:t xml:space="preserve">Académie des inscriptions et belles-lettres. </w:t>
        </w:r>
        <w:proofErr w:type="spellStart"/>
        <w:r w:rsidRPr="00FE61B7">
          <w:rPr>
            <w:rStyle w:val="Lienhypertexte"/>
            <w:i/>
            <w:color w:val="auto"/>
            <w:u w:val="none"/>
          </w:rPr>
          <w:t>Comptes-rendus</w:t>
        </w:r>
        <w:proofErr w:type="spellEnd"/>
        <w:r w:rsidRPr="00FE61B7">
          <w:rPr>
            <w:rStyle w:val="Lienhypertexte"/>
            <w:i/>
            <w:color w:val="auto"/>
            <w:u w:val="none"/>
          </w:rPr>
          <w:t xml:space="preserve"> des séances</w:t>
        </w:r>
      </w:hyperlink>
      <w:r w:rsidRPr="00FE61B7">
        <w:rPr>
          <w:i/>
        </w:rPr>
        <w:t xml:space="preserve">, </w:t>
      </w:r>
      <w:r w:rsidRPr="00FE61B7">
        <w:t>2 (2007), p.</w:t>
      </w:r>
      <w:r>
        <w:t>715.</w:t>
      </w:r>
    </w:p>
  </w:footnote>
  <w:footnote w:id="78">
    <w:p w:rsidR="00D24332" w:rsidRPr="00A10B30" w:rsidRDefault="00D24332" w:rsidP="00162703">
      <w:pPr>
        <w:pStyle w:val="Notedebasdepage"/>
        <w:jc w:val="both"/>
      </w:pPr>
      <w:r>
        <w:rPr>
          <w:rStyle w:val="Appelnotedebasdep"/>
        </w:rPr>
        <w:footnoteRef/>
      </w:r>
      <w:r w:rsidRPr="00A10B30">
        <w:t xml:space="preserve"> </w:t>
      </w:r>
      <w:r w:rsidRPr="009B2B5C">
        <w:rPr>
          <w:i/>
        </w:rPr>
        <w:t>Ibid.</w:t>
      </w:r>
      <w:r w:rsidRPr="009B2B5C">
        <w:t>, p.</w:t>
      </w:r>
      <w:r>
        <w:t>709.</w:t>
      </w:r>
    </w:p>
  </w:footnote>
  <w:footnote w:id="79">
    <w:p w:rsidR="00D24332" w:rsidRPr="009B2B5C" w:rsidRDefault="00D24332" w:rsidP="00162703">
      <w:pPr>
        <w:pStyle w:val="Notedebasdepage"/>
        <w:jc w:val="both"/>
        <w:rPr>
          <w:lang w:val="en-CA"/>
        </w:rPr>
      </w:pPr>
      <w:r w:rsidRPr="009B2B5C">
        <w:rPr>
          <w:rStyle w:val="Appelnotedebasdep"/>
        </w:rPr>
        <w:footnoteRef/>
      </w:r>
      <w:r w:rsidRPr="00277E47">
        <w:t xml:space="preserve"> </w:t>
      </w:r>
      <w:r w:rsidRPr="009B2B5C">
        <w:t xml:space="preserve">Théophile. </w:t>
      </w:r>
      <w:r w:rsidRPr="009B2B5C">
        <w:rPr>
          <w:i/>
        </w:rPr>
        <w:t xml:space="preserve">De </w:t>
      </w:r>
      <w:proofErr w:type="spellStart"/>
      <w:r w:rsidRPr="009B2B5C">
        <w:rPr>
          <w:i/>
        </w:rPr>
        <w:t>Diversis</w:t>
      </w:r>
      <w:proofErr w:type="spellEnd"/>
      <w:r w:rsidRPr="009B2B5C">
        <w:rPr>
          <w:i/>
        </w:rPr>
        <w:t xml:space="preserve"> </w:t>
      </w:r>
      <w:proofErr w:type="spellStart"/>
      <w:r w:rsidRPr="009B2B5C">
        <w:rPr>
          <w:i/>
        </w:rPr>
        <w:t>Artibus</w:t>
      </w:r>
      <w:proofErr w:type="spellEnd"/>
      <w:r w:rsidRPr="009B2B5C">
        <w:t xml:space="preserve">. Traduction par C.R. </w:t>
      </w:r>
      <w:proofErr w:type="spellStart"/>
      <w:r w:rsidRPr="009B2B5C">
        <w:t>Dodwell</w:t>
      </w:r>
      <w:proofErr w:type="spellEnd"/>
      <w:r w:rsidRPr="009B2B5C">
        <w:t xml:space="preserve">. </w:t>
      </w:r>
      <w:r w:rsidRPr="009B2B5C">
        <w:rPr>
          <w:lang w:val="en-CA"/>
        </w:rPr>
        <w:t xml:space="preserve">London, T. Nelson, 1961. </w:t>
      </w:r>
      <w:proofErr w:type="gramStart"/>
      <w:r w:rsidRPr="009B2B5C">
        <w:rPr>
          <w:lang w:val="en-CA"/>
        </w:rPr>
        <w:t>p.33.</w:t>
      </w:r>
      <w:proofErr w:type="gramEnd"/>
    </w:p>
  </w:footnote>
  <w:footnote w:id="80">
    <w:p w:rsidR="00D24332" w:rsidRPr="007D09B6" w:rsidRDefault="00D24332" w:rsidP="00162703">
      <w:pPr>
        <w:pStyle w:val="Notedebasdepage"/>
        <w:jc w:val="both"/>
      </w:pPr>
      <w:r w:rsidRPr="009B2B5C">
        <w:rPr>
          <w:rStyle w:val="Appelnotedebasdep"/>
        </w:rPr>
        <w:footnoteRef/>
      </w:r>
      <w:r w:rsidRPr="009B2B5C">
        <w:rPr>
          <w:lang w:val="en-CA"/>
        </w:rPr>
        <w:t xml:space="preserve"> </w:t>
      </w:r>
      <w:r w:rsidRPr="00277E47">
        <w:rPr>
          <w:lang w:val="en-CA"/>
        </w:rPr>
        <w:t xml:space="preserve">Philip Ball. </w:t>
      </w:r>
      <w:r w:rsidRPr="009B2B5C">
        <w:rPr>
          <w:i/>
        </w:rPr>
        <w:t>Histoire vivante des couleurs; 5000 ans de peinture racontée par les pigments</w:t>
      </w:r>
      <w:r w:rsidRPr="009B2B5C">
        <w:t>. Paris, Hazan, 2010. p.</w:t>
      </w:r>
      <w:r w:rsidRPr="007D09B6">
        <w:t>138.</w:t>
      </w:r>
    </w:p>
  </w:footnote>
  <w:footnote w:id="81">
    <w:p w:rsidR="00D24332" w:rsidRPr="009B2B5C" w:rsidRDefault="00D24332" w:rsidP="00162703">
      <w:pPr>
        <w:pStyle w:val="Notedebasdepage"/>
        <w:jc w:val="both"/>
      </w:pPr>
      <w:r w:rsidRPr="009B2B5C">
        <w:rPr>
          <w:rStyle w:val="Appelnotedebasdep"/>
        </w:rPr>
        <w:footnoteRef/>
      </w:r>
      <w:r w:rsidRPr="009B2B5C">
        <w:t xml:space="preserve"> Philip Ball. </w:t>
      </w:r>
      <w:r w:rsidRPr="009B2B5C">
        <w:rPr>
          <w:i/>
        </w:rPr>
        <w:t>Histoire vivante des couleurs; 5000 ans de peinture racontée par les pigments</w:t>
      </w:r>
      <w:r w:rsidRPr="009B2B5C">
        <w:t>. Paris, Hazan, 2010. p.344-345.</w:t>
      </w:r>
    </w:p>
  </w:footnote>
  <w:footnote w:id="82">
    <w:p w:rsidR="00D24332" w:rsidRPr="009B2B5C" w:rsidRDefault="00D24332" w:rsidP="00162703">
      <w:pPr>
        <w:pStyle w:val="Notedebasdepage"/>
        <w:jc w:val="both"/>
      </w:pPr>
      <w:r w:rsidRPr="009B2B5C">
        <w:rPr>
          <w:rStyle w:val="Appelnotedebasdep"/>
        </w:rPr>
        <w:footnoteRef/>
      </w:r>
      <w:r>
        <w:t xml:space="preserve"> </w:t>
      </w:r>
      <w:r w:rsidRPr="00FB5608">
        <w:rPr>
          <w:i/>
        </w:rPr>
        <w:t>Ibid.</w:t>
      </w:r>
      <w:r w:rsidRPr="00FB5608">
        <w:t>, p.</w:t>
      </w:r>
      <w:r w:rsidRPr="009B2B5C">
        <w:t>139.</w:t>
      </w:r>
    </w:p>
  </w:footnote>
  <w:footnote w:id="83">
    <w:p w:rsidR="00D24332" w:rsidRPr="009B2B5C" w:rsidRDefault="00D24332" w:rsidP="00162703">
      <w:pPr>
        <w:pStyle w:val="Notedebasdepage"/>
        <w:jc w:val="both"/>
      </w:pPr>
      <w:r w:rsidRPr="009B2B5C">
        <w:rPr>
          <w:rStyle w:val="Appelnotedebasdep"/>
        </w:rPr>
        <w:footnoteRef/>
      </w:r>
      <w:r w:rsidRPr="009B2B5C">
        <w:t xml:space="preserve"> </w:t>
      </w:r>
      <w:r w:rsidRPr="00FB5608">
        <w:rPr>
          <w:i/>
        </w:rPr>
        <w:t>Ibid.</w:t>
      </w:r>
      <w:r w:rsidRPr="00FB5608">
        <w:t>, p.</w:t>
      </w:r>
      <w:r w:rsidRPr="009B2B5C">
        <w:t>141.</w:t>
      </w:r>
    </w:p>
  </w:footnote>
  <w:footnote w:id="84">
    <w:p w:rsidR="00D24332" w:rsidRPr="007D09B6" w:rsidRDefault="00D24332" w:rsidP="00162703">
      <w:pPr>
        <w:pStyle w:val="Notedebasdepage"/>
        <w:jc w:val="both"/>
        <w:rPr>
          <w:lang w:val="en-CA"/>
        </w:rPr>
      </w:pPr>
      <w:r w:rsidRPr="009B2B5C">
        <w:rPr>
          <w:rStyle w:val="Appelnotedebasdep"/>
        </w:rPr>
        <w:footnoteRef/>
      </w:r>
      <w:r w:rsidRPr="009B2B5C">
        <w:t xml:space="preserve"> Théophile. </w:t>
      </w:r>
      <w:r w:rsidRPr="009B2B5C">
        <w:rPr>
          <w:i/>
        </w:rPr>
        <w:t xml:space="preserve">De </w:t>
      </w:r>
      <w:proofErr w:type="spellStart"/>
      <w:r w:rsidRPr="009B2B5C">
        <w:rPr>
          <w:i/>
        </w:rPr>
        <w:t>Diversis</w:t>
      </w:r>
      <w:proofErr w:type="spellEnd"/>
      <w:r w:rsidRPr="009B2B5C">
        <w:rPr>
          <w:i/>
        </w:rPr>
        <w:t xml:space="preserve"> </w:t>
      </w:r>
      <w:proofErr w:type="spellStart"/>
      <w:r w:rsidRPr="009B2B5C">
        <w:rPr>
          <w:i/>
        </w:rPr>
        <w:t>Artibus</w:t>
      </w:r>
      <w:proofErr w:type="spellEnd"/>
      <w:r w:rsidRPr="009B2B5C">
        <w:t xml:space="preserve">. Traduction par C.R. </w:t>
      </w:r>
      <w:proofErr w:type="spellStart"/>
      <w:r w:rsidRPr="009B2B5C">
        <w:t>Dodwell</w:t>
      </w:r>
      <w:proofErr w:type="spellEnd"/>
      <w:r w:rsidRPr="009B2B5C">
        <w:t xml:space="preserve">. </w:t>
      </w:r>
      <w:r w:rsidRPr="007D09B6">
        <w:rPr>
          <w:lang w:val="en-CA"/>
        </w:rPr>
        <w:t xml:space="preserve">London, T. Nelson, 1961. </w:t>
      </w:r>
      <w:proofErr w:type="gramStart"/>
      <w:r w:rsidRPr="007D09B6">
        <w:rPr>
          <w:lang w:val="en-CA"/>
        </w:rPr>
        <w:t>p.30.</w:t>
      </w:r>
      <w:proofErr w:type="gramEnd"/>
    </w:p>
  </w:footnote>
  <w:footnote w:id="85">
    <w:p w:rsidR="00D24332" w:rsidRPr="009B2B5C" w:rsidRDefault="00D24332" w:rsidP="00162703">
      <w:pPr>
        <w:pStyle w:val="Notedebasdepage"/>
        <w:jc w:val="both"/>
        <w:rPr>
          <w:lang w:val="en-CA"/>
        </w:rPr>
      </w:pPr>
      <w:r w:rsidRPr="009B2B5C">
        <w:rPr>
          <w:rStyle w:val="Appelnotedebasdep"/>
        </w:rPr>
        <w:footnoteRef/>
      </w:r>
      <w:r w:rsidRPr="007D09B6">
        <w:rPr>
          <w:lang w:val="en-CA"/>
        </w:rPr>
        <w:t xml:space="preserve"> Philip Ball. </w:t>
      </w:r>
      <w:r w:rsidRPr="009B2B5C">
        <w:rPr>
          <w:i/>
        </w:rPr>
        <w:t>Histoire vivante des couleurs; 5000 ans de peinture racontée par les pigments</w:t>
      </w:r>
      <w:r w:rsidRPr="009B2B5C">
        <w:t xml:space="preserve">. </w:t>
      </w:r>
      <w:r w:rsidRPr="007D09B6">
        <w:rPr>
          <w:lang w:val="en-CA"/>
        </w:rPr>
        <w:t xml:space="preserve">Paris, </w:t>
      </w:r>
      <w:proofErr w:type="spellStart"/>
      <w:r w:rsidRPr="007D09B6">
        <w:rPr>
          <w:lang w:val="en-CA"/>
        </w:rPr>
        <w:t>Hazan</w:t>
      </w:r>
      <w:proofErr w:type="spellEnd"/>
      <w:r w:rsidRPr="007D09B6">
        <w:rPr>
          <w:lang w:val="en-CA"/>
        </w:rPr>
        <w:t xml:space="preserve">, 2010. </w:t>
      </w:r>
      <w:proofErr w:type="gramStart"/>
      <w:r w:rsidRPr="007D09B6">
        <w:rPr>
          <w:lang w:val="en-CA"/>
        </w:rPr>
        <w:t>p.</w:t>
      </w:r>
      <w:r w:rsidRPr="009B2B5C">
        <w:rPr>
          <w:lang w:val="en-CA"/>
        </w:rPr>
        <w:t>141.</w:t>
      </w:r>
      <w:proofErr w:type="gramEnd"/>
    </w:p>
  </w:footnote>
  <w:footnote w:id="86">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proofErr w:type="gramStart"/>
      <w:r w:rsidRPr="009B2B5C">
        <w:rPr>
          <w:i/>
          <w:lang w:val="en-CA"/>
        </w:rPr>
        <w:t>Ibid.</w:t>
      </w:r>
      <w:r w:rsidRPr="009B2B5C">
        <w:rPr>
          <w:lang w:val="en-CA"/>
        </w:rPr>
        <w:t>,</w:t>
      </w:r>
      <w:proofErr w:type="gramEnd"/>
      <w:r w:rsidRPr="009B2B5C">
        <w:rPr>
          <w:lang w:val="en-CA"/>
        </w:rPr>
        <w:t xml:space="preserve"> p.142.</w:t>
      </w:r>
    </w:p>
  </w:footnote>
  <w:footnote w:id="87">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proofErr w:type="gramStart"/>
      <w:r w:rsidRPr="009B2B5C">
        <w:rPr>
          <w:i/>
          <w:lang w:val="en-CA"/>
        </w:rPr>
        <w:t>Ibid.</w:t>
      </w:r>
      <w:r w:rsidRPr="009B2B5C">
        <w:rPr>
          <w:lang w:val="en-CA"/>
        </w:rPr>
        <w:t>,</w:t>
      </w:r>
      <w:proofErr w:type="gramEnd"/>
      <w:r w:rsidRPr="009B2B5C">
        <w:rPr>
          <w:lang w:val="en-CA"/>
        </w:rPr>
        <w:t xml:space="preserve"> p.143.</w:t>
      </w:r>
    </w:p>
  </w:footnote>
  <w:footnote w:id="88">
    <w:p w:rsidR="00D24332" w:rsidRPr="009B2B5C" w:rsidRDefault="00D24332" w:rsidP="00162703">
      <w:pPr>
        <w:pStyle w:val="Notedebasdepage"/>
        <w:jc w:val="both"/>
      </w:pPr>
      <w:r w:rsidRPr="009B2B5C">
        <w:rPr>
          <w:rStyle w:val="Appelnotedebasdep"/>
        </w:rPr>
        <w:footnoteRef/>
      </w:r>
      <w:r w:rsidRPr="009B2B5C">
        <w:rPr>
          <w:lang w:val="en-CA"/>
        </w:rPr>
        <w:t xml:space="preserve"> </w:t>
      </w:r>
      <w:proofErr w:type="spellStart"/>
      <w:proofErr w:type="gramStart"/>
      <w:r w:rsidRPr="009B2B5C">
        <w:rPr>
          <w:lang w:val="en-CA"/>
        </w:rPr>
        <w:t>Anonyme</w:t>
      </w:r>
      <w:proofErr w:type="spellEnd"/>
      <w:r w:rsidRPr="009B2B5C">
        <w:rPr>
          <w:lang w:val="en-CA"/>
        </w:rPr>
        <w:t>.</w:t>
      </w:r>
      <w:proofErr w:type="gramEnd"/>
      <w:r w:rsidRPr="009B2B5C">
        <w:rPr>
          <w:lang w:val="en-CA"/>
        </w:rPr>
        <w:t xml:space="preserve"> </w:t>
      </w:r>
      <w:r w:rsidRPr="009B2B5C">
        <w:rPr>
          <w:i/>
          <w:lang w:val="en-CA"/>
        </w:rPr>
        <w:t xml:space="preserve">An Anonymous Fourteenth-Century Treatise; De Arte </w:t>
      </w:r>
      <w:proofErr w:type="spellStart"/>
      <w:r w:rsidRPr="009B2B5C">
        <w:rPr>
          <w:i/>
          <w:lang w:val="en-CA"/>
        </w:rPr>
        <w:t>Illuminandi</w:t>
      </w:r>
      <w:proofErr w:type="spellEnd"/>
      <w:r w:rsidRPr="009B2B5C">
        <w:rPr>
          <w:i/>
          <w:lang w:val="en-CA"/>
        </w:rPr>
        <w:t xml:space="preserve">; </w:t>
      </w:r>
      <w:proofErr w:type="gramStart"/>
      <w:r w:rsidRPr="009B2B5C">
        <w:rPr>
          <w:i/>
          <w:lang w:val="en-CA"/>
        </w:rPr>
        <w:t>The</w:t>
      </w:r>
      <w:proofErr w:type="gramEnd"/>
      <w:r w:rsidRPr="009B2B5C">
        <w:rPr>
          <w:i/>
          <w:lang w:val="en-CA"/>
        </w:rPr>
        <w:t xml:space="preserve"> Technique of Manuscript Illumination</w:t>
      </w:r>
      <w:r w:rsidRPr="009B2B5C">
        <w:rPr>
          <w:lang w:val="en-CA"/>
        </w:rPr>
        <w:t xml:space="preserve">. </w:t>
      </w:r>
      <w:proofErr w:type="spellStart"/>
      <w:r w:rsidRPr="009B2B5C">
        <w:rPr>
          <w:lang w:val="en-CA"/>
        </w:rPr>
        <w:t>Traduction</w:t>
      </w:r>
      <w:proofErr w:type="spellEnd"/>
      <w:r w:rsidRPr="009B2B5C">
        <w:rPr>
          <w:lang w:val="en-CA"/>
        </w:rPr>
        <w:t xml:space="preserve"> par Daniel Varney Thompson, Jr. </w:t>
      </w:r>
      <w:proofErr w:type="gramStart"/>
      <w:r w:rsidRPr="009B2B5C">
        <w:rPr>
          <w:lang w:val="en-CA"/>
        </w:rPr>
        <w:t>et</w:t>
      </w:r>
      <w:proofErr w:type="gramEnd"/>
      <w:r w:rsidRPr="009B2B5C">
        <w:rPr>
          <w:lang w:val="en-CA"/>
        </w:rPr>
        <w:t xml:space="preserve"> George Heard Hamilton. </w:t>
      </w:r>
      <w:r w:rsidRPr="009B2B5C">
        <w:t xml:space="preserve">New </w:t>
      </w:r>
      <w:proofErr w:type="spellStart"/>
      <w:r w:rsidRPr="009B2B5C">
        <w:t>Haven</w:t>
      </w:r>
      <w:proofErr w:type="spellEnd"/>
      <w:r w:rsidRPr="009B2B5C">
        <w:t xml:space="preserve">, Yale </w:t>
      </w:r>
      <w:proofErr w:type="spellStart"/>
      <w:r w:rsidRPr="009B2B5C">
        <w:t>University</w:t>
      </w:r>
      <w:proofErr w:type="spellEnd"/>
      <w:r w:rsidRPr="009B2B5C">
        <w:t xml:space="preserve"> </w:t>
      </w:r>
      <w:proofErr w:type="spellStart"/>
      <w:r w:rsidRPr="009B2B5C">
        <w:t>Press</w:t>
      </w:r>
      <w:proofErr w:type="spellEnd"/>
      <w:r w:rsidRPr="009B2B5C">
        <w:t>, 1933. p.2.</w:t>
      </w:r>
    </w:p>
  </w:footnote>
  <w:footnote w:id="89">
    <w:p w:rsidR="00D24332" w:rsidRPr="009B2B5C" w:rsidRDefault="00D24332" w:rsidP="00162703">
      <w:pPr>
        <w:pStyle w:val="Notedebasdepage"/>
        <w:jc w:val="both"/>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Paris, Flammarion, 2000. p.236.</w:t>
      </w:r>
    </w:p>
  </w:footnote>
  <w:footnote w:id="90">
    <w:p w:rsidR="00D24332" w:rsidRPr="009B2B5C" w:rsidRDefault="00D24332" w:rsidP="00162703">
      <w:pPr>
        <w:pStyle w:val="Notedebasdepage"/>
        <w:jc w:val="both"/>
      </w:pPr>
      <w:r w:rsidRPr="009B2B5C">
        <w:rPr>
          <w:rStyle w:val="Appelnotedebasdep"/>
        </w:rPr>
        <w:footnoteRef/>
      </w:r>
      <w:r w:rsidRPr="009B2B5C">
        <w:t xml:space="preserve"> Viviane </w:t>
      </w:r>
      <w:proofErr w:type="spellStart"/>
      <w:r w:rsidRPr="009B2B5C">
        <w:t>Huchard</w:t>
      </w:r>
      <w:proofErr w:type="spellEnd"/>
      <w:r w:rsidRPr="009B2B5C">
        <w:t xml:space="preserve"> et Pascale Bourgain. </w:t>
      </w:r>
      <w:r w:rsidRPr="009B2B5C">
        <w:rPr>
          <w:i/>
        </w:rPr>
        <w:t>Le jardin médiéval : un musée imaginaire</w:t>
      </w:r>
      <w:r w:rsidRPr="009B2B5C">
        <w:t>. Paris, Presses universitaires de France, 2002. p.15.</w:t>
      </w:r>
    </w:p>
  </w:footnote>
  <w:footnote w:id="91">
    <w:p w:rsidR="00D24332" w:rsidRPr="009B2B5C" w:rsidRDefault="00D24332" w:rsidP="00162703">
      <w:pPr>
        <w:pStyle w:val="Notedebasdepage"/>
        <w:jc w:val="both"/>
      </w:pPr>
      <w:r w:rsidRPr="009B2B5C">
        <w:rPr>
          <w:rStyle w:val="Appelnotedebasdep"/>
        </w:rPr>
        <w:footnoteRef/>
      </w:r>
      <w:r w:rsidRPr="009B2B5C">
        <w:t xml:space="preserve"> Jean </w:t>
      </w:r>
      <w:proofErr w:type="spellStart"/>
      <w:r w:rsidRPr="009B2B5C">
        <w:t>Wirth</w:t>
      </w:r>
      <w:proofErr w:type="spellEnd"/>
      <w:r w:rsidRPr="009B2B5C">
        <w:t xml:space="preserve">. </w:t>
      </w:r>
      <w:r w:rsidRPr="009B2B5C">
        <w:rPr>
          <w:i/>
        </w:rPr>
        <w:t>Les marges à drôleries des manuscrits gothiques</w:t>
      </w:r>
      <w:r w:rsidRPr="009B2B5C">
        <w:t>. Genève, Librairie Droz, 2008. p.74.</w:t>
      </w:r>
    </w:p>
  </w:footnote>
  <w:footnote w:id="92">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p.11.</w:t>
      </w:r>
    </w:p>
  </w:footnote>
  <w:footnote w:id="93">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p.71-74.</w:t>
      </w:r>
    </w:p>
  </w:footnote>
  <w:footnote w:id="94">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Bleu : Histoire d’une couleur</w:t>
      </w:r>
      <w:r w:rsidRPr="009B2B5C">
        <w:t>. Paris, Éditions du Seuil, 2006. p.31.</w:t>
      </w:r>
    </w:p>
  </w:footnote>
  <w:footnote w:id="95">
    <w:p w:rsidR="00D24332" w:rsidRPr="007D09B6" w:rsidRDefault="00D24332" w:rsidP="00162703">
      <w:pPr>
        <w:pStyle w:val="Notedebasdepage"/>
        <w:jc w:val="both"/>
      </w:pPr>
      <w:r w:rsidRPr="009B2B5C">
        <w:rPr>
          <w:rStyle w:val="Appelnotedebasdep"/>
        </w:rPr>
        <w:footnoteRef/>
      </w:r>
      <w:r w:rsidRPr="007D09B6">
        <w:t xml:space="preserve"> </w:t>
      </w:r>
      <w:r w:rsidRPr="007D09B6">
        <w:rPr>
          <w:i/>
        </w:rPr>
        <w:t>Ibid.</w:t>
      </w:r>
      <w:r w:rsidRPr="007D09B6">
        <w:t>, p.32.</w:t>
      </w:r>
    </w:p>
  </w:footnote>
  <w:footnote w:id="96">
    <w:p w:rsidR="00D24332" w:rsidRPr="007D09B6" w:rsidRDefault="00D24332" w:rsidP="00162703">
      <w:pPr>
        <w:pStyle w:val="Notedebasdepage"/>
        <w:jc w:val="both"/>
      </w:pPr>
      <w:r w:rsidRPr="009B2B5C">
        <w:rPr>
          <w:rStyle w:val="Appelnotedebasdep"/>
        </w:rPr>
        <w:footnoteRef/>
      </w:r>
      <w:r w:rsidRPr="007D09B6">
        <w:t xml:space="preserve"> </w:t>
      </w:r>
      <w:r w:rsidRPr="007D09B6">
        <w:rPr>
          <w:i/>
        </w:rPr>
        <w:t>Ibid.</w:t>
      </w:r>
      <w:r w:rsidRPr="007D09B6">
        <w:t>, p.31.</w:t>
      </w:r>
    </w:p>
  </w:footnote>
  <w:footnote w:id="97">
    <w:p w:rsidR="00D24332" w:rsidRPr="00277E47" w:rsidRDefault="00D24332" w:rsidP="00162703">
      <w:pPr>
        <w:pStyle w:val="Notedebasdepage"/>
        <w:jc w:val="both"/>
      </w:pPr>
      <w:r w:rsidRPr="009B2B5C">
        <w:rPr>
          <w:rStyle w:val="Appelnotedebasdep"/>
        </w:rPr>
        <w:footnoteRef/>
      </w:r>
      <w:r w:rsidRPr="00277E47">
        <w:t xml:space="preserve"> </w:t>
      </w:r>
      <w:r w:rsidRPr="009B2B5C">
        <w:t xml:space="preserve">Michel Pastoureau. </w:t>
      </w:r>
      <w:r w:rsidRPr="009B2B5C">
        <w:rPr>
          <w:i/>
        </w:rPr>
        <w:t>Bleu : Histoire d’une couleur</w:t>
      </w:r>
      <w:r w:rsidRPr="009B2B5C">
        <w:t>. Paris, Éditions du Seuil, 2006. p.</w:t>
      </w:r>
      <w:r w:rsidRPr="00277E47">
        <w:t>32.</w:t>
      </w:r>
    </w:p>
  </w:footnote>
  <w:footnote w:id="98">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p.44.</w:t>
      </w:r>
    </w:p>
  </w:footnote>
  <w:footnote w:id="99">
    <w:p w:rsidR="00D24332" w:rsidRPr="009B2B5C" w:rsidRDefault="00D24332" w:rsidP="00162703">
      <w:pPr>
        <w:pStyle w:val="Notedebasdepage"/>
        <w:jc w:val="both"/>
      </w:pPr>
      <w:r w:rsidRPr="009B2B5C">
        <w:rPr>
          <w:rStyle w:val="Appelnotedebasdep"/>
        </w:rPr>
        <w:footnoteRef/>
      </w:r>
      <w:r w:rsidRPr="009B2B5C">
        <w:t xml:space="preserve"> Renvoi CD</w:t>
      </w:r>
    </w:p>
  </w:footnote>
  <w:footnote w:id="100">
    <w:p w:rsidR="00D24332" w:rsidRPr="009B2B5C" w:rsidRDefault="00D24332" w:rsidP="00162703">
      <w:pPr>
        <w:pStyle w:val="Notedebasdepage"/>
        <w:jc w:val="both"/>
      </w:pPr>
      <w:r w:rsidRPr="009B2B5C">
        <w:rPr>
          <w:rStyle w:val="Appelnotedebasdep"/>
        </w:rPr>
        <w:footnoteRef/>
      </w:r>
      <w:r w:rsidRPr="009B2B5C">
        <w:t xml:space="preserve"> Renvoi CD</w:t>
      </w:r>
    </w:p>
  </w:footnote>
  <w:footnote w:id="101">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Noir : Histoire d’une couleur</w:t>
      </w:r>
      <w:r w:rsidRPr="009B2B5C">
        <w:t>. Paris, Éditions du Seuil, 2008. p.57.</w:t>
      </w:r>
    </w:p>
  </w:footnote>
  <w:footnote w:id="102">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Noir : Histoire d’une couleur</w:t>
      </w:r>
      <w:r w:rsidRPr="009B2B5C">
        <w:t>. Paris, Éditions du Seuil, 2008. p.57.</w:t>
      </w:r>
    </w:p>
  </w:footnote>
  <w:footnote w:id="103">
    <w:p w:rsidR="00D24332" w:rsidRPr="007D09B6" w:rsidRDefault="00D24332" w:rsidP="00162703">
      <w:pPr>
        <w:pStyle w:val="Notedebasdepage"/>
        <w:jc w:val="both"/>
        <w:rPr>
          <w:lang w:val="en-CA"/>
        </w:rPr>
      </w:pPr>
      <w:r w:rsidRPr="009B2B5C">
        <w:rPr>
          <w:rStyle w:val="Appelnotedebasdep"/>
        </w:rPr>
        <w:footnoteRef/>
      </w:r>
      <w:r w:rsidRPr="007D09B6">
        <w:rPr>
          <w:lang w:val="en-CA"/>
        </w:rPr>
        <w:t xml:space="preserve"> </w:t>
      </w:r>
      <w:r w:rsidRPr="007D09B6">
        <w:rPr>
          <w:i/>
          <w:lang w:val="en-CA"/>
        </w:rPr>
        <w:t>Ibid.</w:t>
      </w:r>
      <w:r w:rsidRPr="007D09B6">
        <w:rPr>
          <w:lang w:val="en-CA"/>
        </w:rPr>
        <w:t>, p.80</w:t>
      </w:r>
    </w:p>
  </w:footnote>
  <w:footnote w:id="104">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Marina Linares. « </w:t>
      </w:r>
      <w:proofErr w:type="spellStart"/>
      <w:r w:rsidRPr="009B2B5C">
        <w:rPr>
          <w:lang w:val="en-CA"/>
        </w:rPr>
        <w:t>Kunst</w:t>
      </w:r>
      <w:proofErr w:type="spellEnd"/>
      <w:r w:rsidRPr="009B2B5C">
        <w:rPr>
          <w:lang w:val="en-CA"/>
        </w:rPr>
        <w:t xml:space="preserve"> und </w:t>
      </w:r>
      <w:proofErr w:type="spellStart"/>
      <w:proofErr w:type="gramStart"/>
      <w:r w:rsidRPr="009B2B5C">
        <w:rPr>
          <w:lang w:val="en-CA"/>
        </w:rPr>
        <w:t>Kultur</w:t>
      </w:r>
      <w:proofErr w:type="spellEnd"/>
      <w:r w:rsidRPr="009B2B5C">
        <w:rPr>
          <w:lang w:val="en-CA"/>
        </w:rPr>
        <w:t> :</w:t>
      </w:r>
      <w:proofErr w:type="gramEnd"/>
      <w:r w:rsidRPr="009B2B5C">
        <w:rPr>
          <w:lang w:val="en-CA"/>
        </w:rPr>
        <w:t xml:space="preserve"> </w:t>
      </w:r>
      <w:proofErr w:type="spellStart"/>
      <w:r w:rsidRPr="009B2B5C">
        <w:rPr>
          <w:lang w:val="en-CA"/>
        </w:rPr>
        <w:t>Farbschemata</w:t>
      </w:r>
      <w:proofErr w:type="spellEnd"/>
      <w:r w:rsidRPr="009B2B5C">
        <w:rPr>
          <w:lang w:val="en-CA"/>
        </w:rPr>
        <w:t xml:space="preserve"> und </w:t>
      </w:r>
      <w:proofErr w:type="spellStart"/>
      <w:r w:rsidRPr="009B2B5C">
        <w:rPr>
          <w:lang w:val="en-CA"/>
        </w:rPr>
        <w:t>Farbsymbole</w:t>
      </w:r>
      <w:proofErr w:type="spellEnd"/>
      <w:r w:rsidRPr="009B2B5C">
        <w:rPr>
          <w:lang w:val="en-CA"/>
        </w:rPr>
        <w:t>»</w:t>
      </w:r>
      <w:r w:rsidRPr="009B2B5C">
        <w:rPr>
          <w:lang w:val="de-DE"/>
        </w:rPr>
        <w:t xml:space="preserve">, </w:t>
      </w:r>
      <w:proofErr w:type="spellStart"/>
      <w:r w:rsidRPr="009B2B5C">
        <w:rPr>
          <w:lang w:val="de-DE"/>
        </w:rPr>
        <w:t>dans</w:t>
      </w:r>
      <w:proofErr w:type="spellEnd"/>
      <w:r w:rsidRPr="009B2B5C">
        <w:rPr>
          <w:lang w:val="de-DE"/>
        </w:rPr>
        <w:t xml:space="preserve"> </w:t>
      </w:r>
      <w:r w:rsidRPr="009B2B5C">
        <w:rPr>
          <w:shd w:val="clear" w:color="auto" w:fill="FFFFFF"/>
          <w:lang w:val="de-DE"/>
        </w:rPr>
        <w:t xml:space="preserve">Ingrid Bennewitz et Andrea Schindler, </w:t>
      </w:r>
      <w:r w:rsidRPr="009B2B5C">
        <w:rPr>
          <w:bCs/>
          <w:i/>
          <w:lang w:val="de-DE"/>
        </w:rPr>
        <w:t>Farbe im Mittelalter: Materialität - Medialität – Semantik</w:t>
      </w:r>
      <w:r w:rsidRPr="009B2B5C">
        <w:rPr>
          <w:bCs/>
          <w:lang w:val="de-DE"/>
        </w:rPr>
        <w:t>, Tome I,</w:t>
      </w:r>
      <w:r w:rsidRPr="009B2B5C">
        <w:rPr>
          <w:shd w:val="clear" w:color="auto" w:fill="FFFFFF"/>
          <w:lang w:val="de-DE"/>
        </w:rPr>
        <w:t xml:space="preserve"> Berlin, Akademie Verlag, 2011</w:t>
      </w:r>
      <w:r w:rsidRPr="009B2B5C">
        <w:rPr>
          <w:bCs/>
          <w:lang w:val="de-DE"/>
        </w:rPr>
        <w:t>, p.305.</w:t>
      </w:r>
    </w:p>
  </w:footnote>
  <w:footnote w:id="105">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p.167.</w:t>
      </w:r>
    </w:p>
  </w:footnote>
  <w:footnote w:id="106">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p.168.</w:t>
      </w:r>
    </w:p>
  </w:footnote>
  <w:footnote w:id="107">
    <w:p w:rsidR="00D24332" w:rsidRPr="009B2B5C" w:rsidRDefault="00D24332" w:rsidP="00162703">
      <w:pPr>
        <w:pStyle w:val="Notedebasdepage"/>
        <w:jc w:val="both"/>
        <w:rPr>
          <w:lang w:val="de-DE"/>
        </w:rPr>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w:t>
      </w:r>
      <w:r w:rsidRPr="009B2B5C">
        <w:rPr>
          <w:lang w:val="de-DE"/>
        </w:rPr>
        <w:t>Paris, Flammarion, 2000. p.108.</w:t>
      </w:r>
    </w:p>
  </w:footnote>
  <w:footnote w:id="108">
    <w:p w:rsidR="00D24332" w:rsidRPr="009B2B5C" w:rsidRDefault="00D24332" w:rsidP="00162703">
      <w:pPr>
        <w:pStyle w:val="Notedebasdepage"/>
        <w:jc w:val="both"/>
        <w:rPr>
          <w:lang w:val="en-CA"/>
        </w:rPr>
      </w:pPr>
      <w:r w:rsidRPr="009B2B5C">
        <w:rPr>
          <w:rStyle w:val="Appelnotedebasdep"/>
        </w:rPr>
        <w:footnoteRef/>
      </w:r>
      <w:r w:rsidRPr="009B2B5C">
        <w:rPr>
          <w:lang w:val="en-CA"/>
        </w:rPr>
        <w:t xml:space="preserve"> </w:t>
      </w:r>
      <w:r w:rsidRPr="009B2B5C">
        <w:rPr>
          <w:lang w:val="de-DE"/>
        </w:rPr>
        <w:t xml:space="preserve">Patrizia </w:t>
      </w:r>
      <w:proofErr w:type="spellStart"/>
      <w:r w:rsidRPr="009B2B5C">
        <w:rPr>
          <w:lang w:val="de-DE"/>
        </w:rPr>
        <w:t>Carmassi</w:t>
      </w:r>
      <w:proofErr w:type="spellEnd"/>
      <w:r w:rsidRPr="009B2B5C">
        <w:rPr>
          <w:lang w:val="de-DE"/>
        </w:rPr>
        <w:t>. « </w:t>
      </w:r>
      <w:proofErr w:type="spellStart"/>
      <w:r w:rsidRPr="009B2B5C">
        <w:rPr>
          <w:lang w:val="de-DE"/>
        </w:rPr>
        <w:t>Purpurismum</w:t>
      </w:r>
      <w:proofErr w:type="spellEnd"/>
      <w:r w:rsidRPr="009B2B5C">
        <w:rPr>
          <w:lang w:val="de-DE"/>
        </w:rPr>
        <w:t xml:space="preserve"> in </w:t>
      </w:r>
      <w:proofErr w:type="spellStart"/>
      <w:r w:rsidRPr="009B2B5C">
        <w:rPr>
          <w:lang w:val="de-DE"/>
        </w:rPr>
        <w:t>martyrio</w:t>
      </w:r>
      <w:proofErr w:type="spellEnd"/>
      <w:r w:rsidRPr="009B2B5C">
        <w:rPr>
          <w:lang w:val="de-DE"/>
        </w:rPr>
        <w:t xml:space="preserve"> : Die Farbe des Blutes in mittelalterlichen Handschriften », </w:t>
      </w:r>
      <w:proofErr w:type="spellStart"/>
      <w:r w:rsidRPr="009B2B5C">
        <w:rPr>
          <w:lang w:val="de-DE"/>
        </w:rPr>
        <w:t>dans</w:t>
      </w:r>
      <w:proofErr w:type="spellEnd"/>
      <w:r w:rsidRPr="009B2B5C">
        <w:rPr>
          <w:lang w:val="de-DE"/>
        </w:rPr>
        <w:t xml:space="preserve"> </w:t>
      </w:r>
      <w:r w:rsidRPr="009B2B5C">
        <w:rPr>
          <w:shd w:val="clear" w:color="auto" w:fill="FFFFFF"/>
          <w:lang w:val="de-DE"/>
        </w:rPr>
        <w:t xml:space="preserve">Ingrid Bennewitz et Andrea Schindler, </w:t>
      </w:r>
      <w:r w:rsidRPr="009B2B5C">
        <w:rPr>
          <w:bCs/>
          <w:i/>
          <w:lang w:val="de-DE"/>
        </w:rPr>
        <w:t>Farbe im Mittelalter: Materialität - Medialität – Semantik</w:t>
      </w:r>
      <w:r w:rsidRPr="009B2B5C">
        <w:rPr>
          <w:bCs/>
          <w:lang w:val="de-DE"/>
        </w:rPr>
        <w:t>, Tome I,</w:t>
      </w:r>
      <w:r w:rsidRPr="009B2B5C">
        <w:rPr>
          <w:shd w:val="clear" w:color="auto" w:fill="FFFFFF"/>
          <w:lang w:val="de-DE"/>
        </w:rPr>
        <w:t xml:space="preserve"> Berlin, Akademie Verlag, 2011</w:t>
      </w:r>
      <w:r w:rsidRPr="009B2B5C">
        <w:rPr>
          <w:bCs/>
          <w:lang w:val="de-DE"/>
        </w:rPr>
        <w:t>, p.</w:t>
      </w:r>
      <w:r>
        <w:rPr>
          <w:bCs/>
          <w:lang w:val="de-DE"/>
        </w:rPr>
        <w:t>254.</w:t>
      </w:r>
    </w:p>
  </w:footnote>
  <w:footnote w:id="109">
    <w:p w:rsidR="00D24332" w:rsidRPr="009B2B5C" w:rsidRDefault="00D24332" w:rsidP="00162703">
      <w:pPr>
        <w:pStyle w:val="Notedebasdepage"/>
        <w:jc w:val="both"/>
        <w:rPr>
          <w:lang w:val="de-DE"/>
        </w:rPr>
      </w:pPr>
      <w:r w:rsidRPr="009B2B5C">
        <w:rPr>
          <w:rStyle w:val="Appelnotedebasdep"/>
        </w:rPr>
        <w:footnoteRef/>
      </w:r>
      <w:r w:rsidRPr="009B2B5C">
        <w:rPr>
          <w:lang w:val="de-DE"/>
        </w:rPr>
        <w:t xml:space="preserve"> Patrizia </w:t>
      </w:r>
      <w:proofErr w:type="spellStart"/>
      <w:r w:rsidRPr="009B2B5C">
        <w:rPr>
          <w:lang w:val="de-DE"/>
        </w:rPr>
        <w:t>Carmassi</w:t>
      </w:r>
      <w:proofErr w:type="spellEnd"/>
      <w:r w:rsidRPr="009B2B5C">
        <w:rPr>
          <w:lang w:val="de-DE"/>
        </w:rPr>
        <w:t>. « </w:t>
      </w:r>
      <w:proofErr w:type="spellStart"/>
      <w:r w:rsidRPr="009B2B5C">
        <w:rPr>
          <w:lang w:val="de-DE"/>
        </w:rPr>
        <w:t>Purpurismum</w:t>
      </w:r>
      <w:proofErr w:type="spellEnd"/>
      <w:r w:rsidRPr="009B2B5C">
        <w:rPr>
          <w:lang w:val="de-DE"/>
        </w:rPr>
        <w:t xml:space="preserve"> in </w:t>
      </w:r>
      <w:proofErr w:type="spellStart"/>
      <w:r w:rsidRPr="009B2B5C">
        <w:rPr>
          <w:lang w:val="de-DE"/>
        </w:rPr>
        <w:t>martyrio</w:t>
      </w:r>
      <w:proofErr w:type="spellEnd"/>
      <w:r w:rsidRPr="009B2B5C">
        <w:rPr>
          <w:lang w:val="de-DE"/>
        </w:rPr>
        <w:t xml:space="preserve"> : Die Farbe des Blutes in mittelalterlichen Handschriften », </w:t>
      </w:r>
      <w:proofErr w:type="spellStart"/>
      <w:r w:rsidRPr="009B2B5C">
        <w:rPr>
          <w:lang w:val="de-DE"/>
        </w:rPr>
        <w:t>dans</w:t>
      </w:r>
      <w:proofErr w:type="spellEnd"/>
      <w:r w:rsidRPr="009B2B5C">
        <w:rPr>
          <w:lang w:val="de-DE"/>
        </w:rPr>
        <w:t xml:space="preserve"> </w:t>
      </w:r>
      <w:r w:rsidRPr="009B2B5C">
        <w:rPr>
          <w:shd w:val="clear" w:color="auto" w:fill="FFFFFF"/>
          <w:lang w:val="de-DE"/>
        </w:rPr>
        <w:t xml:space="preserve">Ingrid Bennewitz et Andrea Schindler, </w:t>
      </w:r>
      <w:r w:rsidRPr="009B2B5C">
        <w:rPr>
          <w:bCs/>
          <w:i/>
          <w:lang w:val="de-DE"/>
        </w:rPr>
        <w:t>Farbe im Mittelalter: Materialität - Medialität – Semantik</w:t>
      </w:r>
      <w:r w:rsidRPr="009B2B5C">
        <w:rPr>
          <w:bCs/>
          <w:lang w:val="de-DE"/>
        </w:rPr>
        <w:t>, Tome I,</w:t>
      </w:r>
      <w:r w:rsidRPr="009B2B5C">
        <w:rPr>
          <w:shd w:val="clear" w:color="auto" w:fill="FFFFFF"/>
          <w:lang w:val="de-DE"/>
        </w:rPr>
        <w:t xml:space="preserve"> Berlin, Akademie Verlag, 2011</w:t>
      </w:r>
      <w:r w:rsidRPr="009B2B5C">
        <w:rPr>
          <w:bCs/>
          <w:lang w:val="de-DE"/>
        </w:rPr>
        <w:t>, p.255.</w:t>
      </w:r>
    </w:p>
  </w:footnote>
  <w:footnote w:id="110">
    <w:p w:rsidR="00D24332" w:rsidRPr="009B2B5C" w:rsidRDefault="00D24332" w:rsidP="00162703">
      <w:pPr>
        <w:pStyle w:val="Titre1"/>
        <w:shd w:val="clear" w:color="auto" w:fill="FFFFFF"/>
        <w:spacing w:before="0" w:line="240" w:lineRule="auto"/>
        <w:jc w:val="both"/>
        <w:rPr>
          <w:rFonts w:ascii="Times New Roman" w:hAnsi="Times New Roman" w:cs="Times New Roman"/>
          <w:b w:val="0"/>
          <w:bCs w:val="0"/>
          <w:color w:val="auto"/>
          <w:sz w:val="20"/>
          <w:szCs w:val="20"/>
        </w:rPr>
      </w:pPr>
      <w:r w:rsidRPr="009B2B5C">
        <w:rPr>
          <w:rStyle w:val="Appelnotedebasdep"/>
          <w:rFonts w:ascii="Times New Roman" w:hAnsi="Times New Roman" w:cs="Times New Roman"/>
          <w:b w:val="0"/>
          <w:color w:val="auto"/>
          <w:sz w:val="20"/>
          <w:szCs w:val="20"/>
        </w:rPr>
        <w:footnoteRef/>
      </w:r>
      <w:r w:rsidRPr="009B2B5C">
        <w:rPr>
          <w:rFonts w:ascii="Times New Roman" w:hAnsi="Times New Roman" w:cs="Times New Roman"/>
          <w:b w:val="0"/>
          <w:color w:val="auto"/>
          <w:sz w:val="20"/>
          <w:szCs w:val="20"/>
        </w:rPr>
        <w:t xml:space="preserve"> </w:t>
      </w:r>
      <w:r w:rsidRPr="009B2B5C">
        <w:rPr>
          <w:rFonts w:ascii="Times New Roman" w:hAnsi="Times New Roman" w:cs="Times New Roman"/>
          <w:b w:val="0"/>
          <w:i/>
          <w:color w:val="auto"/>
          <w:sz w:val="20"/>
          <w:szCs w:val="20"/>
        </w:rPr>
        <w:t>Ibid.</w:t>
      </w:r>
      <w:r w:rsidRPr="009B2B5C">
        <w:rPr>
          <w:rFonts w:ascii="Times New Roman" w:hAnsi="Times New Roman" w:cs="Times New Roman"/>
          <w:b w:val="0"/>
          <w:color w:val="auto"/>
          <w:sz w:val="20"/>
          <w:szCs w:val="20"/>
        </w:rPr>
        <w:t>, p.</w:t>
      </w:r>
      <w:r w:rsidRPr="009B2B5C">
        <w:rPr>
          <w:rFonts w:ascii="Times New Roman" w:hAnsi="Times New Roman" w:cs="Times New Roman"/>
          <w:b w:val="0"/>
          <w:bCs w:val="0"/>
          <w:color w:val="auto"/>
          <w:sz w:val="20"/>
          <w:szCs w:val="20"/>
        </w:rPr>
        <w:t>253.</w:t>
      </w:r>
    </w:p>
  </w:footnote>
  <w:footnote w:id="111">
    <w:p w:rsidR="00D24332" w:rsidRPr="009B2B5C" w:rsidRDefault="00D24332" w:rsidP="00162703">
      <w:pPr>
        <w:pStyle w:val="Notedebasdepage"/>
        <w:jc w:val="both"/>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w:t>
      </w:r>
      <w:r w:rsidRPr="009B2B5C">
        <w:rPr>
          <w:lang w:val="de-DE"/>
        </w:rPr>
        <w:t>Paris, Flammarion, 2000. p.</w:t>
      </w:r>
      <w:r w:rsidRPr="009B2B5C">
        <w:t>108.</w:t>
      </w:r>
    </w:p>
  </w:footnote>
  <w:footnote w:id="112">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p.197.</w:t>
      </w:r>
    </w:p>
  </w:footnote>
  <w:footnote w:id="113">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p.163.</w:t>
      </w:r>
    </w:p>
  </w:footnote>
  <w:footnote w:id="114">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p.165.</w:t>
      </w:r>
    </w:p>
  </w:footnote>
  <w:footnote w:id="115">
    <w:p w:rsidR="00D24332" w:rsidRPr="00D24332" w:rsidRDefault="00D24332" w:rsidP="00162703">
      <w:pPr>
        <w:pStyle w:val="Notedebasdepage"/>
        <w:jc w:val="both"/>
        <w:rPr>
          <w:lang w:val="en-CA"/>
        </w:rPr>
      </w:pPr>
      <w:r w:rsidRPr="009B2B5C">
        <w:rPr>
          <w:rStyle w:val="Appelnotedebasdep"/>
        </w:rPr>
        <w:footnoteRef/>
      </w:r>
      <w:r w:rsidRPr="009B2B5C">
        <w:t xml:space="preserve"> Anna </w:t>
      </w:r>
      <w:proofErr w:type="spellStart"/>
      <w:r w:rsidRPr="009B2B5C">
        <w:t>Bartl</w:t>
      </w:r>
      <w:proofErr w:type="spellEnd"/>
      <w:r w:rsidRPr="009B2B5C">
        <w:t xml:space="preserve"> et Manfred </w:t>
      </w:r>
      <w:proofErr w:type="spellStart"/>
      <w:r w:rsidRPr="009B2B5C">
        <w:t>Lautenschagler</w:t>
      </w:r>
      <w:proofErr w:type="spellEnd"/>
      <w:r w:rsidRPr="009B2B5C">
        <w:t xml:space="preserve">. </w:t>
      </w:r>
      <w:r w:rsidRPr="00D24332">
        <w:rPr>
          <w:lang w:val="en-CA"/>
        </w:rPr>
        <w:t>«Die Farben des Goldes : Glanzvergoldung in der Buchmalerei des Mittelalters»</w:t>
      </w:r>
      <w:r w:rsidRPr="009B2B5C">
        <w:rPr>
          <w:lang w:val="de-DE"/>
        </w:rPr>
        <w:t xml:space="preserve">, </w:t>
      </w:r>
      <w:proofErr w:type="spellStart"/>
      <w:r w:rsidRPr="009B2B5C">
        <w:rPr>
          <w:lang w:val="de-DE"/>
        </w:rPr>
        <w:t>dans</w:t>
      </w:r>
      <w:proofErr w:type="spellEnd"/>
      <w:r w:rsidRPr="009B2B5C">
        <w:rPr>
          <w:lang w:val="de-DE"/>
        </w:rPr>
        <w:t xml:space="preserve"> </w:t>
      </w:r>
      <w:r w:rsidRPr="009B2B5C">
        <w:rPr>
          <w:shd w:val="clear" w:color="auto" w:fill="FFFFFF"/>
          <w:lang w:val="de-DE"/>
        </w:rPr>
        <w:t xml:space="preserve">Ingrid Bennewitz et Andrea Schindler, </w:t>
      </w:r>
      <w:r w:rsidRPr="009B2B5C">
        <w:rPr>
          <w:bCs/>
          <w:i/>
          <w:lang w:val="de-DE"/>
        </w:rPr>
        <w:t>Farbe im Mittelalter: Materialität - Medialität – Semantik</w:t>
      </w:r>
      <w:r w:rsidRPr="009B2B5C">
        <w:rPr>
          <w:bCs/>
          <w:lang w:val="de-DE"/>
        </w:rPr>
        <w:t>, Tome I,</w:t>
      </w:r>
      <w:r w:rsidRPr="009B2B5C">
        <w:rPr>
          <w:shd w:val="clear" w:color="auto" w:fill="FFFFFF"/>
          <w:lang w:val="de-DE"/>
        </w:rPr>
        <w:t xml:space="preserve"> Berlin, Akademie Verlag, 2011</w:t>
      </w:r>
      <w:r w:rsidRPr="009B2B5C">
        <w:rPr>
          <w:bCs/>
          <w:lang w:val="de-DE"/>
        </w:rPr>
        <w:t>, p.275.</w:t>
      </w:r>
    </w:p>
  </w:footnote>
  <w:footnote w:id="116">
    <w:p w:rsidR="00D24332" w:rsidRPr="009B2B5C" w:rsidRDefault="00D24332" w:rsidP="00162703">
      <w:pPr>
        <w:pStyle w:val="Notedebasdepage"/>
        <w:jc w:val="both"/>
      </w:pPr>
      <w:r w:rsidRPr="009B2B5C">
        <w:rPr>
          <w:rStyle w:val="Appelnotedebasdep"/>
        </w:rPr>
        <w:footnoteRef/>
      </w:r>
      <w:r w:rsidRPr="009B2B5C">
        <w:t xml:space="preserve"> Suger. </w:t>
      </w:r>
      <w:r w:rsidRPr="009B2B5C">
        <w:rPr>
          <w:i/>
        </w:rPr>
        <w:t>Œuvres : Tome 1</w:t>
      </w:r>
      <w:r w:rsidRPr="009B2B5C">
        <w:t>. Traduction par Françoise Gasparri. Paris, Les Belles Lettres, 1996. p.17-19.</w:t>
      </w:r>
    </w:p>
  </w:footnote>
  <w:footnote w:id="117">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Bestiaires du Moyen Âge</w:t>
      </w:r>
      <w:r w:rsidRPr="009B2B5C">
        <w:t>. Paris, Éditions du Seuil, 2011. p.19.</w:t>
      </w:r>
    </w:p>
  </w:footnote>
  <w:footnote w:id="118">
    <w:p w:rsidR="00D24332" w:rsidRPr="009B2B5C" w:rsidRDefault="00D24332" w:rsidP="00162703">
      <w:pPr>
        <w:pStyle w:val="Notedebasdepage"/>
        <w:jc w:val="both"/>
        <w:rPr>
          <w:i/>
        </w:rPr>
      </w:pPr>
      <w:r w:rsidRPr="009B2B5C">
        <w:rPr>
          <w:rStyle w:val="Appelnotedebasdep"/>
        </w:rPr>
        <w:footnoteRef/>
      </w:r>
      <w:r w:rsidRPr="009B2B5C">
        <w:t xml:space="preserve"> </w:t>
      </w:r>
      <w:r w:rsidRPr="009B2B5C">
        <w:rPr>
          <w:i/>
        </w:rPr>
        <w:t>Idem</w:t>
      </w:r>
    </w:p>
  </w:footnote>
  <w:footnote w:id="119">
    <w:p w:rsidR="00D24332" w:rsidRPr="009B2B5C" w:rsidRDefault="00D24332" w:rsidP="00162703">
      <w:pPr>
        <w:pStyle w:val="Notedebasdepage"/>
        <w:jc w:val="both"/>
      </w:pPr>
      <w:r w:rsidRPr="009B2B5C">
        <w:rPr>
          <w:rStyle w:val="Appelnotedebasdep"/>
        </w:rPr>
        <w:footnoteRef/>
      </w:r>
      <w:r w:rsidRPr="009B2B5C">
        <w:t xml:space="preserve"> Renvoi CD</w:t>
      </w:r>
    </w:p>
  </w:footnote>
  <w:footnote w:id="120">
    <w:p w:rsidR="00D24332" w:rsidRPr="009B2B5C" w:rsidRDefault="00D24332" w:rsidP="00162703">
      <w:pPr>
        <w:pStyle w:val="Notedebasdepage"/>
        <w:jc w:val="both"/>
      </w:pPr>
      <w:r w:rsidRPr="009B2B5C">
        <w:rPr>
          <w:rStyle w:val="Appelnotedebasdep"/>
        </w:rPr>
        <w:footnoteRef/>
      </w:r>
      <w:r w:rsidRPr="009B2B5C">
        <w:t xml:space="preserve"> Mathieu 2 : 1-2. </w:t>
      </w:r>
      <w:r w:rsidRPr="009B2B5C">
        <w:rPr>
          <w:i/>
        </w:rPr>
        <w:t>La Bible : Ancien et Nouveau Testament</w:t>
      </w:r>
      <w:r w:rsidRPr="009B2B5C">
        <w:t>. Toronto, Société biblique canadienne, 1989.</w:t>
      </w:r>
    </w:p>
  </w:footnote>
  <w:footnote w:id="121">
    <w:p w:rsidR="00D24332" w:rsidRPr="009B2B5C" w:rsidRDefault="00D24332" w:rsidP="00162703">
      <w:pPr>
        <w:pStyle w:val="Notedebasdepage"/>
        <w:jc w:val="both"/>
      </w:pPr>
      <w:r w:rsidRPr="009B2B5C">
        <w:rPr>
          <w:rStyle w:val="Appelnotedebasdep"/>
        </w:rPr>
        <w:footnoteRef/>
      </w:r>
      <w:r w:rsidRPr="009B2B5C">
        <w:t xml:space="preserve"> Boris </w:t>
      </w:r>
      <w:proofErr w:type="spellStart"/>
      <w:r w:rsidRPr="009B2B5C">
        <w:t>Bove</w:t>
      </w:r>
      <w:proofErr w:type="spellEnd"/>
      <w:r w:rsidRPr="009B2B5C">
        <w:t xml:space="preserve">. </w:t>
      </w:r>
      <w:r w:rsidRPr="009B2B5C">
        <w:rPr>
          <w:i/>
        </w:rPr>
        <w:t>Le temps de la guerre de cent : 1328-1453</w:t>
      </w:r>
      <w:r w:rsidRPr="009B2B5C">
        <w:t xml:space="preserve">. </w:t>
      </w:r>
      <w:r>
        <w:t xml:space="preserve">Paris, Belin, 2010. </w:t>
      </w:r>
      <w:r w:rsidRPr="009B2B5C">
        <w:t>p.224</w:t>
      </w:r>
    </w:p>
  </w:footnote>
  <w:footnote w:id="122">
    <w:p w:rsidR="00D24332" w:rsidRPr="009B2B5C" w:rsidRDefault="00D24332" w:rsidP="00162703">
      <w:pPr>
        <w:pStyle w:val="Notedebasdepage"/>
        <w:jc w:val="both"/>
      </w:pPr>
      <w:r w:rsidRPr="009B2B5C">
        <w:rPr>
          <w:rStyle w:val="Appelnotedebasdep"/>
        </w:rPr>
        <w:footnoteRef/>
      </w:r>
      <w:r>
        <w:t xml:space="preserve"> </w:t>
      </w:r>
      <w:r w:rsidRPr="00FE61B7">
        <w:t>Michel</w:t>
      </w:r>
      <w:r>
        <w:t xml:space="preserve"> </w:t>
      </w:r>
      <w:r w:rsidRPr="00FE61B7">
        <w:t>Pastoureau. «</w:t>
      </w:r>
      <w:hyperlink r:id="rId6" w:history="1">
        <w:r w:rsidRPr="00FE61B7">
          <w:rPr>
            <w:rStyle w:val="Lienhypertexte"/>
            <w:color w:val="auto"/>
            <w:u w:val="none"/>
          </w:rPr>
          <w:t>Une couleur en mutation: le vert à la fin du Moyen Âge</w:t>
        </w:r>
      </w:hyperlink>
      <w:r w:rsidRPr="00FE61B7">
        <w:t xml:space="preserve">». </w:t>
      </w:r>
      <w:hyperlink r:id="rId7" w:history="1">
        <w:r w:rsidRPr="00FE61B7">
          <w:rPr>
            <w:rStyle w:val="Lienhypertexte"/>
            <w:i/>
            <w:color w:val="auto"/>
            <w:u w:val="none"/>
          </w:rPr>
          <w:t xml:space="preserve">Académie des inscriptions et belles-lettres. </w:t>
        </w:r>
        <w:proofErr w:type="spellStart"/>
        <w:r w:rsidRPr="00FE61B7">
          <w:rPr>
            <w:rStyle w:val="Lienhypertexte"/>
            <w:i/>
            <w:color w:val="auto"/>
            <w:u w:val="none"/>
          </w:rPr>
          <w:t>Comptes-rendus</w:t>
        </w:r>
        <w:proofErr w:type="spellEnd"/>
        <w:r w:rsidRPr="00FE61B7">
          <w:rPr>
            <w:rStyle w:val="Lienhypertexte"/>
            <w:i/>
            <w:color w:val="auto"/>
            <w:u w:val="none"/>
          </w:rPr>
          <w:t xml:space="preserve"> des séances</w:t>
        </w:r>
      </w:hyperlink>
      <w:r w:rsidRPr="00FE61B7">
        <w:rPr>
          <w:i/>
        </w:rPr>
        <w:t xml:space="preserve">, </w:t>
      </w:r>
      <w:r w:rsidRPr="00FE61B7">
        <w:t>2 (2007), p.</w:t>
      </w:r>
      <w:r>
        <w:t>716.</w:t>
      </w:r>
    </w:p>
  </w:footnote>
  <w:footnote w:id="123">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p.206.</w:t>
      </w:r>
    </w:p>
  </w:footnote>
  <w:footnote w:id="124">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Noir : Histoire d’une couleur</w:t>
      </w:r>
      <w:r w:rsidRPr="009B2B5C">
        <w:t>. Paris, Éditions du Seuil, 2008. p.89-90.</w:t>
      </w:r>
    </w:p>
  </w:footnote>
  <w:footnote w:id="125">
    <w:p w:rsidR="00D24332" w:rsidRPr="009B2B5C" w:rsidRDefault="00D24332" w:rsidP="00162703">
      <w:pPr>
        <w:pStyle w:val="Notedebasdepage"/>
        <w:jc w:val="both"/>
      </w:pPr>
      <w:r w:rsidRPr="009B2B5C">
        <w:rPr>
          <w:rStyle w:val="Appelnotedebasdep"/>
        </w:rPr>
        <w:footnoteRef/>
      </w:r>
      <w:r w:rsidRPr="009B2B5C">
        <w:t xml:space="preserve"> Oscar Wilde. </w:t>
      </w:r>
      <w:r w:rsidRPr="009B2B5C">
        <w:rPr>
          <w:i/>
        </w:rPr>
        <w:t>L’Internaute</w:t>
      </w:r>
      <w:r w:rsidRPr="009B2B5C">
        <w:t xml:space="preserve">, [En ligne]. </w:t>
      </w:r>
      <w:hyperlink r:id="rId8" w:history="1">
        <w:r w:rsidRPr="009B2B5C">
          <w:rPr>
            <w:rStyle w:val="Lienhypertexte"/>
            <w:color w:val="auto"/>
          </w:rPr>
          <w:t>http://www.linternaute.com/citation/22913/qui-veut-retrouver-sa-jeunesse-n-a-qu-a-reprendre-ses-folies-oscar-wilde/</w:t>
        </w:r>
      </w:hyperlink>
      <w:r w:rsidRPr="009B2B5C">
        <w:t xml:space="preserve"> (Page consultée le 4 octobre 2014).</w:t>
      </w:r>
    </w:p>
  </w:footnote>
  <w:footnote w:id="126">
    <w:p w:rsidR="00D24332" w:rsidRPr="009B2B5C" w:rsidRDefault="00D24332" w:rsidP="00162703">
      <w:pPr>
        <w:pStyle w:val="Notedebasdepage"/>
        <w:jc w:val="both"/>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Paris, Flammarion, 2000. p.224-225.</w:t>
      </w:r>
    </w:p>
  </w:footnote>
  <w:footnote w:id="127">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Bleu : Histoire d’une couleur</w:t>
      </w:r>
      <w:r w:rsidRPr="009B2B5C">
        <w:t>. Paris, Éditions du Seuil, 2006. p.70.</w:t>
      </w:r>
    </w:p>
  </w:footnote>
  <w:footnote w:id="128">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Noir : Histoire d’une couleur</w:t>
      </w:r>
      <w:r w:rsidRPr="009B2B5C">
        <w:t>. Paris, Éditions du Seuil, 2008. p.94.</w:t>
      </w:r>
    </w:p>
  </w:footnote>
  <w:footnote w:id="129">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p.99.</w:t>
      </w:r>
    </w:p>
  </w:footnote>
  <w:footnote w:id="130">
    <w:p w:rsidR="00D24332" w:rsidRPr="009B2B5C" w:rsidRDefault="00D24332" w:rsidP="00162703">
      <w:pPr>
        <w:pStyle w:val="Notedebasdepage"/>
        <w:jc w:val="both"/>
      </w:pPr>
      <w:r w:rsidRPr="009B2B5C">
        <w:rPr>
          <w:rStyle w:val="Appelnotedebasdep"/>
        </w:rPr>
        <w:footnoteRef/>
      </w:r>
      <w:r w:rsidRPr="009B2B5C">
        <w:t xml:space="preserve"> </w:t>
      </w:r>
      <w:r w:rsidRPr="009B2B5C">
        <w:rPr>
          <w:i/>
        </w:rPr>
        <w:t>Ibid.</w:t>
      </w:r>
      <w:r w:rsidRPr="009B2B5C">
        <w:t>, p.100-101.</w:t>
      </w:r>
    </w:p>
  </w:footnote>
  <w:footnote w:id="131">
    <w:p w:rsidR="00D24332" w:rsidRPr="009B2B5C" w:rsidRDefault="00D24332" w:rsidP="00162703">
      <w:pPr>
        <w:pStyle w:val="Notedebasdepage"/>
        <w:jc w:val="both"/>
      </w:pPr>
      <w:r w:rsidRPr="009B2B5C">
        <w:rPr>
          <w:rStyle w:val="Appelnotedebasdep"/>
        </w:rPr>
        <w:footnoteRef/>
      </w:r>
      <w:r w:rsidRPr="009B2B5C">
        <w:t xml:space="preserve"> Renvoi CD</w:t>
      </w:r>
    </w:p>
  </w:footnote>
  <w:footnote w:id="132">
    <w:p w:rsidR="00D24332" w:rsidRPr="009B2B5C" w:rsidRDefault="00D24332" w:rsidP="00162703">
      <w:pPr>
        <w:pStyle w:val="Notedebasdepage"/>
        <w:jc w:val="both"/>
      </w:pPr>
      <w:r w:rsidRPr="009B2B5C">
        <w:rPr>
          <w:rStyle w:val="Appelnotedebasdep"/>
        </w:rPr>
        <w:footnoteRef/>
      </w:r>
      <w:r w:rsidRPr="009B2B5C">
        <w:t xml:space="preserve"> Renvoi CD</w:t>
      </w:r>
    </w:p>
  </w:footnote>
  <w:footnote w:id="133">
    <w:p w:rsidR="00D24332" w:rsidRPr="009B2B5C" w:rsidRDefault="00D24332" w:rsidP="00162703">
      <w:pPr>
        <w:pStyle w:val="Notedebasdepage"/>
        <w:jc w:val="both"/>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Paris, Flammarion, 2000. p.121.</w:t>
      </w:r>
    </w:p>
  </w:footnote>
  <w:footnote w:id="134">
    <w:p w:rsidR="00D24332" w:rsidRPr="009B2B5C" w:rsidRDefault="00D24332" w:rsidP="00162703">
      <w:pPr>
        <w:pStyle w:val="Notedebasdepage"/>
        <w:jc w:val="both"/>
      </w:pPr>
      <w:r w:rsidRPr="009B2B5C">
        <w:rPr>
          <w:rStyle w:val="Appelnotedebasdep"/>
        </w:rPr>
        <w:footnoteRef/>
      </w:r>
      <w:r w:rsidRPr="009B2B5C">
        <w:t xml:space="preserve"> Marie-José </w:t>
      </w:r>
      <w:proofErr w:type="spellStart"/>
      <w:r w:rsidRPr="009B2B5C">
        <w:t>Palla</w:t>
      </w:r>
      <w:proofErr w:type="spellEnd"/>
      <w:r w:rsidRPr="009B2B5C">
        <w:t xml:space="preserve">. « Se faire beau sur scène; couleur et beauté dans l’œuvre de Gil Vicente; le corps et le costume : étude lexicale sur les termes de couleur » dans Philippe </w:t>
      </w:r>
      <w:proofErr w:type="spellStart"/>
      <w:r w:rsidRPr="009B2B5C">
        <w:t>Junod</w:t>
      </w:r>
      <w:proofErr w:type="spellEnd"/>
      <w:r w:rsidRPr="009B2B5C">
        <w:t xml:space="preserve"> et Michel Pastoureau. </w:t>
      </w:r>
      <w:r w:rsidRPr="009B2B5C">
        <w:rPr>
          <w:i/>
        </w:rPr>
        <w:t>La couleur : Regards croisés sur la couleur du Moyen Âge au XX</w:t>
      </w:r>
      <w:r w:rsidRPr="009B2B5C">
        <w:rPr>
          <w:i/>
          <w:vertAlign w:val="superscript"/>
        </w:rPr>
        <w:t>e</w:t>
      </w:r>
      <w:r w:rsidRPr="009B2B5C">
        <w:rPr>
          <w:i/>
        </w:rPr>
        <w:t xml:space="preserve"> siècle.</w:t>
      </w:r>
      <w:r w:rsidRPr="009B2B5C">
        <w:t xml:space="preserve"> </w:t>
      </w:r>
      <w:r w:rsidRPr="009B2B5C">
        <w:rPr>
          <w:rStyle w:val="apple-style-span"/>
        </w:rPr>
        <w:t>Paris, Léopard d'or, 1994. p.49.</w:t>
      </w:r>
    </w:p>
  </w:footnote>
  <w:footnote w:id="135">
    <w:p w:rsidR="00D24332" w:rsidRPr="009B2B5C" w:rsidRDefault="00D24332" w:rsidP="00162703">
      <w:pPr>
        <w:pStyle w:val="Titre1"/>
        <w:shd w:val="clear" w:color="auto" w:fill="FFFFFF"/>
        <w:spacing w:line="240" w:lineRule="auto"/>
        <w:jc w:val="both"/>
        <w:rPr>
          <w:rFonts w:ascii="Times New Roman" w:hAnsi="Times New Roman" w:cs="Times New Roman"/>
          <w:b w:val="0"/>
          <w:color w:val="auto"/>
          <w:sz w:val="20"/>
          <w:szCs w:val="20"/>
        </w:rPr>
      </w:pPr>
      <w:r w:rsidRPr="009B2B5C">
        <w:rPr>
          <w:rStyle w:val="Appelnotedebasdep"/>
          <w:rFonts w:ascii="Times New Roman" w:hAnsi="Times New Roman" w:cs="Times New Roman"/>
          <w:b w:val="0"/>
          <w:color w:val="auto"/>
          <w:sz w:val="20"/>
          <w:szCs w:val="20"/>
        </w:rPr>
        <w:footnoteRef/>
      </w:r>
      <w:r w:rsidRPr="009B2B5C">
        <w:rPr>
          <w:rFonts w:ascii="Times New Roman" w:hAnsi="Times New Roman" w:cs="Times New Roman"/>
          <w:b w:val="0"/>
          <w:color w:val="auto"/>
          <w:sz w:val="20"/>
          <w:szCs w:val="20"/>
        </w:rPr>
        <w:t xml:space="preserve"> </w:t>
      </w:r>
      <w:r w:rsidRPr="009B2B5C">
        <w:rPr>
          <w:rFonts w:ascii="Times New Roman" w:hAnsi="Times New Roman" w:cs="Times New Roman"/>
          <w:b w:val="0"/>
          <w:color w:val="auto"/>
          <w:sz w:val="20"/>
          <w:szCs w:val="20"/>
          <w:shd w:val="clear" w:color="auto" w:fill="FFFFFF"/>
        </w:rPr>
        <w:t>Pope Pius IX. «</w:t>
      </w:r>
      <w:proofErr w:type="spellStart"/>
      <w:r w:rsidRPr="009B2B5C">
        <w:rPr>
          <w:rFonts w:ascii="Times New Roman" w:hAnsi="Times New Roman" w:cs="Times New Roman"/>
          <w:b w:val="0"/>
          <w:color w:val="auto"/>
          <w:sz w:val="20"/>
          <w:szCs w:val="20"/>
          <w:shd w:val="clear" w:color="auto" w:fill="FFFFFF"/>
        </w:rPr>
        <w:t>Ineffabilis</w:t>
      </w:r>
      <w:proofErr w:type="spellEnd"/>
      <w:r w:rsidRPr="009B2B5C">
        <w:rPr>
          <w:rFonts w:ascii="Times New Roman" w:hAnsi="Times New Roman" w:cs="Times New Roman"/>
          <w:b w:val="0"/>
          <w:color w:val="auto"/>
          <w:sz w:val="20"/>
          <w:szCs w:val="20"/>
          <w:shd w:val="clear" w:color="auto" w:fill="FFFFFF"/>
        </w:rPr>
        <w:t xml:space="preserve"> Deus» In </w:t>
      </w:r>
      <w:r w:rsidRPr="009B2B5C">
        <w:rPr>
          <w:rFonts w:ascii="Times New Roman" w:hAnsi="Times New Roman" w:cs="Times New Roman"/>
          <w:b w:val="0"/>
          <w:i/>
          <w:color w:val="auto"/>
          <w:sz w:val="20"/>
          <w:szCs w:val="20"/>
          <w:shd w:val="clear" w:color="auto" w:fill="FFFFFF"/>
        </w:rPr>
        <w:t xml:space="preserve">Papal </w:t>
      </w:r>
      <w:proofErr w:type="spellStart"/>
      <w:r w:rsidRPr="009B2B5C">
        <w:rPr>
          <w:rFonts w:ascii="Times New Roman" w:hAnsi="Times New Roman" w:cs="Times New Roman"/>
          <w:b w:val="0"/>
          <w:i/>
          <w:color w:val="auto"/>
          <w:sz w:val="20"/>
          <w:szCs w:val="20"/>
          <w:shd w:val="clear" w:color="auto" w:fill="FFFFFF"/>
        </w:rPr>
        <w:t>Encyclicals</w:t>
      </w:r>
      <w:proofErr w:type="spellEnd"/>
      <w:r w:rsidRPr="009B2B5C">
        <w:rPr>
          <w:rFonts w:ascii="Times New Roman" w:hAnsi="Times New Roman" w:cs="Times New Roman"/>
          <w:b w:val="0"/>
          <w:i/>
          <w:color w:val="auto"/>
          <w:sz w:val="20"/>
          <w:szCs w:val="20"/>
          <w:shd w:val="clear" w:color="auto" w:fill="FFFFFF"/>
        </w:rPr>
        <w:t xml:space="preserve"> Online</w:t>
      </w:r>
      <w:r w:rsidRPr="009B2B5C">
        <w:rPr>
          <w:rFonts w:ascii="Times New Roman" w:hAnsi="Times New Roman" w:cs="Times New Roman"/>
          <w:b w:val="0"/>
          <w:color w:val="auto"/>
          <w:sz w:val="20"/>
          <w:szCs w:val="20"/>
          <w:shd w:val="clear" w:color="auto" w:fill="FFFFFF"/>
        </w:rPr>
        <w:t xml:space="preserve">, [En Ligne]. </w:t>
      </w:r>
      <w:hyperlink r:id="rId9" w:history="1">
        <w:r w:rsidRPr="009B2B5C">
          <w:rPr>
            <w:rStyle w:val="Lienhypertexte"/>
            <w:rFonts w:ascii="Times New Roman" w:hAnsi="Times New Roman" w:cs="Times New Roman"/>
            <w:b w:val="0"/>
            <w:color w:val="auto"/>
            <w:sz w:val="20"/>
            <w:szCs w:val="20"/>
            <w:shd w:val="clear" w:color="auto" w:fill="FFFFFF"/>
          </w:rPr>
          <w:t>http://www.papalencyclicals.net/Pius09/p9ineff.htm</w:t>
        </w:r>
      </w:hyperlink>
      <w:r w:rsidRPr="009B2B5C">
        <w:rPr>
          <w:rFonts w:ascii="Times New Roman" w:hAnsi="Times New Roman" w:cs="Times New Roman"/>
          <w:b w:val="0"/>
          <w:color w:val="auto"/>
          <w:sz w:val="20"/>
          <w:szCs w:val="20"/>
          <w:shd w:val="clear" w:color="auto" w:fill="FFFFFF"/>
        </w:rPr>
        <w:t xml:space="preserve"> (Page consultée le 4 octobre 2014).</w:t>
      </w:r>
    </w:p>
  </w:footnote>
  <w:footnote w:id="136">
    <w:p w:rsidR="00D24332" w:rsidRPr="009B2B5C" w:rsidRDefault="00D24332" w:rsidP="00162703">
      <w:pPr>
        <w:pStyle w:val="Notedebasdepage"/>
        <w:jc w:val="both"/>
      </w:pPr>
      <w:r w:rsidRPr="009B2B5C">
        <w:rPr>
          <w:rStyle w:val="Appelnotedebasdep"/>
        </w:rPr>
        <w:footnoteRef/>
      </w:r>
      <w:r>
        <w:rPr>
          <w:lang w:val="en-CA"/>
        </w:rPr>
        <w:t xml:space="preserve"> </w:t>
      </w:r>
      <w:proofErr w:type="spellStart"/>
      <w:r w:rsidRPr="009B2B5C">
        <w:rPr>
          <w:lang w:val="en-CA"/>
        </w:rPr>
        <w:t>Christel</w:t>
      </w:r>
      <w:proofErr w:type="spellEnd"/>
      <w:r w:rsidRPr="009B2B5C">
        <w:rPr>
          <w:lang w:val="en-CA"/>
        </w:rPr>
        <w:t xml:space="preserve"> Meier. </w:t>
      </w:r>
      <w:proofErr w:type="gramStart"/>
      <w:r w:rsidRPr="009B2B5C">
        <w:rPr>
          <w:lang w:val="en-US"/>
        </w:rPr>
        <w:t xml:space="preserve">«The </w:t>
      </w:r>
      <w:proofErr w:type="spellStart"/>
      <w:r w:rsidRPr="009B2B5C">
        <w:rPr>
          <w:lang w:val="en-US"/>
        </w:rPr>
        <w:t>Colourful</w:t>
      </w:r>
      <w:proofErr w:type="spellEnd"/>
      <w:r w:rsidRPr="009B2B5C">
        <w:rPr>
          <w:lang w:val="en-US"/>
        </w:rPr>
        <w:t xml:space="preserve"> Middle Ages.</w:t>
      </w:r>
      <w:proofErr w:type="gramEnd"/>
      <w:r w:rsidRPr="009B2B5C">
        <w:rPr>
          <w:lang w:val="en-US"/>
        </w:rPr>
        <w:t xml:space="preserve"> Anthropological, Social, and Literary Dimensions of </w:t>
      </w:r>
      <w:proofErr w:type="spellStart"/>
      <w:r w:rsidRPr="009B2B5C">
        <w:rPr>
          <w:lang w:val="en-US"/>
        </w:rPr>
        <w:t>Colour</w:t>
      </w:r>
      <w:proofErr w:type="spellEnd"/>
      <w:r w:rsidRPr="009B2B5C">
        <w:rPr>
          <w:lang w:val="en-US"/>
        </w:rPr>
        <w:t xml:space="preserve"> Symbolism and </w:t>
      </w:r>
      <w:proofErr w:type="spellStart"/>
      <w:r w:rsidRPr="009B2B5C">
        <w:rPr>
          <w:lang w:val="en-US"/>
        </w:rPr>
        <w:t>Colour</w:t>
      </w:r>
      <w:proofErr w:type="spellEnd"/>
      <w:r w:rsidRPr="009B2B5C">
        <w:rPr>
          <w:lang w:val="en-US"/>
        </w:rPr>
        <w:t xml:space="preserve"> Hermeneutics» </w:t>
      </w:r>
      <w:proofErr w:type="spellStart"/>
      <w:proofErr w:type="gramStart"/>
      <w:r w:rsidRPr="009B2B5C">
        <w:rPr>
          <w:lang w:val="en-US"/>
        </w:rPr>
        <w:t>dans</w:t>
      </w:r>
      <w:proofErr w:type="spellEnd"/>
      <w:r w:rsidRPr="009B2B5C">
        <w:rPr>
          <w:lang w:val="en-US"/>
        </w:rPr>
        <w:t xml:space="preserve">  Rudolf</w:t>
      </w:r>
      <w:proofErr w:type="gramEnd"/>
      <w:r w:rsidRPr="009B2B5C">
        <w:rPr>
          <w:lang w:val="en-US"/>
        </w:rPr>
        <w:t xml:space="preserve"> </w:t>
      </w:r>
      <w:proofErr w:type="spellStart"/>
      <w:r w:rsidRPr="009B2B5C">
        <w:rPr>
          <w:lang w:val="en-US"/>
        </w:rPr>
        <w:t>Suntrup</w:t>
      </w:r>
      <w:proofErr w:type="spellEnd"/>
      <w:r w:rsidRPr="009B2B5C">
        <w:rPr>
          <w:lang w:val="en-US"/>
        </w:rPr>
        <w:t xml:space="preserve"> et Jan R. </w:t>
      </w:r>
      <w:proofErr w:type="spellStart"/>
      <w:r w:rsidRPr="009B2B5C">
        <w:rPr>
          <w:lang w:val="en-US"/>
        </w:rPr>
        <w:t>Veenstra</w:t>
      </w:r>
      <w:proofErr w:type="spellEnd"/>
      <w:r w:rsidRPr="009B2B5C">
        <w:rPr>
          <w:lang w:val="en-US"/>
        </w:rPr>
        <w:t xml:space="preserve">. </w:t>
      </w:r>
      <w:r w:rsidRPr="009B2B5C">
        <w:rPr>
          <w:i/>
          <w:lang w:val="de-DE"/>
        </w:rPr>
        <w:t xml:space="preserve">Tradition </w:t>
      </w:r>
      <w:proofErr w:type="spellStart"/>
      <w:r w:rsidRPr="009B2B5C">
        <w:rPr>
          <w:i/>
          <w:lang w:val="de-DE"/>
        </w:rPr>
        <w:t>and</w:t>
      </w:r>
      <w:proofErr w:type="spellEnd"/>
      <w:r w:rsidRPr="009B2B5C">
        <w:rPr>
          <w:i/>
          <w:lang w:val="de-DE"/>
        </w:rPr>
        <w:t xml:space="preserve"> Innovation in an </w:t>
      </w:r>
      <w:proofErr w:type="spellStart"/>
      <w:r w:rsidRPr="009B2B5C">
        <w:rPr>
          <w:i/>
          <w:lang w:val="de-DE"/>
        </w:rPr>
        <w:t>Era</w:t>
      </w:r>
      <w:proofErr w:type="spellEnd"/>
      <w:r w:rsidRPr="009B2B5C">
        <w:rPr>
          <w:i/>
          <w:lang w:val="de-DE"/>
        </w:rPr>
        <w:t xml:space="preserve"> </w:t>
      </w:r>
      <w:proofErr w:type="spellStart"/>
      <w:r w:rsidRPr="009B2B5C">
        <w:rPr>
          <w:i/>
          <w:lang w:val="de-DE"/>
        </w:rPr>
        <w:t>of</w:t>
      </w:r>
      <w:proofErr w:type="spellEnd"/>
      <w:r w:rsidRPr="009B2B5C">
        <w:rPr>
          <w:i/>
          <w:lang w:val="de-DE"/>
        </w:rPr>
        <w:t xml:space="preserve"> Change/Tradition und Innovation im </w:t>
      </w:r>
      <w:proofErr w:type="spellStart"/>
      <w:r w:rsidRPr="009B2B5C">
        <w:rPr>
          <w:i/>
          <w:lang w:val="de-DE"/>
        </w:rPr>
        <w:t>Ubergang</w:t>
      </w:r>
      <w:proofErr w:type="spellEnd"/>
      <w:r w:rsidRPr="009B2B5C">
        <w:rPr>
          <w:i/>
          <w:lang w:val="de-DE"/>
        </w:rPr>
        <w:t xml:space="preserve"> zur frühen Neuzeit.</w:t>
      </w:r>
      <w:r w:rsidRPr="009B2B5C">
        <w:rPr>
          <w:lang w:val="de-DE"/>
        </w:rPr>
        <w:t xml:space="preserve"> </w:t>
      </w:r>
      <w:r w:rsidRPr="009B2B5C">
        <w:t xml:space="preserve">Bern, Peter Lang Pub </w:t>
      </w:r>
      <w:proofErr w:type="spellStart"/>
      <w:r w:rsidRPr="009B2B5C">
        <w:t>Inc</w:t>
      </w:r>
      <w:proofErr w:type="spellEnd"/>
      <w:r w:rsidRPr="009B2B5C">
        <w:t>, 2011. p.237.</w:t>
      </w:r>
    </w:p>
  </w:footnote>
  <w:footnote w:id="137">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p.155.</w:t>
      </w:r>
    </w:p>
  </w:footnote>
  <w:footnote w:id="138">
    <w:p w:rsidR="00D24332" w:rsidRPr="009B2B5C" w:rsidRDefault="00D24332" w:rsidP="00162703">
      <w:pPr>
        <w:pStyle w:val="Notedebasdepage"/>
        <w:jc w:val="both"/>
      </w:pPr>
      <w:r w:rsidRPr="009B2B5C">
        <w:rPr>
          <w:rStyle w:val="Appelnotedebasdep"/>
        </w:rPr>
        <w:footnoteRef/>
      </w:r>
      <w:r>
        <w:t xml:space="preserve"> </w:t>
      </w:r>
      <w:r w:rsidRPr="009B2B5C">
        <w:t xml:space="preserve">Michel Pastoureau. </w:t>
      </w:r>
      <w:r w:rsidRPr="009B2B5C">
        <w:rPr>
          <w:i/>
        </w:rPr>
        <w:t>Une histoire symbolique du Moyen Âge occidental</w:t>
      </w:r>
      <w:r w:rsidRPr="009B2B5C">
        <w:t>. Paris, Éditions du Seuil, 2004. p.155.</w:t>
      </w:r>
    </w:p>
  </w:footnote>
  <w:footnote w:id="139">
    <w:p w:rsidR="00D24332" w:rsidRPr="009B2B5C" w:rsidRDefault="00D24332" w:rsidP="00162703">
      <w:pPr>
        <w:pStyle w:val="Notedebasdepage"/>
        <w:jc w:val="both"/>
      </w:pPr>
      <w:r w:rsidRPr="009B2B5C">
        <w:rPr>
          <w:rStyle w:val="Appelnotedebasdep"/>
        </w:rPr>
        <w:footnoteRef/>
      </w:r>
      <w:r w:rsidRPr="009B2B5C">
        <w:t xml:space="preserve"> Samuel 2 : 11,4.</w:t>
      </w:r>
      <w:r w:rsidRPr="009B2B5C">
        <w:rPr>
          <w:i/>
        </w:rPr>
        <w:t xml:space="preserve"> La Bible : Ancien et Nouveau Testament</w:t>
      </w:r>
      <w:r w:rsidRPr="009B2B5C">
        <w:t>. Toronto, Société biblique canadienne, 1989.</w:t>
      </w:r>
    </w:p>
  </w:footnote>
  <w:footnote w:id="140">
    <w:p w:rsidR="00D24332" w:rsidRPr="009B2B5C" w:rsidRDefault="00D24332" w:rsidP="00162703">
      <w:pPr>
        <w:pStyle w:val="Notedebasdepage"/>
        <w:jc w:val="both"/>
      </w:pPr>
      <w:r w:rsidRPr="009B2B5C">
        <w:rPr>
          <w:rStyle w:val="Appelnotedebasdep"/>
        </w:rPr>
        <w:footnoteRef/>
      </w:r>
      <w:r w:rsidRPr="009B2B5C">
        <w:t xml:space="preserve"> </w:t>
      </w:r>
      <w:r>
        <w:t xml:space="preserve">Pastoureau, </w:t>
      </w:r>
      <w:r>
        <w:rPr>
          <w:i/>
        </w:rPr>
        <w:t>op.cit.</w:t>
      </w:r>
      <w:r>
        <w:t xml:space="preserve">, </w:t>
      </w:r>
      <w:r w:rsidRPr="009B2B5C">
        <w:t>p.228.</w:t>
      </w:r>
    </w:p>
  </w:footnote>
  <w:footnote w:id="141">
    <w:p w:rsidR="00D24332" w:rsidRPr="009B2B5C" w:rsidRDefault="00D24332" w:rsidP="00162703">
      <w:pPr>
        <w:pStyle w:val="Notedebasdepage"/>
        <w:jc w:val="both"/>
      </w:pPr>
      <w:r w:rsidRPr="009B2B5C">
        <w:rPr>
          <w:rStyle w:val="Appelnotedebasdep"/>
        </w:rPr>
        <w:footnoteRef/>
      </w:r>
      <w:r w:rsidRPr="009B2B5C">
        <w:t xml:space="preserve"> Gaston </w:t>
      </w:r>
      <w:proofErr w:type="spellStart"/>
      <w:r w:rsidRPr="009B2B5C">
        <w:t>Duchet-Suchaux</w:t>
      </w:r>
      <w:proofErr w:type="spellEnd"/>
      <w:r w:rsidRPr="009B2B5C">
        <w:t xml:space="preserve"> et Michel Pastoureau. </w:t>
      </w:r>
      <w:r w:rsidRPr="009B2B5C">
        <w:rPr>
          <w:i/>
        </w:rPr>
        <w:t>La Bible et les saints : Guide iconographique.</w:t>
      </w:r>
      <w:r w:rsidRPr="009B2B5C">
        <w:t xml:space="preserve"> Paris, Flammarion, 2000. p.246.</w:t>
      </w:r>
    </w:p>
  </w:footnote>
  <w:footnote w:id="142">
    <w:p w:rsidR="00D24332" w:rsidRPr="009B2B5C" w:rsidRDefault="00D24332" w:rsidP="00162703">
      <w:pPr>
        <w:pStyle w:val="Notedebasdepage"/>
        <w:jc w:val="both"/>
      </w:pPr>
      <w:r w:rsidRPr="009B2B5C">
        <w:rPr>
          <w:rStyle w:val="Appelnotedebasdep"/>
        </w:rPr>
        <w:footnoteRef/>
      </w:r>
      <w:r w:rsidRPr="009B2B5C">
        <w:t xml:space="preserve"> Michel Pastoureau. </w:t>
      </w:r>
      <w:r w:rsidRPr="009B2B5C">
        <w:rPr>
          <w:i/>
        </w:rPr>
        <w:t>Une histoire symbolique du Moyen Âge occidental</w:t>
      </w:r>
      <w:r w:rsidRPr="009B2B5C">
        <w:t>. Paris, Éditions du Seuil, 2004. p.221.</w:t>
      </w:r>
    </w:p>
  </w:footnote>
  <w:footnote w:id="143">
    <w:p w:rsidR="00D24332" w:rsidRPr="009B2B5C" w:rsidRDefault="00D24332" w:rsidP="00162703">
      <w:pPr>
        <w:pStyle w:val="Titre3"/>
        <w:spacing w:before="0" w:line="240" w:lineRule="auto"/>
        <w:jc w:val="both"/>
        <w:textAlignment w:val="baseline"/>
        <w:rPr>
          <w:rFonts w:ascii="Times New Roman" w:hAnsi="Times New Roman" w:cs="Times New Roman"/>
          <w:b w:val="0"/>
          <w:bCs w:val="0"/>
          <w:color w:val="auto"/>
          <w:sz w:val="20"/>
          <w:szCs w:val="20"/>
        </w:rPr>
      </w:pPr>
      <w:r w:rsidRPr="009B2B5C">
        <w:rPr>
          <w:rStyle w:val="Appelnotedebasdep"/>
          <w:rFonts w:ascii="Times New Roman" w:hAnsi="Times New Roman" w:cs="Times New Roman"/>
          <w:b w:val="0"/>
          <w:color w:val="auto"/>
          <w:sz w:val="20"/>
          <w:szCs w:val="20"/>
        </w:rPr>
        <w:footnoteRef/>
      </w:r>
      <w:r w:rsidRPr="009B2B5C">
        <w:rPr>
          <w:rFonts w:ascii="Times New Roman" w:hAnsi="Times New Roman" w:cs="Times New Roman"/>
          <w:b w:val="0"/>
          <w:color w:val="auto"/>
          <w:sz w:val="20"/>
          <w:szCs w:val="20"/>
        </w:rPr>
        <w:t xml:space="preserve"> Roger Bellon. « </w:t>
      </w:r>
      <w:proofErr w:type="spellStart"/>
      <w:r w:rsidRPr="009B2B5C">
        <w:rPr>
          <w:rFonts w:ascii="Times New Roman" w:hAnsi="Times New Roman" w:cs="Times New Roman"/>
          <w:b w:val="0"/>
          <w:color w:val="auto"/>
          <w:sz w:val="20"/>
          <w:szCs w:val="20"/>
        </w:rPr>
        <w:t>Renart</w:t>
      </w:r>
      <w:proofErr w:type="spellEnd"/>
      <w:r w:rsidRPr="009B2B5C">
        <w:rPr>
          <w:rFonts w:ascii="Times New Roman" w:hAnsi="Times New Roman" w:cs="Times New Roman"/>
          <w:b w:val="0"/>
          <w:color w:val="auto"/>
          <w:sz w:val="20"/>
          <w:szCs w:val="20"/>
        </w:rPr>
        <w:t xml:space="preserve"> li </w:t>
      </w:r>
      <w:proofErr w:type="spellStart"/>
      <w:r w:rsidRPr="009B2B5C">
        <w:rPr>
          <w:rFonts w:ascii="Times New Roman" w:hAnsi="Times New Roman" w:cs="Times New Roman"/>
          <w:b w:val="0"/>
          <w:color w:val="auto"/>
          <w:sz w:val="20"/>
          <w:szCs w:val="20"/>
        </w:rPr>
        <w:t>rous</w:t>
      </w:r>
      <w:proofErr w:type="spellEnd"/>
      <w:r w:rsidRPr="009B2B5C">
        <w:rPr>
          <w:rFonts w:ascii="Times New Roman" w:hAnsi="Times New Roman" w:cs="Times New Roman"/>
          <w:b w:val="0"/>
          <w:color w:val="auto"/>
          <w:sz w:val="20"/>
          <w:szCs w:val="20"/>
        </w:rPr>
        <w:t xml:space="preserve"> : Remarques sur un point de l’onomastique </w:t>
      </w:r>
      <w:proofErr w:type="spellStart"/>
      <w:r w:rsidRPr="009B2B5C">
        <w:rPr>
          <w:rFonts w:ascii="Times New Roman" w:hAnsi="Times New Roman" w:cs="Times New Roman"/>
          <w:b w:val="0"/>
          <w:color w:val="auto"/>
          <w:sz w:val="20"/>
          <w:szCs w:val="20"/>
        </w:rPr>
        <w:t>renardienne</w:t>
      </w:r>
      <w:proofErr w:type="spellEnd"/>
      <w:r w:rsidRPr="009B2B5C">
        <w:rPr>
          <w:rFonts w:ascii="Times New Roman" w:hAnsi="Times New Roman" w:cs="Times New Roman"/>
          <w:b w:val="0"/>
          <w:color w:val="auto"/>
          <w:sz w:val="20"/>
          <w:szCs w:val="20"/>
        </w:rPr>
        <w:t xml:space="preserve"> » dans C.U.E.R.M.A. </w:t>
      </w:r>
      <w:r w:rsidRPr="009B2B5C">
        <w:rPr>
          <w:rFonts w:ascii="Times New Roman" w:hAnsi="Times New Roman" w:cs="Times New Roman"/>
          <w:b w:val="0"/>
          <w:i/>
          <w:color w:val="auto"/>
          <w:sz w:val="20"/>
          <w:szCs w:val="20"/>
        </w:rPr>
        <w:t>Les couleurs au Moyen Âge</w:t>
      </w:r>
      <w:r w:rsidRPr="009B2B5C">
        <w:rPr>
          <w:rFonts w:ascii="Times New Roman" w:hAnsi="Times New Roman" w:cs="Times New Roman"/>
          <w:b w:val="0"/>
          <w:color w:val="auto"/>
          <w:sz w:val="20"/>
          <w:szCs w:val="20"/>
        </w:rPr>
        <w:t xml:space="preserve">. </w:t>
      </w:r>
      <w:r w:rsidRPr="009B2B5C">
        <w:rPr>
          <w:rFonts w:ascii="Times New Roman" w:hAnsi="Times New Roman" w:cs="Times New Roman"/>
          <w:b w:val="0"/>
          <w:bCs w:val="0"/>
          <w:color w:val="auto"/>
          <w:sz w:val="20"/>
          <w:szCs w:val="20"/>
        </w:rPr>
        <w:t>Aix-en-Provence, Université de Provence, 1988. p.18.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7C" w:rsidRDefault="00F23E7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7C" w:rsidRDefault="00F23E7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7C" w:rsidRDefault="00F23E7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C7858"/>
    <w:multiLevelType w:val="hybridMultilevel"/>
    <w:tmpl w:val="3D6A5F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339"/>
    <w:rsid w:val="00011321"/>
    <w:rsid w:val="00021E5E"/>
    <w:rsid w:val="0002545D"/>
    <w:rsid w:val="00026D9C"/>
    <w:rsid w:val="00027D3E"/>
    <w:rsid w:val="00032172"/>
    <w:rsid w:val="000346EE"/>
    <w:rsid w:val="0004360A"/>
    <w:rsid w:val="00044D5B"/>
    <w:rsid w:val="00045DCC"/>
    <w:rsid w:val="00051A59"/>
    <w:rsid w:val="00060C66"/>
    <w:rsid w:val="000614AA"/>
    <w:rsid w:val="000710F3"/>
    <w:rsid w:val="000713FB"/>
    <w:rsid w:val="00076DC0"/>
    <w:rsid w:val="00077FEC"/>
    <w:rsid w:val="000814E5"/>
    <w:rsid w:val="0008443B"/>
    <w:rsid w:val="000848E6"/>
    <w:rsid w:val="000971A0"/>
    <w:rsid w:val="000B3FF5"/>
    <w:rsid w:val="000C2FCC"/>
    <w:rsid w:val="000D19A9"/>
    <w:rsid w:val="000D2EF4"/>
    <w:rsid w:val="000D3165"/>
    <w:rsid w:val="000E58B2"/>
    <w:rsid w:val="000F535D"/>
    <w:rsid w:val="00101484"/>
    <w:rsid w:val="00103285"/>
    <w:rsid w:val="00105BC3"/>
    <w:rsid w:val="001129B7"/>
    <w:rsid w:val="001148AB"/>
    <w:rsid w:val="00116693"/>
    <w:rsid w:val="00117E7B"/>
    <w:rsid w:val="00123B26"/>
    <w:rsid w:val="001245AF"/>
    <w:rsid w:val="00124AAF"/>
    <w:rsid w:val="001300A0"/>
    <w:rsid w:val="00131D48"/>
    <w:rsid w:val="001329B6"/>
    <w:rsid w:val="00136F51"/>
    <w:rsid w:val="00145E5E"/>
    <w:rsid w:val="00146422"/>
    <w:rsid w:val="00147B68"/>
    <w:rsid w:val="00154FEA"/>
    <w:rsid w:val="00162703"/>
    <w:rsid w:val="001635D6"/>
    <w:rsid w:val="00164A87"/>
    <w:rsid w:val="001678A1"/>
    <w:rsid w:val="00171339"/>
    <w:rsid w:val="00171949"/>
    <w:rsid w:val="0017714E"/>
    <w:rsid w:val="001771C9"/>
    <w:rsid w:val="00184EBE"/>
    <w:rsid w:val="001872C0"/>
    <w:rsid w:val="0019186B"/>
    <w:rsid w:val="001B6502"/>
    <w:rsid w:val="001B7BEC"/>
    <w:rsid w:val="001C0CB5"/>
    <w:rsid w:val="001C1C0A"/>
    <w:rsid w:val="001C2CF8"/>
    <w:rsid w:val="001C6596"/>
    <w:rsid w:val="001D2C61"/>
    <w:rsid w:val="001D793D"/>
    <w:rsid w:val="001E00DA"/>
    <w:rsid w:val="001E4CB4"/>
    <w:rsid w:val="001F0FF7"/>
    <w:rsid w:val="001F2EFA"/>
    <w:rsid w:val="001F3047"/>
    <w:rsid w:val="001F7DA3"/>
    <w:rsid w:val="00202526"/>
    <w:rsid w:val="00204C29"/>
    <w:rsid w:val="00205BD7"/>
    <w:rsid w:val="00222EDD"/>
    <w:rsid w:val="00225222"/>
    <w:rsid w:val="00232699"/>
    <w:rsid w:val="0023598B"/>
    <w:rsid w:val="0024327F"/>
    <w:rsid w:val="00244BFD"/>
    <w:rsid w:val="00244C2B"/>
    <w:rsid w:val="00250BF5"/>
    <w:rsid w:val="00260067"/>
    <w:rsid w:val="002726FC"/>
    <w:rsid w:val="00272E31"/>
    <w:rsid w:val="00277E47"/>
    <w:rsid w:val="00291A3C"/>
    <w:rsid w:val="002921B2"/>
    <w:rsid w:val="00296D2D"/>
    <w:rsid w:val="002B1546"/>
    <w:rsid w:val="002B65A1"/>
    <w:rsid w:val="002C0952"/>
    <w:rsid w:val="002C23DB"/>
    <w:rsid w:val="002C375B"/>
    <w:rsid w:val="002C3F52"/>
    <w:rsid w:val="002C4CFA"/>
    <w:rsid w:val="002C52B1"/>
    <w:rsid w:val="002C594A"/>
    <w:rsid w:val="002C7E78"/>
    <w:rsid w:val="002D59FC"/>
    <w:rsid w:val="002E0540"/>
    <w:rsid w:val="002E0AF1"/>
    <w:rsid w:val="002E4029"/>
    <w:rsid w:val="002E752C"/>
    <w:rsid w:val="002F29ED"/>
    <w:rsid w:val="002F68B4"/>
    <w:rsid w:val="00300CA8"/>
    <w:rsid w:val="00303F56"/>
    <w:rsid w:val="00307C7A"/>
    <w:rsid w:val="0031021E"/>
    <w:rsid w:val="00317299"/>
    <w:rsid w:val="00323CE5"/>
    <w:rsid w:val="00327E15"/>
    <w:rsid w:val="00336206"/>
    <w:rsid w:val="00337A70"/>
    <w:rsid w:val="003449CA"/>
    <w:rsid w:val="00345460"/>
    <w:rsid w:val="00345DF5"/>
    <w:rsid w:val="0034682B"/>
    <w:rsid w:val="00350ADC"/>
    <w:rsid w:val="003511E0"/>
    <w:rsid w:val="00352BDC"/>
    <w:rsid w:val="003532B8"/>
    <w:rsid w:val="00357F35"/>
    <w:rsid w:val="00365A7E"/>
    <w:rsid w:val="00370D78"/>
    <w:rsid w:val="00376EFE"/>
    <w:rsid w:val="00391088"/>
    <w:rsid w:val="003A22C5"/>
    <w:rsid w:val="003A416E"/>
    <w:rsid w:val="003B28F9"/>
    <w:rsid w:val="003B331A"/>
    <w:rsid w:val="003B6AB7"/>
    <w:rsid w:val="003B7D98"/>
    <w:rsid w:val="003C08E8"/>
    <w:rsid w:val="003C31F7"/>
    <w:rsid w:val="003C3784"/>
    <w:rsid w:val="003C3CAB"/>
    <w:rsid w:val="003C6608"/>
    <w:rsid w:val="003D2335"/>
    <w:rsid w:val="003D3844"/>
    <w:rsid w:val="003D540A"/>
    <w:rsid w:val="003D6659"/>
    <w:rsid w:val="003E1210"/>
    <w:rsid w:val="003E7391"/>
    <w:rsid w:val="003F2BB9"/>
    <w:rsid w:val="003F6957"/>
    <w:rsid w:val="00400266"/>
    <w:rsid w:val="00401C2A"/>
    <w:rsid w:val="00405B98"/>
    <w:rsid w:val="00412929"/>
    <w:rsid w:val="00416C6E"/>
    <w:rsid w:val="00420B3D"/>
    <w:rsid w:val="00424104"/>
    <w:rsid w:val="004300B4"/>
    <w:rsid w:val="00431942"/>
    <w:rsid w:val="00445D3E"/>
    <w:rsid w:val="00445F2E"/>
    <w:rsid w:val="004541A0"/>
    <w:rsid w:val="00455461"/>
    <w:rsid w:val="004608F9"/>
    <w:rsid w:val="00463314"/>
    <w:rsid w:val="00470747"/>
    <w:rsid w:val="00470ECD"/>
    <w:rsid w:val="00472EB6"/>
    <w:rsid w:val="00480C70"/>
    <w:rsid w:val="004831C6"/>
    <w:rsid w:val="00495D18"/>
    <w:rsid w:val="004972DD"/>
    <w:rsid w:val="00497BAB"/>
    <w:rsid w:val="00497DE0"/>
    <w:rsid w:val="004A0937"/>
    <w:rsid w:val="004A0B49"/>
    <w:rsid w:val="004A398D"/>
    <w:rsid w:val="004A459B"/>
    <w:rsid w:val="004A6F52"/>
    <w:rsid w:val="004B0295"/>
    <w:rsid w:val="004B1C11"/>
    <w:rsid w:val="004C2D5F"/>
    <w:rsid w:val="004C4E79"/>
    <w:rsid w:val="004D3057"/>
    <w:rsid w:val="004D5FA3"/>
    <w:rsid w:val="004D6E9E"/>
    <w:rsid w:val="004E0BCA"/>
    <w:rsid w:val="004E1A85"/>
    <w:rsid w:val="004E46B8"/>
    <w:rsid w:val="004E4955"/>
    <w:rsid w:val="004F03CC"/>
    <w:rsid w:val="004F7F53"/>
    <w:rsid w:val="00503D77"/>
    <w:rsid w:val="00515B47"/>
    <w:rsid w:val="005171FC"/>
    <w:rsid w:val="00531552"/>
    <w:rsid w:val="005315C4"/>
    <w:rsid w:val="0054055B"/>
    <w:rsid w:val="00546971"/>
    <w:rsid w:val="00550317"/>
    <w:rsid w:val="00552CFA"/>
    <w:rsid w:val="00556964"/>
    <w:rsid w:val="00557052"/>
    <w:rsid w:val="00557B1E"/>
    <w:rsid w:val="00567444"/>
    <w:rsid w:val="00567823"/>
    <w:rsid w:val="00567DEA"/>
    <w:rsid w:val="00573836"/>
    <w:rsid w:val="00577038"/>
    <w:rsid w:val="00582606"/>
    <w:rsid w:val="00582F4F"/>
    <w:rsid w:val="00587309"/>
    <w:rsid w:val="00587A53"/>
    <w:rsid w:val="0059036F"/>
    <w:rsid w:val="005914B9"/>
    <w:rsid w:val="00592B35"/>
    <w:rsid w:val="005A26D6"/>
    <w:rsid w:val="005B58C0"/>
    <w:rsid w:val="005B6D7D"/>
    <w:rsid w:val="005B797F"/>
    <w:rsid w:val="005C274F"/>
    <w:rsid w:val="005D5401"/>
    <w:rsid w:val="005D7A47"/>
    <w:rsid w:val="005E2AD6"/>
    <w:rsid w:val="005E6DE0"/>
    <w:rsid w:val="005F1318"/>
    <w:rsid w:val="005F52DA"/>
    <w:rsid w:val="005F56DC"/>
    <w:rsid w:val="005F7F9F"/>
    <w:rsid w:val="00624F66"/>
    <w:rsid w:val="00640174"/>
    <w:rsid w:val="00642F4B"/>
    <w:rsid w:val="006467F9"/>
    <w:rsid w:val="00663894"/>
    <w:rsid w:val="00664E6A"/>
    <w:rsid w:val="006678D6"/>
    <w:rsid w:val="00675644"/>
    <w:rsid w:val="00677147"/>
    <w:rsid w:val="006817AE"/>
    <w:rsid w:val="006823D7"/>
    <w:rsid w:val="00697B6B"/>
    <w:rsid w:val="006A278F"/>
    <w:rsid w:val="006A3849"/>
    <w:rsid w:val="006A75C2"/>
    <w:rsid w:val="006B12E7"/>
    <w:rsid w:val="006B4EF8"/>
    <w:rsid w:val="006C0A06"/>
    <w:rsid w:val="006C1296"/>
    <w:rsid w:val="006D5F16"/>
    <w:rsid w:val="006E081C"/>
    <w:rsid w:val="006E2FC0"/>
    <w:rsid w:val="006E74C4"/>
    <w:rsid w:val="006F055A"/>
    <w:rsid w:val="006F4449"/>
    <w:rsid w:val="007026B6"/>
    <w:rsid w:val="007072DA"/>
    <w:rsid w:val="00716F90"/>
    <w:rsid w:val="00720C43"/>
    <w:rsid w:val="00725C86"/>
    <w:rsid w:val="007306F4"/>
    <w:rsid w:val="007328CE"/>
    <w:rsid w:val="00735E5F"/>
    <w:rsid w:val="0073654F"/>
    <w:rsid w:val="00740E47"/>
    <w:rsid w:val="0074214E"/>
    <w:rsid w:val="00743D48"/>
    <w:rsid w:val="00744FCC"/>
    <w:rsid w:val="007455AE"/>
    <w:rsid w:val="007470F5"/>
    <w:rsid w:val="00751281"/>
    <w:rsid w:val="00753E42"/>
    <w:rsid w:val="00763C1B"/>
    <w:rsid w:val="007641B2"/>
    <w:rsid w:val="00764930"/>
    <w:rsid w:val="007730B2"/>
    <w:rsid w:val="007740CC"/>
    <w:rsid w:val="00776595"/>
    <w:rsid w:val="0078737B"/>
    <w:rsid w:val="00787DDE"/>
    <w:rsid w:val="00790E4C"/>
    <w:rsid w:val="007B1C02"/>
    <w:rsid w:val="007B544A"/>
    <w:rsid w:val="007D09B6"/>
    <w:rsid w:val="007D1174"/>
    <w:rsid w:val="007D5622"/>
    <w:rsid w:val="007E1E10"/>
    <w:rsid w:val="007E2F4A"/>
    <w:rsid w:val="007E3DAC"/>
    <w:rsid w:val="007E63F4"/>
    <w:rsid w:val="007E6A86"/>
    <w:rsid w:val="007F7EE2"/>
    <w:rsid w:val="00802917"/>
    <w:rsid w:val="008130C9"/>
    <w:rsid w:val="008159F4"/>
    <w:rsid w:val="00815F7E"/>
    <w:rsid w:val="008246B3"/>
    <w:rsid w:val="00825638"/>
    <w:rsid w:val="008330BC"/>
    <w:rsid w:val="008353ED"/>
    <w:rsid w:val="00835DB0"/>
    <w:rsid w:val="00850039"/>
    <w:rsid w:val="0085005C"/>
    <w:rsid w:val="00850272"/>
    <w:rsid w:val="008511A5"/>
    <w:rsid w:val="00851B45"/>
    <w:rsid w:val="008579C5"/>
    <w:rsid w:val="00860607"/>
    <w:rsid w:val="0086130D"/>
    <w:rsid w:val="00865052"/>
    <w:rsid w:val="00873874"/>
    <w:rsid w:val="008833EC"/>
    <w:rsid w:val="008921F5"/>
    <w:rsid w:val="00893D3E"/>
    <w:rsid w:val="00897045"/>
    <w:rsid w:val="008A5CF1"/>
    <w:rsid w:val="008A6763"/>
    <w:rsid w:val="008B32EE"/>
    <w:rsid w:val="008B4C11"/>
    <w:rsid w:val="008C12F2"/>
    <w:rsid w:val="008C3622"/>
    <w:rsid w:val="008D07DE"/>
    <w:rsid w:val="008D0F90"/>
    <w:rsid w:val="008D21BC"/>
    <w:rsid w:val="008D26E6"/>
    <w:rsid w:val="008E0430"/>
    <w:rsid w:val="008E1279"/>
    <w:rsid w:val="008E68C1"/>
    <w:rsid w:val="008F5DDD"/>
    <w:rsid w:val="008F6218"/>
    <w:rsid w:val="008F75DB"/>
    <w:rsid w:val="0090001F"/>
    <w:rsid w:val="00900FE2"/>
    <w:rsid w:val="00913F1B"/>
    <w:rsid w:val="009211DA"/>
    <w:rsid w:val="00922179"/>
    <w:rsid w:val="00924798"/>
    <w:rsid w:val="00927AA9"/>
    <w:rsid w:val="009347D4"/>
    <w:rsid w:val="0094481D"/>
    <w:rsid w:val="009448BC"/>
    <w:rsid w:val="00944D78"/>
    <w:rsid w:val="0095048D"/>
    <w:rsid w:val="009523AD"/>
    <w:rsid w:val="00953727"/>
    <w:rsid w:val="00953EB1"/>
    <w:rsid w:val="0095687B"/>
    <w:rsid w:val="0096310D"/>
    <w:rsid w:val="009631D5"/>
    <w:rsid w:val="00964817"/>
    <w:rsid w:val="0096520E"/>
    <w:rsid w:val="00967094"/>
    <w:rsid w:val="00970588"/>
    <w:rsid w:val="009710BC"/>
    <w:rsid w:val="00972D88"/>
    <w:rsid w:val="00973DE6"/>
    <w:rsid w:val="00980CF5"/>
    <w:rsid w:val="009868DA"/>
    <w:rsid w:val="00990A54"/>
    <w:rsid w:val="00991AC8"/>
    <w:rsid w:val="009A1B42"/>
    <w:rsid w:val="009A3335"/>
    <w:rsid w:val="009A7C35"/>
    <w:rsid w:val="009B15EB"/>
    <w:rsid w:val="009B2B5C"/>
    <w:rsid w:val="009B5533"/>
    <w:rsid w:val="009C44E5"/>
    <w:rsid w:val="009C6F52"/>
    <w:rsid w:val="009E4707"/>
    <w:rsid w:val="009F17B8"/>
    <w:rsid w:val="00A10B30"/>
    <w:rsid w:val="00A110ED"/>
    <w:rsid w:val="00A13382"/>
    <w:rsid w:val="00A20201"/>
    <w:rsid w:val="00A2033A"/>
    <w:rsid w:val="00A20996"/>
    <w:rsid w:val="00A2338D"/>
    <w:rsid w:val="00A246E0"/>
    <w:rsid w:val="00A30367"/>
    <w:rsid w:val="00A3248A"/>
    <w:rsid w:val="00A343A7"/>
    <w:rsid w:val="00A350C3"/>
    <w:rsid w:val="00A406C0"/>
    <w:rsid w:val="00A42C19"/>
    <w:rsid w:val="00A560FE"/>
    <w:rsid w:val="00A566E0"/>
    <w:rsid w:val="00A66783"/>
    <w:rsid w:val="00A72F42"/>
    <w:rsid w:val="00A7442A"/>
    <w:rsid w:val="00A812F5"/>
    <w:rsid w:val="00A8349E"/>
    <w:rsid w:val="00A85E34"/>
    <w:rsid w:val="00A85EA2"/>
    <w:rsid w:val="00A9012F"/>
    <w:rsid w:val="00A91D95"/>
    <w:rsid w:val="00A94421"/>
    <w:rsid w:val="00A94AEF"/>
    <w:rsid w:val="00AA352F"/>
    <w:rsid w:val="00AA6EA5"/>
    <w:rsid w:val="00AB1154"/>
    <w:rsid w:val="00AB4142"/>
    <w:rsid w:val="00AB6670"/>
    <w:rsid w:val="00AB67ED"/>
    <w:rsid w:val="00AB78E9"/>
    <w:rsid w:val="00AC0AF7"/>
    <w:rsid w:val="00AC13A2"/>
    <w:rsid w:val="00AD07F6"/>
    <w:rsid w:val="00AD6C16"/>
    <w:rsid w:val="00AF0061"/>
    <w:rsid w:val="00AF4147"/>
    <w:rsid w:val="00B02878"/>
    <w:rsid w:val="00B076B2"/>
    <w:rsid w:val="00B117AB"/>
    <w:rsid w:val="00B1226E"/>
    <w:rsid w:val="00B16ED9"/>
    <w:rsid w:val="00B21E75"/>
    <w:rsid w:val="00B323A8"/>
    <w:rsid w:val="00B32488"/>
    <w:rsid w:val="00B32CB4"/>
    <w:rsid w:val="00B35A25"/>
    <w:rsid w:val="00B375DD"/>
    <w:rsid w:val="00B41B9B"/>
    <w:rsid w:val="00B42561"/>
    <w:rsid w:val="00B44DBB"/>
    <w:rsid w:val="00B464F9"/>
    <w:rsid w:val="00B47D76"/>
    <w:rsid w:val="00B505C6"/>
    <w:rsid w:val="00B50E85"/>
    <w:rsid w:val="00B618C1"/>
    <w:rsid w:val="00B72C7A"/>
    <w:rsid w:val="00B76BBA"/>
    <w:rsid w:val="00B81B5C"/>
    <w:rsid w:val="00B8273B"/>
    <w:rsid w:val="00B90B87"/>
    <w:rsid w:val="00B93A95"/>
    <w:rsid w:val="00BA174C"/>
    <w:rsid w:val="00BA1E7E"/>
    <w:rsid w:val="00BA6C9C"/>
    <w:rsid w:val="00BB7EA9"/>
    <w:rsid w:val="00BC6E69"/>
    <w:rsid w:val="00BD1A8F"/>
    <w:rsid w:val="00BD262C"/>
    <w:rsid w:val="00BE070A"/>
    <w:rsid w:val="00BF3942"/>
    <w:rsid w:val="00BF4996"/>
    <w:rsid w:val="00BF7DCF"/>
    <w:rsid w:val="00C07157"/>
    <w:rsid w:val="00C104F5"/>
    <w:rsid w:val="00C12A61"/>
    <w:rsid w:val="00C16A33"/>
    <w:rsid w:val="00C177BE"/>
    <w:rsid w:val="00C204F2"/>
    <w:rsid w:val="00C20B7A"/>
    <w:rsid w:val="00C36563"/>
    <w:rsid w:val="00C412B5"/>
    <w:rsid w:val="00C47D64"/>
    <w:rsid w:val="00C52F4F"/>
    <w:rsid w:val="00C55F19"/>
    <w:rsid w:val="00C56E9A"/>
    <w:rsid w:val="00C60B31"/>
    <w:rsid w:val="00C61FAC"/>
    <w:rsid w:val="00C64C96"/>
    <w:rsid w:val="00C7140C"/>
    <w:rsid w:val="00C81E92"/>
    <w:rsid w:val="00C82841"/>
    <w:rsid w:val="00C844D5"/>
    <w:rsid w:val="00C84DC5"/>
    <w:rsid w:val="00C86CDD"/>
    <w:rsid w:val="00C92244"/>
    <w:rsid w:val="00CA52F2"/>
    <w:rsid w:val="00CA6437"/>
    <w:rsid w:val="00CA75C5"/>
    <w:rsid w:val="00CB0074"/>
    <w:rsid w:val="00CB3309"/>
    <w:rsid w:val="00CC70DD"/>
    <w:rsid w:val="00CE1B4A"/>
    <w:rsid w:val="00CE3550"/>
    <w:rsid w:val="00CE5D86"/>
    <w:rsid w:val="00CF2C9A"/>
    <w:rsid w:val="00CF2D3B"/>
    <w:rsid w:val="00CF2D8D"/>
    <w:rsid w:val="00CF637E"/>
    <w:rsid w:val="00CF713E"/>
    <w:rsid w:val="00CF73EF"/>
    <w:rsid w:val="00D007DC"/>
    <w:rsid w:val="00D0575A"/>
    <w:rsid w:val="00D144A7"/>
    <w:rsid w:val="00D24332"/>
    <w:rsid w:val="00D35966"/>
    <w:rsid w:val="00D408F0"/>
    <w:rsid w:val="00D43191"/>
    <w:rsid w:val="00D43C7D"/>
    <w:rsid w:val="00D50D8C"/>
    <w:rsid w:val="00D516D1"/>
    <w:rsid w:val="00D55E22"/>
    <w:rsid w:val="00D56C39"/>
    <w:rsid w:val="00D62576"/>
    <w:rsid w:val="00D627B6"/>
    <w:rsid w:val="00D65C4C"/>
    <w:rsid w:val="00D706E1"/>
    <w:rsid w:val="00D77330"/>
    <w:rsid w:val="00D832AE"/>
    <w:rsid w:val="00D8471F"/>
    <w:rsid w:val="00D86D26"/>
    <w:rsid w:val="00D924EA"/>
    <w:rsid w:val="00D9319E"/>
    <w:rsid w:val="00DA225A"/>
    <w:rsid w:val="00DA78B2"/>
    <w:rsid w:val="00DA7CEA"/>
    <w:rsid w:val="00DB04E2"/>
    <w:rsid w:val="00DB5BB7"/>
    <w:rsid w:val="00DC4F55"/>
    <w:rsid w:val="00DD55CE"/>
    <w:rsid w:val="00DE0DFD"/>
    <w:rsid w:val="00DE6E1E"/>
    <w:rsid w:val="00DF1A9A"/>
    <w:rsid w:val="00DF3E34"/>
    <w:rsid w:val="00DF56E0"/>
    <w:rsid w:val="00E00629"/>
    <w:rsid w:val="00E04EFF"/>
    <w:rsid w:val="00E05A2E"/>
    <w:rsid w:val="00E12A0E"/>
    <w:rsid w:val="00E14B7D"/>
    <w:rsid w:val="00E15AA1"/>
    <w:rsid w:val="00E21187"/>
    <w:rsid w:val="00E264F6"/>
    <w:rsid w:val="00E268F7"/>
    <w:rsid w:val="00E2790F"/>
    <w:rsid w:val="00E50664"/>
    <w:rsid w:val="00E50CE4"/>
    <w:rsid w:val="00E56B38"/>
    <w:rsid w:val="00E70219"/>
    <w:rsid w:val="00E720A0"/>
    <w:rsid w:val="00E77547"/>
    <w:rsid w:val="00E8282E"/>
    <w:rsid w:val="00E86131"/>
    <w:rsid w:val="00E86420"/>
    <w:rsid w:val="00E91A55"/>
    <w:rsid w:val="00E9558A"/>
    <w:rsid w:val="00E971B3"/>
    <w:rsid w:val="00EA530F"/>
    <w:rsid w:val="00EA7B09"/>
    <w:rsid w:val="00EB0004"/>
    <w:rsid w:val="00EB17FB"/>
    <w:rsid w:val="00EB6B8E"/>
    <w:rsid w:val="00EC136C"/>
    <w:rsid w:val="00EC7209"/>
    <w:rsid w:val="00ED19A2"/>
    <w:rsid w:val="00ED5C7D"/>
    <w:rsid w:val="00ED5E4F"/>
    <w:rsid w:val="00EE08D5"/>
    <w:rsid w:val="00EE3B33"/>
    <w:rsid w:val="00EE6CC5"/>
    <w:rsid w:val="00EF0AC3"/>
    <w:rsid w:val="00EF3219"/>
    <w:rsid w:val="00EF7662"/>
    <w:rsid w:val="00EF7E29"/>
    <w:rsid w:val="00F04FC5"/>
    <w:rsid w:val="00F154DF"/>
    <w:rsid w:val="00F159AA"/>
    <w:rsid w:val="00F22B6C"/>
    <w:rsid w:val="00F23E7C"/>
    <w:rsid w:val="00F333D8"/>
    <w:rsid w:val="00F34A86"/>
    <w:rsid w:val="00F35FF6"/>
    <w:rsid w:val="00F4664F"/>
    <w:rsid w:val="00F47378"/>
    <w:rsid w:val="00F52A8B"/>
    <w:rsid w:val="00F54615"/>
    <w:rsid w:val="00F55DAC"/>
    <w:rsid w:val="00F6718D"/>
    <w:rsid w:val="00F71868"/>
    <w:rsid w:val="00F72064"/>
    <w:rsid w:val="00F738F9"/>
    <w:rsid w:val="00F7410A"/>
    <w:rsid w:val="00F7474A"/>
    <w:rsid w:val="00F75329"/>
    <w:rsid w:val="00F75EB1"/>
    <w:rsid w:val="00F81C58"/>
    <w:rsid w:val="00F82339"/>
    <w:rsid w:val="00F87083"/>
    <w:rsid w:val="00F87220"/>
    <w:rsid w:val="00F9015D"/>
    <w:rsid w:val="00F92EA8"/>
    <w:rsid w:val="00FA113D"/>
    <w:rsid w:val="00FA1C69"/>
    <w:rsid w:val="00FA4C08"/>
    <w:rsid w:val="00FB0F24"/>
    <w:rsid w:val="00FB192F"/>
    <w:rsid w:val="00FB2375"/>
    <w:rsid w:val="00FB3516"/>
    <w:rsid w:val="00FB5608"/>
    <w:rsid w:val="00FD5F2D"/>
    <w:rsid w:val="00FD6BFA"/>
    <w:rsid w:val="00FE1EFF"/>
    <w:rsid w:val="00FE4A85"/>
    <w:rsid w:val="00FE61B7"/>
    <w:rsid w:val="00FF08B1"/>
    <w:rsid w:val="00FF18E3"/>
    <w:rsid w:val="00FF3B3E"/>
    <w:rsid w:val="00FF54BF"/>
    <w:rsid w:val="00FF7AC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39"/>
    <w:rPr>
      <w:rFonts w:cs="Times New Roman"/>
      <w:szCs w:val="24"/>
    </w:rPr>
  </w:style>
  <w:style w:type="paragraph" w:styleId="Titre1">
    <w:name w:val="heading 1"/>
    <w:basedOn w:val="Normal"/>
    <w:next w:val="Normal"/>
    <w:link w:val="Titre1Car"/>
    <w:uiPriority w:val="9"/>
    <w:qFormat/>
    <w:rsid w:val="00F82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35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C4F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339"/>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82339"/>
    <w:pPr>
      <w:outlineLvl w:val="9"/>
    </w:pPr>
    <w:rPr>
      <w:lang w:eastAsia="fr-CA"/>
    </w:rPr>
  </w:style>
  <w:style w:type="paragraph" w:styleId="Textedebulles">
    <w:name w:val="Balloon Text"/>
    <w:basedOn w:val="Normal"/>
    <w:link w:val="TextedebullesCar"/>
    <w:uiPriority w:val="99"/>
    <w:semiHidden/>
    <w:unhideWhenUsed/>
    <w:rsid w:val="00F823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339"/>
    <w:rPr>
      <w:rFonts w:ascii="Tahoma" w:hAnsi="Tahoma" w:cs="Tahoma"/>
      <w:sz w:val="16"/>
      <w:szCs w:val="16"/>
    </w:rPr>
  </w:style>
  <w:style w:type="paragraph" w:styleId="TM1">
    <w:name w:val="toc 1"/>
    <w:basedOn w:val="Normal"/>
    <w:next w:val="Normal"/>
    <w:autoRedefine/>
    <w:uiPriority w:val="39"/>
    <w:unhideWhenUsed/>
    <w:rsid w:val="00F82339"/>
    <w:pPr>
      <w:spacing w:after="100"/>
    </w:pPr>
  </w:style>
  <w:style w:type="character" w:styleId="Lienhypertexte">
    <w:name w:val="Hyperlink"/>
    <w:basedOn w:val="Policepardfaut"/>
    <w:uiPriority w:val="99"/>
    <w:unhideWhenUsed/>
    <w:rsid w:val="00F82339"/>
    <w:rPr>
      <w:color w:val="0000FF" w:themeColor="hyperlink"/>
      <w:u w:val="single"/>
    </w:rPr>
  </w:style>
  <w:style w:type="paragraph" w:styleId="En-tte">
    <w:name w:val="header"/>
    <w:basedOn w:val="Normal"/>
    <w:link w:val="En-tteCar"/>
    <w:uiPriority w:val="99"/>
    <w:unhideWhenUsed/>
    <w:rsid w:val="00F82339"/>
    <w:pPr>
      <w:tabs>
        <w:tab w:val="center" w:pos="4320"/>
        <w:tab w:val="right" w:pos="8640"/>
      </w:tabs>
      <w:spacing w:after="0" w:line="240" w:lineRule="auto"/>
    </w:pPr>
  </w:style>
  <w:style w:type="character" w:customStyle="1" w:styleId="En-tteCar">
    <w:name w:val="En-tête Car"/>
    <w:basedOn w:val="Policepardfaut"/>
    <w:link w:val="En-tte"/>
    <w:uiPriority w:val="99"/>
    <w:rsid w:val="00F82339"/>
    <w:rPr>
      <w:rFonts w:cs="Times New Roman"/>
      <w:szCs w:val="24"/>
    </w:rPr>
  </w:style>
  <w:style w:type="paragraph" w:styleId="Pieddepage">
    <w:name w:val="footer"/>
    <w:basedOn w:val="Normal"/>
    <w:link w:val="PieddepageCar"/>
    <w:uiPriority w:val="99"/>
    <w:unhideWhenUsed/>
    <w:rsid w:val="00F8233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2339"/>
    <w:rPr>
      <w:rFonts w:cs="Times New Roman"/>
      <w:szCs w:val="24"/>
    </w:rPr>
  </w:style>
  <w:style w:type="paragraph" w:styleId="Notedebasdepage">
    <w:name w:val="footnote text"/>
    <w:basedOn w:val="Normal"/>
    <w:link w:val="NotedebasdepageCar"/>
    <w:uiPriority w:val="99"/>
    <w:unhideWhenUsed/>
    <w:rsid w:val="00A30367"/>
    <w:pPr>
      <w:spacing w:after="0" w:line="240" w:lineRule="auto"/>
    </w:pPr>
    <w:rPr>
      <w:sz w:val="20"/>
      <w:szCs w:val="20"/>
    </w:rPr>
  </w:style>
  <w:style w:type="character" w:customStyle="1" w:styleId="NotedebasdepageCar">
    <w:name w:val="Note de bas de page Car"/>
    <w:basedOn w:val="Policepardfaut"/>
    <w:link w:val="Notedebasdepage"/>
    <w:uiPriority w:val="99"/>
    <w:rsid w:val="00A30367"/>
    <w:rPr>
      <w:rFonts w:cs="Times New Roman"/>
      <w:sz w:val="20"/>
      <w:szCs w:val="20"/>
    </w:rPr>
  </w:style>
  <w:style w:type="character" w:styleId="Appelnotedebasdep">
    <w:name w:val="footnote reference"/>
    <w:basedOn w:val="Policepardfaut"/>
    <w:uiPriority w:val="99"/>
    <w:semiHidden/>
    <w:unhideWhenUsed/>
    <w:rsid w:val="00A30367"/>
    <w:rPr>
      <w:vertAlign w:val="superscript"/>
    </w:rPr>
  </w:style>
  <w:style w:type="character" w:customStyle="1" w:styleId="Titre2Car">
    <w:name w:val="Titre 2 Car"/>
    <w:basedOn w:val="Policepardfaut"/>
    <w:link w:val="Titre2"/>
    <w:uiPriority w:val="9"/>
    <w:rsid w:val="00D35966"/>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D35966"/>
    <w:pPr>
      <w:spacing w:after="100"/>
      <w:ind w:left="240"/>
    </w:pPr>
  </w:style>
  <w:style w:type="character" w:customStyle="1" w:styleId="apple-style-span">
    <w:name w:val="apple-style-span"/>
    <w:basedOn w:val="Policepardfaut"/>
    <w:rsid w:val="00DC4F55"/>
  </w:style>
  <w:style w:type="character" w:customStyle="1" w:styleId="apple-converted-space">
    <w:name w:val="apple-converted-space"/>
    <w:basedOn w:val="Policepardfaut"/>
    <w:rsid w:val="00DC4F55"/>
  </w:style>
  <w:style w:type="character" w:styleId="Accentuation">
    <w:name w:val="Emphasis"/>
    <w:basedOn w:val="Policepardfaut"/>
    <w:uiPriority w:val="20"/>
    <w:qFormat/>
    <w:rsid w:val="00DC4F55"/>
    <w:rPr>
      <w:i/>
      <w:iCs/>
    </w:rPr>
  </w:style>
  <w:style w:type="character" w:customStyle="1" w:styleId="petitecap">
    <w:name w:val="petitecap"/>
    <w:basedOn w:val="Policepardfaut"/>
    <w:rsid w:val="00DC4F55"/>
  </w:style>
  <w:style w:type="character" w:customStyle="1" w:styleId="sup">
    <w:name w:val="sup"/>
    <w:basedOn w:val="Policepardfaut"/>
    <w:rsid w:val="00DC4F55"/>
  </w:style>
  <w:style w:type="character" w:customStyle="1" w:styleId="Titre3Car">
    <w:name w:val="Titre 3 Car"/>
    <w:basedOn w:val="Policepardfaut"/>
    <w:link w:val="Titre3"/>
    <w:uiPriority w:val="9"/>
    <w:rsid w:val="00DC4F55"/>
    <w:rPr>
      <w:rFonts w:asciiTheme="majorHAnsi" w:eastAsiaTheme="majorEastAsia" w:hAnsiTheme="majorHAnsi" w:cstheme="majorBidi"/>
      <w:b/>
      <w:bCs/>
      <w:color w:val="4F81BD" w:themeColor="accent1"/>
      <w:szCs w:val="24"/>
    </w:rPr>
  </w:style>
  <w:style w:type="character" w:styleId="lev">
    <w:name w:val="Strong"/>
    <w:basedOn w:val="Policepardfaut"/>
    <w:uiPriority w:val="22"/>
    <w:qFormat/>
    <w:rsid w:val="00DC4F55"/>
    <w:rPr>
      <w:b/>
      <w:bCs/>
    </w:rPr>
  </w:style>
  <w:style w:type="paragraph" w:styleId="TM3">
    <w:name w:val="toc 3"/>
    <w:basedOn w:val="Normal"/>
    <w:next w:val="Normal"/>
    <w:autoRedefine/>
    <w:uiPriority w:val="39"/>
    <w:unhideWhenUsed/>
    <w:rsid w:val="00103285"/>
    <w:pPr>
      <w:spacing w:after="100"/>
      <w:ind w:left="480"/>
    </w:pPr>
  </w:style>
  <w:style w:type="character" w:styleId="Textedelespacerserv">
    <w:name w:val="Placeholder Text"/>
    <w:basedOn w:val="Policepardfaut"/>
    <w:uiPriority w:val="99"/>
    <w:semiHidden/>
    <w:rsid w:val="00BD262C"/>
    <w:rPr>
      <w:color w:val="808080"/>
    </w:rPr>
  </w:style>
  <w:style w:type="character" w:customStyle="1" w:styleId="fn">
    <w:name w:val="fn"/>
    <w:basedOn w:val="Policepardfaut"/>
    <w:rsid w:val="0031021E"/>
  </w:style>
  <w:style w:type="paragraph" w:styleId="Paragraphedeliste">
    <w:name w:val="List Paragraph"/>
    <w:basedOn w:val="Normal"/>
    <w:uiPriority w:val="34"/>
    <w:qFormat/>
    <w:rsid w:val="00C20B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39"/>
    <w:rPr>
      <w:rFonts w:cs="Times New Roman"/>
      <w:szCs w:val="24"/>
    </w:rPr>
  </w:style>
  <w:style w:type="paragraph" w:styleId="Titre1">
    <w:name w:val="heading 1"/>
    <w:basedOn w:val="Normal"/>
    <w:next w:val="Normal"/>
    <w:link w:val="Titre1Car"/>
    <w:uiPriority w:val="9"/>
    <w:qFormat/>
    <w:rsid w:val="00F823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359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C4F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339"/>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F82339"/>
    <w:pPr>
      <w:outlineLvl w:val="9"/>
    </w:pPr>
    <w:rPr>
      <w:lang w:eastAsia="fr-CA"/>
    </w:rPr>
  </w:style>
  <w:style w:type="paragraph" w:styleId="Textedebulles">
    <w:name w:val="Balloon Text"/>
    <w:basedOn w:val="Normal"/>
    <w:link w:val="TextedebullesCar"/>
    <w:uiPriority w:val="99"/>
    <w:semiHidden/>
    <w:unhideWhenUsed/>
    <w:rsid w:val="00F8233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339"/>
    <w:rPr>
      <w:rFonts w:ascii="Tahoma" w:hAnsi="Tahoma" w:cs="Tahoma"/>
      <w:sz w:val="16"/>
      <w:szCs w:val="16"/>
    </w:rPr>
  </w:style>
  <w:style w:type="paragraph" w:styleId="TM1">
    <w:name w:val="toc 1"/>
    <w:basedOn w:val="Normal"/>
    <w:next w:val="Normal"/>
    <w:autoRedefine/>
    <w:uiPriority w:val="39"/>
    <w:unhideWhenUsed/>
    <w:rsid w:val="00F82339"/>
    <w:pPr>
      <w:spacing w:after="100"/>
    </w:pPr>
  </w:style>
  <w:style w:type="character" w:styleId="Lienhypertexte">
    <w:name w:val="Hyperlink"/>
    <w:basedOn w:val="Policepardfaut"/>
    <w:uiPriority w:val="99"/>
    <w:unhideWhenUsed/>
    <w:rsid w:val="00F82339"/>
    <w:rPr>
      <w:color w:val="0000FF" w:themeColor="hyperlink"/>
      <w:u w:val="single"/>
    </w:rPr>
  </w:style>
  <w:style w:type="paragraph" w:styleId="En-tte">
    <w:name w:val="header"/>
    <w:basedOn w:val="Normal"/>
    <w:link w:val="En-tteCar"/>
    <w:uiPriority w:val="99"/>
    <w:unhideWhenUsed/>
    <w:rsid w:val="00F82339"/>
    <w:pPr>
      <w:tabs>
        <w:tab w:val="center" w:pos="4320"/>
        <w:tab w:val="right" w:pos="8640"/>
      </w:tabs>
      <w:spacing w:after="0" w:line="240" w:lineRule="auto"/>
    </w:pPr>
  </w:style>
  <w:style w:type="character" w:customStyle="1" w:styleId="En-tteCar">
    <w:name w:val="En-tête Car"/>
    <w:basedOn w:val="Policepardfaut"/>
    <w:link w:val="En-tte"/>
    <w:uiPriority w:val="99"/>
    <w:rsid w:val="00F82339"/>
    <w:rPr>
      <w:rFonts w:cs="Times New Roman"/>
      <w:szCs w:val="24"/>
    </w:rPr>
  </w:style>
  <w:style w:type="paragraph" w:styleId="Pieddepage">
    <w:name w:val="footer"/>
    <w:basedOn w:val="Normal"/>
    <w:link w:val="PieddepageCar"/>
    <w:uiPriority w:val="99"/>
    <w:unhideWhenUsed/>
    <w:rsid w:val="00F8233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82339"/>
    <w:rPr>
      <w:rFonts w:cs="Times New Roman"/>
      <w:szCs w:val="24"/>
    </w:rPr>
  </w:style>
  <w:style w:type="paragraph" w:styleId="Notedebasdepage">
    <w:name w:val="footnote text"/>
    <w:basedOn w:val="Normal"/>
    <w:link w:val="NotedebasdepageCar"/>
    <w:uiPriority w:val="99"/>
    <w:unhideWhenUsed/>
    <w:rsid w:val="00A30367"/>
    <w:pPr>
      <w:spacing w:after="0" w:line="240" w:lineRule="auto"/>
    </w:pPr>
    <w:rPr>
      <w:sz w:val="20"/>
      <w:szCs w:val="20"/>
    </w:rPr>
  </w:style>
  <w:style w:type="character" w:customStyle="1" w:styleId="NotedebasdepageCar">
    <w:name w:val="Note de bas de page Car"/>
    <w:basedOn w:val="Policepardfaut"/>
    <w:link w:val="Notedebasdepage"/>
    <w:uiPriority w:val="99"/>
    <w:rsid w:val="00A30367"/>
    <w:rPr>
      <w:rFonts w:cs="Times New Roman"/>
      <w:sz w:val="20"/>
      <w:szCs w:val="20"/>
    </w:rPr>
  </w:style>
  <w:style w:type="character" w:styleId="Appelnotedebasdep">
    <w:name w:val="footnote reference"/>
    <w:basedOn w:val="Policepardfaut"/>
    <w:uiPriority w:val="99"/>
    <w:semiHidden/>
    <w:unhideWhenUsed/>
    <w:rsid w:val="00A30367"/>
    <w:rPr>
      <w:vertAlign w:val="superscript"/>
    </w:rPr>
  </w:style>
  <w:style w:type="character" w:customStyle="1" w:styleId="Titre2Car">
    <w:name w:val="Titre 2 Car"/>
    <w:basedOn w:val="Policepardfaut"/>
    <w:link w:val="Titre2"/>
    <w:uiPriority w:val="9"/>
    <w:rsid w:val="00D35966"/>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D35966"/>
    <w:pPr>
      <w:spacing w:after="100"/>
      <w:ind w:left="240"/>
    </w:pPr>
  </w:style>
  <w:style w:type="character" w:customStyle="1" w:styleId="apple-style-span">
    <w:name w:val="apple-style-span"/>
    <w:basedOn w:val="Policepardfaut"/>
    <w:rsid w:val="00DC4F55"/>
  </w:style>
  <w:style w:type="character" w:customStyle="1" w:styleId="apple-converted-space">
    <w:name w:val="apple-converted-space"/>
    <w:basedOn w:val="Policepardfaut"/>
    <w:rsid w:val="00DC4F55"/>
  </w:style>
  <w:style w:type="character" w:styleId="Accentuation">
    <w:name w:val="Emphasis"/>
    <w:basedOn w:val="Policepardfaut"/>
    <w:uiPriority w:val="20"/>
    <w:qFormat/>
    <w:rsid w:val="00DC4F55"/>
    <w:rPr>
      <w:i/>
      <w:iCs/>
    </w:rPr>
  </w:style>
  <w:style w:type="character" w:customStyle="1" w:styleId="petitecap">
    <w:name w:val="petitecap"/>
    <w:basedOn w:val="Policepardfaut"/>
    <w:rsid w:val="00DC4F55"/>
  </w:style>
  <w:style w:type="character" w:customStyle="1" w:styleId="sup">
    <w:name w:val="sup"/>
    <w:basedOn w:val="Policepardfaut"/>
    <w:rsid w:val="00DC4F55"/>
  </w:style>
  <w:style w:type="character" w:customStyle="1" w:styleId="Titre3Car">
    <w:name w:val="Titre 3 Car"/>
    <w:basedOn w:val="Policepardfaut"/>
    <w:link w:val="Titre3"/>
    <w:uiPriority w:val="9"/>
    <w:rsid w:val="00DC4F55"/>
    <w:rPr>
      <w:rFonts w:asciiTheme="majorHAnsi" w:eastAsiaTheme="majorEastAsia" w:hAnsiTheme="majorHAnsi" w:cstheme="majorBidi"/>
      <w:b/>
      <w:bCs/>
      <w:color w:val="4F81BD" w:themeColor="accent1"/>
      <w:szCs w:val="24"/>
    </w:rPr>
  </w:style>
  <w:style w:type="character" w:styleId="lev">
    <w:name w:val="Strong"/>
    <w:basedOn w:val="Policepardfaut"/>
    <w:uiPriority w:val="22"/>
    <w:qFormat/>
    <w:rsid w:val="00DC4F55"/>
    <w:rPr>
      <w:b/>
      <w:bCs/>
    </w:rPr>
  </w:style>
  <w:style w:type="paragraph" w:styleId="TM3">
    <w:name w:val="toc 3"/>
    <w:basedOn w:val="Normal"/>
    <w:next w:val="Normal"/>
    <w:autoRedefine/>
    <w:uiPriority w:val="39"/>
    <w:unhideWhenUsed/>
    <w:rsid w:val="00103285"/>
    <w:pPr>
      <w:spacing w:after="100"/>
      <w:ind w:left="480"/>
    </w:pPr>
  </w:style>
  <w:style w:type="character" w:styleId="Textedelespacerserv">
    <w:name w:val="Placeholder Text"/>
    <w:basedOn w:val="Policepardfaut"/>
    <w:uiPriority w:val="99"/>
    <w:semiHidden/>
    <w:rsid w:val="00BD262C"/>
    <w:rPr>
      <w:color w:val="808080"/>
    </w:rPr>
  </w:style>
  <w:style w:type="character" w:customStyle="1" w:styleId="fn">
    <w:name w:val="fn"/>
    <w:basedOn w:val="Policepardfaut"/>
    <w:rsid w:val="0031021E"/>
  </w:style>
  <w:style w:type="paragraph" w:styleId="Paragraphedeliste">
    <w:name w:val="List Paragraph"/>
    <w:basedOn w:val="Normal"/>
    <w:uiPriority w:val="34"/>
    <w:qFormat/>
    <w:rsid w:val="00C20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2316">
      <w:bodyDiv w:val="1"/>
      <w:marLeft w:val="0"/>
      <w:marRight w:val="0"/>
      <w:marTop w:val="0"/>
      <w:marBottom w:val="0"/>
      <w:divBdr>
        <w:top w:val="none" w:sz="0" w:space="0" w:color="auto"/>
        <w:left w:val="none" w:sz="0" w:space="0" w:color="auto"/>
        <w:bottom w:val="none" w:sz="0" w:space="0" w:color="auto"/>
        <w:right w:val="none" w:sz="0" w:space="0" w:color="auto"/>
      </w:divBdr>
    </w:div>
    <w:div w:id="475413963">
      <w:bodyDiv w:val="1"/>
      <w:marLeft w:val="0"/>
      <w:marRight w:val="0"/>
      <w:marTop w:val="0"/>
      <w:marBottom w:val="0"/>
      <w:divBdr>
        <w:top w:val="none" w:sz="0" w:space="0" w:color="auto"/>
        <w:left w:val="none" w:sz="0" w:space="0" w:color="auto"/>
        <w:bottom w:val="none" w:sz="0" w:space="0" w:color="auto"/>
        <w:right w:val="none" w:sz="0" w:space="0" w:color="auto"/>
      </w:divBdr>
    </w:div>
    <w:div w:id="671421348">
      <w:bodyDiv w:val="1"/>
      <w:marLeft w:val="0"/>
      <w:marRight w:val="0"/>
      <w:marTop w:val="0"/>
      <w:marBottom w:val="0"/>
      <w:divBdr>
        <w:top w:val="none" w:sz="0" w:space="0" w:color="auto"/>
        <w:left w:val="none" w:sz="0" w:space="0" w:color="auto"/>
        <w:bottom w:val="none" w:sz="0" w:space="0" w:color="auto"/>
        <w:right w:val="none" w:sz="0" w:space="0" w:color="auto"/>
      </w:divBdr>
    </w:div>
    <w:div w:id="931284930">
      <w:bodyDiv w:val="1"/>
      <w:marLeft w:val="0"/>
      <w:marRight w:val="0"/>
      <w:marTop w:val="0"/>
      <w:marBottom w:val="0"/>
      <w:divBdr>
        <w:top w:val="none" w:sz="0" w:space="0" w:color="auto"/>
        <w:left w:val="none" w:sz="0" w:space="0" w:color="auto"/>
        <w:bottom w:val="none" w:sz="0" w:space="0" w:color="auto"/>
        <w:right w:val="none" w:sz="0" w:space="0" w:color="auto"/>
      </w:divBdr>
    </w:div>
    <w:div w:id="2007315876">
      <w:bodyDiv w:val="1"/>
      <w:marLeft w:val="0"/>
      <w:marRight w:val="0"/>
      <w:marTop w:val="0"/>
      <w:marBottom w:val="0"/>
      <w:divBdr>
        <w:top w:val="none" w:sz="0" w:space="0" w:color="auto"/>
        <w:left w:val="none" w:sz="0" w:space="0" w:color="auto"/>
        <w:bottom w:val="none" w:sz="0" w:space="0" w:color="auto"/>
        <w:right w:val="none" w:sz="0" w:space="0" w:color="auto"/>
      </w:divBdr>
    </w:div>
    <w:div w:id="20233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ris.banq.qc.ca/alswww2.dll/APS_CAT_IDENTIFY?Method=CatalogueExplore&amp;IsTagged=0&amp;DB=BookServer&amp;ExploreType=Publisher&amp;Stem=Presses%20universitaires%20de%20France&amp;Style=Portal3&amp;SubStyle=&amp;Lang=FRE&amp;ResponseEncoding=utf-8&amp;Parent=Obj_681791297106290" TargetMode="External"/><Relationship Id="rId18" Type="http://schemas.openxmlformats.org/officeDocument/2006/relationships/hyperlink" Target="http://apps.brepolis.net/bmb/search.cfm?action=search_simple_result&amp;startrow=1&amp;add_to_search_history=1&amp;log_advancedsearch=1&amp;source=IMB&amp;author_name_boolean=and&amp;author_name=%22BINSKI,%20Paul%2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apps.brepolis.net/bmb/search.cfm?action=search_simple_result&amp;startrow=1&amp;add_to_search_history=1&amp;log_advancedsearch=1&amp;source=IMB&amp;title_boolean=and&amp;title=%22Acad%C3%A9mie%20des%20inscriptions%20et%20belles-lettres.%20Comptes-rendus%20des%20s%C3%A9ances%22" TargetMode="External"/><Relationship Id="rId7" Type="http://schemas.openxmlformats.org/officeDocument/2006/relationships/footnotes" Target="footnotes.xml"/><Relationship Id="rId12" Type="http://schemas.openxmlformats.org/officeDocument/2006/relationships/hyperlink" Target="http://iris.banq.qc.ca/alswww2.dll/APS_CAT_IDENTIFY?Method=CatalogueExplore&amp;IsTagged=0&amp;DB=BookServer&amp;ExploreType=Publisher&amp;Stem=Hambledon%20Press&amp;Style=Portal3&amp;SubStyle=&amp;Lang=FRE&amp;ResponseEncoding=utf-8&amp;Parent=Obj_826621296502969" TargetMode="External"/><Relationship Id="rId17" Type="http://schemas.openxmlformats.org/officeDocument/2006/relationships/hyperlink" Target="http://apps.brepolis.net/bmb/search.cfm?action=search_simple_result&amp;startrow=1&amp;add_to_search_history=1&amp;log_advancedsearch=1&amp;source=IMB&amp;author_name_boolean=and&amp;author_name=%22MORGAN,%20Nigel%2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apps.brepolis.net/bmb/search.cfm?action=search_simple_result&amp;startrow=1&amp;add_to_search_history=1&amp;log_advancedsearch=1&amp;source=IMB&amp;author_name_boolean=and&amp;author_name=%22BINSKI,%20Paul%22" TargetMode="External"/><Relationship Id="rId20" Type="http://schemas.openxmlformats.org/officeDocument/2006/relationships/hyperlink" Target="http://apps.brepolis.net/bmb/search.cfm?action=search_simple_detail_single&amp;startrow=1&amp;endrow=1&amp;search_order=year_desc&amp;CENTURY=13%20OR%2014%20OR%2015%20OR%2016&amp;CENTURY_FROM=13&amp;CENTURY_TO=16&amp;FULL_TEXT=Couleur&amp;SOURCE=IMB"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trium.bib.umontreal.ca:8000/WebZ/GeacQUERY?sessionid=01-43658-1508901058&amp;termsrch-au%3D=Wieck%2C+Roger+S.&amp;format=B&amp;fmtclass=&amp;next=html/geacnfbrief.html&amp;bad=error/badsearch.html&amp;entitytoprecno=1&amp;entitycurrecno=1&amp;numrecs=2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apps.brepolis.net/bmb/search.cfm?action=search_simple_result&amp;startrow=1&amp;add_to_search_history=1&amp;log_advancedsearch=1&amp;source=IMB&amp;title_boolean=and&amp;title=%22Studies%20in%20Church%20History%22" TargetMode="External"/><Relationship Id="rId23" Type="http://schemas.openxmlformats.org/officeDocument/2006/relationships/hyperlink" Target="http://www.linternaute.com/citation/22913/qui-veut-retrouver-sa-jeunesse-n-a-qu-a-reprendre-ses-folies-oscar-wilde/" TargetMode="External"/><Relationship Id="rId28" Type="http://schemas.openxmlformats.org/officeDocument/2006/relationships/header" Target="header3.xml"/><Relationship Id="rId10" Type="http://schemas.openxmlformats.org/officeDocument/2006/relationships/hyperlink" Target="http://iris.banq.qc.ca/alswww2.dll/APS_CAT_IDENTIFY?Method=CatalogueExplore&amp;IsTagged=0&amp;DB=BookServer&amp;ExploreType=Publisher&amp;Stem=Descl%C3%A9e%20de%20Brouwer&amp;Style=Portal3&amp;SubStyle=&amp;Lang=FRE&amp;ResponseEncoding=utf-8&amp;Parent=Obj_702971297106728" TargetMode="External"/><Relationship Id="rId19" Type="http://schemas.openxmlformats.org/officeDocument/2006/relationships/hyperlink" Target="http://apps.brepolis.net/bmb/search.cfm?action=search_simple_result&amp;startrow=1&amp;add_to_search_history=1&amp;log_advancedsearch=1&amp;source=IMB&amp;author_name_boolean=and&amp;author_name=%22MORGAN,%20Nigel%22"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trium.bib.umontreal.ca:8000/WebZ/GeacQUERY?sessionid=01-35060-1145143752&amp;termsrch-au%3D=Panofsky%2C+Erwin%2C+1892-1968&amp;format=B&amp;fmtclass=&amp;next=html/geacnfbrief.html&amp;bad=error/badsearch.html&amp;entitytoprecno=1&amp;entitycurrecno=1&amp;numrecs=20" TargetMode="External"/><Relationship Id="rId14" Type="http://schemas.openxmlformats.org/officeDocument/2006/relationships/hyperlink" Target="http://iris.banq.qc.ca/alswww2.dll/APS_CAT_IDENTIFY?Method=CatalogueExplore&amp;IsTagged=0&amp;DB=BookServer&amp;ExploreType=Publisher&amp;Stem=Editions%20du%20Cerf&amp;Style=Portal3&amp;SubStyle=&amp;Lang=FRE&amp;ResponseEncoding=utf-8&amp;Parent=Obj_769481296501602" TargetMode="External"/><Relationship Id="rId22" Type="http://schemas.openxmlformats.org/officeDocument/2006/relationships/hyperlink" Target="http://www.lesenluminures-france1500.com/pdf/7_boh.pdf"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internaute.com/citation/22913/qui-veut-retrouver-sa-jeunesse-n-a-qu-a-reprendre-ses-folies-oscar-wilde/" TargetMode="External"/><Relationship Id="rId3" Type="http://schemas.openxmlformats.org/officeDocument/2006/relationships/hyperlink" Target="http://www.cairn.info/revue-etudes-2005-1-page-55.htm" TargetMode="External"/><Relationship Id="rId7" Type="http://schemas.openxmlformats.org/officeDocument/2006/relationships/hyperlink" Target="http://apps.brepolis.net/bmb/search.cfm?action=search_simple_result&amp;startrow=1&amp;add_to_search_history=1&amp;log_advancedsearch=1&amp;source=IMB&amp;title_boolean=and&amp;title=%22Acad%C3%A9mie%20des%20inscriptions%20et%20belles-lettres.%20Comptes-rendus%20des%20s%C3%A9ances%22" TargetMode="External"/><Relationship Id="rId2" Type="http://schemas.openxmlformats.org/officeDocument/2006/relationships/hyperlink" Target="http://iris.banq.qc.ca/alswww2.dll/APS_CAT_IDENTIFY?Method=CatalogueExplore&amp;IsTagged=0&amp;DB=BookServer&amp;ExploreType=Publisher&amp;Stem=Editions%20du%20Cerf&amp;Style=Portal3&amp;SubStyle=&amp;Lang=FRE&amp;ResponseEncoding=utf-8&amp;Parent=Obj_769481296501602" TargetMode="External"/><Relationship Id="rId1" Type="http://schemas.openxmlformats.org/officeDocument/2006/relationships/hyperlink" Target="http://iris.banq.qc.ca/alswww2.dll/APS_CAT_IDENTIFY?Method=CatalogueExplore&amp;IsTagged=0&amp;DB=BookServer&amp;ExploreType=Publisher&amp;Stem=Presses%20universitaires%20de%20France&amp;Style=Portal3&amp;SubStyle=&amp;Lang=FRE&amp;ResponseEncoding=utf-8&amp;Parent=Obj_681791297106290" TargetMode="External"/><Relationship Id="rId6" Type="http://schemas.openxmlformats.org/officeDocument/2006/relationships/hyperlink" Target="http://apps.brepolis.net/bmb/search.cfm?action=search_simple_detail_single&amp;startrow=1&amp;endrow=1&amp;search_order=year_desc&amp;CENTURY=13%20OR%2014%20OR%2015%20OR%2016&amp;CENTURY_FROM=13&amp;CENTURY_TO=16&amp;FULL_TEXT=Couleur&amp;SOURCE=IMB" TargetMode="External"/><Relationship Id="rId5" Type="http://schemas.openxmlformats.org/officeDocument/2006/relationships/hyperlink" Target="http://apps.brepolis.net/bmb/search.cfm?action=search_simple_result&amp;startrow=1&amp;add_to_search_history=1&amp;log_advancedsearch=1&amp;source=IMB&amp;title_boolean=and&amp;title=%22Acad%C3%A9mie%20des%20inscriptions%20et%20belles-lettres.%20Comptes-rendus%20des%20s%C3%A9ances%22" TargetMode="External"/><Relationship Id="rId4" Type="http://schemas.openxmlformats.org/officeDocument/2006/relationships/hyperlink" Target="http://apps.brepolis.net/bmb/search.cfm?action=search_simple_detail_single&amp;startrow=1&amp;endrow=1&amp;search_order=year_desc&amp;CENTURY=13%20OR%2014%20OR%2015%20OR%2016&amp;CENTURY_FROM=13&amp;CENTURY_TO=16&amp;FULL_TEXT=Couleur&amp;SOURCE=IMB" TargetMode="External"/><Relationship Id="rId9" Type="http://schemas.openxmlformats.org/officeDocument/2006/relationships/hyperlink" Target="http://www.papalencyclicals.net/Pius09/p9ineff.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2617D-6EBB-4BE4-B68D-D7BA5F3C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82</Pages>
  <Words>31252</Words>
  <Characters>171887</Characters>
  <Application>Microsoft Office Word</Application>
  <DocSecurity>0</DocSecurity>
  <Lines>1432</Lines>
  <Paragraphs>405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dc:creator>
  <cp:lastModifiedBy>Francis Shanks</cp:lastModifiedBy>
  <cp:revision>79</cp:revision>
  <dcterms:created xsi:type="dcterms:W3CDTF">2014-10-04T23:00:00Z</dcterms:created>
  <dcterms:modified xsi:type="dcterms:W3CDTF">2014-10-19T14:53:00Z</dcterms:modified>
</cp:coreProperties>
</file>