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4.jpeg" ContentType="image/jpeg"/>
  <Override PartName="/word/media/image23.png" ContentType="image/png"/>
  <Override PartName="/word/media/image22.jpeg" ContentType="image/jpeg"/>
  <Override PartName="/word/media/image2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120" w:after="120"/>
        <w:jc w:val="both"/>
        <w:rPr>
          <w:sz w:val="20"/>
          <w:szCs w:val="20"/>
          <w:lang w:val="fr-CA"/>
        </w:rPr>
      </w:pPr>
      <w:r>
        <w:rPr>
          <w:sz w:val="20"/>
          <w:szCs w:val="20"/>
          <w:lang w:val="fr-CA"/>
        </w:rPr>
        <w:t>Avec la saison chaude qui tire à sa fin et l’hiver qui ne tardera pas à se pointer le bout du nez, votre Service de sécurité incendie profite de l’occasion pour vous rappeler quelques notions de base sur la prévention incendie, mais plus particulièrement sur les appareils de chauffage à combustion solide et les appareils de chauffage d’appoint.</w:t>
      </w:r>
    </w:p>
    <w:p>
      <w:pPr>
        <w:pStyle w:val="Normal"/>
        <w:spacing w:lineRule="auto" w:line="240" w:before="120" w:after="120"/>
        <w:jc w:val="both"/>
        <w:rPr>
          <w:b/>
          <w:u w:val="single"/>
          <w:lang w:val="fr-CA"/>
        </w:rPr>
      </w:pPr>
      <w:r>
        <w:rPr>
          <w:b/>
          <w:u w:val="single"/>
          <w:lang w:val="fr-CA"/>
        </w:rPr>
        <w:t>Appareil de chauffage à combustion solide</w:t>
        <w:drawing>
          <wp:anchor behindDoc="1" distT="0" distB="0" distL="114300" distR="114300" simplePos="0" locked="0" layoutInCell="1" allowOverlap="1" relativeHeight="0">
            <wp:simplePos x="0" y="0"/>
            <wp:positionH relativeFrom="column">
              <wp:posOffset>4162425</wp:posOffset>
            </wp:positionH>
            <wp:positionV relativeFrom="paragraph">
              <wp:posOffset>80010</wp:posOffset>
            </wp:positionV>
            <wp:extent cx="1831975" cy="1842770"/>
            <wp:effectExtent l="0" t="0" r="0" b="0"/>
            <wp:wrapSquare wrapText="bothSides"/>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831975" cy="1842770"/>
                    </a:xfrm>
                    <a:prstGeom prst="rect">
                      <a:avLst/>
                    </a:prstGeom>
                    <a:noFill/>
                    <a:ln w="9525">
                      <a:noFill/>
                      <a:miter lim="800000"/>
                      <a:headEnd/>
                      <a:tailEnd/>
                    </a:ln>
                  </pic:spPr>
                </pic:pic>
              </a:graphicData>
            </a:graphic>
          </wp:anchor>
        </w:drawing>
      </w:r>
    </w:p>
    <w:p>
      <w:pPr>
        <w:pStyle w:val="Normal"/>
        <w:spacing w:lineRule="auto" w:line="240" w:before="120" w:after="120"/>
        <w:jc w:val="both"/>
        <w:rPr>
          <w:sz w:val="20"/>
          <w:szCs w:val="20"/>
          <w:lang w:val="fr-CA"/>
        </w:rPr>
      </w:pPr>
      <w:r>
        <w:rPr>
          <w:sz w:val="20"/>
          <w:szCs w:val="20"/>
          <w:lang w:val="fr-CA"/>
        </w:rPr>
        <w:t xml:space="preserve">Que vous soyez propriétaire ou locataire, il est important de savoir que tout utilisateur d’un appareil producteur de chaleur à combustion solide a la </w:t>
      </w:r>
      <w:r>
        <w:rPr>
          <w:b/>
          <w:sz w:val="20"/>
          <w:szCs w:val="20"/>
          <w:lang w:val="fr-CA"/>
        </w:rPr>
        <w:t xml:space="preserve">responsabilité </w:t>
      </w:r>
      <w:r>
        <w:rPr>
          <w:sz w:val="20"/>
          <w:szCs w:val="20"/>
          <w:lang w:val="fr-CA"/>
        </w:rPr>
        <w:t>du ramonage de la cheminée et de la vérification de ses composantes. Le ramonage de la cheminée est une action primordiale en matière de prévention incendie.</w:t>
      </w:r>
    </w:p>
    <w:p>
      <w:pPr>
        <w:pStyle w:val="Normal"/>
        <w:spacing w:lineRule="auto" w:line="240" w:before="120" w:after="120"/>
        <w:jc w:val="both"/>
        <w:rPr>
          <w:sz w:val="20"/>
          <w:szCs w:val="20"/>
          <w:lang w:val="fr-CA"/>
        </w:rPr>
      </w:pPr>
      <w:r>
        <w:rPr>
          <w:sz w:val="20"/>
          <w:szCs w:val="20"/>
          <w:lang w:val="fr-CA"/>
        </w:rPr>
        <w:t>Voici quelques petits conseils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Ne devrait être brûlé que le bois sec et de bonne qualité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La base de la cheminée devrait être vidée régulièrement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La cheminée devrait être ramonée dès que les dépôts de créosote accumulés sur les parois atteignent une épaisseur supérieure à 3 millimètres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Les cendres chaudes devraient être déposées dans un contenant métallique avec fond surélevé, couvercle étanche et rangées à l’extérieur loin des matériaux combustibles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On devrait attendre un minimum de 48 heures avant de disposer de ces cendres même si on croit qu’elles sont éteintes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Les parois extérieures de la cheminée devraient faire l’objet d’une vérification régulière afin d’y déceler toute détérioration de la brique ou des joints de mortier ou encore des dommages à la couronne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Toute vieille cheminée ne servant plus à un appareil de chauffage ne doit pas être utilisée comme conduit d’évacuation pour une hotte de cuisinière ou une sécheuse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Minimalement, vous devez avoir un extincteur portatif de type ABC d’un minimum de 5 lb ;</w:t>
      </w:r>
    </w:p>
    <w:p>
      <w:pPr>
        <w:pStyle w:val="ListParagraph"/>
        <w:numPr>
          <w:ilvl w:val="0"/>
          <w:numId w:val="1"/>
        </w:numPr>
        <w:tabs>
          <w:tab w:val="left" w:pos="567" w:leader="none"/>
        </w:tabs>
        <w:spacing w:lineRule="auto" w:line="240" w:before="120" w:after="120"/>
        <w:ind w:left="567" w:right="0" w:hanging="360"/>
        <w:jc w:val="both"/>
        <w:rPr>
          <w:b/>
          <w:sz w:val="20"/>
          <w:szCs w:val="20"/>
          <w:lang w:val="fr-CA"/>
        </w:rPr>
      </w:pPr>
      <w:r>
        <w:rPr>
          <w:b/>
          <w:sz w:val="20"/>
          <w:szCs w:val="20"/>
          <w:lang w:val="fr-CA"/>
        </w:rPr>
        <w:t>Pour vous protéger d’avantage, il est important d’avoir un détecteur de monoxyde de carbone installé à l’étage où est situé l’appareil à combustion.</w:t>
      </w:r>
    </w:p>
    <w:p>
      <w:pPr>
        <w:pStyle w:val="Normal"/>
        <w:spacing w:lineRule="auto" w:line="240" w:before="120" w:after="120"/>
        <w:jc w:val="both"/>
        <w:rPr>
          <w:b/>
          <w:u w:val="single"/>
          <w:lang w:val="fr-CA"/>
        </w:rPr>
      </w:pPr>
      <w:r>
        <w:rPr>
          <w:b/>
          <w:u w:val="single"/>
          <w:lang w:val="fr-CA"/>
        </w:rPr>
        <w:t>Chauffage d’appoint</w:t>
      </w:r>
    </w:p>
    <w:p>
      <w:pPr>
        <w:pStyle w:val="Normal"/>
        <w:spacing w:lineRule="auto" w:line="240" w:before="120" w:after="120"/>
        <w:jc w:val="both"/>
        <w:rPr>
          <w:sz w:val="20"/>
          <w:szCs w:val="20"/>
          <w:lang w:val="fr-CA"/>
        </w:rPr>
      </w:pPr>
      <w:r>
        <w:rPr>
          <w:sz w:val="20"/>
          <w:szCs w:val="20"/>
          <w:lang w:val="fr-CA"/>
        </w:rPr>
        <w:t>Notre climat exige que nous utilisions divers systèmes pour chauffer nos maisons et ceci nous force parfois à recourir à des moyens de chauffage d’appoint, ce qui nous rend vulnérables aux risques d’incendie. Afin d’éliminer les risques potentiels, nous vous suggérons de suivre quelques conseils pratiques :</w:t>
      </w:r>
    </w:p>
    <w:p>
      <w:pPr>
        <w:pStyle w:val="ListParagraph"/>
        <w:numPr>
          <w:ilvl w:val="0"/>
          <w:numId w:val="2"/>
        </w:numPr>
        <w:spacing w:lineRule="auto" w:line="240" w:before="120" w:after="120"/>
        <w:ind w:left="567" w:right="0" w:hanging="360"/>
        <w:jc w:val="both"/>
        <w:rPr>
          <w:b/>
          <w:sz w:val="20"/>
          <w:szCs w:val="20"/>
          <w:lang w:val="fr-CA"/>
        </w:rPr>
      </w:pPr>
      <w:r>
        <w:rPr>
          <w:b/>
          <w:sz w:val="20"/>
          <w:szCs w:val="20"/>
          <w:lang w:val="fr-CA"/>
        </w:rPr>
        <w:t>Toujours maintenir une distance libre d’au moins un mètre entre les appareils portatifs et les matériaux combustibles tels que murs, meubles, papier, tentures et draperies ;</w:t>
        <w:drawing>
          <wp:anchor behindDoc="1" distT="0" distB="0" distL="114300" distR="114300" simplePos="0" locked="0" layoutInCell="1" allowOverlap="1" relativeHeight="3">
            <wp:simplePos x="0" y="0"/>
            <wp:positionH relativeFrom="column">
              <wp:posOffset>4410075</wp:posOffset>
            </wp:positionH>
            <wp:positionV relativeFrom="paragraph">
              <wp:posOffset>146685</wp:posOffset>
            </wp:positionV>
            <wp:extent cx="1583690" cy="1583690"/>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1583690" cy="1583690"/>
                    </a:xfrm>
                    <a:prstGeom prst="rect">
                      <a:avLst/>
                    </a:prstGeom>
                    <a:noFill/>
                    <a:ln w="9525">
                      <a:noFill/>
                      <a:miter lim="800000"/>
                      <a:headEnd/>
                      <a:tailEnd/>
                    </a:ln>
                  </pic:spPr>
                </pic:pic>
              </a:graphicData>
            </a:graphic>
          </wp:anchor>
        </w:drawing>
      </w:r>
    </w:p>
    <w:p>
      <w:pPr>
        <w:pStyle w:val="ListParagraph"/>
        <w:numPr>
          <w:ilvl w:val="0"/>
          <w:numId w:val="1"/>
        </w:numPr>
        <w:spacing w:lineRule="auto" w:line="240" w:before="120" w:after="120"/>
        <w:ind w:left="567" w:right="0" w:hanging="360"/>
        <w:jc w:val="both"/>
        <w:rPr>
          <w:b/>
          <w:sz w:val="20"/>
          <w:szCs w:val="20"/>
          <w:lang w:val="fr-CA"/>
        </w:rPr>
      </w:pPr>
      <w:r>
        <w:rPr>
          <w:b/>
          <w:sz w:val="20"/>
          <w:szCs w:val="20"/>
          <w:lang w:val="fr-CA"/>
        </w:rPr>
        <w:t>Prévoyez un apport d’air frais suffisant lorsque l’appareil est en opération en laissant, par exemple, une fenêtre entrouverte. Suivez les recommandations du fabricant à cet effet ;</w:t>
      </w:r>
    </w:p>
    <w:p>
      <w:pPr>
        <w:pStyle w:val="ListParagraph"/>
        <w:numPr>
          <w:ilvl w:val="0"/>
          <w:numId w:val="1"/>
        </w:numPr>
        <w:spacing w:lineRule="auto" w:line="240" w:before="120" w:after="120"/>
        <w:ind w:left="567" w:right="0" w:hanging="360"/>
        <w:jc w:val="both"/>
        <w:rPr>
          <w:b/>
          <w:sz w:val="20"/>
          <w:szCs w:val="20"/>
          <w:lang w:val="fr-CA"/>
        </w:rPr>
      </w:pPr>
      <w:r>
        <w:rPr>
          <w:b/>
          <w:sz w:val="20"/>
          <w:szCs w:val="20"/>
          <w:lang w:val="fr-CA"/>
        </w:rPr>
        <w:t>Évitez d’utiliser une rallonge pour brancher des appareils électriques de chauffage d’appoint et ne coupez jamais la protection de mise à la terre des fiches électriques ;</w:t>
      </w:r>
    </w:p>
    <w:p>
      <w:pPr>
        <w:pStyle w:val="ListParagraph"/>
        <w:numPr>
          <w:ilvl w:val="0"/>
          <w:numId w:val="1"/>
        </w:numPr>
        <w:spacing w:lineRule="auto" w:line="240" w:before="120" w:after="120"/>
        <w:ind w:left="567" w:right="0" w:hanging="360"/>
        <w:jc w:val="both"/>
        <w:rPr>
          <w:b/>
          <w:sz w:val="20"/>
          <w:szCs w:val="20"/>
          <w:lang w:val="fr-CA"/>
        </w:rPr>
      </w:pPr>
      <w:r>
        <w:rPr>
          <w:b/>
          <w:sz w:val="20"/>
          <w:szCs w:val="20"/>
          <w:lang w:val="fr-CA"/>
        </w:rPr>
        <w:t>Les petits appareils de chauffage portatifs doivent être munis d’un dispositif qui les feront arrêter de fonctionner automatiquement s’ils sont renversés ;</w:t>
      </w:r>
    </w:p>
    <w:p>
      <w:pPr>
        <w:pStyle w:val="ListParagraph"/>
        <w:numPr>
          <w:ilvl w:val="0"/>
          <w:numId w:val="1"/>
        </w:numPr>
        <w:spacing w:lineRule="auto" w:line="240" w:before="120" w:after="120"/>
        <w:ind w:left="567" w:right="0" w:hanging="360"/>
        <w:jc w:val="both"/>
        <w:rPr>
          <w:b/>
          <w:sz w:val="20"/>
          <w:szCs w:val="20"/>
          <w:lang w:val="fr-CA"/>
        </w:rPr>
      </w:pPr>
      <w:r>
        <w:rPr>
          <w:b/>
          <w:sz w:val="20"/>
          <w:szCs w:val="20"/>
          <w:lang w:val="fr-CA"/>
        </w:rPr>
        <w:t>Prévoyez toujours une seconde porte de sortie en cas d’incendie.</w:t>
      </w:r>
    </w:p>
    <w:sectPr>
      <w:headerReference w:type="default" r:id="rId4"/>
      <w:footerReference w:type="default" r:id="rId5"/>
      <w:type w:val="nextPage"/>
      <w:pgSz w:w="12240" w:h="15840"/>
      <w:pgMar w:left="1418" w:right="1418" w:header="284" w:top="851" w:footer="284"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Rounded MT Bold">
    <w:charset w:val="00"/>
    <w:family w:val="roman"/>
    <w:pitch w:val="variable"/>
  </w:font>
  <w:font w:name="Comic Sans MS">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lineRule="auto" w:line="240" w:before="0" w:after="60"/>
      <w:jc w:val="center"/>
      <w:rPr>
        <w:rFonts w:eastAsia="Times New Roman" w:ascii="Arial Rounded MT Bold" w:hAnsi="Arial Rounded MT Bold"/>
        <w:b/>
        <w:bCs/>
        <w:color w:val="0070C0"/>
        <w:sz w:val="16"/>
        <w:szCs w:val="16"/>
        <w:lang w:val="fr-CA" w:eastAsia="fr-FR"/>
      </w:rPr>
    </w:pPr>
    <w:r>
      <w:rPr>
        <w:rFonts w:eastAsia="Times New Roman" w:ascii="Arial Rounded MT Bold" w:hAnsi="Arial Rounded MT Bold"/>
        <w:b/>
        <w:bCs/>
        <w:color w:val="0070C0"/>
        <w:sz w:val="16"/>
        <w:szCs w:val="16"/>
        <w:lang w:val="fr-CA" w:eastAsia="fr-FR"/>
      </w:rPr>
      <w:t>Pascal Rouleau, lieutenant inspecteur – MRC</w:t>
      <w:drawing>
        <wp:anchor behindDoc="1" distT="0" distB="0" distL="114300" distR="114300" simplePos="0" locked="0" layoutInCell="1" allowOverlap="1" relativeHeight="1">
          <wp:simplePos x="0" y="0"/>
          <wp:positionH relativeFrom="column">
            <wp:posOffset>46355</wp:posOffset>
          </wp:positionH>
          <wp:positionV relativeFrom="paragraph">
            <wp:posOffset>105410</wp:posOffset>
          </wp:positionV>
          <wp:extent cx="512445" cy="499745"/>
          <wp:effectExtent l="0" t="0" r="0" b="0"/>
          <wp:wrapNone/>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
                  <a:stretch>
                    <a:fillRect/>
                  </a:stretch>
                </pic:blipFill>
                <pic:spPr bwMode="auto">
                  <a:xfrm>
                    <a:off x="0" y="0"/>
                    <a:ext cx="512445" cy="499745"/>
                  </a:xfrm>
                  <a:prstGeom prst="rect">
                    <a:avLst/>
                  </a:prstGeom>
                  <a:noFill/>
                  <a:ln w="9525">
                    <a:noFill/>
                    <a:miter lim="800000"/>
                    <a:headEnd/>
                    <a:tailEnd/>
                  </a:ln>
                </pic:spPr>
              </pic:pic>
            </a:graphicData>
          </a:graphic>
        </wp:anchor>
      </w:drawing>
    </w:r>
  </w:p>
  <w:p>
    <w:pPr>
      <w:pStyle w:val="Normal"/>
      <w:spacing w:lineRule="auto" w:line="240" w:before="0" w:after="0"/>
      <w:jc w:val="center"/>
      <w:rPr>
        <w:rFonts w:eastAsia="Times New Roman" w:ascii="Comic Sans MS" w:hAnsi="Comic Sans MS"/>
        <w:b/>
        <w:bCs/>
        <w:i/>
        <w:iCs/>
        <w:sz w:val="16"/>
        <w:szCs w:val="16"/>
        <w:lang w:val="fr-CA" w:eastAsia="fr-FR"/>
      </w:rPr>
    </w:pPr>
    <w:r>
      <w:rPr>
        <w:rFonts w:eastAsia="Times New Roman" w:ascii="Comic Sans MS" w:hAnsi="Comic Sans MS"/>
        <w:b/>
        <w:bCs/>
        <w:i/>
        <w:iCs/>
        <w:sz w:val="16"/>
        <w:szCs w:val="16"/>
        <w:lang w:val="fr-CA" w:eastAsia="fr-FR"/>
      </w:rPr>
      <w:t>Service de la sécurité publique – Ville de Victoriaville</w:t>
      <w:drawing>
        <wp:anchor behindDoc="1" distT="0" distB="0" distL="114300" distR="114300" simplePos="0" locked="0" layoutInCell="1" allowOverlap="1" relativeHeight="2">
          <wp:simplePos x="0" y="0"/>
          <wp:positionH relativeFrom="column">
            <wp:posOffset>5106035</wp:posOffset>
          </wp:positionH>
          <wp:positionV relativeFrom="paragraph">
            <wp:posOffset>5715</wp:posOffset>
          </wp:positionV>
          <wp:extent cx="935355" cy="348615"/>
          <wp:effectExtent l="0" t="0" r="0" b="0"/>
          <wp:wrapSquare wrapText="bothSides"/>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2"/>
                  <a:stretch>
                    <a:fillRect/>
                  </a:stretch>
                </pic:blipFill>
                <pic:spPr bwMode="auto">
                  <a:xfrm>
                    <a:off x="0" y="0"/>
                    <a:ext cx="935355" cy="348615"/>
                  </a:xfrm>
                  <a:prstGeom prst="rect">
                    <a:avLst/>
                  </a:prstGeom>
                  <a:noFill/>
                  <a:ln w="9525">
                    <a:noFill/>
                    <a:miter lim="800000"/>
                    <a:headEnd/>
                    <a:tailEnd/>
                  </a:ln>
                </pic:spPr>
              </pic:pic>
            </a:graphicData>
          </a:graphic>
        </wp:anchor>
      </w:drawing>
    </w:r>
  </w:p>
  <w:p>
    <w:pPr>
      <w:pStyle w:val="Normal"/>
      <w:spacing w:lineRule="auto" w:line="240" w:before="0" w:after="0"/>
      <w:jc w:val="center"/>
      <w:rPr>
        <w:b/>
        <w:sz w:val="28"/>
        <w:szCs w:val="28"/>
        <w:lang w:val="fr-CA" w:eastAsia="fr-CA"/>
      </w:rPr>
    </w:pPr>
    <w:r>
      <w:rPr>
        <w:rFonts w:eastAsia="Times New Roman" w:cs="Arial" w:ascii="Arial" w:hAnsi="Arial"/>
        <w:b/>
        <w:bCs/>
        <w:sz w:val="16"/>
        <w:szCs w:val="16"/>
        <w:lang w:eastAsia="fr-FR"/>
      </w:rPr>
      <w:t>175, boul. des Bois-Francs Sud, Victoriaville (Québec)  G6P 4S5</w:t>
    </w:r>
    <w:r>
      <w:rPr>
        <w:b/>
        <w:sz w:val="28"/>
        <w:szCs w:val="28"/>
        <w:lang w:val="fr-CA" w:eastAsia="fr-CA"/>
      </w:rPr>
      <w:t xml:space="preserve"> </w:t>
    </w:r>
  </w:p>
  <w:p>
    <w:pPr>
      <w:pStyle w:val="Normal"/>
      <w:spacing w:lineRule="auto" w:line="240" w:before="0" w:after="0"/>
      <w:jc w:val="center"/>
      <w:rPr>
        <w:rFonts w:eastAsia="Times New Roman" w:cs="Arial" w:ascii="Arial" w:hAnsi="Arial"/>
        <w:b/>
        <w:bCs/>
        <w:sz w:val="16"/>
        <w:szCs w:val="16"/>
        <w:lang w:eastAsia="fr-FR"/>
      </w:rPr>
    </w:pPr>
    <w:r>
      <w:rPr>
        <w:rFonts w:eastAsia="Times New Roman" w:cs="Arial" w:ascii="Arial" w:hAnsi="Arial"/>
        <w:b/>
        <w:bCs/>
        <w:sz w:val="16"/>
        <w:szCs w:val="16"/>
        <w:lang w:eastAsia="fr-FR"/>
      </w:rPr>
      <w:t>Tél. : 819 758-6419 poste 3745 ● Téléc. : 819 752-3266</w:t>
    </w:r>
  </w:p>
  <w:p>
    <w:pPr>
      <w:pStyle w:val="Normal"/>
      <w:spacing w:lineRule="auto" w:line="240" w:before="0" w:after="0"/>
      <w:jc w:val="center"/>
      <w:rPr>
        <w:rStyle w:val="LienInternet"/>
        <w:rFonts w:eastAsia="Times New Roman" w:cs="Arial" w:ascii="Arial" w:hAnsi="Arial"/>
        <w:b/>
        <w:bCs/>
        <w:sz w:val="16"/>
        <w:szCs w:val="16"/>
        <w:lang w:eastAsia="fr-FR"/>
      </w:rPr>
    </w:pPr>
    <w:r>
      <w:rPr>
        <w:rFonts w:eastAsia="Times New Roman" w:cs="Arial" w:ascii="Arial" w:hAnsi="Arial"/>
        <w:b/>
        <w:bCs/>
        <w:sz w:val="16"/>
        <w:szCs w:val="16"/>
        <w:lang w:eastAsia="fr-FR"/>
      </w:rPr>
      <w:t xml:space="preserve">C. élec. : </w:t>
    </w:r>
    <w:hyperlink r:id="rId3">
      <w:r>
        <w:rPr>
          <w:rStyle w:val="LienInternet"/>
          <w:rFonts w:eastAsia="Times New Roman" w:cs="Arial" w:ascii="Arial" w:hAnsi="Arial"/>
          <w:b/>
          <w:bCs/>
          <w:sz w:val="16"/>
          <w:szCs w:val="16"/>
          <w:lang w:eastAsia="fr-FR"/>
        </w:rPr>
        <w:t>pascal.rouleau@victoriaville.ca</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Entte"/>
      <w:jc w:val="center"/>
      <w:rPr>
        <w:b/>
        <w:sz w:val="28"/>
        <w:szCs w:val="28"/>
        <w:lang w:val="fr-CA"/>
      </w:rPr>
    </w:pPr>
    <w:r>
      <w:rPr>
        <w:b/>
        <w:sz w:val="28"/>
        <w:szCs w:val="28"/>
        <w:lang w:val="fr-CA"/>
      </w:rPr>
      <w:t>ARTICLE DE PRÉVENTION INCENDIE</w:t>
      <w:br/>
      <w:t>Automne 2014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b w:val="fals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fr-FR"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auto"/>
      <w:sz w:val="22"/>
      <w:szCs w:val="22"/>
      <w:lang w:val="fr-FR" w:eastAsia="en-US" w:bidi="ar-SA"/>
    </w:rPr>
  </w:style>
  <w:style w:type="character" w:styleId="DefaultParagraphFont" w:default="1">
    <w:name w:val="Default Paragraph Font"/>
    <w:uiPriority w:val="1"/>
    <w:semiHidden/>
    <w:unhideWhenUsed/>
    <w:rPr/>
  </w:style>
  <w:style w:type="character" w:styleId="LienInternet">
    <w:name w:val="Lien Internet"/>
    <w:uiPriority w:val="99"/>
    <w:unhideWhenUsed/>
    <w:rsid w:val="003d0713"/>
    <w:basedOn w:val="DefaultParagraphFont"/>
    <w:rPr>
      <w:color w:val="0000FF"/>
      <w:u w:val="single"/>
      <w:lang w:val="zxx" w:eastAsia="zxx" w:bidi="zxx"/>
    </w:rPr>
  </w:style>
  <w:style w:type="character" w:styleId="TextedebullesCar" w:customStyle="1">
    <w:name w:val="Texte de bulles Car"/>
    <w:uiPriority w:val="99"/>
    <w:semiHidden/>
    <w:link w:val="Textedebulles"/>
    <w:rsid w:val="003d0713"/>
    <w:basedOn w:val="DefaultParagraphFont"/>
    <w:rPr>
      <w:rFonts w:ascii="Tahoma" w:hAnsi="Tahoma" w:cs="Tahoma"/>
      <w:sz w:val="16"/>
      <w:szCs w:val="16"/>
    </w:rPr>
  </w:style>
  <w:style w:type="character" w:styleId="EntteCar" w:customStyle="1">
    <w:name w:val="En-tête Car"/>
    <w:uiPriority w:val="99"/>
    <w:link w:val="En-tte"/>
    <w:rsid w:val="00993dad"/>
    <w:basedOn w:val="DefaultParagraphFont"/>
    <w:rPr/>
  </w:style>
  <w:style w:type="character" w:styleId="PieddepageCar" w:customStyle="1">
    <w:name w:val="Pied de page Car"/>
    <w:uiPriority w:val="99"/>
    <w:link w:val="Pieddepage"/>
    <w:rsid w:val="00993dad"/>
    <w:basedOn w:val="DefaultParagraphFont"/>
    <w:rPr/>
  </w:style>
  <w:style w:type="character" w:styleId="ListLabel1">
    <w:name w:val="ListLabel 1"/>
    <w:rPr>
      <w:b w:val="false"/>
    </w:rPr>
  </w:style>
  <w:style w:type="character" w:styleId="ListLabel2">
    <w:name w:val="ListLabel 2"/>
    <w:rPr>
      <w:rFonts w:cs="Courier New"/>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uiPriority w:val="34"/>
    <w:qFormat/>
    <w:rsid w:val="00d0569a"/>
    <w:basedOn w:val="Normal"/>
    <w:pPr>
      <w:spacing w:before="0" w:after="200"/>
      <w:ind w:left="720" w:right="0" w:hanging="0"/>
      <w:contextualSpacing/>
    </w:pPr>
    <w:rPr/>
  </w:style>
  <w:style w:type="paragraph" w:styleId="BalloonText">
    <w:name w:val="Balloon Text"/>
    <w:uiPriority w:val="99"/>
    <w:semiHidden/>
    <w:unhideWhenUsed/>
    <w:link w:val="TextedebullesCar"/>
    <w:rsid w:val="003d0713"/>
    <w:basedOn w:val="Normal"/>
    <w:pPr>
      <w:spacing w:lineRule="auto" w:line="240" w:before="0" w:after="0"/>
    </w:pPr>
    <w:rPr>
      <w:rFonts w:ascii="Tahoma" w:hAnsi="Tahoma" w:cs="Tahoma"/>
      <w:sz w:val="16"/>
      <w:szCs w:val="16"/>
    </w:rPr>
  </w:style>
  <w:style w:type="paragraph" w:styleId="Entte">
    <w:name w:val="En-tête"/>
    <w:uiPriority w:val="99"/>
    <w:unhideWhenUsed/>
    <w:link w:val="En-tteCar"/>
    <w:rsid w:val="00993dad"/>
    <w:basedOn w:val="Normal"/>
    <w:pPr>
      <w:tabs>
        <w:tab w:val="center" w:pos="4320" w:leader="none"/>
        <w:tab w:val="right" w:pos="8640" w:leader="none"/>
      </w:tabs>
      <w:spacing w:lineRule="auto" w:line="240" w:before="0" w:after="0"/>
    </w:pPr>
    <w:rPr/>
  </w:style>
  <w:style w:type="paragraph" w:styleId="Pieddepage">
    <w:name w:val="Pied de page"/>
    <w:uiPriority w:val="99"/>
    <w:unhideWhenUsed/>
    <w:link w:val="PieddepageCar"/>
    <w:rsid w:val="00993dad"/>
    <w:basedOn w:val="Normal"/>
    <w:pPr>
      <w:tabs>
        <w:tab w:val="center" w:pos="4320" w:leader="none"/>
        <w:tab w:val="right" w:pos="8640"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 w:type="table" w:styleId="Grilledutableau">
    <w:name w:val="Table Grid"/>
    <w:basedOn w:val="TableauNormal"/>
    <w:uiPriority w:val="59"/>
    <w:rsid w:val="005a7cda"/>
    <w:pPr>
      <w:spacing w:line="240" w:lineRule="auto" w:after="0"/>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1.jpeg"/><Relationship Id="rId3" Type="http://schemas.openxmlformats.org/officeDocument/2006/relationships/image" Target="media/image2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24.jpeg"/><Relationship Id="rId3" Type="http://schemas.openxmlformats.org/officeDocument/2006/relationships/hyperlink" Target="mailto:pascal.rouleau@victoriaville.ca"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2014-09-22T13:26:00Z</dcterms:created>
  <dc:creator>Rouleau, Pascal</dc:creator>
  <dc:language>fr-CA</dc:language>
  <cp:lastModifiedBy>Beaudet, Johane</cp:lastModifiedBy>
  <dcterms:modified xsi:type="dcterms:W3CDTF">2014-09-22T13:30:00Z</dcterms:modified>
  <cp:revision>4</cp:revision>
</cp:coreProperties>
</file>