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BE" w:rsidRDefault="00CC7FD6" w:rsidP="0006180E">
      <w:pPr>
        <w:jc w:val="center"/>
        <w:rPr>
          <w:sz w:val="32"/>
          <w:szCs w:val="32"/>
          <w:u w:val="single"/>
        </w:rPr>
      </w:pPr>
      <w:r w:rsidRPr="00CC7FD6">
        <w:rPr>
          <w:sz w:val="32"/>
          <w:szCs w:val="32"/>
          <w:u w:val="single"/>
        </w:rPr>
        <w:t xml:space="preserve">Syndrome des ovaires </w:t>
      </w:r>
      <w:proofErr w:type="spellStart"/>
      <w:r w:rsidRPr="00CC7FD6">
        <w:rPr>
          <w:sz w:val="32"/>
          <w:szCs w:val="32"/>
          <w:u w:val="single"/>
        </w:rPr>
        <w:t>polykystiques</w:t>
      </w:r>
      <w:proofErr w:type="spellEnd"/>
    </w:p>
    <w:p w:rsidR="00CC7FD6" w:rsidRPr="00147A74" w:rsidRDefault="00CC7FD6" w:rsidP="0006180E">
      <w:pPr>
        <w:jc w:val="both"/>
        <w:rPr>
          <w:u w:val="single"/>
        </w:rPr>
      </w:pPr>
      <w:r w:rsidRPr="00147A74">
        <w:rPr>
          <w:u w:val="single"/>
        </w:rPr>
        <w:t>Présentation du cas</w:t>
      </w:r>
    </w:p>
    <w:p w:rsidR="00E82FEA" w:rsidRPr="00147A74" w:rsidRDefault="00CC7FD6" w:rsidP="0006180E">
      <w:p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>Une femme de 24 ans se présente chez son gynécologue</w:t>
      </w:r>
      <w:r w:rsidR="00E82FEA" w:rsidRPr="00147A74">
        <w:t xml:space="preserve"> avec : </w:t>
      </w:r>
    </w:p>
    <w:p w:rsidR="00E82FEA" w:rsidRPr="00147A74" w:rsidRDefault="00E82FEA" w:rsidP="000618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>Des c</w:t>
      </w:r>
      <w:r w:rsidR="00CC7FD6" w:rsidRPr="00147A74">
        <w:t>ycles menstruels irrég</w:t>
      </w:r>
      <w:r w:rsidRPr="00147A74">
        <w:t xml:space="preserve">uliers et </w:t>
      </w:r>
      <w:r w:rsidR="00CC7FD6" w:rsidRPr="00147A74">
        <w:t>longs avec pertes importa</w:t>
      </w:r>
      <w:r w:rsidRPr="00147A74">
        <w:t xml:space="preserve">ntes de sang </w:t>
      </w:r>
    </w:p>
    <w:p w:rsidR="00CC7FD6" w:rsidRPr="00147A74" w:rsidRDefault="00E82FEA" w:rsidP="000618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>Une p</w:t>
      </w:r>
      <w:r w:rsidR="00CC7FD6" w:rsidRPr="00147A74">
        <w:t>ilosité prononcée (visage, membres supérieurs, poitrine, abdomen)</w:t>
      </w:r>
    </w:p>
    <w:p w:rsidR="00CC7FD6" w:rsidRPr="00147A74" w:rsidRDefault="00E82FEA" w:rsidP="000618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>De l’a</w:t>
      </w:r>
      <w:r w:rsidR="00CC7FD6" w:rsidRPr="00147A74">
        <w:t>cné au niveau du visage</w:t>
      </w:r>
    </w:p>
    <w:p w:rsidR="00E82FEA" w:rsidRPr="00147A74" w:rsidRDefault="00E82FEA" w:rsidP="000618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>Une i</w:t>
      </w:r>
      <w:r w:rsidR="00CC7FD6" w:rsidRPr="00147A74">
        <w:t>nfertilité</w:t>
      </w:r>
    </w:p>
    <w:p w:rsidR="00E82FEA" w:rsidRPr="00147A74" w:rsidRDefault="00E82FEA" w:rsidP="0006180E">
      <w:pPr>
        <w:autoSpaceDE w:val="0"/>
        <w:autoSpaceDN w:val="0"/>
        <w:adjustRightInd w:val="0"/>
        <w:snapToGrid w:val="0"/>
        <w:spacing w:after="0" w:line="240" w:lineRule="auto"/>
        <w:jc w:val="both"/>
      </w:pPr>
    </w:p>
    <w:p w:rsidR="00E82FEA" w:rsidRPr="00147A74" w:rsidRDefault="00E82FEA" w:rsidP="000618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u w:val="single"/>
        </w:rPr>
      </w:pPr>
      <w:r w:rsidRPr="00147A74">
        <w:rPr>
          <w:u w:val="single"/>
        </w:rPr>
        <w:t>Diagnostic</w:t>
      </w:r>
    </w:p>
    <w:p w:rsidR="00E82FEA" w:rsidRPr="00147A74" w:rsidRDefault="00E82FEA" w:rsidP="000618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u w:val="single"/>
        </w:rPr>
      </w:pPr>
    </w:p>
    <w:p w:rsidR="00E82FEA" w:rsidRPr="00147A74" w:rsidRDefault="00E82FEA" w:rsidP="00C67806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</w:pPr>
      <w:r w:rsidRPr="00147A74">
        <w:t xml:space="preserve"> Il est basé sur 3 critères essentiels établis lors de la conférence du consensus</w:t>
      </w:r>
      <w:r w:rsidR="0006180E" w:rsidRPr="00147A74">
        <w:t xml:space="preserve"> </w:t>
      </w:r>
      <w:r w:rsidRPr="00147A74">
        <w:t xml:space="preserve">de Rotterdam en 2003. Les 3 critères essentiels sont : </w:t>
      </w:r>
    </w:p>
    <w:p w:rsidR="00E82FEA" w:rsidRPr="00147A74" w:rsidRDefault="00E82FEA" w:rsidP="0006180E">
      <w:pPr>
        <w:autoSpaceDE w:val="0"/>
        <w:autoSpaceDN w:val="0"/>
        <w:adjustRightInd w:val="0"/>
        <w:snapToGrid w:val="0"/>
        <w:spacing w:after="0" w:line="240" w:lineRule="auto"/>
        <w:jc w:val="both"/>
      </w:pPr>
    </w:p>
    <w:p w:rsidR="00E82FEA" w:rsidRPr="00147A74" w:rsidRDefault="0052463F" w:rsidP="000618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 xml:space="preserve">Une </w:t>
      </w:r>
      <w:proofErr w:type="spellStart"/>
      <w:r w:rsidRPr="00147A74">
        <w:t>olig</w:t>
      </w:r>
      <w:proofErr w:type="spellEnd"/>
      <w:r w:rsidRPr="00147A74">
        <w:t>-</w:t>
      </w:r>
      <w:r w:rsidR="00E82FEA" w:rsidRPr="00147A74">
        <w:t xml:space="preserve"> ovulation (anovulation)</w:t>
      </w:r>
    </w:p>
    <w:p w:rsidR="00E82FEA" w:rsidRPr="00147A74" w:rsidRDefault="00E82FEA" w:rsidP="000618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>Un hyperandrogénisme clinique et/ou biologique</w:t>
      </w:r>
    </w:p>
    <w:p w:rsidR="00E82FEA" w:rsidRPr="00147A74" w:rsidRDefault="00E82FEA" w:rsidP="000618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</w:pPr>
      <w:r w:rsidRPr="00147A74">
        <w:t xml:space="preserve">Un aspect </w:t>
      </w:r>
      <w:r w:rsidRPr="00147A74">
        <w:rPr>
          <w:rFonts w:cs="Calibri"/>
        </w:rPr>
        <w:t>é</w:t>
      </w:r>
      <w:r w:rsidRPr="00147A74">
        <w:t>chographique d’ovaires polymicrokystique</w:t>
      </w:r>
      <w:r w:rsidR="0006180E" w:rsidRPr="00147A74">
        <w:t>s</w:t>
      </w:r>
    </w:p>
    <w:p w:rsidR="00C67806" w:rsidRDefault="00C67806" w:rsidP="00C67806">
      <w:pPr>
        <w:autoSpaceDE w:val="0"/>
        <w:autoSpaceDN w:val="0"/>
        <w:adjustRightInd w:val="0"/>
        <w:snapToGrid w:val="0"/>
        <w:spacing w:after="0" w:line="240" w:lineRule="auto"/>
        <w:jc w:val="both"/>
      </w:pPr>
    </w:p>
    <w:p w:rsidR="00147A74" w:rsidRPr="00147A74" w:rsidRDefault="00147A74" w:rsidP="00C67806">
      <w:pPr>
        <w:autoSpaceDE w:val="0"/>
        <w:autoSpaceDN w:val="0"/>
        <w:adjustRightInd w:val="0"/>
        <w:snapToGrid w:val="0"/>
        <w:spacing w:after="0" w:line="240" w:lineRule="auto"/>
        <w:jc w:val="both"/>
      </w:pPr>
    </w:p>
    <w:p w:rsidR="0006180E" w:rsidRPr="00147A74" w:rsidRDefault="00E82FEA" w:rsidP="00C67806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eastAsia="Times New Roman" w:cs="libri"/>
          <w:color w:val="000000"/>
        </w:rPr>
      </w:pPr>
      <w:r w:rsidRPr="00147A74">
        <w:rPr>
          <w:rFonts w:eastAsia="Times New Roman" w:cs="libri"/>
          <w:color w:val="000000"/>
        </w:rPr>
        <w:t>O</w:t>
      </w:r>
      <w:r w:rsidRPr="00147A74">
        <w:rPr>
          <w:rFonts w:eastAsia="Times New Roman" w:cs="libri"/>
          <w:color w:val="000000"/>
          <w:lang w:val="x-none"/>
        </w:rPr>
        <w:t>n</w:t>
      </w:r>
      <w:r w:rsidR="0006180E" w:rsidRPr="00147A74">
        <w:rPr>
          <w:rFonts w:eastAsia="Times New Roman" w:cs="libri"/>
          <w:color w:val="000000"/>
        </w:rPr>
        <w:t xml:space="preserve"> </w:t>
      </w:r>
      <w:r w:rsidRPr="00147A74">
        <w:rPr>
          <w:rFonts w:eastAsia="Times New Roman" w:cs="libri"/>
          <w:color w:val="000000"/>
          <w:lang w:val="x-none"/>
        </w:rPr>
        <w:t>peut diagnostique</w:t>
      </w:r>
      <w:r w:rsidRPr="00147A74">
        <w:rPr>
          <w:rFonts w:eastAsia="Times New Roman" w:cs="libri"/>
          <w:color w:val="000000"/>
        </w:rPr>
        <w:t>r</w:t>
      </w:r>
      <w:r w:rsidRPr="00147A74">
        <w:rPr>
          <w:rFonts w:eastAsia="Times New Roman" w:cs="libri"/>
          <w:color w:val="000000"/>
          <w:lang w:val="x-none"/>
        </w:rPr>
        <w:t xml:space="preserve"> une forme postménarchale des OPK.</w:t>
      </w:r>
      <w:r w:rsidR="00C67806" w:rsidRPr="00147A74">
        <w:rPr>
          <w:u w:val="single"/>
        </w:rPr>
        <w:t xml:space="preserve"> </w:t>
      </w:r>
      <w:r w:rsidRPr="00147A74">
        <w:rPr>
          <w:rFonts w:eastAsia="Times New Roman" w:cs="libri"/>
          <w:color w:val="000000"/>
          <w:lang w:val="x-none"/>
        </w:rPr>
        <w:t xml:space="preserve">Le </w:t>
      </w:r>
      <w:r w:rsidR="0006180E" w:rsidRPr="00147A74">
        <w:rPr>
          <w:rFonts w:eastAsia="Times New Roman" w:cs="libri"/>
          <w:color w:val="000000"/>
          <w:lang w:val="x-none"/>
        </w:rPr>
        <w:t>diagnostic est valable s’il y a</w:t>
      </w:r>
      <w:r w:rsidR="0006180E" w:rsidRPr="00147A74">
        <w:rPr>
          <w:rFonts w:eastAsia="Times New Roman" w:cs="libri"/>
          <w:color w:val="000000"/>
        </w:rPr>
        <w:t xml:space="preserve"> </w:t>
      </w:r>
      <w:r w:rsidRPr="00147A74">
        <w:rPr>
          <w:rFonts w:eastAsia="Times New Roman" w:cs="libri"/>
          <w:color w:val="000000"/>
          <w:lang w:val="x-none"/>
        </w:rPr>
        <w:t>association d’au moins 2 signes</w:t>
      </w:r>
      <w:r w:rsidR="0006180E" w:rsidRPr="00147A74">
        <w:rPr>
          <w:u w:val="single"/>
        </w:rPr>
        <w:t xml:space="preserve"> </w:t>
      </w:r>
      <w:r w:rsidRPr="00147A74">
        <w:rPr>
          <w:rFonts w:eastAsia="Times New Roman" w:cs="libri"/>
          <w:color w:val="000000"/>
          <w:lang w:val="x-none"/>
        </w:rPr>
        <w:t>cliniques, 2 signes biologiques et 2 signes échographiques</w:t>
      </w:r>
      <w:r w:rsidR="0006180E" w:rsidRPr="00147A74">
        <w:rPr>
          <w:rFonts w:eastAsia="Times New Roman" w:cs="libri"/>
          <w:color w:val="000000"/>
          <w:lang w:val="x-none"/>
        </w:rPr>
        <w:t> </w:t>
      </w:r>
      <w:r w:rsidR="0006180E" w:rsidRPr="00147A74">
        <w:rPr>
          <w:rFonts w:eastAsia="Times New Roman" w:cs="libri"/>
          <w:color w:val="000000"/>
        </w:rPr>
        <w:t>:</w:t>
      </w:r>
    </w:p>
    <w:p w:rsidR="0006180E" w:rsidRPr="00147A74" w:rsidRDefault="0006180E" w:rsidP="000618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libri"/>
          <w:color w:val="000000"/>
        </w:rPr>
      </w:pPr>
    </w:p>
    <w:p w:rsidR="00E82FEA" w:rsidRPr="00147A74" w:rsidRDefault="00E82FEA" w:rsidP="000618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libri"/>
          <w:color w:val="000000"/>
        </w:rPr>
      </w:pPr>
      <w:r w:rsidRPr="00147A74">
        <w:rPr>
          <w:rFonts w:eastAsia="Times New Roman" w:cs="libri"/>
          <w:color w:val="000000"/>
          <w:lang w:val="x-none"/>
        </w:rPr>
        <w:t xml:space="preserve">Signes cliniques : </w:t>
      </w:r>
      <w:r w:rsidRPr="00147A74">
        <w:rPr>
          <w:rFonts w:eastAsia="Times New Roman" w:cs="libri"/>
          <w:b/>
          <w:color w:val="000000"/>
          <w:lang w:val="x-none"/>
        </w:rPr>
        <w:t>acné sévère, hirsutisme, spanioménorrhée,</w:t>
      </w:r>
      <w:r w:rsidR="0006180E" w:rsidRPr="00147A74">
        <w:rPr>
          <w:rFonts w:eastAsia="Times New Roman" w:cs="libri"/>
          <w:b/>
          <w:color w:val="000000"/>
          <w:lang w:val="x-none"/>
        </w:rPr>
        <w:t> </w:t>
      </w:r>
      <w:r w:rsidR="0006180E" w:rsidRPr="00147A74">
        <w:rPr>
          <w:rFonts w:eastAsia="Times New Roman" w:cs="libri"/>
          <w:color w:val="000000"/>
          <w:lang w:val="x-none"/>
        </w:rPr>
        <w:t>obésité</w:t>
      </w:r>
      <w:r w:rsidRPr="00147A74">
        <w:rPr>
          <w:rFonts w:eastAsia="Times New Roman" w:cs="libri"/>
          <w:color w:val="000000"/>
          <w:lang w:val="x-none"/>
        </w:rPr>
        <w:t xml:space="preserve">, </w:t>
      </w:r>
      <w:proofErr w:type="spellStart"/>
      <w:r w:rsidRPr="00147A74">
        <w:rPr>
          <w:rFonts w:eastAsia="Times New Roman" w:cs="libri"/>
          <w:color w:val="000000"/>
          <w:lang w:val="x-none"/>
        </w:rPr>
        <w:t>acanthosis</w:t>
      </w:r>
      <w:proofErr w:type="spellEnd"/>
      <w:r w:rsidRPr="00147A74">
        <w:rPr>
          <w:rFonts w:eastAsia="Times New Roman" w:cs="libri"/>
          <w:color w:val="000000"/>
          <w:lang w:val="x-none"/>
        </w:rPr>
        <w:t xml:space="preserve"> </w:t>
      </w:r>
      <w:proofErr w:type="spellStart"/>
      <w:r w:rsidRPr="00147A74">
        <w:rPr>
          <w:rFonts w:eastAsia="Times New Roman" w:cs="libri"/>
          <w:color w:val="000000"/>
          <w:lang w:val="x-none"/>
        </w:rPr>
        <w:t>nigricans</w:t>
      </w:r>
      <w:proofErr w:type="spellEnd"/>
    </w:p>
    <w:p w:rsidR="0006180E" w:rsidRPr="00147A74" w:rsidRDefault="00E82FEA" w:rsidP="000618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libri"/>
          <w:color w:val="000000"/>
        </w:rPr>
      </w:pPr>
      <w:r w:rsidRPr="00147A74">
        <w:rPr>
          <w:rFonts w:eastAsia="Times New Roman" w:cs="libri"/>
          <w:color w:val="000000"/>
          <w:lang w:val="x-none"/>
        </w:rPr>
        <w:t xml:space="preserve">Signes biologiques : </w:t>
      </w:r>
      <w:r w:rsidRPr="00147A74">
        <w:rPr>
          <w:rFonts w:eastAsia="Times New Roman" w:cs="libri"/>
          <w:b/>
          <w:color w:val="000000"/>
          <w:lang w:val="x-none"/>
        </w:rPr>
        <w:t xml:space="preserve">testostérone totale augmentée, </w:t>
      </w:r>
      <w:r w:rsidRPr="00147A74">
        <w:rPr>
          <w:rFonts w:eastAsia="Times New Roman" w:cs="libri"/>
          <w:color w:val="000000"/>
          <w:lang w:val="x-none"/>
        </w:rPr>
        <w:t>testostérone</w:t>
      </w:r>
      <w:r w:rsidR="0006180E" w:rsidRPr="00147A74">
        <w:rPr>
          <w:rFonts w:eastAsia="Times New Roman" w:cs="libri"/>
          <w:color w:val="000000"/>
        </w:rPr>
        <w:t xml:space="preserve"> </w:t>
      </w:r>
      <w:r w:rsidRPr="00147A74">
        <w:rPr>
          <w:rFonts w:eastAsia="Times New Roman" w:cs="libri"/>
          <w:color w:val="000000"/>
          <w:lang w:val="x-none"/>
        </w:rPr>
        <w:t xml:space="preserve">libre augmentée, SHBG augmentée, </w:t>
      </w:r>
      <w:r w:rsidRPr="00147A74">
        <w:rPr>
          <w:rFonts w:eastAsia="Times New Roman" w:cs="libri"/>
          <w:b/>
          <w:color w:val="000000"/>
          <w:lang w:val="x-none"/>
        </w:rPr>
        <w:t>LH/FSH &gt; 2, hyperinsulinisme</w:t>
      </w:r>
    </w:p>
    <w:p w:rsidR="00E82FEA" w:rsidRPr="00147A74" w:rsidRDefault="00E82FEA" w:rsidP="000618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libri"/>
          <w:color w:val="000000"/>
        </w:rPr>
      </w:pPr>
      <w:r w:rsidRPr="00147A74">
        <w:rPr>
          <w:rFonts w:eastAsia="Times New Roman" w:cs="libri"/>
          <w:color w:val="000000"/>
          <w:lang w:val="x-none"/>
        </w:rPr>
        <w:t xml:space="preserve">Signes échographiques : </w:t>
      </w:r>
      <w:r w:rsidRPr="00147A74">
        <w:rPr>
          <w:rFonts w:eastAsia="Times New Roman" w:cs="libri"/>
          <w:b/>
          <w:color w:val="000000"/>
          <w:lang w:val="x-none"/>
        </w:rPr>
        <w:t xml:space="preserve">surface ovarienne &gt; 6 cm² </w:t>
      </w:r>
      <w:r w:rsidRPr="00147A74">
        <w:rPr>
          <w:rFonts w:eastAsia="Times New Roman" w:cs="libri"/>
          <w:color w:val="000000"/>
          <w:lang w:val="x-none"/>
        </w:rPr>
        <w:t>(un ovaire normal</w:t>
      </w:r>
      <w:r w:rsidR="0006180E" w:rsidRPr="00147A74">
        <w:rPr>
          <w:rFonts w:eastAsia="Times New Roman" w:cs="libri"/>
          <w:color w:val="000000"/>
        </w:rPr>
        <w:t xml:space="preserve"> </w:t>
      </w:r>
      <w:r w:rsidRPr="00147A74">
        <w:rPr>
          <w:rFonts w:eastAsia="Times New Roman" w:cs="libri"/>
          <w:color w:val="000000"/>
          <w:lang w:val="x-none"/>
        </w:rPr>
        <w:t xml:space="preserve">mesurant entre 2 et 6 cm²), </w:t>
      </w:r>
      <w:r w:rsidRPr="00147A74">
        <w:rPr>
          <w:rFonts w:eastAsia="Times New Roman" w:cs="libri"/>
          <w:b/>
          <w:color w:val="000000"/>
          <w:lang w:val="x-none"/>
        </w:rPr>
        <w:t xml:space="preserve">6 microkystes en périphérie, </w:t>
      </w:r>
      <w:r w:rsidRPr="00147A74">
        <w:rPr>
          <w:rFonts w:eastAsia="Times New Roman" w:cs="libri"/>
          <w:color w:val="000000"/>
          <w:lang w:val="x-none"/>
        </w:rPr>
        <w:t>stroma</w:t>
      </w:r>
      <w:r w:rsidR="0006180E" w:rsidRPr="00147A74">
        <w:rPr>
          <w:rFonts w:eastAsia="Times New Roman" w:cs="libri"/>
          <w:color w:val="000000"/>
        </w:rPr>
        <w:t xml:space="preserve"> </w:t>
      </w:r>
      <w:r w:rsidRPr="00147A74">
        <w:rPr>
          <w:rFonts w:eastAsia="Times New Roman" w:cs="libri"/>
          <w:color w:val="000000"/>
          <w:lang w:val="x-none"/>
        </w:rPr>
        <w:t>hypertrophié</w:t>
      </w:r>
    </w:p>
    <w:p w:rsidR="00CC7FD6" w:rsidRPr="00147A74" w:rsidRDefault="0006180E" w:rsidP="00CC7FD6">
      <w:pPr>
        <w:rPr>
          <w:u w:val="single"/>
        </w:rPr>
      </w:pPr>
      <w:r w:rsidRPr="00147A74">
        <w:rPr>
          <w:u w:val="single"/>
        </w:rPr>
        <w:t xml:space="preserve"> </w:t>
      </w:r>
    </w:p>
    <w:p w:rsidR="0052463F" w:rsidRPr="00147A74" w:rsidRDefault="0006180E" w:rsidP="00CC7FD6">
      <w:pPr>
        <w:rPr>
          <w:u w:val="single"/>
        </w:rPr>
      </w:pPr>
      <w:r w:rsidRPr="00147A74">
        <w:rPr>
          <w:u w:val="single"/>
        </w:rPr>
        <w:t>Diagnostic différentiel</w:t>
      </w:r>
    </w:p>
    <w:p w:rsidR="0052463F" w:rsidRPr="00147A74" w:rsidRDefault="0052463F" w:rsidP="0052463F">
      <w:pPr>
        <w:pStyle w:val="Paragraphedeliste"/>
        <w:numPr>
          <w:ilvl w:val="0"/>
          <w:numId w:val="4"/>
        </w:numPr>
      </w:pPr>
      <w:r w:rsidRPr="00147A74">
        <w:t>Exclusion des autres étiologies d’</w:t>
      </w:r>
      <w:proofErr w:type="spellStart"/>
      <w:r w:rsidRPr="00147A74">
        <w:t>hyperandrogénisme</w:t>
      </w:r>
      <w:proofErr w:type="spellEnd"/>
      <w:r w:rsidRPr="00147A74">
        <w:t xml:space="preserve"> et de </w:t>
      </w:r>
      <w:proofErr w:type="spellStart"/>
      <w:r w:rsidRPr="00147A74">
        <w:t>dysovulation</w:t>
      </w:r>
      <w:proofErr w:type="spellEnd"/>
    </w:p>
    <w:p w:rsidR="0006180E" w:rsidRPr="00147A74" w:rsidRDefault="0006180E" w:rsidP="0006180E">
      <w:pPr>
        <w:pStyle w:val="Paragraphedeliste"/>
        <w:numPr>
          <w:ilvl w:val="0"/>
          <w:numId w:val="4"/>
        </w:numPr>
        <w:jc w:val="both"/>
      </w:pPr>
      <w:r w:rsidRPr="00147A74">
        <w:t xml:space="preserve">Exclusion d’un prolactinome en raison d’un taux normal de prolactine. </w:t>
      </w:r>
    </w:p>
    <w:p w:rsidR="00C67806" w:rsidRPr="00147A74" w:rsidRDefault="0006180E" w:rsidP="00C67806">
      <w:pPr>
        <w:pStyle w:val="Paragraphedeliste"/>
        <w:numPr>
          <w:ilvl w:val="0"/>
          <w:numId w:val="4"/>
        </w:numPr>
        <w:jc w:val="both"/>
      </w:pPr>
      <w:r w:rsidRPr="00147A74">
        <w:t xml:space="preserve">Exclusion d’une disthyroïdie en raison d’un taux normal deT3 et T4. </w:t>
      </w:r>
    </w:p>
    <w:p w:rsidR="00C67806" w:rsidRPr="00147A74" w:rsidRDefault="00C67806" w:rsidP="00C67806">
      <w:pPr>
        <w:pStyle w:val="Paragraphedeliste"/>
        <w:jc w:val="both"/>
      </w:pPr>
    </w:p>
    <w:p w:rsidR="00C67806" w:rsidRPr="00147A74" w:rsidRDefault="00C67806" w:rsidP="00C67806">
      <w:pPr>
        <w:jc w:val="both"/>
        <w:rPr>
          <w:u w:val="single"/>
        </w:rPr>
      </w:pPr>
      <w:r w:rsidRPr="00147A74">
        <w:rPr>
          <w:u w:val="single"/>
        </w:rPr>
        <w:t>Physiopathologie</w:t>
      </w:r>
    </w:p>
    <w:p w:rsidR="0052463F" w:rsidRPr="00147A74" w:rsidRDefault="0052463F" w:rsidP="0052463F">
      <w:pPr>
        <w:pStyle w:val="Paragraphedeliste"/>
        <w:numPr>
          <w:ilvl w:val="0"/>
          <w:numId w:val="5"/>
        </w:numPr>
      </w:pPr>
      <w:r w:rsidRPr="00147A74">
        <w:t xml:space="preserve">Taux élevé de GnRH  provoquant une augmentation de la sécrétion de LH et une diminution de FSH (le rapport LH/FSH sera supérieur à 2). Cette </w:t>
      </w:r>
      <w:r w:rsidR="00347011" w:rsidRPr="00147A74">
        <w:t xml:space="preserve">élévation de GnRH est </w:t>
      </w:r>
      <w:proofErr w:type="gramStart"/>
      <w:r w:rsidR="00347011" w:rsidRPr="00147A74">
        <w:t>causé</w:t>
      </w:r>
      <w:proofErr w:type="gramEnd"/>
      <w:r w:rsidR="00347011" w:rsidRPr="00147A74">
        <w:t xml:space="preserve"> par une dysfonction du </w:t>
      </w:r>
      <w:r w:rsidRPr="00147A74">
        <w:t xml:space="preserve">feedback négatif de la </w:t>
      </w:r>
      <w:r w:rsidR="00347011" w:rsidRPr="00147A74">
        <w:t>progestérone, elle-même induite par les taux élevés de LH et d’androgènes.</w:t>
      </w:r>
    </w:p>
    <w:p w:rsidR="0052463F" w:rsidRPr="00147A74" w:rsidRDefault="0052463F" w:rsidP="0052463F">
      <w:pPr>
        <w:pStyle w:val="Paragraphedeliste"/>
        <w:numPr>
          <w:ilvl w:val="0"/>
          <w:numId w:val="5"/>
        </w:numPr>
      </w:pPr>
      <w:r w:rsidRPr="00147A74">
        <w:t xml:space="preserve">Le haut taux de LH </w:t>
      </w:r>
      <w:r w:rsidR="00347011" w:rsidRPr="00147A74">
        <w:t>induit</w:t>
      </w:r>
      <w:r w:rsidRPr="00147A74">
        <w:t xml:space="preserve"> un taux élevé d’androgènes et </w:t>
      </w:r>
      <w:r w:rsidR="00347011" w:rsidRPr="00147A74">
        <w:t>un</w:t>
      </w:r>
      <w:r w:rsidRPr="00147A74">
        <w:t xml:space="preserve"> taux bas de FSH </w:t>
      </w:r>
      <w:r w:rsidR="00347011" w:rsidRPr="00147A74">
        <w:t>conduisant à</w:t>
      </w:r>
      <w:r w:rsidRPr="00147A74">
        <w:t xml:space="preserve"> un défaut des follicules et</w:t>
      </w:r>
      <w:r w:rsidR="00347011" w:rsidRPr="00147A74">
        <w:t xml:space="preserve"> une</w:t>
      </w:r>
      <w:r w:rsidRPr="00147A74">
        <w:t xml:space="preserve"> dysménorrhée.</w:t>
      </w:r>
    </w:p>
    <w:p w:rsidR="00347011" w:rsidRPr="00147A74" w:rsidRDefault="00347011" w:rsidP="0052463F">
      <w:pPr>
        <w:pStyle w:val="Paragraphedeliste"/>
      </w:pPr>
    </w:p>
    <w:p w:rsidR="005C2D0D" w:rsidRDefault="005C2D0D" w:rsidP="00347011">
      <w:pPr>
        <w:rPr>
          <w:u w:val="single"/>
        </w:rPr>
      </w:pPr>
    </w:p>
    <w:p w:rsidR="005C2D0D" w:rsidRDefault="005C2D0D" w:rsidP="00347011">
      <w:pPr>
        <w:rPr>
          <w:u w:val="single"/>
        </w:rPr>
      </w:pPr>
    </w:p>
    <w:p w:rsidR="005C2D0D" w:rsidRDefault="00347011" w:rsidP="009B0990">
      <w:pPr>
        <w:rPr>
          <w:u w:val="single"/>
        </w:rPr>
      </w:pPr>
      <w:r w:rsidRPr="00147A74">
        <w:rPr>
          <w:u w:val="single"/>
        </w:rPr>
        <w:lastRenderedPageBreak/>
        <w:t>Génétique</w:t>
      </w:r>
    </w:p>
    <w:p w:rsidR="00877381" w:rsidRDefault="005C2D0D" w:rsidP="00877381">
      <w:r w:rsidRPr="005C2D0D">
        <w:t>Le</w:t>
      </w:r>
      <w:r>
        <w:t xml:space="preserve"> modèle génétique actuel présente une </w:t>
      </w:r>
      <w:proofErr w:type="spellStart"/>
      <w:r>
        <w:t>autosomie</w:t>
      </w:r>
      <w:proofErr w:type="spellEnd"/>
      <w:r>
        <w:t xml:space="preserve"> dominante de faible pénétrance et d’expressivité variable, via une hérédité non-mendélienne.</w:t>
      </w:r>
      <w:r w:rsidR="00EE4F15">
        <w:t xml:space="preserve">                                                                         </w:t>
      </w:r>
      <w:r w:rsidRPr="00877381">
        <w:rPr>
          <w:rFonts w:cs="Arial"/>
          <w:color w:val="000000"/>
        </w:rPr>
        <w:t xml:space="preserve">Les principaux facteurs hypothétiques concernés dans l’apparition du syndrome sont </w:t>
      </w:r>
      <w:r w:rsidR="00816176" w:rsidRPr="00877381">
        <w:rPr>
          <w:rFonts w:cs="Arial"/>
          <w:color w:val="000000"/>
        </w:rPr>
        <w:t>la biosynthèse des hormones stéroïdes et leurs métabolismes</w:t>
      </w:r>
      <w:r w:rsidR="00186694" w:rsidRPr="00877381">
        <w:rPr>
          <w:rFonts w:cs="Arial"/>
          <w:color w:val="000000"/>
        </w:rPr>
        <w:t xml:space="preserve">, </w:t>
      </w:r>
      <w:r w:rsidRPr="00877381">
        <w:rPr>
          <w:rFonts w:cs="Arial"/>
          <w:color w:val="000000"/>
        </w:rPr>
        <w:t xml:space="preserve">l'action des hormones gonadiques, de la </w:t>
      </w:r>
      <w:r w:rsidR="00877381" w:rsidRPr="00877381">
        <w:rPr>
          <w:rFonts w:cs="Arial"/>
          <w:color w:val="000000"/>
        </w:rPr>
        <w:t>gonadotrophine</w:t>
      </w:r>
      <w:r w:rsidRPr="00877381">
        <w:rPr>
          <w:rFonts w:cs="Arial"/>
          <w:color w:val="000000"/>
        </w:rPr>
        <w:t>, la régulation de l'énergie et</w:t>
      </w:r>
      <w:r w:rsidR="00186694" w:rsidRPr="00877381">
        <w:rPr>
          <w:rFonts w:cs="Arial"/>
          <w:color w:val="000000"/>
        </w:rPr>
        <w:t xml:space="preserve"> </w:t>
      </w:r>
      <w:r w:rsidRPr="00877381">
        <w:rPr>
          <w:rFonts w:cs="Arial"/>
          <w:color w:val="000000"/>
        </w:rPr>
        <w:t xml:space="preserve">la synthèse </w:t>
      </w:r>
      <w:r w:rsidR="00816176" w:rsidRPr="00877381">
        <w:rPr>
          <w:rFonts w:cs="Arial"/>
          <w:color w:val="000000"/>
        </w:rPr>
        <w:t xml:space="preserve">de l'insuline. </w:t>
      </w:r>
      <w:r w:rsidRPr="00877381">
        <w:rPr>
          <w:rFonts w:cs="Arial"/>
          <w:color w:val="000000"/>
        </w:rPr>
        <w:t>L’aspect génétique du syndrome implique la présence de plusieurs gènes et non d’un seul, bien que les facteurs génétiques ne sont pas nécessaires à l’apparition de la maladie et ne sont pas les seuls paramètres y jouant un rôle : l’environnement et l’alimentation peuvent aussi favoriser sa présence.</w:t>
      </w:r>
      <w:r w:rsidR="00727A21" w:rsidRPr="00147A74">
        <w:t xml:space="preserve"> </w:t>
      </w:r>
      <w:r w:rsidR="00EE4F15">
        <w:t xml:space="preserve">                                                  </w:t>
      </w:r>
      <w:r w:rsidRPr="00877381">
        <w:rPr>
          <w:rFonts w:cs="Arial"/>
          <w:color w:val="000000"/>
        </w:rPr>
        <w:t xml:space="preserve">Les mécanismes enzymatiques mit en </w:t>
      </w:r>
      <w:r w:rsidR="00772544" w:rsidRPr="00877381">
        <w:rPr>
          <w:rFonts w:cs="Arial"/>
          <w:color w:val="000000"/>
        </w:rPr>
        <w:t xml:space="preserve">place dans le syndrome sont les </w:t>
      </w:r>
      <w:r w:rsidRPr="00877381">
        <w:rPr>
          <w:rFonts w:cs="Arial"/>
          <w:color w:val="000000"/>
        </w:rPr>
        <w:t>suivants</w:t>
      </w:r>
      <w:r w:rsidR="00877381">
        <w:t xml:space="preserve"> </w:t>
      </w:r>
      <w:r>
        <w:t xml:space="preserve">: </w:t>
      </w:r>
      <w:r w:rsidR="00EE4F15">
        <w:t xml:space="preserve">                                             </w:t>
      </w:r>
      <w:r w:rsidR="00877381">
        <w:t xml:space="preserve"> </w:t>
      </w:r>
    </w:p>
    <w:p w:rsidR="00877381" w:rsidRDefault="00877381" w:rsidP="00877381">
      <w:pPr>
        <w:pStyle w:val="Paragraphedeliste"/>
        <w:numPr>
          <w:ilvl w:val="0"/>
          <w:numId w:val="11"/>
        </w:numPr>
      </w:pPr>
      <w:proofErr w:type="spellStart"/>
      <w:r>
        <w:t>Hyperandrogénie</w:t>
      </w:r>
      <w:proofErr w:type="spellEnd"/>
      <w:r>
        <w:t xml:space="preserve"> : </w:t>
      </w:r>
      <w:r w:rsidR="005C2D0D">
        <w:t xml:space="preserve">Augmentation de l’activité </w:t>
      </w:r>
      <w:proofErr w:type="gramStart"/>
      <w:r w:rsidR="005C2D0D">
        <w:t>de la</w:t>
      </w:r>
      <w:proofErr w:type="gramEnd"/>
      <w:r w:rsidR="005C2D0D">
        <w:t xml:space="preserve"> cholestérol desmolase, </w:t>
      </w:r>
      <w:r>
        <w:t>de la 17-</w:t>
      </w:r>
      <w:r w:rsidR="00BA0B8A">
        <w:t>a</w:t>
      </w:r>
      <w:r>
        <w:t>lpha-hydroxylase, de la 5-alpha-</w:t>
      </w:r>
      <w:r w:rsidR="00BA0B8A">
        <w:t>réductase et une inhibition de l’aromatase.</w:t>
      </w:r>
      <w:r w:rsidR="005C3AC8">
        <w:t xml:space="preserve">                                                                             </w:t>
      </w:r>
    </w:p>
    <w:p w:rsidR="00877381" w:rsidRDefault="00BA0B8A" w:rsidP="00877381">
      <w:pPr>
        <w:pStyle w:val="Paragraphedeliste"/>
        <w:numPr>
          <w:ilvl w:val="0"/>
          <w:numId w:val="11"/>
        </w:numPr>
      </w:pPr>
      <w:proofErr w:type="spellStart"/>
      <w:r>
        <w:t>Hypoprogestéronémie</w:t>
      </w:r>
      <w:proofErr w:type="spellEnd"/>
      <w:r>
        <w:t> : P</w:t>
      </w:r>
      <w:r w:rsidR="00213E0E">
        <w:t>as de formation de corps jaune</w:t>
      </w:r>
      <w:r w:rsidR="00877381">
        <w:t>.</w:t>
      </w:r>
      <w:r w:rsidR="005C3AC8">
        <w:t xml:space="preserve">                                                                             </w:t>
      </w:r>
    </w:p>
    <w:p w:rsidR="00877381" w:rsidRDefault="00BA0B8A" w:rsidP="00877381">
      <w:pPr>
        <w:pStyle w:val="Paragraphedeliste"/>
        <w:numPr>
          <w:ilvl w:val="0"/>
          <w:numId w:val="11"/>
        </w:numPr>
      </w:pPr>
      <w:r>
        <w:t>LH/FSH :</w:t>
      </w:r>
      <w:r w:rsidR="005C3AC8">
        <w:t xml:space="preserve"> Augmentation des taux  de </w:t>
      </w:r>
      <w:proofErr w:type="spellStart"/>
      <w:r w:rsidR="005C3AC8">
        <w:t>follistatines</w:t>
      </w:r>
      <w:proofErr w:type="spellEnd"/>
      <w:r w:rsidR="005C3AC8">
        <w:t xml:space="preserve"> régulant l’</w:t>
      </w:r>
      <w:proofErr w:type="spellStart"/>
      <w:r w:rsidR="005C3AC8">
        <w:t>activine</w:t>
      </w:r>
      <w:proofErr w:type="spellEnd"/>
      <w:r w:rsidR="005C3AC8">
        <w:t xml:space="preserve"> et l’inhibine</w:t>
      </w:r>
      <w:r w:rsidR="00877381">
        <w:t>.</w:t>
      </w:r>
      <w:r w:rsidR="005C3AC8">
        <w:t xml:space="preserve">                                </w:t>
      </w:r>
    </w:p>
    <w:p w:rsidR="005C3AC8" w:rsidRPr="00EE4F15" w:rsidRDefault="005C3AC8" w:rsidP="00877381">
      <w:pPr>
        <w:pStyle w:val="Paragraphedeliste"/>
        <w:numPr>
          <w:ilvl w:val="0"/>
          <w:numId w:val="11"/>
        </w:numPr>
      </w:pPr>
      <w:r>
        <w:t xml:space="preserve">Résistance à </w:t>
      </w:r>
      <w:r w:rsidR="00877381">
        <w:t>l’i</w:t>
      </w:r>
      <w:r>
        <w:t>nsuline : Causes multiples et peu connues</w:t>
      </w:r>
      <w:r w:rsidR="00877381">
        <w:t>.</w:t>
      </w:r>
    </w:p>
    <w:p w:rsidR="002877BD" w:rsidRPr="00147A74" w:rsidRDefault="002877BD" w:rsidP="002877BD">
      <w:r w:rsidRPr="00147A74">
        <w:rPr>
          <w:u w:val="single"/>
        </w:rPr>
        <w:t xml:space="preserve">Résistance au glucose </w:t>
      </w:r>
      <w:r w:rsidRPr="00147A74">
        <w:rPr>
          <w:u w:val="single"/>
        </w:rPr>
        <w:sym w:font="Wingdings" w:char="F0E0"/>
      </w:r>
      <w:r w:rsidRPr="00147A74">
        <w:rPr>
          <w:u w:val="single"/>
        </w:rPr>
        <w:t xml:space="preserve"> </w:t>
      </w:r>
      <w:proofErr w:type="spellStart"/>
      <w:r w:rsidRPr="00147A74">
        <w:rPr>
          <w:u w:val="single"/>
        </w:rPr>
        <w:t>insulino</w:t>
      </w:r>
      <w:proofErr w:type="spellEnd"/>
      <w:r w:rsidRPr="00147A74">
        <w:rPr>
          <w:u w:val="single"/>
        </w:rPr>
        <w:t>-résistance </w:t>
      </w:r>
      <w:r w:rsidRPr="00147A74">
        <w:t>:</w:t>
      </w:r>
    </w:p>
    <w:p w:rsidR="002877BD" w:rsidRPr="00147A74" w:rsidRDefault="002877BD" w:rsidP="002877BD">
      <w:pPr>
        <w:pStyle w:val="Paragraphedeliste"/>
        <w:numPr>
          <w:ilvl w:val="0"/>
          <w:numId w:val="6"/>
        </w:numPr>
      </w:pPr>
      <w:r w:rsidRPr="00147A74">
        <w:t>Cause :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r w:rsidRPr="00147A74">
        <w:t>Problème voies de transduction des récepteurs à l’insuline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r w:rsidRPr="00147A74">
        <w:t xml:space="preserve">Mutation </w:t>
      </w:r>
      <w:proofErr w:type="spellStart"/>
      <w:r w:rsidRPr="00147A74">
        <w:t>adiponectine</w:t>
      </w:r>
      <w:proofErr w:type="spellEnd"/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proofErr w:type="spellStart"/>
      <w:r w:rsidRPr="00147A74">
        <w:t>Ac</w:t>
      </w:r>
      <w:proofErr w:type="spellEnd"/>
      <w:r w:rsidRPr="00147A74">
        <w:t xml:space="preserve"> Auto-immun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r w:rsidRPr="00147A74">
        <w:t>Causes génétiques diverses</w:t>
      </w:r>
    </w:p>
    <w:p w:rsidR="002877BD" w:rsidRPr="00147A74" w:rsidRDefault="002877BD" w:rsidP="002877BD">
      <w:pPr>
        <w:pStyle w:val="Paragraphedeliste"/>
        <w:ind w:left="1440"/>
      </w:pPr>
      <w:r w:rsidRPr="00147A74">
        <w:t xml:space="preserve">+ </w:t>
      </w:r>
      <w:r w:rsidR="00147A74" w:rsidRPr="00147A74">
        <w:t>Souvent</w:t>
      </w:r>
      <w:r w:rsidRPr="00147A74">
        <w:t xml:space="preserve"> associé à une </w:t>
      </w:r>
      <w:proofErr w:type="spellStart"/>
      <w:r w:rsidRPr="00147A74">
        <w:t>lidodystrophie</w:t>
      </w:r>
      <w:proofErr w:type="spellEnd"/>
    </w:p>
    <w:p w:rsidR="002877BD" w:rsidRPr="00147A74" w:rsidRDefault="002877BD" w:rsidP="002877BD">
      <w:pPr>
        <w:pStyle w:val="Paragraphedeliste"/>
        <w:numPr>
          <w:ilvl w:val="0"/>
          <w:numId w:val="6"/>
        </w:numPr>
      </w:pPr>
      <w:r w:rsidRPr="00147A74">
        <w:t>Conséquences :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r w:rsidRPr="00147A74">
        <w:t>Obésité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r w:rsidRPr="00147A74">
        <w:t>Risque cardiovasculaire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r w:rsidRPr="00147A74">
        <w:t>Réduction synthèse protéine hépatique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r w:rsidRPr="00147A74">
        <w:t>Agit sur divers hormones</w:t>
      </w:r>
    </w:p>
    <w:p w:rsidR="002877BD" w:rsidRPr="00147A74" w:rsidRDefault="002877BD" w:rsidP="002877BD">
      <w:pPr>
        <w:pStyle w:val="Paragraphedeliste"/>
        <w:numPr>
          <w:ilvl w:val="1"/>
          <w:numId w:val="6"/>
        </w:numPr>
      </w:pPr>
      <w:bookmarkStart w:id="0" w:name="_GoBack"/>
      <w:bookmarkEnd w:id="0"/>
      <w:r w:rsidRPr="00147A74">
        <w:t>Autres conséquences dont facteur de risque diabète de type II</w:t>
      </w:r>
      <w:r w:rsidR="00100D1C">
        <w:t>.</w:t>
      </w:r>
    </w:p>
    <w:sectPr w:rsidR="002877BD" w:rsidRPr="00147A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2F" w:rsidRDefault="0039682F" w:rsidP="00347011">
      <w:pPr>
        <w:spacing w:after="0" w:line="240" w:lineRule="auto"/>
      </w:pPr>
      <w:r>
        <w:separator/>
      </w:r>
    </w:p>
  </w:endnote>
  <w:endnote w:type="continuationSeparator" w:id="0">
    <w:p w:rsidR="0039682F" w:rsidRDefault="0039682F" w:rsidP="0034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ri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127893"/>
      <w:docPartObj>
        <w:docPartGallery w:val="Page Numbers (Bottom of Page)"/>
        <w:docPartUnique/>
      </w:docPartObj>
    </w:sdtPr>
    <w:sdtEndPr/>
    <w:sdtContent>
      <w:p w:rsidR="002877BD" w:rsidRDefault="002877B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D1C" w:rsidRPr="00100D1C">
          <w:rPr>
            <w:noProof/>
            <w:lang w:val="fr-FR"/>
          </w:rPr>
          <w:t>2</w:t>
        </w:r>
        <w:r>
          <w:fldChar w:fldCharType="end"/>
        </w:r>
      </w:p>
    </w:sdtContent>
  </w:sdt>
  <w:p w:rsidR="002877BD" w:rsidRDefault="002877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2F" w:rsidRDefault="0039682F" w:rsidP="00347011">
      <w:pPr>
        <w:spacing w:after="0" w:line="240" w:lineRule="auto"/>
      </w:pPr>
      <w:r>
        <w:separator/>
      </w:r>
    </w:p>
  </w:footnote>
  <w:footnote w:type="continuationSeparator" w:id="0">
    <w:p w:rsidR="0039682F" w:rsidRDefault="0039682F" w:rsidP="0034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1BE"/>
    <w:multiLevelType w:val="hybridMultilevel"/>
    <w:tmpl w:val="128E2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F76CA"/>
    <w:multiLevelType w:val="hybridMultilevel"/>
    <w:tmpl w:val="FE14EC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94C08"/>
    <w:multiLevelType w:val="hybridMultilevel"/>
    <w:tmpl w:val="D5F0DC0C"/>
    <w:lvl w:ilvl="0" w:tplc="CE402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36CA8"/>
    <w:multiLevelType w:val="hybridMultilevel"/>
    <w:tmpl w:val="7B34EF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842BF"/>
    <w:multiLevelType w:val="hybridMultilevel"/>
    <w:tmpl w:val="BD34F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0014D"/>
    <w:multiLevelType w:val="hybridMultilevel"/>
    <w:tmpl w:val="0D885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D0432"/>
    <w:multiLevelType w:val="hybridMultilevel"/>
    <w:tmpl w:val="3B78D9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8610B"/>
    <w:multiLevelType w:val="hybridMultilevel"/>
    <w:tmpl w:val="5DC4A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A598F"/>
    <w:multiLevelType w:val="hybridMultilevel"/>
    <w:tmpl w:val="FA52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C7911"/>
    <w:multiLevelType w:val="hybridMultilevel"/>
    <w:tmpl w:val="8716D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96321"/>
    <w:multiLevelType w:val="hybridMultilevel"/>
    <w:tmpl w:val="93CEDC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D6"/>
    <w:rsid w:val="0006180E"/>
    <w:rsid w:val="00100D1C"/>
    <w:rsid w:val="00147A74"/>
    <w:rsid w:val="00186694"/>
    <w:rsid w:val="001C6CCC"/>
    <w:rsid w:val="00213E0E"/>
    <w:rsid w:val="002877BD"/>
    <w:rsid w:val="0031239D"/>
    <w:rsid w:val="00347011"/>
    <w:rsid w:val="0039682F"/>
    <w:rsid w:val="0052463F"/>
    <w:rsid w:val="005C2D0D"/>
    <w:rsid w:val="005C3AC8"/>
    <w:rsid w:val="00727A21"/>
    <w:rsid w:val="00772544"/>
    <w:rsid w:val="00816176"/>
    <w:rsid w:val="00877381"/>
    <w:rsid w:val="009137A5"/>
    <w:rsid w:val="009A2C25"/>
    <w:rsid w:val="009B0990"/>
    <w:rsid w:val="00A022AB"/>
    <w:rsid w:val="00A37D34"/>
    <w:rsid w:val="00BA0B8A"/>
    <w:rsid w:val="00C67806"/>
    <w:rsid w:val="00CC7FD6"/>
    <w:rsid w:val="00D37C6B"/>
    <w:rsid w:val="00E82FEA"/>
    <w:rsid w:val="00E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F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011"/>
  </w:style>
  <w:style w:type="paragraph" w:styleId="Pieddepage">
    <w:name w:val="footer"/>
    <w:basedOn w:val="Normal"/>
    <w:link w:val="PieddepageCar"/>
    <w:uiPriority w:val="99"/>
    <w:unhideWhenUsed/>
    <w:rsid w:val="0034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011"/>
  </w:style>
  <w:style w:type="paragraph" w:styleId="NormalWeb">
    <w:name w:val="Normal (Web)"/>
    <w:basedOn w:val="Normal"/>
    <w:uiPriority w:val="99"/>
    <w:unhideWhenUsed/>
    <w:rsid w:val="0081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F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011"/>
  </w:style>
  <w:style w:type="paragraph" w:styleId="Pieddepage">
    <w:name w:val="footer"/>
    <w:basedOn w:val="Normal"/>
    <w:link w:val="PieddepageCar"/>
    <w:uiPriority w:val="99"/>
    <w:unhideWhenUsed/>
    <w:rsid w:val="0034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011"/>
  </w:style>
  <w:style w:type="paragraph" w:styleId="NormalWeb">
    <w:name w:val="Normal (Web)"/>
    <w:basedOn w:val="Normal"/>
    <w:uiPriority w:val="99"/>
    <w:unhideWhenUsed/>
    <w:rsid w:val="0081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Invité</cp:lastModifiedBy>
  <cp:revision>2</cp:revision>
  <cp:lastPrinted>2014-03-30T12:12:00Z</cp:lastPrinted>
  <dcterms:created xsi:type="dcterms:W3CDTF">2014-03-30T13:22:00Z</dcterms:created>
  <dcterms:modified xsi:type="dcterms:W3CDTF">2014-03-30T13:22:00Z</dcterms:modified>
</cp:coreProperties>
</file>