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eastAsiaTheme="minorHAnsi" w:hAnsi="Arial" w:cs="Arial"/>
          <w:b w:val="0"/>
          <w:bCs w:val="0"/>
          <w:i w:val="0"/>
          <w:smallCaps/>
          <w:color w:val="auto"/>
          <w:sz w:val="20"/>
          <w:szCs w:val="20"/>
          <w:lang w:bidi="ar-SA"/>
        </w:rPr>
        <w:id w:val="10856533"/>
        <w:docPartObj>
          <w:docPartGallery w:val="Table of Contents"/>
          <w:docPartUnique/>
        </w:docPartObj>
      </w:sdtPr>
      <w:sdtEndPr>
        <w:rPr>
          <w:rFonts w:eastAsiaTheme="minorEastAsia"/>
          <w:smallCaps w:val="0"/>
        </w:rPr>
      </w:sdtEndPr>
      <w:sdtContent>
        <w:p w:rsidR="002C4D8C" w:rsidRPr="00FA4826" w:rsidRDefault="00324394" w:rsidP="00324394">
          <w:pPr>
            <w:pStyle w:val="En-ttedetabledesmatires"/>
            <w:shd w:val="pct20" w:color="auto" w:fill="EFEFEF" w:themeFill="accent2" w:themeFillTint="33"/>
            <w:rPr>
              <w:rFonts w:ascii="Arial" w:hAnsi="Arial" w:cs="Arial"/>
              <w:b w:val="0"/>
              <w:i w:val="0"/>
              <w:sz w:val="32"/>
              <w:szCs w:val="32"/>
            </w:rPr>
          </w:pPr>
          <w:r w:rsidRPr="00FA4826">
            <w:rPr>
              <w:rFonts w:ascii="Arial" w:hAnsi="Arial" w:cs="Arial"/>
              <w:i w:val="0"/>
              <w:sz w:val="32"/>
              <w:szCs w:val="32"/>
            </w:rPr>
            <w:t>Partie 2</w:t>
          </w:r>
          <w:r w:rsidR="00123CAF" w:rsidRPr="00FA4826">
            <w:rPr>
              <w:rFonts w:ascii="Arial" w:hAnsi="Arial" w:cs="Arial"/>
              <w:i w:val="0"/>
              <w:sz w:val="32"/>
              <w:szCs w:val="32"/>
            </w:rPr>
            <w:t xml:space="preserve"> : </w:t>
          </w:r>
          <w:r w:rsidR="006D2C47" w:rsidRPr="00FA4826">
            <w:rPr>
              <w:rFonts w:ascii="Arial" w:hAnsi="Arial" w:cs="Arial"/>
              <w:i w:val="0"/>
              <w:sz w:val="32"/>
              <w:szCs w:val="32"/>
            </w:rPr>
            <w:t>LA MONNAIE ET LE FINANCEMENT DES ÉCONOMIES CONTEMPORAINES</w:t>
          </w:r>
        </w:p>
        <w:p w:rsidR="002C4D8C" w:rsidRPr="00FA4826" w:rsidRDefault="00324394" w:rsidP="00324394">
          <w:pPr>
            <w:spacing w:after="0"/>
            <w:rPr>
              <w:rFonts w:ascii="Arial" w:hAnsi="Arial" w:cs="Arial"/>
              <w:i w:val="0"/>
              <w:sz w:val="24"/>
            </w:rPr>
          </w:pPr>
          <w:r w:rsidRPr="00FA4826">
            <w:rPr>
              <w:rFonts w:ascii="Arial" w:hAnsi="Arial" w:cs="Arial"/>
              <w:i w:val="0"/>
              <w:sz w:val="24"/>
            </w:rPr>
            <w:t xml:space="preserve">I - </w:t>
          </w:r>
          <w:r w:rsidR="002C4D8C" w:rsidRPr="00FA4826">
            <w:rPr>
              <w:rFonts w:ascii="Arial" w:hAnsi="Arial" w:cs="Arial"/>
              <w:i w:val="0"/>
              <w:sz w:val="24"/>
            </w:rPr>
            <w:t>INTRODUCTION ………………………………</w:t>
          </w:r>
          <w:r w:rsidRPr="00FA4826">
            <w:rPr>
              <w:rFonts w:ascii="Arial" w:hAnsi="Arial" w:cs="Arial"/>
              <w:i w:val="0"/>
              <w:sz w:val="24"/>
            </w:rPr>
            <w:t>………………………………………………………</w:t>
          </w:r>
        </w:p>
        <w:p w:rsidR="00AA3DE5" w:rsidRPr="00FA4826" w:rsidRDefault="00EB7534">
          <w:pPr>
            <w:pStyle w:val="TM1"/>
            <w:tabs>
              <w:tab w:val="right" w:leader="dot" w:pos="10456"/>
            </w:tabs>
            <w:rPr>
              <w:b w:val="0"/>
              <w:i w:val="0"/>
              <w:caps w:val="0"/>
              <w:noProof/>
              <w:lang w:eastAsia="fr-FR"/>
            </w:rPr>
          </w:pPr>
          <w:r w:rsidRPr="00FA4826">
            <w:rPr>
              <w:rFonts w:ascii="Arial" w:hAnsi="Arial" w:cs="Arial"/>
              <w:i w:val="0"/>
              <w:smallCaps/>
            </w:rPr>
            <w:fldChar w:fldCharType="begin"/>
          </w:r>
          <w:r w:rsidR="002C4D8C" w:rsidRPr="00FA4826">
            <w:rPr>
              <w:rFonts w:ascii="Arial" w:hAnsi="Arial" w:cs="Arial"/>
              <w:i w:val="0"/>
            </w:rPr>
            <w:instrText xml:space="preserve"> TOC \o "1-3" \h \z \u </w:instrText>
          </w:r>
          <w:r w:rsidRPr="00FA4826">
            <w:rPr>
              <w:rFonts w:ascii="Arial" w:hAnsi="Arial" w:cs="Arial"/>
              <w:i w:val="0"/>
              <w:smallCaps/>
            </w:rPr>
            <w:fldChar w:fldCharType="separate"/>
          </w:r>
          <w:hyperlink w:anchor="_Toc379227115" w:history="1">
            <w:r w:rsidR="00AA3DE5" w:rsidRPr="00FA4826">
              <w:rPr>
                <w:rStyle w:val="Lienhypertexte"/>
                <w:rFonts w:ascii="Arial" w:hAnsi="Arial" w:cs="Arial"/>
                <w:i w:val="0"/>
                <w:noProof/>
              </w:rPr>
              <w:t>II. La création monétaire</w:t>
            </w:r>
            <w:r w:rsidR="00AA3DE5" w:rsidRPr="00FA4826">
              <w:rPr>
                <w:i w:val="0"/>
                <w:noProof/>
                <w:webHidden/>
              </w:rPr>
              <w:tab/>
            </w:r>
            <w:r w:rsidR="00AA3DE5" w:rsidRPr="00FA4826">
              <w:rPr>
                <w:i w:val="0"/>
                <w:noProof/>
                <w:webHidden/>
              </w:rPr>
              <w:fldChar w:fldCharType="begin"/>
            </w:r>
            <w:r w:rsidR="00AA3DE5" w:rsidRPr="00FA4826">
              <w:rPr>
                <w:i w:val="0"/>
                <w:noProof/>
                <w:webHidden/>
              </w:rPr>
              <w:instrText xml:space="preserve"> PAGEREF _Toc379227115 \h </w:instrText>
            </w:r>
            <w:r w:rsidR="00AA3DE5" w:rsidRPr="00FA4826">
              <w:rPr>
                <w:i w:val="0"/>
                <w:noProof/>
                <w:webHidden/>
              </w:rPr>
            </w:r>
            <w:r w:rsidR="00AA3DE5" w:rsidRPr="00FA4826">
              <w:rPr>
                <w:i w:val="0"/>
                <w:noProof/>
                <w:webHidden/>
              </w:rPr>
              <w:fldChar w:fldCharType="separate"/>
            </w:r>
            <w:r w:rsidR="00E66336">
              <w:rPr>
                <w:i w:val="0"/>
                <w:noProof/>
                <w:webHidden/>
              </w:rPr>
              <w:t>2</w:t>
            </w:r>
            <w:r w:rsidR="00AA3DE5" w:rsidRPr="00FA4826">
              <w:rPr>
                <w:i w:val="0"/>
                <w:noProof/>
                <w:webHidden/>
              </w:rPr>
              <w:fldChar w:fldCharType="end"/>
            </w:r>
          </w:hyperlink>
        </w:p>
        <w:p w:rsidR="00AA3DE5" w:rsidRPr="00FA4826" w:rsidRDefault="00D66D28">
          <w:pPr>
            <w:pStyle w:val="TM2"/>
            <w:tabs>
              <w:tab w:val="right" w:leader="dot" w:pos="10456"/>
            </w:tabs>
            <w:rPr>
              <w:i w:val="0"/>
              <w:smallCaps w:val="0"/>
              <w:noProof/>
              <w:lang w:eastAsia="fr-FR"/>
            </w:rPr>
          </w:pPr>
          <w:hyperlink w:anchor="_Toc379227116" w:history="1">
            <w:r w:rsidR="00AA3DE5" w:rsidRPr="00FA4826">
              <w:rPr>
                <w:rStyle w:val="Lienhypertexte"/>
                <w:rFonts w:ascii="Arial" w:hAnsi="Arial" w:cs="Arial"/>
                <w:i w:val="0"/>
                <w:noProof/>
              </w:rPr>
              <w:t>1) Histoire partielle de la création monétaire</w:t>
            </w:r>
            <w:r w:rsidR="00AA3DE5" w:rsidRPr="00FA4826">
              <w:rPr>
                <w:i w:val="0"/>
                <w:noProof/>
                <w:webHidden/>
              </w:rPr>
              <w:tab/>
            </w:r>
            <w:r w:rsidR="00AA3DE5" w:rsidRPr="00FA4826">
              <w:rPr>
                <w:i w:val="0"/>
                <w:noProof/>
                <w:webHidden/>
              </w:rPr>
              <w:fldChar w:fldCharType="begin"/>
            </w:r>
            <w:r w:rsidR="00AA3DE5" w:rsidRPr="00FA4826">
              <w:rPr>
                <w:i w:val="0"/>
                <w:noProof/>
                <w:webHidden/>
              </w:rPr>
              <w:instrText xml:space="preserve"> PAGEREF _Toc379227116 \h </w:instrText>
            </w:r>
            <w:r w:rsidR="00AA3DE5" w:rsidRPr="00FA4826">
              <w:rPr>
                <w:i w:val="0"/>
                <w:noProof/>
                <w:webHidden/>
              </w:rPr>
            </w:r>
            <w:r w:rsidR="00AA3DE5" w:rsidRPr="00FA4826">
              <w:rPr>
                <w:i w:val="0"/>
                <w:noProof/>
                <w:webHidden/>
              </w:rPr>
              <w:fldChar w:fldCharType="separate"/>
            </w:r>
            <w:r w:rsidR="00E66336">
              <w:rPr>
                <w:i w:val="0"/>
                <w:noProof/>
                <w:webHidden/>
              </w:rPr>
              <w:t>2</w:t>
            </w:r>
            <w:r w:rsidR="00AA3DE5" w:rsidRPr="00FA4826">
              <w:rPr>
                <w:i w:val="0"/>
                <w:noProof/>
                <w:webHidden/>
              </w:rPr>
              <w:fldChar w:fldCharType="end"/>
            </w:r>
          </w:hyperlink>
        </w:p>
        <w:p w:rsidR="00AA3DE5" w:rsidRPr="00FA4826" w:rsidRDefault="00D66D28">
          <w:pPr>
            <w:pStyle w:val="TM3"/>
            <w:tabs>
              <w:tab w:val="left" w:pos="880"/>
              <w:tab w:val="right" w:leader="dot" w:pos="10456"/>
            </w:tabs>
            <w:rPr>
              <w:noProof/>
              <w:lang w:eastAsia="fr-FR"/>
            </w:rPr>
          </w:pPr>
          <w:hyperlink w:anchor="_Toc379227117" w:history="1">
            <w:r w:rsidR="00AA3DE5" w:rsidRPr="00FA4826">
              <w:rPr>
                <w:rStyle w:val="Lienhypertexte"/>
                <w:rFonts w:ascii="Arial" w:hAnsi="Arial" w:cs="Arial"/>
                <w:noProof/>
              </w:rPr>
              <w:t>a.</w:t>
            </w:r>
            <w:r w:rsidR="00AA3DE5" w:rsidRPr="00FA4826">
              <w:rPr>
                <w:noProof/>
                <w:lang w:eastAsia="fr-FR"/>
              </w:rPr>
              <w:tab/>
            </w:r>
            <w:r w:rsidR="00AA3DE5" w:rsidRPr="00FA4826">
              <w:rPr>
                <w:rStyle w:val="Lienhypertexte"/>
                <w:rFonts w:ascii="Arial" w:hAnsi="Arial" w:cs="Arial"/>
                <w:noProof/>
              </w:rPr>
              <w:t>La référence métallique</w:t>
            </w:r>
            <w:r w:rsidR="00AA3DE5" w:rsidRPr="00FA4826">
              <w:rPr>
                <w:noProof/>
                <w:webHidden/>
              </w:rPr>
              <w:tab/>
            </w:r>
            <w:r w:rsidR="00AA3DE5" w:rsidRPr="00FA4826">
              <w:rPr>
                <w:noProof/>
                <w:webHidden/>
              </w:rPr>
              <w:fldChar w:fldCharType="begin"/>
            </w:r>
            <w:r w:rsidR="00AA3DE5" w:rsidRPr="00FA4826">
              <w:rPr>
                <w:noProof/>
                <w:webHidden/>
              </w:rPr>
              <w:instrText xml:space="preserve"> PAGEREF _Toc379227117 \h </w:instrText>
            </w:r>
            <w:r w:rsidR="00AA3DE5" w:rsidRPr="00FA4826">
              <w:rPr>
                <w:noProof/>
                <w:webHidden/>
              </w:rPr>
            </w:r>
            <w:r w:rsidR="00AA3DE5" w:rsidRPr="00FA4826">
              <w:rPr>
                <w:noProof/>
                <w:webHidden/>
              </w:rPr>
              <w:fldChar w:fldCharType="separate"/>
            </w:r>
            <w:r w:rsidR="00E66336">
              <w:rPr>
                <w:noProof/>
                <w:webHidden/>
              </w:rPr>
              <w:t>2</w:t>
            </w:r>
            <w:r w:rsidR="00AA3DE5" w:rsidRPr="00FA4826">
              <w:rPr>
                <w:noProof/>
                <w:webHidden/>
              </w:rPr>
              <w:fldChar w:fldCharType="end"/>
            </w:r>
          </w:hyperlink>
        </w:p>
        <w:p w:rsidR="00AA3DE5" w:rsidRPr="00FA4826" w:rsidRDefault="00D66D28">
          <w:pPr>
            <w:pStyle w:val="TM3"/>
            <w:tabs>
              <w:tab w:val="left" w:pos="880"/>
              <w:tab w:val="right" w:leader="dot" w:pos="10456"/>
            </w:tabs>
            <w:rPr>
              <w:noProof/>
              <w:lang w:eastAsia="fr-FR"/>
            </w:rPr>
          </w:pPr>
          <w:hyperlink w:anchor="_Toc379227118" w:history="1">
            <w:r w:rsidR="00AA3DE5" w:rsidRPr="00FA4826">
              <w:rPr>
                <w:rStyle w:val="Lienhypertexte"/>
                <w:rFonts w:ascii="Arial" w:hAnsi="Arial" w:cs="Arial"/>
                <w:noProof/>
              </w:rPr>
              <w:t>b.</w:t>
            </w:r>
            <w:r w:rsidR="00AA3DE5" w:rsidRPr="00FA4826">
              <w:rPr>
                <w:noProof/>
                <w:lang w:eastAsia="fr-FR"/>
              </w:rPr>
              <w:tab/>
            </w:r>
            <w:r w:rsidR="00AA3DE5" w:rsidRPr="00FA4826">
              <w:rPr>
                <w:rStyle w:val="Lienhypertexte"/>
                <w:rFonts w:ascii="Arial" w:hAnsi="Arial" w:cs="Arial"/>
                <w:noProof/>
              </w:rPr>
              <w:t>Des repères théoriques :</w:t>
            </w:r>
            <w:r w:rsidR="00AA3DE5" w:rsidRPr="00FA4826">
              <w:rPr>
                <w:noProof/>
                <w:webHidden/>
              </w:rPr>
              <w:tab/>
            </w:r>
            <w:r w:rsidR="00AA3DE5" w:rsidRPr="00FA4826">
              <w:rPr>
                <w:noProof/>
                <w:webHidden/>
              </w:rPr>
              <w:fldChar w:fldCharType="begin"/>
            </w:r>
            <w:r w:rsidR="00AA3DE5" w:rsidRPr="00FA4826">
              <w:rPr>
                <w:noProof/>
                <w:webHidden/>
              </w:rPr>
              <w:instrText xml:space="preserve"> PAGEREF _Toc379227118 \h </w:instrText>
            </w:r>
            <w:r w:rsidR="00AA3DE5" w:rsidRPr="00FA4826">
              <w:rPr>
                <w:noProof/>
                <w:webHidden/>
              </w:rPr>
            </w:r>
            <w:r w:rsidR="00AA3DE5" w:rsidRPr="00FA4826">
              <w:rPr>
                <w:noProof/>
                <w:webHidden/>
              </w:rPr>
              <w:fldChar w:fldCharType="separate"/>
            </w:r>
            <w:r w:rsidR="00E66336">
              <w:rPr>
                <w:noProof/>
                <w:webHidden/>
              </w:rPr>
              <w:t>4</w:t>
            </w:r>
            <w:r w:rsidR="00AA3DE5" w:rsidRPr="00FA4826">
              <w:rPr>
                <w:noProof/>
                <w:webHidden/>
              </w:rPr>
              <w:fldChar w:fldCharType="end"/>
            </w:r>
          </w:hyperlink>
        </w:p>
        <w:p w:rsidR="00AA3DE5" w:rsidRPr="00FA4826" w:rsidRDefault="00D66D28">
          <w:pPr>
            <w:pStyle w:val="TM2"/>
            <w:tabs>
              <w:tab w:val="right" w:leader="dot" w:pos="10456"/>
            </w:tabs>
            <w:rPr>
              <w:i w:val="0"/>
              <w:smallCaps w:val="0"/>
              <w:noProof/>
              <w:lang w:eastAsia="fr-FR"/>
            </w:rPr>
          </w:pPr>
          <w:hyperlink w:anchor="_Toc379227119" w:history="1">
            <w:r w:rsidR="00AA3DE5" w:rsidRPr="00FA4826">
              <w:rPr>
                <w:rStyle w:val="Lienhypertexte"/>
                <w:rFonts w:ascii="Arial" w:hAnsi="Arial" w:cs="Arial"/>
                <w:i w:val="0"/>
                <w:noProof/>
              </w:rPr>
              <w:t>2) Le crédit créé la monnaie :</w:t>
            </w:r>
            <w:r w:rsidR="00AA3DE5" w:rsidRPr="00FA4826">
              <w:rPr>
                <w:i w:val="0"/>
                <w:noProof/>
                <w:webHidden/>
              </w:rPr>
              <w:tab/>
            </w:r>
            <w:r w:rsidR="00AA3DE5" w:rsidRPr="00FA4826">
              <w:rPr>
                <w:i w:val="0"/>
                <w:noProof/>
                <w:webHidden/>
              </w:rPr>
              <w:fldChar w:fldCharType="begin"/>
            </w:r>
            <w:r w:rsidR="00AA3DE5" w:rsidRPr="00FA4826">
              <w:rPr>
                <w:i w:val="0"/>
                <w:noProof/>
                <w:webHidden/>
              </w:rPr>
              <w:instrText xml:space="preserve"> PAGEREF _Toc379227119 \h </w:instrText>
            </w:r>
            <w:r w:rsidR="00AA3DE5" w:rsidRPr="00FA4826">
              <w:rPr>
                <w:i w:val="0"/>
                <w:noProof/>
                <w:webHidden/>
              </w:rPr>
            </w:r>
            <w:r w:rsidR="00AA3DE5" w:rsidRPr="00FA4826">
              <w:rPr>
                <w:i w:val="0"/>
                <w:noProof/>
                <w:webHidden/>
              </w:rPr>
              <w:fldChar w:fldCharType="separate"/>
            </w:r>
            <w:r w:rsidR="00E66336">
              <w:rPr>
                <w:i w:val="0"/>
                <w:noProof/>
                <w:webHidden/>
              </w:rPr>
              <w:t>4</w:t>
            </w:r>
            <w:r w:rsidR="00AA3DE5" w:rsidRPr="00FA4826">
              <w:rPr>
                <w:i w:val="0"/>
                <w:noProof/>
                <w:webHidden/>
              </w:rPr>
              <w:fldChar w:fldCharType="end"/>
            </w:r>
          </w:hyperlink>
        </w:p>
        <w:p w:rsidR="00AA3DE5" w:rsidRPr="00FA4826" w:rsidRDefault="00D66D28">
          <w:pPr>
            <w:pStyle w:val="TM3"/>
            <w:tabs>
              <w:tab w:val="left" w:pos="880"/>
              <w:tab w:val="right" w:leader="dot" w:pos="10456"/>
            </w:tabs>
            <w:rPr>
              <w:noProof/>
              <w:lang w:eastAsia="fr-FR"/>
            </w:rPr>
          </w:pPr>
          <w:hyperlink w:anchor="_Toc379227120" w:history="1">
            <w:r w:rsidR="00AA3DE5" w:rsidRPr="00FA4826">
              <w:rPr>
                <w:rStyle w:val="Lienhypertexte"/>
                <w:rFonts w:ascii="Arial" w:hAnsi="Arial" w:cs="Arial"/>
                <w:noProof/>
              </w:rPr>
              <w:t>a.</w:t>
            </w:r>
            <w:r w:rsidR="00AA3DE5" w:rsidRPr="00FA4826">
              <w:rPr>
                <w:noProof/>
                <w:lang w:eastAsia="fr-FR"/>
              </w:rPr>
              <w:tab/>
            </w:r>
            <w:r w:rsidR="00AA3DE5" w:rsidRPr="00FA4826">
              <w:rPr>
                <w:rStyle w:val="Lienhypertexte"/>
                <w:rFonts w:ascii="Arial" w:hAnsi="Arial" w:cs="Arial"/>
                <w:noProof/>
              </w:rPr>
              <w:t>La monnaie contemporaine</w:t>
            </w:r>
            <w:r w:rsidR="00AA3DE5" w:rsidRPr="00FA4826">
              <w:rPr>
                <w:noProof/>
                <w:webHidden/>
              </w:rPr>
              <w:tab/>
            </w:r>
            <w:r w:rsidR="00AA3DE5" w:rsidRPr="00FA4826">
              <w:rPr>
                <w:noProof/>
                <w:webHidden/>
              </w:rPr>
              <w:fldChar w:fldCharType="begin"/>
            </w:r>
            <w:r w:rsidR="00AA3DE5" w:rsidRPr="00FA4826">
              <w:rPr>
                <w:noProof/>
                <w:webHidden/>
              </w:rPr>
              <w:instrText xml:space="preserve"> PAGEREF _Toc379227120 \h </w:instrText>
            </w:r>
            <w:r w:rsidR="00AA3DE5" w:rsidRPr="00FA4826">
              <w:rPr>
                <w:noProof/>
                <w:webHidden/>
              </w:rPr>
            </w:r>
            <w:r w:rsidR="00AA3DE5" w:rsidRPr="00FA4826">
              <w:rPr>
                <w:noProof/>
                <w:webHidden/>
              </w:rPr>
              <w:fldChar w:fldCharType="separate"/>
            </w:r>
            <w:r w:rsidR="00E66336">
              <w:rPr>
                <w:noProof/>
                <w:webHidden/>
              </w:rPr>
              <w:t>4</w:t>
            </w:r>
            <w:r w:rsidR="00AA3DE5" w:rsidRPr="00FA4826">
              <w:rPr>
                <w:noProof/>
                <w:webHidden/>
              </w:rPr>
              <w:fldChar w:fldCharType="end"/>
            </w:r>
          </w:hyperlink>
        </w:p>
        <w:p w:rsidR="00AA3DE5" w:rsidRPr="00FA4826" w:rsidRDefault="00D66D28">
          <w:pPr>
            <w:pStyle w:val="TM3"/>
            <w:tabs>
              <w:tab w:val="left" w:pos="880"/>
              <w:tab w:val="right" w:leader="dot" w:pos="10456"/>
            </w:tabs>
            <w:rPr>
              <w:noProof/>
              <w:lang w:eastAsia="fr-FR"/>
            </w:rPr>
          </w:pPr>
          <w:hyperlink w:anchor="_Toc379227121" w:history="1">
            <w:r w:rsidR="00AA3DE5" w:rsidRPr="00FA4826">
              <w:rPr>
                <w:rStyle w:val="Lienhypertexte"/>
                <w:rFonts w:ascii="Arial" w:hAnsi="Arial" w:cs="Arial"/>
                <w:noProof/>
              </w:rPr>
              <w:t>b.</w:t>
            </w:r>
            <w:r w:rsidR="00AA3DE5" w:rsidRPr="00FA4826">
              <w:rPr>
                <w:noProof/>
                <w:lang w:eastAsia="fr-FR"/>
              </w:rPr>
              <w:tab/>
            </w:r>
            <w:r w:rsidR="00AA3DE5" w:rsidRPr="00FA4826">
              <w:rPr>
                <w:rStyle w:val="Lienhypertexte"/>
                <w:rFonts w:ascii="Arial" w:hAnsi="Arial" w:cs="Arial"/>
                <w:noProof/>
              </w:rPr>
              <w:t>Créer la monnaie scripturale :</w:t>
            </w:r>
            <w:r w:rsidR="00AA3DE5" w:rsidRPr="00FA4826">
              <w:rPr>
                <w:noProof/>
                <w:webHidden/>
              </w:rPr>
              <w:tab/>
            </w:r>
            <w:r w:rsidR="00AA3DE5" w:rsidRPr="00FA4826">
              <w:rPr>
                <w:noProof/>
                <w:webHidden/>
              </w:rPr>
              <w:fldChar w:fldCharType="begin"/>
            </w:r>
            <w:r w:rsidR="00AA3DE5" w:rsidRPr="00FA4826">
              <w:rPr>
                <w:noProof/>
                <w:webHidden/>
              </w:rPr>
              <w:instrText xml:space="preserve"> PAGEREF _Toc379227121 \h </w:instrText>
            </w:r>
            <w:r w:rsidR="00AA3DE5" w:rsidRPr="00FA4826">
              <w:rPr>
                <w:noProof/>
                <w:webHidden/>
              </w:rPr>
            </w:r>
            <w:r w:rsidR="00AA3DE5" w:rsidRPr="00FA4826">
              <w:rPr>
                <w:noProof/>
                <w:webHidden/>
              </w:rPr>
              <w:fldChar w:fldCharType="separate"/>
            </w:r>
            <w:r w:rsidR="00E66336">
              <w:rPr>
                <w:noProof/>
                <w:webHidden/>
              </w:rPr>
              <w:t>7</w:t>
            </w:r>
            <w:r w:rsidR="00AA3DE5" w:rsidRPr="00FA4826">
              <w:rPr>
                <w:noProof/>
                <w:webHidden/>
              </w:rPr>
              <w:fldChar w:fldCharType="end"/>
            </w:r>
          </w:hyperlink>
        </w:p>
        <w:p w:rsidR="00AA3DE5" w:rsidRPr="00FA4826" w:rsidRDefault="00D66D28">
          <w:pPr>
            <w:pStyle w:val="TM2"/>
            <w:tabs>
              <w:tab w:val="right" w:leader="dot" w:pos="10456"/>
            </w:tabs>
            <w:rPr>
              <w:i w:val="0"/>
              <w:smallCaps w:val="0"/>
              <w:noProof/>
              <w:lang w:eastAsia="fr-FR"/>
            </w:rPr>
          </w:pPr>
          <w:hyperlink w:anchor="_Toc379227122" w:history="1">
            <w:r w:rsidR="00AA3DE5" w:rsidRPr="00FA4826">
              <w:rPr>
                <w:rStyle w:val="Lienhypertexte"/>
                <w:rFonts w:ascii="Arial" w:hAnsi="Arial" w:cs="Arial"/>
                <w:i w:val="0"/>
                <w:noProof/>
              </w:rPr>
              <w:t>3) Réguler la création monétaire :</w:t>
            </w:r>
            <w:r w:rsidR="00AA3DE5" w:rsidRPr="00FA4826">
              <w:rPr>
                <w:i w:val="0"/>
                <w:noProof/>
                <w:webHidden/>
              </w:rPr>
              <w:tab/>
            </w:r>
            <w:r w:rsidR="00AA3DE5" w:rsidRPr="00FA4826">
              <w:rPr>
                <w:i w:val="0"/>
                <w:noProof/>
                <w:webHidden/>
              </w:rPr>
              <w:fldChar w:fldCharType="begin"/>
            </w:r>
            <w:r w:rsidR="00AA3DE5" w:rsidRPr="00FA4826">
              <w:rPr>
                <w:i w:val="0"/>
                <w:noProof/>
                <w:webHidden/>
              </w:rPr>
              <w:instrText xml:space="preserve"> PAGEREF _Toc379227122 \h </w:instrText>
            </w:r>
            <w:r w:rsidR="00AA3DE5" w:rsidRPr="00FA4826">
              <w:rPr>
                <w:i w:val="0"/>
                <w:noProof/>
                <w:webHidden/>
              </w:rPr>
            </w:r>
            <w:r w:rsidR="00AA3DE5" w:rsidRPr="00FA4826">
              <w:rPr>
                <w:i w:val="0"/>
                <w:noProof/>
                <w:webHidden/>
              </w:rPr>
              <w:fldChar w:fldCharType="separate"/>
            </w:r>
            <w:r w:rsidR="00E66336">
              <w:rPr>
                <w:i w:val="0"/>
                <w:noProof/>
                <w:webHidden/>
              </w:rPr>
              <w:t>10</w:t>
            </w:r>
            <w:r w:rsidR="00AA3DE5" w:rsidRPr="00FA4826">
              <w:rPr>
                <w:i w:val="0"/>
                <w:noProof/>
                <w:webHidden/>
              </w:rPr>
              <w:fldChar w:fldCharType="end"/>
            </w:r>
          </w:hyperlink>
        </w:p>
        <w:p w:rsidR="00AA3DE5" w:rsidRPr="00FA4826" w:rsidRDefault="00D66D28">
          <w:pPr>
            <w:pStyle w:val="TM3"/>
            <w:tabs>
              <w:tab w:val="left" w:pos="880"/>
              <w:tab w:val="right" w:leader="dot" w:pos="10456"/>
            </w:tabs>
            <w:rPr>
              <w:noProof/>
              <w:lang w:eastAsia="fr-FR"/>
            </w:rPr>
          </w:pPr>
          <w:hyperlink w:anchor="_Toc379227123" w:history="1">
            <w:r w:rsidR="00AA3DE5" w:rsidRPr="00FA4826">
              <w:rPr>
                <w:rStyle w:val="Lienhypertexte"/>
                <w:rFonts w:ascii="Arial" w:hAnsi="Arial" w:cs="Arial"/>
                <w:noProof/>
              </w:rPr>
              <w:t>a.</w:t>
            </w:r>
            <w:r w:rsidR="00AA3DE5" w:rsidRPr="00FA4826">
              <w:rPr>
                <w:noProof/>
                <w:lang w:eastAsia="fr-FR"/>
              </w:rPr>
              <w:tab/>
            </w:r>
            <w:r w:rsidR="00AA3DE5" w:rsidRPr="00FA4826">
              <w:rPr>
                <w:rStyle w:val="Lienhypertexte"/>
                <w:rFonts w:ascii="Arial" w:hAnsi="Arial" w:cs="Arial"/>
                <w:noProof/>
              </w:rPr>
              <w:t>Le taux de refinancement :</w:t>
            </w:r>
            <w:r w:rsidR="00AA3DE5" w:rsidRPr="00FA4826">
              <w:rPr>
                <w:noProof/>
                <w:webHidden/>
              </w:rPr>
              <w:tab/>
            </w:r>
            <w:r w:rsidR="00AA3DE5" w:rsidRPr="00FA4826">
              <w:rPr>
                <w:noProof/>
                <w:webHidden/>
              </w:rPr>
              <w:fldChar w:fldCharType="begin"/>
            </w:r>
            <w:r w:rsidR="00AA3DE5" w:rsidRPr="00FA4826">
              <w:rPr>
                <w:noProof/>
                <w:webHidden/>
              </w:rPr>
              <w:instrText xml:space="preserve"> PAGEREF _Toc379227123 \h </w:instrText>
            </w:r>
            <w:r w:rsidR="00AA3DE5" w:rsidRPr="00FA4826">
              <w:rPr>
                <w:noProof/>
                <w:webHidden/>
              </w:rPr>
            </w:r>
            <w:r w:rsidR="00AA3DE5" w:rsidRPr="00FA4826">
              <w:rPr>
                <w:noProof/>
                <w:webHidden/>
              </w:rPr>
              <w:fldChar w:fldCharType="separate"/>
            </w:r>
            <w:r w:rsidR="00E66336">
              <w:rPr>
                <w:noProof/>
                <w:webHidden/>
              </w:rPr>
              <w:t>11</w:t>
            </w:r>
            <w:r w:rsidR="00AA3DE5" w:rsidRPr="00FA4826">
              <w:rPr>
                <w:noProof/>
                <w:webHidden/>
              </w:rPr>
              <w:fldChar w:fldCharType="end"/>
            </w:r>
          </w:hyperlink>
        </w:p>
        <w:p w:rsidR="00AA3DE5" w:rsidRPr="00FA4826" w:rsidRDefault="00D66D28">
          <w:pPr>
            <w:pStyle w:val="TM3"/>
            <w:tabs>
              <w:tab w:val="left" w:pos="880"/>
              <w:tab w:val="right" w:leader="dot" w:pos="10456"/>
            </w:tabs>
            <w:rPr>
              <w:noProof/>
              <w:lang w:eastAsia="fr-FR"/>
            </w:rPr>
          </w:pPr>
          <w:hyperlink w:anchor="_Toc379227124" w:history="1">
            <w:r w:rsidR="00AA3DE5" w:rsidRPr="00FA4826">
              <w:rPr>
                <w:rStyle w:val="Lienhypertexte"/>
                <w:rFonts w:ascii="Arial" w:hAnsi="Arial" w:cs="Arial"/>
                <w:noProof/>
              </w:rPr>
              <w:t>a.</w:t>
            </w:r>
            <w:r w:rsidR="00AA3DE5" w:rsidRPr="00FA4826">
              <w:rPr>
                <w:noProof/>
                <w:lang w:eastAsia="fr-FR"/>
              </w:rPr>
              <w:tab/>
            </w:r>
            <w:r w:rsidR="00AA3DE5" w:rsidRPr="00FA4826">
              <w:rPr>
                <w:rStyle w:val="Lienhypertexte"/>
                <w:rFonts w:ascii="Arial" w:hAnsi="Arial" w:cs="Arial"/>
                <w:noProof/>
              </w:rPr>
              <w:t>Les fuites :</w:t>
            </w:r>
            <w:r w:rsidR="00AA3DE5" w:rsidRPr="00FA4826">
              <w:rPr>
                <w:noProof/>
                <w:webHidden/>
              </w:rPr>
              <w:tab/>
            </w:r>
            <w:r w:rsidR="00AA3DE5" w:rsidRPr="00FA4826">
              <w:rPr>
                <w:noProof/>
                <w:webHidden/>
              </w:rPr>
              <w:fldChar w:fldCharType="begin"/>
            </w:r>
            <w:r w:rsidR="00AA3DE5" w:rsidRPr="00FA4826">
              <w:rPr>
                <w:noProof/>
                <w:webHidden/>
              </w:rPr>
              <w:instrText xml:space="preserve"> PAGEREF _Toc379227124 \h </w:instrText>
            </w:r>
            <w:r w:rsidR="00AA3DE5" w:rsidRPr="00FA4826">
              <w:rPr>
                <w:noProof/>
                <w:webHidden/>
              </w:rPr>
            </w:r>
            <w:r w:rsidR="00AA3DE5" w:rsidRPr="00FA4826">
              <w:rPr>
                <w:noProof/>
                <w:webHidden/>
              </w:rPr>
              <w:fldChar w:fldCharType="separate"/>
            </w:r>
            <w:r w:rsidR="00E66336">
              <w:rPr>
                <w:noProof/>
                <w:webHidden/>
              </w:rPr>
              <w:t>13</w:t>
            </w:r>
            <w:r w:rsidR="00AA3DE5" w:rsidRPr="00FA4826">
              <w:rPr>
                <w:noProof/>
                <w:webHidden/>
              </w:rPr>
              <w:fldChar w:fldCharType="end"/>
            </w:r>
          </w:hyperlink>
        </w:p>
        <w:p w:rsidR="00AA3DE5" w:rsidRPr="00FA4826" w:rsidRDefault="00D66D28">
          <w:pPr>
            <w:pStyle w:val="TM3"/>
            <w:tabs>
              <w:tab w:val="left" w:pos="880"/>
              <w:tab w:val="right" w:leader="dot" w:pos="10456"/>
            </w:tabs>
            <w:rPr>
              <w:noProof/>
              <w:lang w:eastAsia="fr-FR"/>
            </w:rPr>
          </w:pPr>
          <w:hyperlink w:anchor="_Toc379227125" w:history="1">
            <w:r w:rsidR="00AA3DE5" w:rsidRPr="00FA4826">
              <w:rPr>
                <w:rStyle w:val="Lienhypertexte"/>
                <w:rFonts w:ascii="Arial" w:hAnsi="Arial" w:cs="Arial"/>
                <w:noProof/>
              </w:rPr>
              <w:t>b.</w:t>
            </w:r>
            <w:r w:rsidR="00AA3DE5" w:rsidRPr="00FA4826">
              <w:rPr>
                <w:noProof/>
                <w:lang w:eastAsia="fr-FR"/>
              </w:rPr>
              <w:tab/>
            </w:r>
            <w:r w:rsidR="00AA3DE5" w:rsidRPr="00FA4826">
              <w:rPr>
                <w:rStyle w:val="Lienhypertexte"/>
                <w:rFonts w:ascii="Arial" w:hAnsi="Arial" w:cs="Arial"/>
                <w:noProof/>
              </w:rPr>
              <w:t>La réserve obligatoire :</w:t>
            </w:r>
            <w:r w:rsidR="00AA3DE5" w:rsidRPr="00FA4826">
              <w:rPr>
                <w:noProof/>
                <w:webHidden/>
              </w:rPr>
              <w:tab/>
            </w:r>
            <w:r w:rsidR="00AA3DE5" w:rsidRPr="00FA4826">
              <w:rPr>
                <w:noProof/>
                <w:webHidden/>
              </w:rPr>
              <w:fldChar w:fldCharType="begin"/>
            </w:r>
            <w:r w:rsidR="00AA3DE5" w:rsidRPr="00FA4826">
              <w:rPr>
                <w:noProof/>
                <w:webHidden/>
              </w:rPr>
              <w:instrText xml:space="preserve"> PAGEREF _Toc379227125 \h </w:instrText>
            </w:r>
            <w:r w:rsidR="00AA3DE5" w:rsidRPr="00FA4826">
              <w:rPr>
                <w:noProof/>
                <w:webHidden/>
              </w:rPr>
            </w:r>
            <w:r w:rsidR="00AA3DE5" w:rsidRPr="00FA4826">
              <w:rPr>
                <w:noProof/>
                <w:webHidden/>
              </w:rPr>
              <w:fldChar w:fldCharType="separate"/>
            </w:r>
            <w:r w:rsidR="00E66336">
              <w:rPr>
                <w:noProof/>
                <w:webHidden/>
              </w:rPr>
              <w:t>13</w:t>
            </w:r>
            <w:r w:rsidR="00AA3DE5" w:rsidRPr="00FA4826">
              <w:rPr>
                <w:noProof/>
                <w:webHidden/>
              </w:rPr>
              <w:fldChar w:fldCharType="end"/>
            </w:r>
          </w:hyperlink>
        </w:p>
        <w:p w:rsidR="00AA3DE5" w:rsidRPr="00FA4826" w:rsidRDefault="00D66D28">
          <w:pPr>
            <w:pStyle w:val="TM2"/>
            <w:tabs>
              <w:tab w:val="right" w:leader="dot" w:pos="10456"/>
            </w:tabs>
            <w:rPr>
              <w:i w:val="0"/>
              <w:smallCaps w:val="0"/>
              <w:noProof/>
              <w:lang w:eastAsia="fr-FR"/>
            </w:rPr>
          </w:pPr>
          <w:hyperlink w:anchor="_Toc379227126" w:history="1">
            <w:r w:rsidR="00AA3DE5" w:rsidRPr="00FA4826">
              <w:rPr>
                <w:rStyle w:val="Lienhypertexte"/>
                <w:rFonts w:ascii="Arial" w:hAnsi="Arial" w:cs="Arial"/>
                <w:i w:val="0"/>
                <w:noProof/>
              </w:rPr>
              <w:t>4) Les multiplicateurs de la base monétaire :</w:t>
            </w:r>
            <w:r w:rsidR="00AA3DE5" w:rsidRPr="00FA4826">
              <w:rPr>
                <w:i w:val="0"/>
                <w:noProof/>
                <w:webHidden/>
              </w:rPr>
              <w:tab/>
            </w:r>
            <w:r w:rsidR="00AA3DE5" w:rsidRPr="00FA4826">
              <w:rPr>
                <w:i w:val="0"/>
                <w:noProof/>
                <w:webHidden/>
              </w:rPr>
              <w:fldChar w:fldCharType="begin"/>
            </w:r>
            <w:r w:rsidR="00AA3DE5" w:rsidRPr="00FA4826">
              <w:rPr>
                <w:i w:val="0"/>
                <w:noProof/>
                <w:webHidden/>
              </w:rPr>
              <w:instrText xml:space="preserve"> PAGEREF _Toc379227126 \h </w:instrText>
            </w:r>
            <w:r w:rsidR="00AA3DE5" w:rsidRPr="00FA4826">
              <w:rPr>
                <w:i w:val="0"/>
                <w:noProof/>
                <w:webHidden/>
              </w:rPr>
            </w:r>
            <w:r w:rsidR="00AA3DE5" w:rsidRPr="00FA4826">
              <w:rPr>
                <w:i w:val="0"/>
                <w:noProof/>
                <w:webHidden/>
              </w:rPr>
              <w:fldChar w:fldCharType="separate"/>
            </w:r>
            <w:r w:rsidR="00E66336">
              <w:rPr>
                <w:i w:val="0"/>
                <w:noProof/>
                <w:webHidden/>
              </w:rPr>
              <w:t>13</w:t>
            </w:r>
            <w:r w:rsidR="00AA3DE5" w:rsidRPr="00FA4826">
              <w:rPr>
                <w:i w:val="0"/>
                <w:noProof/>
                <w:webHidden/>
              </w:rPr>
              <w:fldChar w:fldCharType="end"/>
            </w:r>
          </w:hyperlink>
        </w:p>
        <w:p w:rsidR="00AA3DE5" w:rsidRPr="00FA4826" w:rsidRDefault="00D66D28">
          <w:pPr>
            <w:pStyle w:val="TM2"/>
            <w:tabs>
              <w:tab w:val="right" w:leader="dot" w:pos="10456"/>
            </w:tabs>
            <w:rPr>
              <w:i w:val="0"/>
              <w:smallCaps w:val="0"/>
              <w:noProof/>
              <w:lang w:eastAsia="fr-FR"/>
            </w:rPr>
          </w:pPr>
          <w:hyperlink w:anchor="_Toc379227127" w:history="1">
            <w:r w:rsidR="00AA3DE5" w:rsidRPr="00FA4826">
              <w:rPr>
                <w:rStyle w:val="Lienhypertexte"/>
                <w:rFonts w:ascii="Arial" w:hAnsi="Arial" w:cs="Arial"/>
                <w:i w:val="0"/>
                <w:noProof/>
              </w:rPr>
              <w:t>5) La BC au sommet de la hiérarchie bancaire :</w:t>
            </w:r>
            <w:r w:rsidR="00AA3DE5" w:rsidRPr="00FA4826">
              <w:rPr>
                <w:i w:val="0"/>
                <w:noProof/>
                <w:webHidden/>
              </w:rPr>
              <w:tab/>
            </w:r>
            <w:r w:rsidR="00AA3DE5" w:rsidRPr="00FA4826">
              <w:rPr>
                <w:i w:val="0"/>
                <w:noProof/>
                <w:webHidden/>
              </w:rPr>
              <w:fldChar w:fldCharType="begin"/>
            </w:r>
            <w:r w:rsidR="00AA3DE5" w:rsidRPr="00FA4826">
              <w:rPr>
                <w:i w:val="0"/>
                <w:noProof/>
                <w:webHidden/>
              </w:rPr>
              <w:instrText xml:space="preserve"> PAGEREF _Toc379227127 \h </w:instrText>
            </w:r>
            <w:r w:rsidR="00AA3DE5" w:rsidRPr="00FA4826">
              <w:rPr>
                <w:i w:val="0"/>
                <w:noProof/>
                <w:webHidden/>
              </w:rPr>
            </w:r>
            <w:r w:rsidR="00AA3DE5" w:rsidRPr="00FA4826">
              <w:rPr>
                <w:i w:val="0"/>
                <w:noProof/>
                <w:webHidden/>
              </w:rPr>
              <w:fldChar w:fldCharType="separate"/>
            </w:r>
            <w:r w:rsidR="00E66336">
              <w:rPr>
                <w:i w:val="0"/>
                <w:noProof/>
                <w:webHidden/>
              </w:rPr>
              <w:t>14</w:t>
            </w:r>
            <w:r w:rsidR="00AA3DE5" w:rsidRPr="00FA4826">
              <w:rPr>
                <w:i w:val="0"/>
                <w:noProof/>
                <w:webHidden/>
              </w:rPr>
              <w:fldChar w:fldCharType="end"/>
            </w:r>
          </w:hyperlink>
        </w:p>
        <w:p w:rsidR="00AA3DE5" w:rsidRPr="00FA4826" w:rsidRDefault="00D66D28">
          <w:pPr>
            <w:pStyle w:val="TM2"/>
            <w:tabs>
              <w:tab w:val="right" w:leader="dot" w:pos="10456"/>
            </w:tabs>
            <w:rPr>
              <w:i w:val="0"/>
              <w:smallCaps w:val="0"/>
              <w:noProof/>
              <w:lang w:eastAsia="fr-FR"/>
            </w:rPr>
          </w:pPr>
          <w:hyperlink w:anchor="_Toc379227128" w:history="1">
            <w:r w:rsidR="00AA3DE5" w:rsidRPr="00FA4826">
              <w:rPr>
                <w:rStyle w:val="Lienhypertexte"/>
                <w:rFonts w:ascii="Arial" w:hAnsi="Arial" w:cs="Arial"/>
                <w:i w:val="0"/>
                <w:noProof/>
              </w:rPr>
              <w:t>6. Conclusion :</w:t>
            </w:r>
            <w:r w:rsidR="00AA3DE5" w:rsidRPr="00FA4826">
              <w:rPr>
                <w:i w:val="0"/>
                <w:noProof/>
                <w:webHidden/>
              </w:rPr>
              <w:tab/>
            </w:r>
            <w:r w:rsidR="00AA3DE5" w:rsidRPr="00FA4826">
              <w:rPr>
                <w:i w:val="0"/>
                <w:noProof/>
                <w:webHidden/>
              </w:rPr>
              <w:fldChar w:fldCharType="begin"/>
            </w:r>
            <w:r w:rsidR="00AA3DE5" w:rsidRPr="00FA4826">
              <w:rPr>
                <w:i w:val="0"/>
                <w:noProof/>
                <w:webHidden/>
              </w:rPr>
              <w:instrText xml:space="preserve"> PAGEREF _Toc379227128 \h </w:instrText>
            </w:r>
            <w:r w:rsidR="00AA3DE5" w:rsidRPr="00FA4826">
              <w:rPr>
                <w:i w:val="0"/>
                <w:noProof/>
                <w:webHidden/>
              </w:rPr>
            </w:r>
            <w:r w:rsidR="00AA3DE5" w:rsidRPr="00FA4826">
              <w:rPr>
                <w:i w:val="0"/>
                <w:noProof/>
                <w:webHidden/>
              </w:rPr>
              <w:fldChar w:fldCharType="separate"/>
            </w:r>
            <w:r w:rsidR="00E66336">
              <w:rPr>
                <w:i w:val="0"/>
                <w:noProof/>
                <w:webHidden/>
              </w:rPr>
              <w:t>15</w:t>
            </w:r>
            <w:r w:rsidR="00AA3DE5" w:rsidRPr="00FA4826">
              <w:rPr>
                <w:i w:val="0"/>
                <w:noProof/>
                <w:webHidden/>
              </w:rPr>
              <w:fldChar w:fldCharType="end"/>
            </w:r>
          </w:hyperlink>
        </w:p>
        <w:p w:rsidR="00AA3DE5" w:rsidRPr="00FA4826" w:rsidRDefault="00D66D28">
          <w:pPr>
            <w:pStyle w:val="TM1"/>
            <w:tabs>
              <w:tab w:val="right" w:leader="dot" w:pos="10456"/>
            </w:tabs>
            <w:rPr>
              <w:b w:val="0"/>
              <w:i w:val="0"/>
              <w:caps w:val="0"/>
              <w:noProof/>
              <w:lang w:eastAsia="fr-FR"/>
            </w:rPr>
          </w:pPr>
          <w:hyperlink w:anchor="_Toc379227129" w:history="1">
            <w:r w:rsidR="00AA3DE5" w:rsidRPr="00FA4826">
              <w:rPr>
                <w:rStyle w:val="Lienhypertexte"/>
                <w:rFonts w:ascii="Arial" w:hAnsi="Arial" w:cs="Arial"/>
                <w:i w:val="0"/>
                <w:noProof/>
              </w:rPr>
              <w:t>III - Inflation, déflation offre de monnaie :</w:t>
            </w:r>
            <w:r w:rsidR="00AA3DE5" w:rsidRPr="00FA4826">
              <w:rPr>
                <w:i w:val="0"/>
                <w:noProof/>
                <w:webHidden/>
              </w:rPr>
              <w:tab/>
            </w:r>
            <w:r w:rsidR="00AA3DE5" w:rsidRPr="00FA4826">
              <w:rPr>
                <w:i w:val="0"/>
                <w:noProof/>
                <w:webHidden/>
              </w:rPr>
              <w:fldChar w:fldCharType="begin"/>
            </w:r>
            <w:r w:rsidR="00AA3DE5" w:rsidRPr="00FA4826">
              <w:rPr>
                <w:i w:val="0"/>
                <w:noProof/>
                <w:webHidden/>
              </w:rPr>
              <w:instrText xml:space="preserve"> PAGEREF _Toc379227129 \h </w:instrText>
            </w:r>
            <w:r w:rsidR="00AA3DE5" w:rsidRPr="00FA4826">
              <w:rPr>
                <w:i w:val="0"/>
                <w:noProof/>
                <w:webHidden/>
              </w:rPr>
            </w:r>
            <w:r w:rsidR="00AA3DE5" w:rsidRPr="00FA4826">
              <w:rPr>
                <w:i w:val="0"/>
                <w:noProof/>
                <w:webHidden/>
              </w:rPr>
              <w:fldChar w:fldCharType="separate"/>
            </w:r>
            <w:r w:rsidR="00E66336">
              <w:rPr>
                <w:i w:val="0"/>
                <w:noProof/>
                <w:webHidden/>
              </w:rPr>
              <w:t>15</w:t>
            </w:r>
            <w:r w:rsidR="00AA3DE5" w:rsidRPr="00FA4826">
              <w:rPr>
                <w:i w:val="0"/>
                <w:noProof/>
                <w:webHidden/>
              </w:rPr>
              <w:fldChar w:fldCharType="end"/>
            </w:r>
          </w:hyperlink>
        </w:p>
        <w:p w:rsidR="00AA3DE5" w:rsidRPr="00FA4826" w:rsidRDefault="00D66D28">
          <w:pPr>
            <w:pStyle w:val="TM2"/>
            <w:tabs>
              <w:tab w:val="right" w:leader="dot" w:pos="10456"/>
            </w:tabs>
            <w:rPr>
              <w:i w:val="0"/>
              <w:smallCaps w:val="0"/>
              <w:noProof/>
              <w:lang w:eastAsia="fr-FR"/>
            </w:rPr>
          </w:pPr>
          <w:hyperlink w:anchor="_Toc379227130" w:history="1">
            <w:r w:rsidR="00AA3DE5" w:rsidRPr="00FA4826">
              <w:rPr>
                <w:rStyle w:val="Lienhypertexte"/>
                <w:rFonts w:ascii="Arial" w:hAnsi="Arial" w:cs="Arial"/>
                <w:i w:val="0"/>
                <w:noProof/>
              </w:rPr>
              <w:t>1) Inflation et déflation :</w:t>
            </w:r>
            <w:r w:rsidR="00AA3DE5" w:rsidRPr="00FA4826">
              <w:rPr>
                <w:i w:val="0"/>
                <w:noProof/>
                <w:webHidden/>
              </w:rPr>
              <w:tab/>
            </w:r>
            <w:r w:rsidR="00AA3DE5" w:rsidRPr="00FA4826">
              <w:rPr>
                <w:i w:val="0"/>
                <w:noProof/>
                <w:webHidden/>
              </w:rPr>
              <w:fldChar w:fldCharType="begin"/>
            </w:r>
            <w:r w:rsidR="00AA3DE5" w:rsidRPr="00FA4826">
              <w:rPr>
                <w:i w:val="0"/>
                <w:noProof/>
                <w:webHidden/>
              </w:rPr>
              <w:instrText xml:space="preserve"> PAGEREF _Toc379227130 \h </w:instrText>
            </w:r>
            <w:r w:rsidR="00AA3DE5" w:rsidRPr="00FA4826">
              <w:rPr>
                <w:i w:val="0"/>
                <w:noProof/>
                <w:webHidden/>
              </w:rPr>
            </w:r>
            <w:r w:rsidR="00AA3DE5" w:rsidRPr="00FA4826">
              <w:rPr>
                <w:i w:val="0"/>
                <w:noProof/>
                <w:webHidden/>
              </w:rPr>
              <w:fldChar w:fldCharType="separate"/>
            </w:r>
            <w:r w:rsidR="00E66336">
              <w:rPr>
                <w:i w:val="0"/>
                <w:noProof/>
                <w:webHidden/>
              </w:rPr>
              <w:t>15</w:t>
            </w:r>
            <w:r w:rsidR="00AA3DE5" w:rsidRPr="00FA4826">
              <w:rPr>
                <w:i w:val="0"/>
                <w:noProof/>
                <w:webHidden/>
              </w:rPr>
              <w:fldChar w:fldCharType="end"/>
            </w:r>
          </w:hyperlink>
        </w:p>
        <w:p w:rsidR="00AA3DE5" w:rsidRPr="00FA4826" w:rsidRDefault="00D66D28">
          <w:pPr>
            <w:pStyle w:val="TM3"/>
            <w:tabs>
              <w:tab w:val="right" w:leader="dot" w:pos="10456"/>
            </w:tabs>
            <w:rPr>
              <w:noProof/>
              <w:lang w:eastAsia="fr-FR"/>
            </w:rPr>
          </w:pPr>
          <w:hyperlink w:anchor="_Toc379227131" w:history="1">
            <w:r w:rsidR="00AA3DE5" w:rsidRPr="00FA4826">
              <w:rPr>
                <w:rStyle w:val="Lienhypertexte"/>
                <w:rFonts w:ascii="Arial" w:hAnsi="Arial" w:cs="Arial"/>
                <w:noProof/>
              </w:rPr>
              <w:t>a. Définition, mode de calcul</w:t>
            </w:r>
            <w:r w:rsidR="00AA3DE5" w:rsidRPr="00FA4826">
              <w:rPr>
                <w:noProof/>
                <w:webHidden/>
              </w:rPr>
              <w:tab/>
            </w:r>
            <w:r w:rsidR="00AA3DE5" w:rsidRPr="00FA4826">
              <w:rPr>
                <w:noProof/>
                <w:webHidden/>
              </w:rPr>
              <w:fldChar w:fldCharType="begin"/>
            </w:r>
            <w:r w:rsidR="00AA3DE5" w:rsidRPr="00FA4826">
              <w:rPr>
                <w:noProof/>
                <w:webHidden/>
              </w:rPr>
              <w:instrText xml:space="preserve"> PAGEREF _Toc379227131 \h </w:instrText>
            </w:r>
            <w:r w:rsidR="00AA3DE5" w:rsidRPr="00FA4826">
              <w:rPr>
                <w:noProof/>
                <w:webHidden/>
              </w:rPr>
            </w:r>
            <w:r w:rsidR="00AA3DE5" w:rsidRPr="00FA4826">
              <w:rPr>
                <w:noProof/>
                <w:webHidden/>
              </w:rPr>
              <w:fldChar w:fldCharType="separate"/>
            </w:r>
            <w:r w:rsidR="00E66336">
              <w:rPr>
                <w:noProof/>
                <w:webHidden/>
              </w:rPr>
              <w:t>15</w:t>
            </w:r>
            <w:r w:rsidR="00AA3DE5" w:rsidRPr="00FA4826">
              <w:rPr>
                <w:noProof/>
                <w:webHidden/>
              </w:rPr>
              <w:fldChar w:fldCharType="end"/>
            </w:r>
          </w:hyperlink>
        </w:p>
        <w:p w:rsidR="00AA3DE5" w:rsidRPr="00FA4826" w:rsidRDefault="00D66D28">
          <w:pPr>
            <w:pStyle w:val="TM3"/>
            <w:tabs>
              <w:tab w:val="left" w:pos="880"/>
              <w:tab w:val="right" w:leader="dot" w:pos="10456"/>
            </w:tabs>
            <w:rPr>
              <w:noProof/>
              <w:lang w:eastAsia="fr-FR"/>
            </w:rPr>
          </w:pPr>
          <w:hyperlink w:anchor="_Toc379227132" w:history="1">
            <w:r w:rsidR="00324394" w:rsidRPr="00FA4826">
              <w:rPr>
                <w:rStyle w:val="Lienhypertexte"/>
                <w:rFonts w:ascii="Arial" w:hAnsi="Arial" w:cs="Arial"/>
                <w:noProof/>
              </w:rPr>
              <w:t xml:space="preserve">b. </w:t>
            </w:r>
            <w:r w:rsidR="00AA3DE5" w:rsidRPr="00FA4826">
              <w:rPr>
                <w:rStyle w:val="Lienhypertexte"/>
                <w:rFonts w:ascii="Arial" w:hAnsi="Arial" w:cs="Arial"/>
                <w:noProof/>
              </w:rPr>
              <w:t>Les causes de l’inflation :</w:t>
            </w:r>
            <w:r w:rsidR="00AA3DE5" w:rsidRPr="00FA4826">
              <w:rPr>
                <w:noProof/>
                <w:webHidden/>
              </w:rPr>
              <w:tab/>
            </w:r>
            <w:r w:rsidR="00AA3DE5" w:rsidRPr="00FA4826">
              <w:rPr>
                <w:noProof/>
                <w:webHidden/>
              </w:rPr>
              <w:fldChar w:fldCharType="begin"/>
            </w:r>
            <w:r w:rsidR="00AA3DE5" w:rsidRPr="00FA4826">
              <w:rPr>
                <w:noProof/>
                <w:webHidden/>
              </w:rPr>
              <w:instrText xml:space="preserve"> PAGEREF _Toc379227132 \h </w:instrText>
            </w:r>
            <w:r w:rsidR="00AA3DE5" w:rsidRPr="00FA4826">
              <w:rPr>
                <w:noProof/>
                <w:webHidden/>
              </w:rPr>
            </w:r>
            <w:r w:rsidR="00AA3DE5" w:rsidRPr="00FA4826">
              <w:rPr>
                <w:noProof/>
                <w:webHidden/>
              </w:rPr>
              <w:fldChar w:fldCharType="separate"/>
            </w:r>
            <w:r w:rsidR="00E66336">
              <w:rPr>
                <w:noProof/>
                <w:webHidden/>
              </w:rPr>
              <w:t>16</w:t>
            </w:r>
            <w:r w:rsidR="00AA3DE5" w:rsidRPr="00FA4826">
              <w:rPr>
                <w:noProof/>
                <w:webHidden/>
              </w:rPr>
              <w:fldChar w:fldCharType="end"/>
            </w:r>
          </w:hyperlink>
        </w:p>
        <w:p w:rsidR="00AA3DE5" w:rsidRPr="00FA4826" w:rsidRDefault="00D66D28">
          <w:pPr>
            <w:pStyle w:val="TM3"/>
            <w:tabs>
              <w:tab w:val="right" w:leader="dot" w:pos="10456"/>
            </w:tabs>
            <w:rPr>
              <w:noProof/>
              <w:lang w:eastAsia="fr-FR"/>
            </w:rPr>
          </w:pPr>
          <w:hyperlink w:anchor="_Toc379227133" w:history="1">
            <w:r w:rsidR="00AA3DE5" w:rsidRPr="00FA4826">
              <w:rPr>
                <w:rStyle w:val="Lienhypertexte"/>
                <w:rFonts w:ascii="Arial" w:hAnsi="Arial" w:cs="Arial"/>
                <w:noProof/>
              </w:rPr>
              <w:t>c. Les conséquences de l’inflation</w:t>
            </w:r>
            <w:r w:rsidR="00AA3DE5" w:rsidRPr="00FA4826">
              <w:rPr>
                <w:noProof/>
                <w:webHidden/>
              </w:rPr>
              <w:tab/>
            </w:r>
            <w:r w:rsidR="00AA3DE5" w:rsidRPr="00FA4826">
              <w:rPr>
                <w:noProof/>
                <w:webHidden/>
              </w:rPr>
              <w:fldChar w:fldCharType="begin"/>
            </w:r>
            <w:r w:rsidR="00AA3DE5" w:rsidRPr="00FA4826">
              <w:rPr>
                <w:noProof/>
                <w:webHidden/>
              </w:rPr>
              <w:instrText xml:space="preserve"> PAGEREF _Toc379227133 \h </w:instrText>
            </w:r>
            <w:r w:rsidR="00AA3DE5" w:rsidRPr="00FA4826">
              <w:rPr>
                <w:noProof/>
                <w:webHidden/>
              </w:rPr>
            </w:r>
            <w:r w:rsidR="00AA3DE5" w:rsidRPr="00FA4826">
              <w:rPr>
                <w:noProof/>
                <w:webHidden/>
              </w:rPr>
              <w:fldChar w:fldCharType="separate"/>
            </w:r>
            <w:r w:rsidR="00E66336">
              <w:rPr>
                <w:noProof/>
                <w:webHidden/>
              </w:rPr>
              <w:t>16</w:t>
            </w:r>
            <w:r w:rsidR="00AA3DE5" w:rsidRPr="00FA4826">
              <w:rPr>
                <w:noProof/>
                <w:webHidden/>
              </w:rPr>
              <w:fldChar w:fldCharType="end"/>
            </w:r>
          </w:hyperlink>
        </w:p>
        <w:p w:rsidR="00AA3DE5" w:rsidRPr="00FA4826" w:rsidRDefault="00D66D28">
          <w:pPr>
            <w:pStyle w:val="TM3"/>
            <w:tabs>
              <w:tab w:val="right" w:leader="dot" w:pos="10456"/>
            </w:tabs>
            <w:rPr>
              <w:noProof/>
              <w:lang w:eastAsia="fr-FR"/>
            </w:rPr>
          </w:pPr>
          <w:hyperlink w:anchor="_Toc379227134" w:history="1">
            <w:r w:rsidR="00AA3DE5" w:rsidRPr="00FA4826">
              <w:rPr>
                <w:rStyle w:val="Lienhypertexte"/>
                <w:rFonts w:ascii="Arial" w:hAnsi="Arial" w:cs="Arial"/>
                <w:noProof/>
              </w:rPr>
              <w:t>d.L’inflation dans une perspective historique :</w:t>
            </w:r>
            <w:r w:rsidR="00AA3DE5" w:rsidRPr="00FA4826">
              <w:rPr>
                <w:noProof/>
                <w:webHidden/>
              </w:rPr>
              <w:tab/>
            </w:r>
            <w:r w:rsidR="00AA3DE5" w:rsidRPr="00FA4826">
              <w:rPr>
                <w:noProof/>
                <w:webHidden/>
              </w:rPr>
              <w:fldChar w:fldCharType="begin"/>
            </w:r>
            <w:r w:rsidR="00AA3DE5" w:rsidRPr="00FA4826">
              <w:rPr>
                <w:noProof/>
                <w:webHidden/>
              </w:rPr>
              <w:instrText xml:space="preserve"> PAGEREF _Toc379227134 \h </w:instrText>
            </w:r>
            <w:r w:rsidR="00AA3DE5" w:rsidRPr="00FA4826">
              <w:rPr>
                <w:noProof/>
                <w:webHidden/>
              </w:rPr>
            </w:r>
            <w:r w:rsidR="00AA3DE5" w:rsidRPr="00FA4826">
              <w:rPr>
                <w:noProof/>
                <w:webHidden/>
              </w:rPr>
              <w:fldChar w:fldCharType="separate"/>
            </w:r>
            <w:r w:rsidR="00E66336">
              <w:rPr>
                <w:noProof/>
                <w:webHidden/>
              </w:rPr>
              <w:t>18</w:t>
            </w:r>
            <w:r w:rsidR="00AA3DE5" w:rsidRPr="00FA4826">
              <w:rPr>
                <w:noProof/>
                <w:webHidden/>
              </w:rPr>
              <w:fldChar w:fldCharType="end"/>
            </w:r>
          </w:hyperlink>
        </w:p>
        <w:p w:rsidR="00AA3DE5" w:rsidRPr="00FA4826" w:rsidRDefault="00D66D28">
          <w:pPr>
            <w:pStyle w:val="TM3"/>
            <w:tabs>
              <w:tab w:val="right" w:leader="dot" w:pos="10456"/>
            </w:tabs>
            <w:rPr>
              <w:noProof/>
              <w:lang w:eastAsia="fr-FR"/>
            </w:rPr>
          </w:pPr>
          <w:hyperlink w:anchor="_Toc379227135" w:history="1">
            <w:r w:rsidR="00AA3DE5" w:rsidRPr="00FA4826">
              <w:rPr>
                <w:rStyle w:val="Lienhypertexte"/>
                <w:rFonts w:ascii="Arial" w:hAnsi="Arial" w:cs="Arial"/>
                <w:noProof/>
              </w:rPr>
              <w:t>Conclusion :</w:t>
            </w:r>
            <w:r w:rsidR="00AA3DE5" w:rsidRPr="00FA4826">
              <w:rPr>
                <w:noProof/>
                <w:webHidden/>
              </w:rPr>
              <w:tab/>
            </w:r>
            <w:r w:rsidR="00AA3DE5" w:rsidRPr="00FA4826">
              <w:rPr>
                <w:noProof/>
                <w:webHidden/>
              </w:rPr>
              <w:fldChar w:fldCharType="begin"/>
            </w:r>
            <w:r w:rsidR="00AA3DE5" w:rsidRPr="00FA4826">
              <w:rPr>
                <w:noProof/>
                <w:webHidden/>
              </w:rPr>
              <w:instrText xml:space="preserve"> PAGEREF _Toc379227135 \h </w:instrText>
            </w:r>
            <w:r w:rsidR="00AA3DE5" w:rsidRPr="00FA4826">
              <w:rPr>
                <w:noProof/>
                <w:webHidden/>
              </w:rPr>
            </w:r>
            <w:r w:rsidR="00AA3DE5" w:rsidRPr="00FA4826">
              <w:rPr>
                <w:noProof/>
                <w:webHidden/>
              </w:rPr>
              <w:fldChar w:fldCharType="separate"/>
            </w:r>
            <w:r w:rsidR="00E66336">
              <w:rPr>
                <w:noProof/>
                <w:webHidden/>
              </w:rPr>
              <w:t>21</w:t>
            </w:r>
            <w:r w:rsidR="00AA3DE5" w:rsidRPr="00FA4826">
              <w:rPr>
                <w:noProof/>
                <w:webHidden/>
              </w:rPr>
              <w:fldChar w:fldCharType="end"/>
            </w:r>
          </w:hyperlink>
        </w:p>
        <w:p w:rsidR="00AA3DE5" w:rsidRPr="00FA4826" w:rsidRDefault="00D66D28">
          <w:pPr>
            <w:pStyle w:val="TM2"/>
            <w:tabs>
              <w:tab w:val="right" w:leader="dot" w:pos="10456"/>
            </w:tabs>
            <w:rPr>
              <w:i w:val="0"/>
              <w:smallCaps w:val="0"/>
              <w:noProof/>
              <w:lang w:eastAsia="fr-FR"/>
            </w:rPr>
          </w:pPr>
          <w:hyperlink w:anchor="_Toc379227136" w:history="1">
            <w:r w:rsidR="00AA3DE5" w:rsidRPr="00FA4826">
              <w:rPr>
                <w:rStyle w:val="Lienhypertexte"/>
                <w:rFonts w:ascii="Arial" w:hAnsi="Arial" w:cs="Arial"/>
                <w:i w:val="0"/>
                <w:noProof/>
              </w:rPr>
              <w:t>2) L’offre de monnaie :</w:t>
            </w:r>
            <w:r w:rsidR="00AA3DE5" w:rsidRPr="00FA4826">
              <w:rPr>
                <w:i w:val="0"/>
                <w:noProof/>
                <w:webHidden/>
              </w:rPr>
              <w:tab/>
            </w:r>
            <w:r w:rsidR="00AA3DE5" w:rsidRPr="00FA4826">
              <w:rPr>
                <w:i w:val="0"/>
                <w:noProof/>
                <w:webHidden/>
              </w:rPr>
              <w:fldChar w:fldCharType="begin"/>
            </w:r>
            <w:r w:rsidR="00AA3DE5" w:rsidRPr="00FA4826">
              <w:rPr>
                <w:i w:val="0"/>
                <w:noProof/>
                <w:webHidden/>
              </w:rPr>
              <w:instrText xml:space="preserve"> PAGEREF _Toc379227136 \h </w:instrText>
            </w:r>
            <w:r w:rsidR="00AA3DE5" w:rsidRPr="00FA4826">
              <w:rPr>
                <w:i w:val="0"/>
                <w:noProof/>
                <w:webHidden/>
              </w:rPr>
            </w:r>
            <w:r w:rsidR="00AA3DE5" w:rsidRPr="00FA4826">
              <w:rPr>
                <w:i w:val="0"/>
                <w:noProof/>
                <w:webHidden/>
              </w:rPr>
              <w:fldChar w:fldCharType="separate"/>
            </w:r>
            <w:r w:rsidR="00E66336">
              <w:rPr>
                <w:i w:val="0"/>
                <w:noProof/>
                <w:webHidden/>
              </w:rPr>
              <w:t>21</w:t>
            </w:r>
            <w:r w:rsidR="00AA3DE5" w:rsidRPr="00FA4826">
              <w:rPr>
                <w:i w:val="0"/>
                <w:noProof/>
                <w:webHidden/>
              </w:rPr>
              <w:fldChar w:fldCharType="end"/>
            </w:r>
          </w:hyperlink>
        </w:p>
        <w:p w:rsidR="00AA3DE5" w:rsidRPr="00FA4826" w:rsidRDefault="00D66D28">
          <w:pPr>
            <w:pStyle w:val="TM3"/>
            <w:tabs>
              <w:tab w:val="right" w:leader="dot" w:pos="10456"/>
            </w:tabs>
            <w:rPr>
              <w:noProof/>
              <w:lang w:eastAsia="fr-FR"/>
            </w:rPr>
          </w:pPr>
          <w:hyperlink w:anchor="_Toc379227137" w:history="1">
            <w:r w:rsidR="00AA3DE5" w:rsidRPr="00FA4826">
              <w:rPr>
                <w:rStyle w:val="Lienhypertexte"/>
                <w:rFonts w:ascii="Arial" w:hAnsi="Arial" w:cs="Arial"/>
                <w:noProof/>
              </w:rPr>
              <w:t>a. Le principe essentiel à l’analyse instrumentale :</w:t>
            </w:r>
            <w:r w:rsidR="00AA3DE5" w:rsidRPr="00FA4826">
              <w:rPr>
                <w:noProof/>
                <w:webHidden/>
              </w:rPr>
              <w:tab/>
            </w:r>
            <w:r w:rsidR="00AA3DE5" w:rsidRPr="00FA4826">
              <w:rPr>
                <w:noProof/>
                <w:webHidden/>
              </w:rPr>
              <w:fldChar w:fldCharType="begin"/>
            </w:r>
            <w:r w:rsidR="00AA3DE5" w:rsidRPr="00FA4826">
              <w:rPr>
                <w:noProof/>
                <w:webHidden/>
              </w:rPr>
              <w:instrText xml:space="preserve"> PAGEREF _Toc379227137 \h </w:instrText>
            </w:r>
            <w:r w:rsidR="00AA3DE5" w:rsidRPr="00FA4826">
              <w:rPr>
                <w:noProof/>
                <w:webHidden/>
              </w:rPr>
            </w:r>
            <w:r w:rsidR="00AA3DE5" w:rsidRPr="00FA4826">
              <w:rPr>
                <w:noProof/>
                <w:webHidden/>
              </w:rPr>
              <w:fldChar w:fldCharType="separate"/>
            </w:r>
            <w:r w:rsidR="00E66336">
              <w:rPr>
                <w:noProof/>
                <w:webHidden/>
              </w:rPr>
              <w:t>21</w:t>
            </w:r>
            <w:r w:rsidR="00AA3DE5" w:rsidRPr="00FA4826">
              <w:rPr>
                <w:noProof/>
                <w:webHidden/>
              </w:rPr>
              <w:fldChar w:fldCharType="end"/>
            </w:r>
          </w:hyperlink>
        </w:p>
        <w:p w:rsidR="00AA3DE5" w:rsidRPr="00FA4826" w:rsidRDefault="00D66D28">
          <w:pPr>
            <w:pStyle w:val="TM3"/>
            <w:tabs>
              <w:tab w:val="right" w:leader="dot" w:pos="10456"/>
            </w:tabs>
            <w:rPr>
              <w:noProof/>
              <w:lang w:eastAsia="fr-FR"/>
            </w:rPr>
          </w:pPr>
          <w:hyperlink w:anchor="_Toc379227138" w:history="1">
            <w:r w:rsidR="00AA3DE5" w:rsidRPr="00FA4826">
              <w:rPr>
                <w:rStyle w:val="Lienhypertexte"/>
                <w:rFonts w:ascii="Arial" w:hAnsi="Arial" w:cs="Arial"/>
                <w:noProof/>
              </w:rPr>
              <w:t>b. La théorie institutionnelle :</w:t>
            </w:r>
            <w:r w:rsidR="00AA3DE5" w:rsidRPr="00FA4826">
              <w:rPr>
                <w:noProof/>
                <w:webHidden/>
              </w:rPr>
              <w:tab/>
            </w:r>
            <w:r w:rsidR="00AA3DE5" w:rsidRPr="00FA4826">
              <w:rPr>
                <w:noProof/>
                <w:webHidden/>
              </w:rPr>
              <w:fldChar w:fldCharType="begin"/>
            </w:r>
            <w:r w:rsidR="00AA3DE5" w:rsidRPr="00FA4826">
              <w:rPr>
                <w:noProof/>
                <w:webHidden/>
              </w:rPr>
              <w:instrText xml:space="preserve"> PAGEREF _Toc379227138 \h </w:instrText>
            </w:r>
            <w:r w:rsidR="00AA3DE5" w:rsidRPr="00FA4826">
              <w:rPr>
                <w:noProof/>
                <w:webHidden/>
              </w:rPr>
            </w:r>
            <w:r w:rsidR="00AA3DE5" w:rsidRPr="00FA4826">
              <w:rPr>
                <w:noProof/>
                <w:webHidden/>
              </w:rPr>
              <w:fldChar w:fldCharType="separate"/>
            </w:r>
            <w:r w:rsidR="00E66336">
              <w:rPr>
                <w:noProof/>
                <w:webHidden/>
              </w:rPr>
              <w:t>22</w:t>
            </w:r>
            <w:r w:rsidR="00AA3DE5" w:rsidRPr="00FA4826">
              <w:rPr>
                <w:noProof/>
                <w:webHidden/>
              </w:rPr>
              <w:fldChar w:fldCharType="end"/>
            </w:r>
          </w:hyperlink>
        </w:p>
        <w:p w:rsidR="00AA3DE5" w:rsidRPr="00FA4826" w:rsidRDefault="00D66D28">
          <w:pPr>
            <w:pStyle w:val="TM2"/>
            <w:tabs>
              <w:tab w:val="right" w:leader="dot" w:pos="10456"/>
            </w:tabs>
            <w:rPr>
              <w:i w:val="0"/>
              <w:smallCaps w:val="0"/>
              <w:noProof/>
              <w:lang w:eastAsia="fr-FR"/>
            </w:rPr>
          </w:pPr>
          <w:hyperlink w:anchor="_Toc379227139" w:history="1">
            <w:r w:rsidR="00AA3DE5" w:rsidRPr="00FA4826">
              <w:rPr>
                <w:rStyle w:val="Lienhypertexte"/>
                <w:rFonts w:ascii="Arial" w:hAnsi="Arial" w:cs="Arial"/>
                <w:i w:val="0"/>
                <w:noProof/>
              </w:rPr>
              <w:t>3) Conclusion :</w:t>
            </w:r>
            <w:r w:rsidR="00AA3DE5" w:rsidRPr="00FA4826">
              <w:rPr>
                <w:i w:val="0"/>
                <w:noProof/>
                <w:webHidden/>
              </w:rPr>
              <w:tab/>
            </w:r>
            <w:r w:rsidR="00AA3DE5" w:rsidRPr="00FA4826">
              <w:rPr>
                <w:i w:val="0"/>
                <w:noProof/>
                <w:webHidden/>
              </w:rPr>
              <w:fldChar w:fldCharType="begin"/>
            </w:r>
            <w:r w:rsidR="00AA3DE5" w:rsidRPr="00FA4826">
              <w:rPr>
                <w:i w:val="0"/>
                <w:noProof/>
                <w:webHidden/>
              </w:rPr>
              <w:instrText xml:space="preserve"> PAGEREF _Toc379227139 \h </w:instrText>
            </w:r>
            <w:r w:rsidR="00AA3DE5" w:rsidRPr="00FA4826">
              <w:rPr>
                <w:i w:val="0"/>
                <w:noProof/>
                <w:webHidden/>
              </w:rPr>
            </w:r>
            <w:r w:rsidR="00AA3DE5" w:rsidRPr="00FA4826">
              <w:rPr>
                <w:i w:val="0"/>
                <w:noProof/>
                <w:webHidden/>
              </w:rPr>
              <w:fldChar w:fldCharType="separate"/>
            </w:r>
            <w:r w:rsidR="00E66336">
              <w:rPr>
                <w:i w:val="0"/>
                <w:noProof/>
                <w:webHidden/>
              </w:rPr>
              <w:t>23</w:t>
            </w:r>
            <w:r w:rsidR="00AA3DE5" w:rsidRPr="00FA4826">
              <w:rPr>
                <w:i w:val="0"/>
                <w:noProof/>
                <w:webHidden/>
              </w:rPr>
              <w:fldChar w:fldCharType="end"/>
            </w:r>
          </w:hyperlink>
        </w:p>
        <w:p w:rsidR="00414D9C" w:rsidRPr="00FA4826" w:rsidRDefault="00414D9C">
          <w:pPr>
            <w:pStyle w:val="TM1"/>
            <w:tabs>
              <w:tab w:val="right" w:leader="dot" w:pos="10456"/>
            </w:tabs>
            <w:rPr>
              <w:rStyle w:val="Lienhypertexte"/>
              <w:i w:val="0"/>
              <w:noProof/>
            </w:rPr>
          </w:pPr>
        </w:p>
        <w:p w:rsidR="00AA3DE5" w:rsidRPr="00FA4826" w:rsidRDefault="00D66D28">
          <w:pPr>
            <w:pStyle w:val="TM1"/>
            <w:tabs>
              <w:tab w:val="right" w:leader="dot" w:pos="10456"/>
            </w:tabs>
            <w:rPr>
              <w:b w:val="0"/>
              <w:i w:val="0"/>
              <w:caps w:val="0"/>
              <w:noProof/>
              <w:lang w:eastAsia="fr-FR"/>
            </w:rPr>
          </w:pPr>
          <w:hyperlink w:anchor="_Toc379227140" w:history="1">
            <w:r w:rsidR="00AA3DE5" w:rsidRPr="00FA4826">
              <w:rPr>
                <w:rStyle w:val="Lienhypertexte"/>
                <w:rFonts w:ascii="Arial" w:hAnsi="Arial" w:cs="Arial"/>
                <w:i w:val="0"/>
                <w:noProof/>
              </w:rPr>
              <w:t>IV. Conclusion générale :</w:t>
            </w:r>
            <w:r w:rsidR="00AA3DE5" w:rsidRPr="00FA4826">
              <w:rPr>
                <w:i w:val="0"/>
                <w:noProof/>
                <w:webHidden/>
              </w:rPr>
              <w:tab/>
            </w:r>
            <w:r w:rsidR="00AA3DE5" w:rsidRPr="00FA4826">
              <w:rPr>
                <w:i w:val="0"/>
                <w:noProof/>
                <w:webHidden/>
              </w:rPr>
              <w:fldChar w:fldCharType="begin"/>
            </w:r>
            <w:r w:rsidR="00AA3DE5" w:rsidRPr="00FA4826">
              <w:rPr>
                <w:i w:val="0"/>
                <w:noProof/>
                <w:webHidden/>
              </w:rPr>
              <w:instrText xml:space="preserve"> PAGEREF _Toc379227140 \h </w:instrText>
            </w:r>
            <w:r w:rsidR="00AA3DE5" w:rsidRPr="00FA4826">
              <w:rPr>
                <w:i w:val="0"/>
                <w:noProof/>
                <w:webHidden/>
              </w:rPr>
            </w:r>
            <w:r w:rsidR="00AA3DE5" w:rsidRPr="00FA4826">
              <w:rPr>
                <w:i w:val="0"/>
                <w:noProof/>
                <w:webHidden/>
              </w:rPr>
              <w:fldChar w:fldCharType="separate"/>
            </w:r>
            <w:r w:rsidR="00E66336">
              <w:rPr>
                <w:i w:val="0"/>
                <w:noProof/>
                <w:webHidden/>
              </w:rPr>
              <w:t>24</w:t>
            </w:r>
            <w:r w:rsidR="00AA3DE5" w:rsidRPr="00FA4826">
              <w:rPr>
                <w:i w:val="0"/>
                <w:noProof/>
                <w:webHidden/>
              </w:rPr>
              <w:fldChar w:fldCharType="end"/>
            </w:r>
          </w:hyperlink>
        </w:p>
        <w:p w:rsidR="00AA3DE5" w:rsidRPr="00FA4826" w:rsidRDefault="00D66D28">
          <w:pPr>
            <w:pStyle w:val="TM1"/>
            <w:tabs>
              <w:tab w:val="right" w:leader="dot" w:pos="10456"/>
            </w:tabs>
            <w:rPr>
              <w:b w:val="0"/>
              <w:i w:val="0"/>
              <w:caps w:val="0"/>
              <w:noProof/>
              <w:lang w:eastAsia="fr-FR"/>
            </w:rPr>
          </w:pPr>
          <w:hyperlink w:anchor="_Toc379227141" w:history="1">
            <w:r w:rsidR="00AA3DE5" w:rsidRPr="00FA4826">
              <w:rPr>
                <w:rStyle w:val="Lienhypertexte"/>
                <w:rFonts w:ascii="Arial" w:hAnsi="Arial" w:cs="Arial"/>
                <w:i w:val="0"/>
                <w:noProof/>
              </w:rPr>
              <w:t>I. Les objectifs de la politique monétaire :</w:t>
            </w:r>
            <w:r w:rsidR="00AA3DE5" w:rsidRPr="00FA4826">
              <w:rPr>
                <w:i w:val="0"/>
                <w:noProof/>
                <w:webHidden/>
              </w:rPr>
              <w:tab/>
            </w:r>
            <w:r w:rsidR="00AA3DE5" w:rsidRPr="00FA4826">
              <w:rPr>
                <w:i w:val="0"/>
                <w:noProof/>
                <w:webHidden/>
              </w:rPr>
              <w:fldChar w:fldCharType="begin"/>
            </w:r>
            <w:r w:rsidR="00AA3DE5" w:rsidRPr="00FA4826">
              <w:rPr>
                <w:i w:val="0"/>
                <w:noProof/>
                <w:webHidden/>
              </w:rPr>
              <w:instrText xml:space="preserve"> PAGEREF _Toc379227141 \h </w:instrText>
            </w:r>
            <w:r w:rsidR="00AA3DE5" w:rsidRPr="00FA4826">
              <w:rPr>
                <w:i w:val="0"/>
                <w:noProof/>
                <w:webHidden/>
              </w:rPr>
            </w:r>
            <w:r w:rsidR="00AA3DE5" w:rsidRPr="00FA4826">
              <w:rPr>
                <w:i w:val="0"/>
                <w:noProof/>
                <w:webHidden/>
              </w:rPr>
              <w:fldChar w:fldCharType="separate"/>
            </w:r>
            <w:r w:rsidR="00E66336">
              <w:rPr>
                <w:i w:val="0"/>
                <w:noProof/>
                <w:webHidden/>
              </w:rPr>
              <w:t>25</w:t>
            </w:r>
            <w:r w:rsidR="00AA3DE5" w:rsidRPr="00FA4826">
              <w:rPr>
                <w:i w:val="0"/>
                <w:noProof/>
                <w:webHidden/>
              </w:rPr>
              <w:fldChar w:fldCharType="end"/>
            </w:r>
          </w:hyperlink>
        </w:p>
        <w:p w:rsidR="00AA3DE5" w:rsidRPr="00FA4826" w:rsidRDefault="00D66D28">
          <w:pPr>
            <w:pStyle w:val="TM1"/>
            <w:tabs>
              <w:tab w:val="right" w:leader="dot" w:pos="10456"/>
            </w:tabs>
            <w:rPr>
              <w:b w:val="0"/>
              <w:i w:val="0"/>
              <w:caps w:val="0"/>
              <w:noProof/>
              <w:lang w:eastAsia="fr-FR"/>
            </w:rPr>
          </w:pPr>
          <w:hyperlink w:anchor="_Toc379227142" w:history="1">
            <w:r w:rsidR="00AA3DE5" w:rsidRPr="00FA4826">
              <w:rPr>
                <w:rStyle w:val="Lienhypertexte"/>
                <w:rFonts w:ascii="Arial" w:hAnsi="Arial" w:cs="Arial"/>
                <w:i w:val="0"/>
                <w:noProof/>
              </w:rPr>
              <w:t>II. Les instruments de la politique monétaire :</w:t>
            </w:r>
            <w:r w:rsidR="00AA3DE5" w:rsidRPr="00FA4826">
              <w:rPr>
                <w:i w:val="0"/>
                <w:noProof/>
                <w:webHidden/>
              </w:rPr>
              <w:tab/>
            </w:r>
            <w:r w:rsidR="00AA3DE5" w:rsidRPr="00FA4826">
              <w:rPr>
                <w:i w:val="0"/>
                <w:noProof/>
                <w:webHidden/>
              </w:rPr>
              <w:fldChar w:fldCharType="begin"/>
            </w:r>
            <w:r w:rsidR="00AA3DE5" w:rsidRPr="00FA4826">
              <w:rPr>
                <w:i w:val="0"/>
                <w:noProof/>
                <w:webHidden/>
              </w:rPr>
              <w:instrText xml:space="preserve"> PAGEREF _Toc379227142 \h </w:instrText>
            </w:r>
            <w:r w:rsidR="00AA3DE5" w:rsidRPr="00FA4826">
              <w:rPr>
                <w:i w:val="0"/>
                <w:noProof/>
                <w:webHidden/>
              </w:rPr>
            </w:r>
            <w:r w:rsidR="00AA3DE5" w:rsidRPr="00FA4826">
              <w:rPr>
                <w:i w:val="0"/>
                <w:noProof/>
                <w:webHidden/>
              </w:rPr>
              <w:fldChar w:fldCharType="separate"/>
            </w:r>
            <w:r w:rsidR="00E66336">
              <w:rPr>
                <w:i w:val="0"/>
                <w:noProof/>
                <w:webHidden/>
              </w:rPr>
              <w:t>25</w:t>
            </w:r>
            <w:r w:rsidR="00AA3DE5" w:rsidRPr="00FA4826">
              <w:rPr>
                <w:i w:val="0"/>
                <w:noProof/>
                <w:webHidden/>
              </w:rPr>
              <w:fldChar w:fldCharType="end"/>
            </w:r>
          </w:hyperlink>
        </w:p>
        <w:p w:rsidR="00AA3DE5" w:rsidRPr="00FA4826" w:rsidRDefault="00D66D28">
          <w:pPr>
            <w:pStyle w:val="TM2"/>
            <w:tabs>
              <w:tab w:val="left" w:pos="660"/>
              <w:tab w:val="right" w:leader="dot" w:pos="10456"/>
            </w:tabs>
            <w:rPr>
              <w:i w:val="0"/>
              <w:smallCaps w:val="0"/>
              <w:noProof/>
              <w:lang w:eastAsia="fr-FR"/>
            </w:rPr>
          </w:pPr>
          <w:hyperlink w:anchor="_Toc379227143" w:history="1">
            <w:r w:rsidR="00AA3DE5" w:rsidRPr="00FA4826">
              <w:rPr>
                <w:rStyle w:val="Lienhypertexte"/>
                <w:rFonts w:ascii="Arial" w:hAnsi="Arial" w:cs="Arial"/>
                <w:i w:val="0"/>
                <w:noProof/>
              </w:rPr>
              <w:t>1)</w:t>
            </w:r>
            <w:r w:rsidR="00AA3DE5" w:rsidRPr="00FA4826">
              <w:rPr>
                <w:i w:val="0"/>
                <w:smallCaps w:val="0"/>
                <w:noProof/>
                <w:lang w:eastAsia="fr-FR"/>
              </w:rPr>
              <w:tab/>
            </w:r>
            <w:r w:rsidR="00AA3DE5" w:rsidRPr="00FA4826">
              <w:rPr>
                <w:rStyle w:val="Lienhypertexte"/>
                <w:rFonts w:ascii="Arial" w:hAnsi="Arial" w:cs="Arial"/>
                <w:i w:val="0"/>
                <w:noProof/>
              </w:rPr>
              <w:t>Procédure de contrôle administratif :</w:t>
            </w:r>
            <w:r w:rsidR="00AA3DE5" w:rsidRPr="00FA4826">
              <w:rPr>
                <w:i w:val="0"/>
                <w:noProof/>
                <w:webHidden/>
              </w:rPr>
              <w:tab/>
            </w:r>
            <w:r w:rsidR="00AA3DE5" w:rsidRPr="00FA4826">
              <w:rPr>
                <w:i w:val="0"/>
                <w:noProof/>
                <w:webHidden/>
              </w:rPr>
              <w:fldChar w:fldCharType="begin"/>
            </w:r>
            <w:r w:rsidR="00AA3DE5" w:rsidRPr="00FA4826">
              <w:rPr>
                <w:i w:val="0"/>
                <w:noProof/>
                <w:webHidden/>
              </w:rPr>
              <w:instrText xml:space="preserve"> PAGEREF _Toc379227143 \h </w:instrText>
            </w:r>
            <w:r w:rsidR="00AA3DE5" w:rsidRPr="00FA4826">
              <w:rPr>
                <w:i w:val="0"/>
                <w:noProof/>
                <w:webHidden/>
              </w:rPr>
            </w:r>
            <w:r w:rsidR="00AA3DE5" w:rsidRPr="00FA4826">
              <w:rPr>
                <w:i w:val="0"/>
                <w:noProof/>
                <w:webHidden/>
              </w:rPr>
              <w:fldChar w:fldCharType="separate"/>
            </w:r>
            <w:r w:rsidR="00E66336">
              <w:rPr>
                <w:i w:val="0"/>
                <w:noProof/>
                <w:webHidden/>
              </w:rPr>
              <w:t>26</w:t>
            </w:r>
            <w:r w:rsidR="00AA3DE5" w:rsidRPr="00FA4826">
              <w:rPr>
                <w:i w:val="0"/>
                <w:noProof/>
                <w:webHidden/>
              </w:rPr>
              <w:fldChar w:fldCharType="end"/>
            </w:r>
          </w:hyperlink>
        </w:p>
        <w:p w:rsidR="00AA3DE5" w:rsidRPr="00FA4826" w:rsidRDefault="00D66D28">
          <w:pPr>
            <w:pStyle w:val="TM2"/>
            <w:tabs>
              <w:tab w:val="left" w:pos="660"/>
              <w:tab w:val="right" w:leader="dot" w:pos="10456"/>
            </w:tabs>
            <w:rPr>
              <w:i w:val="0"/>
              <w:smallCaps w:val="0"/>
              <w:noProof/>
              <w:lang w:eastAsia="fr-FR"/>
            </w:rPr>
          </w:pPr>
          <w:hyperlink w:anchor="_Toc379227144" w:history="1">
            <w:r w:rsidR="00AA3DE5" w:rsidRPr="00FA4826">
              <w:rPr>
                <w:rStyle w:val="Lienhypertexte"/>
                <w:rFonts w:ascii="Arial" w:hAnsi="Arial" w:cs="Arial"/>
                <w:i w:val="0"/>
                <w:noProof/>
              </w:rPr>
              <w:t>2)</w:t>
            </w:r>
            <w:r w:rsidR="00AA3DE5" w:rsidRPr="00FA4826">
              <w:rPr>
                <w:i w:val="0"/>
                <w:smallCaps w:val="0"/>
                <w:noProof/>
                <w:lang w:eastAsia="fr-FR"/>
              </w:rPr>
              <w:tab/>
            </w:r>
            <w:r w:rsidR="00AA3DE5" w:rsidRPr="00FA4826">
              <w:rPr>
                <w:rStyle w:val="Lienhypertexte"/>
                <w:rFonts w:ascii="Arial" w:hAnsi="Arial" w:cs="Arial"/>
                <w:i w:val="0"/>
                <w:noProof/>
              </w:rPr>
              <w:t>Par les opérations de marchés :</w:t>
            </w:r>
            <w:r w:rsidR="00AA3DE5" w:rsidRPr="00FA4826">
              <w:rPr>
                <w:i w:val="0"/>
                <w:noProof/>
                <w:webHidden/>
              </w:rPr>
              <w:tab/>
            </w:r>
            <w:r w:rsidR="00AA3DE5" w:rsidRPr="00FA4826">
              <w:rPr>
                <w:i w:val="0"/>
                <w:noProof/>
                <w:webHidden/>
              </w:rPr>
              <w:fldChar w:fldCharType="begin"/>
            </w:r>
            <w:r w:rsidR="00AA3DE5" w:rsidRPr="00FA4826">
              <w:rPr>
                <w:i w:val="0"/>
                <w:noProof/>
                <w:webHidden/>
              </w:rPr>
              <w:instrText xml:space="preserve"> PAGEREF _Toc379227144 \h </w:instrText>
            </w:r>
            <w:r w:rsidR="00AA3DE5" w:rsidRPr="00FA4826">
              <w:rPr>
                <w:i w:val="0"/>
                <w:noProof/>
                <w:webHidden/>
              </w:rPr>
            </w:r>
            <w:r w:rsidR="00AA3DE5" w:rsidRPr="00FA4826">
              <w:rPr>
                <w:i w:val="0"/>
                <w:noProof/>
                <w:webHidden/>
              </w:rPr>
              <w:fldChar w:fldCharType="separate"/>
            </w:r>
            <w:r w:rsidR="00E66336">
              <w:rPr>
                <w:i w:val="0"/>
                <w:noProof/>
                <w:webHidden/>
              </w:rPr>
              <w:t>26</w:t>
            </w:r>
            <w:r w:rsidR="00AA3DE5" w:rsidRPr="00FA4826">
              <w:rPr>
                <w:i w:val="0"/>
                <w:noProof/>
                <w:webHidden/>
              </w:rPr>
              <w:fldChar w:fldCharType="end"/>
            </w:r>
          </w:hyperlink>
        </w:p>
        <w:p w:rsidR="00AA3DE5" w:rsidRPr="00FA4826" w:rsidRDefault="00D66D28">
          <w:pPr>
            <w:pStyle w:val="TM1"/>
            <w:tabs>
              <w:tab w:val="right" w:leader="dot" w:pos="10456"/>
            </w:tabs>
            <w:rPr>
              <w:b w:val="0"/>
              <w:i w:val="0"/>
              <w:caps w:val="0"/>
              <w:noProof/>
              <w:lang w:eastAsia="fr-FR"/>
            </w:rPr>
          </w:pPr>
          <w:hyperlink w:anchor="_Toc379227145" w:history="1">
            <w:r w:rsidR="00AA3DE5" w:rsidRPr="00FA4826">
              <w:rPr>
                <w:rStyle w:val="Lienhypertexte"/>
                <w:rFonts w:ascii="Arial" w:hAnsi="Arial" w:cs="Arial"/>
                <w:i w:val="0"/>
                <w:noProof/>
              </w:rPr>
              <w:t>III. Les différentes politiques monétaires :</w:t>
            </w:r>
            <w:r w:rsidR="00AA3DE5" w:rsidRPr="00FA4826">
              <w:rPr>
                <w:i w:val="0"/>
                <w:noProof/>
                <w:webHidden/>
              </w:rPr>
              <w:tab/>
            </w:r>
            <w:r w:rsidR="00AA3DE5" w:rsidRPr="00FA4826">
              <w:rPr>
                <w:i w:val="0"/>
                <w:noProof/>
                <w:webHidden/>
              </w:rPr>
              <w:fldChar w:fldCharType="begin"/>
            </w:r>
            <w:r w:rsidR="00AA3DE5" w:rsidRPr="00FA4826">
              <w:rPr>
                <w:i w:val="0"/>
                <w:noProof/>
                <w:webHidden/>
              </w:rPr>
              <w:instrText xml:space="preserve"> PAGEREF _Toc379227145 \h </w:instrText>
            </w:r>
            <w:r w:rsidR="00AA3DE5" w:rsidRPr="00FA4826">
              <w:rPr>
                <w:i w:val="0"/>
                <w:noProof/>
                <w:webHidden/>
              </w:rPr>
            </w:r>
            <w:r w:rsidR="00AA3DE5" w:rsidRPr="00FA4826">
              <w:rPr>
                <w:i w:val="0"/>
                <w:noProof/>
                <w:webHidden/>
              </w:rPr>
              <w:fldChar w:fldCharType="separate"/>
            </w:r>
            <w:r w:rsidR="00E66336">
              <w:rPr>
                <w:i w:val="0"/>
                <w:noProof/>
                <w:webHidden/>
              </w:rPr>
              <w:t>26</w:t>
            </w:r>
            <w:r w:rsidR="00AA3DE5" w:rsidRPr="00FA4826">
              <w:rPr>
                <w:i w:val="0"/>
                <w:noProof/>
                <w:webHidden/>
              </w:rPr>
              <w:fldChar w:fldCharType="end"/>
            </w:r>
          </w:hyperlink>
        </w:p>
        <w:p w:rsidR="00AA3DE5" w:rsidRPr="00FA4826" w:rsidRDefault="00D66D28">
          <w:pPr>
            <w:pStyle w:val="TM2"/>
            <w:tabs>
              <w:tab w:val="left" w:pos="660"/>
              <w:tab w:val="right" w:leader="dot" w:pos="10456"/>
            </w:tabs>
            <w:rPr>
              <w:i w:val="0"/>
              <w:smallCaps w:val="0"/>
              <w:noProof/>
              <w:lang w:eastAsia="fr-FR"/>
            </w:rPr>
          </w:pPr>
          <w:hyperlink w:anchor="_Toc379227146" w:history="1">
            <w:r w:rsidR="00AA3DE5" w:rsidRPr="00FA4826">
              <w:rPr>
                <w:rStyle w:val="Lienhypertexte"/>
                <w:rFonts w:ascii="Arial" w:hAnsi="Arial" w:cs="Arial"/>
                <w:i w:val="0"/>
                <w:noProof/>
              </w:rPr>
              <w:t>1)</w:t>
            </w:r>
            <w:r w:rsidR="00AA3DE5" w:rsidRPr="00FA4826">
              <w:rPr>
                <w:i w:val="0"/>
                <w:smallCaps w:val="0"/>
                <w:noProof/>
                <w:lang w:eastAsia="fr-FR"/>
              </w:rPr>
              <w:tab/>
            </w:r>
            <w:r w:rsidR="00AA3DE5" w:rsidRPr="00FA4826">
              <w:rPr>
                <w:rStyle w:val="Lienhypertexte"/>
                <w:rFonts w:ascii="Arial" w:hAnsi="Arial" w:cs="Arial"/>
                <w:i w:val="0"/>
                <w:noProof/>
              </w:rPr>
              <w:t>Exemple de la PM de la BCE :</w:t>
            </w:r>
            <w:r w:rsidR="00AA3DE5" w:rsidRPr="00FA4826">
              <w:rPr>
                <w:i w:val="0"/>
                <w:noProof/>
                <w:webHidden/>
              </w:rPr>
              <w:tab/>
            </w:r>
            <w:r w:rsidR="00AA3DE5" w:rsidRPr="00FA4826">
              <w:rPr>
                <w:i w:val="0"/>
                <w:noProof/>
                <w:webHidden/>
              </w:rPr>
              <w:fldChar w:fldCharType="begin"/>
            </w:r>
            <w:r w:rsidR="00AA3DE5" w:rsidRPr="00FA4826">
              <w:rPr>
                <w:i w:val="0"/>
                <w:noProof/>
                <w:webHidden/>
              </w:rPr>
              <w:instrText xml:space="preserve"> PAGEREF _Toc379227146 \h </w:instrText>
            </w:r>
            <w:r w:rsidR="00AA3DE5" w:rsidRPr="00FA4826">
              <w:rPr>
                <w:i w:val="0"/>
                <w:noProof/>
                <w:webHidden/>
              </w:rPr>
            </w:r>
            <w:r w:rsidR="00AA3DE5" w:rsidRPr="00FA4826">
              <w:rPr>
                <w:i w:val="0"/>
                <w:noProof/>
                <w:webHidden/>
              </w:rPr>
              <w:fldChar w:fldCharType="separate"/>
            </w:r>
            <w:r w:rsidR="00E66336">
              <w:rPr>
                <w:i w:val="0"/>
                <w:noProof/>
                <w:webHidden/>
              </w:rPr>
              <w:t>27</w:t>
            </w:r>
            <w:r w:rsidR="00AA3DE5" w:rsidRPr="00FA4826">
              <w:rPr>
                <w:i w:val="0"/>
                <w:noProof/>
                <w:webHidden/>
              </w:rPr>
              <w:fldChar w:fldCharType="end"/>
            </w:r>
          </w:hyperlink>
        </w:p>
        <w:p w:rsidR="00AA3DE5" w:rsidRPr="00FA4826" w:rsidRDefault="00D66D28">
          <w:pPr>
            <w:pStyle w:val="TM2"/>
            <w:tabs>
              <w:tab w:val="left" w:pos="660"/>
              <w:tab w:val="right" w:leader="dot" w:pos="10456"/>
            </w:tabs>
            <w:rPr>
              <w:i w:val="0"/>
              <w:smallCaps w:val="0"/>
              <w:noProof/>
              <w:lang w:eastAsia="fr-FR"/>
            </w:rPr>
          </w:pPr>
          <w:hyperlink w:anchor="_Toc379227147" w:history="1">
            <w:r w:rsidR="00AA3DE5" w:rsidRPr="00FA4826">
              <w:rPr>
                <w:rStyle w:val="Lienhypertexte"/>
                <w:rFonts w:ascii="Arial" w:hAnsi="Arial" w:cs="Arial"/>
                <w:i w:val="0"/>
                <w:noProof/>
              </w:rPr>
              <w:t>2)</w:t>
            </w:r>
            <w:r w:rsidR="00AA3DE5" w:rsidRPr="00FA4826">
              <w:rPr>
                <w:i w:val="0"/>
                <w:smallCaps w:val="0"/>
                <w:noProof/>
                <w:lang w:eastAsia="fr-FR"/>
              </w:rPr>
              <w:tab/>
            </w:r>
            <w:r w:rsidR="00AA3DE5" w:rsidRPr="00FA4826">
              <w:rPr>
                <w:rStyle w:val="Lienhypertexte"/>
                <w:rFonts w:ascii="Arial" w:hAnsi="Arial" w:cs="Arial"/>
                <w:i w:val="0"/>
                <w:noProof/>
              </w:rPr>
              <w:t>L’indépendance d’un point de vue théorique :</w:t>
            </w:r>
            <w:r w:rsidR="00AA3DE5" w:rsidRPr="00FA4826">
              <w:rPr>
                <w:i w:val="0"/>
                <w:noProof/>
                <w:webHidden/>
              </w:rPr>
              <w:tab/>
            </w:r>
            <w:r w:rsidR="00AA3DE5" w:rsidRPr="00FA4826">
              <w:rPr>
                <w:i w:val="0"/>
                <w:noProof/>
                <w:webHidden/>
              </w:rPr>
              <w:fldChar w:fldCharType="begin"/>
            </w:r>
            <w:r w:rsidR="00AA3DE5" w:rsidRPr="00FA4826">
              <w:rPr>
                <w:i w:val="0"/>
                <w:noProof/>
                <w:webHidden/>
              </w:rPr>
              <w:instrText xml:space="preserve"> PAGEREF _Toc379227147 \h </w:instrText>
            </w:r>
            <w:r w:rsidR="00AA3DE5" w:rsidRPr="00FA4826">
              <w:rPr>
                <w:i w:val="0"/>
                <w:noProof/>
                <w:webHidden/>
              </w:rPr>
            </w:r>
            <w:r w:rsidR="00AA3DE5" w:rsidRPr="00FA4826">
              <w:rPr>
                <w:i w:val="0"/>
                <w:noProof/>
                <w:webHidden/>
              </w:rPr>
              <w:fldChar w:fldCharType="separate"/>
            </w:r>
            <w:r w:rsidR="00E66336">
              <w:rPr>
                <w:i w:val="0"/>
                <w:noProof/>
                <w:webHidden/>
              </w:rPr>
              <w:t>29</w:t>
            </w:r>
            <w:r w:rsidR="00AA3DE5" w:rsidRPr="00FA4826">
              <w:rPr>
                <w:i w:val="0"/>
                <w:noProof/>
                <w:webHidden/>
              </w:rPr>
              <w:fldChar w:fldCharType="end"/>
            </w:r>
          </w:hyperlink>
        </w:p>
        <w:p w:rsidR="00AA3DE5" w:rsidRPr="00FA4826" w:rsidRDefault="00D66D28">
          <w:pPr>
            <w:pStyle w:val="TM1"/>
            <w:tabs>
              <w:tab w:val="right" w:leader="dot" w:pos="10456"/>
            </w:tabs>
            <w:rPr>
              <w:b w:val="0"/>
              <w:i w:val="0"/>
              <w:caps w:val="0"/>
              <w:noProof/>
              <w:lang w:eastAsia="fr-FR"/>
            </w:rPr>
          </w:pPr>
          <w:hyperlink w:anchor="_Toc379227148" w:history="1">
            <w:r w:rsidR="00AA3DE5" w:rsidRPr="00FA4826">
              <w:rPr>
                <w:rStyle w:val="Lienhypertexte"/>
                <w:rFonts w:ascii="Arial" w:hAnsi="Arial" w:cs="Arial"/>
                <w:i w:val="0"/>
                <w:noProof/>
              </w:rPr>
              <w:t>IV. Conclusion</w:t>
            </w:r>
            <w:r w:rsidR="00AA3DE5" w:rsidRPr="00FA4826">
              <w:rPr>
                <w:i w:val="0"/>
                <w:noProof/>
                <w:webHidden/>
              </w:rPr>
              <w:tab/>
            </w:r>
            <w:r w:rsidR="00AA3DE5" w:rsidRPr="00FA4826">
              <w:rPr>
                <w:i w:val="0"/>
                <w:noProof/>
                <w:webHidden/>
              </w:rPr>
              <w:fldChar w:fldCharType="begin"/>
            </w:r>
            <w:r w:rsidR="00AA3DE5" w:rsidRPr="00FA4826">
              <w:rPr>
                <w:i w:val="0"/>
                <w:noProof/>
                <w:webHidden/>
              </w:rPr>
              <w:instrText xml:space="preserve"> PAGEREF _Toc379227148 \h </w:instrText>
            </w:r>
            <w:r w:rsidR="00AA3DE5" w:rsidRPr="00FA4826">
              <w:rPr>
                <w:i w:val="0"/>
                <w:noProof/>
                <w:webHidden/>
              </w:rPr>
            </w:r>
            <w:r w:rsidR="00AA3DE5" w:rsidRPr="00FA4826">
              <w:rPr>
                <w:i w:val="0"/>
                <w:noProof/>
                <w:webHidden/>
              </w:rPr>
              <w:fldChar w:fldCharType="separate"/>
            </w:r>
            <w:r w:rsidR="00E66336">
              <w:rPr>
                <w:i w:val="0"/>
                <w:noProof/>
                <w:webHidden/>
              </w:rPr>
              <w:t>29</w:t>
            </w:r>
            <w:r w:rsidR="00AA3DE5" w:rsidRPr="00FA4826">
              <w:rPr>
                <w:i w:val="0"/>
                <w:noProof/>
                <w:webHidden/>
              </w:rPr>
              <w:fldChar w:fldCharType="end"/>
            </w:r>
          </w:hyperlink>
        </w:p>
        <w:p w:rsidR="002C4D8C" w:rsidRPr="00FA4826" w:rsidRDefault="00EB7534" w:rsidP="00123CAF">
          <w:pPr>
            <w:spacing w:after="0"/>
            <w:rPr>
              <w:rFonts w:ascii="Arial" w:hAnsi="Arial" w:cs="Arial"/>
              <w:i w:val="0"/>
            </w:rPr>
          </w:pPr>
          <w:r w:rsidRPr="00FA4826">
            <w:rPr>
              <w:rFonts w:ascii="Arial" w:hAnsi="Arial" w:cs="Arial"/>
              <w:i w:val="0"/>
            </w:rPr>
            <w:fldChar w:fldCharType="end"/>
          </w:r>
        </w:p>
      </w:sdtContent>
    </w:sdt>
    <w:p w:rsidR="00A9016D" w:rsidRPr="00FA4826" w:rsidRDefault="00A9016D" w:rsidP="00123CAF">
      <w:pPr>
        <w:spacing w:after="0"/>
        <w:rPr>
          <w:rFonts w:ascii="Arial" w:hAnsi="Arial" w:cs="Arial"/>
          <w:i w:val="0"/>
        </w:rPr>
      </w:pPr>
      <w:r w:rsidRPr="00FA4826">
        <w:rPr>
          <w:rFonts w:ascii="Arial" w:hAnsi="Arial" w:cs="Arial"/>
          <w:i w:val="0"/>
        </w:rPr>
        <w:br w:type="page"/>
      </w:r>
    </w:p>
    <w:p w:rsidR="00A9016D" w:rsidRPr="00FA4826" w:rsidRDefault="00324394" w:rsidP="00123CAF">
      <w:pPr>
        <w:pStyle w:val="Titre"/>
        <w:rPr>
          <w:rFonts w:ascii="Arial" w:hAnsi="Arial" w:cs="Arial"/>
          <w:i w:val="0"/>
          <w:color w:val="000000" w:themeColor="text1"/>
        </w:rPr>
      </w:pPr>
      <w:r w:rsidRPr="00FA4826">
        <w:rPr>
          <w:rFonts w:ascii="Arial" w:hAnsi="Arial" w:cs="Arial"/>
          <w:b/>
          <w:i w:val="0"/>
          <w:color w:val="000000" w:themeColor="text1"/>
          <w:u w:val="single"/>
        </w:rPr>
        <w:lastRenderedPageBreak/>
        <w:t>PARTIE 2</w:t>
      </w:r>
      <w:r w:rsidRPr="00FA4826">
        <w:rPr>
          <w:rFonts w:ascii="Arial" w:hAnsi="Arial" w:cs="Arial"/>
          <w:b/>
          <w:i w:val="0"/>
          <w:color w:val="000000" w:themeColor="text1"/>
        </w:rPr>
        <w:t> :</w:t>
      </w:r>
      <w:r w:rsidRPr="00FA4826">
        <w:rPr>
          <w:rFonts w:ascii="Arial" w:hAnsi="Arial" w:cs="Arial"/>
          <w:i w:val="0"/>
          <w:color w:val="000000" w:themeColor="text1"/>
        </w:rPr>
        <w:t xml:space="preserve"> </w:t>
      </w:r>
      <w:r w:rsidR="006D2C47" w:rsidRPr="00FA4826">
        <w:rPr>
          <w:rFonts w:ascii="Arial" w:hAnsi="Arial" w:cs="Arial"/>
          <w:i w:val="0"/>
          <w:color w:val="000000" w:themeColor="text1"/>
        </w:rPr>
        <w:t>LA MONNAIE ET LE</w:t>
      </w:r>
      <w:r w:rsidR="00A9016D" w:rsidRPr="00FA4826">
        <w:rPr>
          <w:rFonts w:ascii="Arial" w:hAnsi="Arial" w:cs="Arial"/>
          <w:i w:val="0"/>
          <w:color w:val="000000" w:themeColor="text1"/>
        </w:rPr>
        <w:t xml:space="preserve"> FINANCEMENT DES ÉCONOMIES CONTEMPORAINES</w:t>
      </w:r>
    </w:p>
    <w:p w:rsidR="0021225D" w:rsidRPr="00FA4826" w:rsidRDefault="0021225D" w:rsidP="00123CAF">
      <w:pPr>
        <w:spacing w:after="0"/>
        <w:rPr>
          <w:rFonts w:ascii="Arial" w:hAnsi="Arial" w:cs="Arial"/>
          <w:i w:val="0"/>
        </w:rPr>
      </w:pPr>
    </w:p>
    <w:p w:rsidR="0021225D" w:rsidRPr="00FA4826" w:rsidRDefault="00414D9C" w:rsidP="00C64C89">
      <w:pPr>
        <w:pStyle w:val="Titre1"/>
        <w:numPr>
          <w:ilvl w:val="0"/>
          <w:numId w:val="50"/>
        </w:numPr>
        <w:rPr>
          <w:rStyle w:val="Titre1Car"/>
          <w:rFonts w:ascii="Arial" w:hAnsi="Arial" w:cs="Arial"/>
          <w:b/>
          <w:smallCaps/>
          <w:color w:val="auto"/>
          <w:sz w:val="40"/>
        </w:rPr>
      </w:pPr>
      <w:r w:rsidRPr="00FA4826">
        <w:rPr>
          <w:rStyle w:val="Titre1Car"/>
          <w:rFonts w:ascii="Arial" w:hAnsi="Arial" w:cs="Arial"/>
          <w:b/>
        </w:rPr>
        <w:t>In</w:t>
      </w:r>
      <w:r w:rsidR="0021225D" w:rsidRPr="00FA4826">
        <w:rPr>
          <w:rStyle w:val="Titre1Car"/>
          <w:rFonts w:ascii="Arial" w:hAnsi="Arial" w:cs="Arial"/>
          <w:b/>
        </w:rPr>
        <w:t xml:space="preserve">troduction </w:t>
      </w:r>
    </w:p>
    <w:p w:rsidR="00414D9C" w:rsidRPr="00FA4826" w:rsidRDefault="00414D9C" w:rsidP="00414D9C">
      <w:pPr>
        <w:pStyle w:val="Paragraphedeliste"/>
        <w:spacing w:after="0"/>
        <w:rPr>
          <w:rFonts w:ascii="Arial" w:hAnsi="Arial" w:cs="Arial"/>
          <w:b/>
          <w:i w:val="0"/>
          <w:smallCaps/>
          <w:sz w:val="40"/>
        </w:rPr>
      </w:pPr>
    </w:p>
    <w:p w:rsidR="00FB1565" w:rsidRPr="00FA4826" w:rsidRDefault="00AA4EF0" w:rsidP="00123CAF">
      <w:pPr>
        <w:spacing w:after="0"/>
        <w:rPr>
          <w:rFonts w:ascii="Arial" w:hAnsi="Arial" w:cs="Arial"/>
          <w:i w:val="0"/>
        </w:rPr>
      </w:pPr>
      <w:r w:rsidRPr="00FA4826">
        <w:rPr>
          <w:rFonts w:ascii="Arial" w:hAnsi="Arial" w:cs="Arial"/>
          <w:i w:val="0"/>
        </w:rPr>
        <w:t>Le statut théorique de la monnaie ne traduit pas son influe</w:t>
      </w:r>
      <w:r w:rsidR="0021225D" w:rsidRPr="00FA4826">
        <w:rPr>
          <w:rFonts w:ascii="Arial" w:hAnsi="Arial" w:cs="Arial"/>
          <w:i w:val="0"/>
        </w:rPr>
        <w:t xml:space="preserve">nce (« la monnaie est partout ». </w:t>
      </w:r>
      <w:r w:rsidRPr="00FA4826">
        <w:rPr>
          <w:rFonts w:ascii="Arial" w:hAnsi="Arial" w:cs="Arial"/>
          <w:i w:val="0"/>
        </w:rPr>
        <w:t>A-t-elle un effet sur l’économie ? La quantité de monnaie influence-t-elle le développement économique ?</w:t>
      </w:r>
      <w:r w:rsidR="0021225D" w:rsidRPr="00FA4826">
        <w:rPr>
          <w:rFonts w:ascii="Arial" w:hAnsi="Arial" w:cs="Arial"/>
          <w:i w:val="0"/>
        </w:rPr>
        <w:t xml:space="preserve"> </w:t>
      </w:r>
      <w:r w:rsidRPr="00FA4826">
        <w:rPr>
          <w:rFonts w:ascii="Arial" w:hAnsi="Arial" w:cs="Arial"/>
          <w:i w:val="0"/>
        </w:rPr>
        <w:t>Si oui les quantités de monnaie qui circulent doivent être contrôlées</w:t>
      </w:r>
      <w:r w:rsidR="0021225D" w:rsidRPr="00FA4826">
        <w:rPr>
          <w:rFonts w:ascii="Arial" w:hAnsi="Arial" w:cs="Arial"/>
          <w:i w:val="0"/>
        </w:rPr>
        <w:t>. Mais comment la création monétaire est-elle contrôlée et qui créé la monnaie ?</w:t>
      </w:r>
    </w:p>
    <w:p w:rsidR="00B803A1" w:rsidRPr="00FA4826" w:rsidRDefault="00D66D28" w:rsidP="00123CAF">
      <w:pPr>
        <w:spacing w:after="0"/>
        <w:rPr>
          <w:rFonts w:ascii="Arial" w:hAnsi="Arial" w:cs="Arial"/>
          <w:i w:val="0"/>
        </w:rPr>
      </w:pPr>
      <w:r w:rsidRPr="00FA4826">
        <w:rPr>
          <w:rFonts w:ascii="Arial" w:hAnsi="Arial" w:cs="Arial"/>
          <w:i w:val="0"/>
          <w:noProof/>
          <w:lang w:eastAsia="fr-FR"/>
        </w:rPr>
        <w:pict>
          <v:shapetype id="_x0000_t202" coordsize="21600,21600" o:spt="202" path="m,l,21600r21600,l21600,xe">
            <v:stroke joinstyle="miter"/>
            <v:path gradientshapeok="t" o:connecttype="rect"/>
          </v:shapetype>
          <v:shape id="_x0000_s1032" type="#_x0000_t202" style="position:absolute;margin-left:109.9pt;margin-top:85.6pt;width:65.25pt;height:66pt;z-index:251662336" stroked="f">
            <v:textbox>
              <w:txbxContent>
                <w:p w:rsidR="00D66D28" w:rsidRDefault="00D66D28">
                  <w:r w:rsidRPr="00B803A1">
                    <w:rPr>
                      <w:noProof/>
                      <w:lang w:eastAsia="fr-FR"/>
                    </w:rPr>
                    <w:drawing>
                      <wp:inline distT="0" distB="0" distL="0" distR="0" wp14:anchorId="264A7AEF" wp14:editId="125AF3E6">
                        <wp:extent cx="533400" cy="771525"/>
                        <wp:effectExtent l="19050" t="0" r="0" b="0"/>
                        <wp:docPr id="13" name="Objet 10"/>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3125" cy="1054100"/>
                                  <a:chOff x="976313" y="2287588"/>
                                  <a:chExt cx="873125" cy="1054100"/>
                                </a:xfrm>
                              </a:grpSpPr>
                              <a:sp>
                                <a:nvSpPr>
                                  <a:cNvPr id="27652" name="AutoShape 4"/>
                                  <a:cNvSpPr>
                                    <a:spLocks noChangeArrowheads="1"/>
                                  </a:cNvSpPr>
                                </a:nvSpPr>
                                <a:spPr bwMode="auto">
                                  <a:xfrm rot="10829919" flipH="1">
                                    <a:off x="976313" y="2287588"/>
                                    <a:ext cx="873125" cy="1054100"/>
                                  </a:xfrm>
                                  <a:custGeom>
                                    <a:avLst/>
                                    <a:gdLst>
                                      <a:gd name="T0" fmla="*/ 2147483647 w 21600"/>
                                      <a:gd name="T1" fmla="*/ 0 h 21600"/>
                                      <a:gd name="T2" fmla="*/ 2147483647 w 21600"/>
                                      <a:gd name="T3" fmla="*/ 2147483647 h 21600"/>
                                      <a:gd name="T4" fmla="*/ 2147483647 w 21600"/>
                                      <a:gd name="T5" fmla="*/ 2147483647 h 21600"/>
                                      <a:gd name="T6" fmla="*/ 2147483647 w 21600"/>
                                      <a:gd name="T7" fmla="*/ 2147483647 h 21600"/>
                                      <a:gd name="T8" fmla="*/ 17694720 60000 65536"/>
                                      <a:gd name="T9" fmla="*/ 5898240 60000 65536"/>
                                      <a:gd name="T10" fmla="*/ 5898240 60000 65536"/>
                                      <a:gd name="T11" fmla="*/ 0 60000 65536"/>
                                      <a:gd name="T12" fmla="*/ 12427 w 21600"/>
                                      <a:gd name="T13" fmla="*/ 4700 h 21600"/>
                                      <a:gd name="T14" fmla="*/ 19581 w 21600"/>
                                      <a:gd name="T15" fmla="*/ 7458 h 21600"/>
                                    </a:gdLst>
                                    <a:ahLst/>
                                    <a:cxnLst>
                                      <a:cxn ang="T8">
                                        <a:pos x="T0" y="T1"/>
                                      </a:cxn>
                                      <a:cxn ang="T9">
                                        <a:pos x="T2" y="T3"/>
                                      </a:cxn>
                                      <a:cxn ang="T10">
                                        <a:pos x="T4" y="T5"/>
                                      </a:cxn>
                                      <a:cxn ang="T11">
                                        <a:pos x="T6" y="T7"/>
                                      </a:cxn>
                                    </a:cxnLst>
                                    <a:rect l="T12" t="T13" r="T14" b="T15"/>
                                    <a:pathLst>
                                      <a:path w="21600" h="21600">
                                        <a:moveTo>
                                          <a:pt x="21600" y="6079"/>
                                        </a:moveTo>
                                        <a:lnTo>
                                          <a:pt x="12698" y="0"/>
                                        </a:lnTo>
                                        <a:lnTo>
                                          <a:pt x="12698" y="4700"/>
                                        </a:lnTo>
                                        <a:lnTo>
                                          <a:pt x="12427" y="4700"/>
                                        </a:lnTo>
                                        <a:cubicBezTo>
                                          <a:pt x="5564" y="4700"/>
                                          <a:pt x="0" y="8039"/>
                                          <a:pt x="0" y="12158"/>
                                        </a:cubicBezTo>
                                        <a:lnTo>
                                          <a:pt x="0" y="21600"/>
                                        </a:lnTo>
                                        <a:lnTo>
                                          <a:pt x="2819" y="21600"/>
                                        </a:lnTo>
                                        <a:lnTo>
                                          <a:pt x="2819" y="12158"/>
                                        </a:lnTo>
                                        <a:cubicBezTo>
                                          <a:pt x="2819" y="9562"/>
                                          <a:pt x="7121" y="7458"/>
                                          <a:pt x="12427" y="7458"/>
                                        </a:cubicBezTo>
                                        <a:lnTo>
                                          <a:pt x="12698" y="7458"/>
                                        </a:lnTo>
                                        <a:lnTo>
                                          <a:pt x="12698" y="12158"/>
                                        </a:lnTo>
                                        <a:close/>
                                      </a:path>
                                    </a:pathLst>
                                  </a:custGeom>
                                  <a:solidFill>
                                    <a:schemeClr val="accent1"/>
                                  </a:solidFill>
                                  <a:ln w="9525">
                                    <a:solidFill>
                                      <a:schemeClr val="tx1"/>
                                    </a:solidFill>
                                    <a:miter lim="800000"/>
                                    <a:headEnd/>
                                    <a:tailEnd/>
                                  </a:ln>
                                </a:spPr>
                                <a:txSp>
                                  <a:txBody>
                                    <a:bodyPr wrap="none" anchor="ct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lc:lockedCanvas>
                          </a:graphicData>
                        </a:graphic>
                      </wp:inline>
                    </w:drawing>
                  </w:r>
                </w:p>
              </w:txbxContent>
            </v:textbox>
          </v:shape>
        </w:pict>
      </w:r>
      <w:r w:rsidRPr="00FA4826">
        <w:rPr>
          <w:rFonts w:ascii="Arial" w:hAnsi="Arial" w:cs="Arial"/>
          <w:i w:val="0"/>
          <w:noProof/>
          <w:lang w:eastAsia="fr-FR"/>
        </w:rPr>
        <w:pict>
          <v:shape id="_x0000_s1031" type="#_x0000_t202" style="position:absolute;margin-left:21.4pt;margin-top:36.85pt;width:70.9pt;height:75pt;z-index:251661312" stroked="f">
            <v:textbox>
              <w:txbxContent>
                <w:p w:rsidR="00D66D28" w:rsidRDefault="00D66D28">
                  <w:r w:rsidRPr="00B803A1">
                    <w:rPr>
                      <w:noProof/>
                      <w:lang w:eastAsia="fr-FR"/>
                    </w:rPr>
                    <w:drawing>
                      <wp:inline distT="0" distB="0" distL="0" distR="0" wp14:anchorId="7D965331" wp14:editId="0B028D51">
                        <wp:extent cx="654050" cy="800100"/>
                        <wp:effectExtent l="19050" t="0" r="0" b="0"/>
                        <wp:docPr id="11" name="Objet 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3125" cy="1054100"/>
                                  <a:chOff x="976313" y="2287588"/>
                                  <a:chExt cx="873125" cy="1054100"/>
                                </a:xfrm>
                              </a:grpSpPr>
                              <a:sp>
                                <a:nvSpPr>
                                  <a:cNvPr id="27652" name="AutoShape 4"/>
                                  <a:cNvSpPr>
                                    <a:spLocks noChangeArrowheads="1"/>
                                  </a:cNvSpPr>
                                </a:nvSpPr>
                                <a:spPr bwMode="auto">
                                  <a:xfrm rot="10829919" flipH="1">
                                    <a:off x="976313" y="2287588"/>
                                    <a:ext cx="873125" cy="1054100"/>
                                  </a:xfrm>
                                  <a:custGeom>
                                    <a:avLst/>
                                    <a:gdLst>
                                      <a:gd name="T0" fmla="*/ 2147483647 w 21600"/>
                                      <a:gd name="T1" fmla="*/ 0 h 21600"/>
                                      <a:gd name="T2" fmla="*/ 2147483647 w 21600"/>
                                      <a:gd name="T3" fmla="*/ 2147483647 h 21600"/>
                                      <a:gd name="T4" fmla="*/ 2147483647 w 21600"/>
                                      <a:gd name="T5" fmla="*/ 2147483647 h 21600"/>
                                      <a:gd name="T6" fmla="*/ 2147483647 w 21600"/>
                                      <a:gd name="T7" fmla="*/ 2147483647 h 21600"/>
                                      <a:gd name="T8" fmla="*/ 17694720 60000 65536"/>
                                      <a:gd name="T9" fmla="*/ 5898240 60000 65536"/>
                                      <a:gd name="T10" fmla="*/ 5898240 60000 65536"/>
                                      <a:gd name="T11" fmla="*/ 0 60000 65536"/>
                                      <a:gd name="T12" fmla="*/ 12427 w 21600"/>
                                      <a:gd name="T13" fmla="*/ 4700 h 21600"/>
                                      <a:gd name="T14" fmla="*/ 19581 w 21600"/>
                                      <a:gd name="T15" fmla="*/ 7458 h 21600"/>
                                    </a:gdLst>
                                    <a:ahLst/>
                                    <a:cxnLst>
                                      <a:cxn ang="T8">
                                        <a:pos x="T0" y="T1"/>
                                      </a:cxn>
                                      <a:cxn ang="T9">
                                        <a:pos x="T2" y="T3"/>
                                      </a:cxn>
                                      <a:cxn ang="T10">
                                        <a:pos x="T4" y="T5"/>
                                      </a:cxn>
                                      <a:cxn ang="T11">
                                        <a:pos x="T6" y="T7"/>
                                      </a:cxn>
                                    </a:cxnLst>
                                    <a:rect l="T12" t="T13" r="T14" b="T15"/>
                                    <a:pathLst>
                                      <a:path w="21600" h="21600">
                                        <a:moveTo>
                                          <a:pt x="21600" y="6079"/>
                                        </a:moveTo>
                                        <a:lnTo>
                                          <a:pt x="12698" y="0"/>
                                        </a:lnTo>
                                        <a:lnTo>
                                          <a:pt x="12698" y="4700"/>
                                        </a:lnTo>
                                        <a:lnTo>
                                          <a:pt x="12427" y="4700"/>
                                        </a:lnTo>
                                        <a:cubicBezTo>
                                          <a:pt x="5564" y="4700"/>
                                          <a:pt x="0" y="8039"/>
                                          <a:pt x="0" y="12158"/>
                                        </a:cubicBezTo>
                                        <a:lnTo>
                                          <a:pt x="0" y="21600"/>
                                        </a:lnTo>
                                        <a:lnTo>
                                          <a:pt x="2819" y="21600"/>
                                        </a:lnTo>
                                        <a:lnTo>
                                          <a:pt x="2819" y="12158"/>
                                        </a:lnTo>
                                        <a:cubicBezTo>
                                          <a:pt x="2819" y="9562"/>
                                          <a:pt x="7121" y="7458"/>
                                          <a:pt x="12427" y="7458"/>
                                        </a:cubicBezTo>
                                        <a:lnTo>
                                          <a:pt x="12698" y="7458"/>
                                        </a:lnTo>
                                        <a:lnTo>
                                          <a:pt x="12698" y="12158"/>
                                        </a:lnTo>
                                        <a:close/>
                                      </a:path>
                                    </a:pathLst>
                                  </a:custGeom>
                                  <a:solidFill>
                                    <a:schemeClr val="accent1"/>
                                  </a:solidFill>
                                  <a:ln w="9525">
                                    <a:solidFill>
                                      <a:schemeClr val="tx1"/>
                                    </a:solidFill>
                                    <a:miter lim="800000"/>
                                    <a:headEnd/>
                                    <a:tailEnd/>
                                  </a:ln>
                                </a:spPr>
                                <a:txSp>
                                  <a:txBody>
                                    <a:bodyPr wrap="none" anchor="ct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lc:lockedCanvas>
                          </a:graphicData>
                        </a:graphic>
                      </wp:inline>
                    </w:drawing>
                  </w:r>
                </w:p>
              </w:txbxContent>
            </v:textbox>
          </v:shape>
        </w:pict>
      </w:r>
      <w:r w:rsidRPr="00FA4826">
        <w:rPr>
          <w:rFonts w:ascii="Arial" w:hAnsi="Arial" w:cs="Arial"/>
          <w:i w:val="0"/>
          <w:noProof/>
          <w:lang w:eastAsia="fr-FR"/>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029" type="#_x0000_t68" style="position:absolute;margin-left:58.9pt;margin-top:195.1pt;width:19.15pt;height:25.5pt;z-index:251660288" fillcolor="#666 [1936]" strokecolor="black [3200]" strokeweight="1pt">
            <v:fill color2="black [3200]" focus="50%" type="gradient"/>
            <v:shadow on="t" type="perspective" color="#7f7f7f [1601]" offset="1pt" offset2="-3pt"/>
            <v:textbox style="layout-flow:vertical-ideographic"/>
          </v:shape>
        </w:pict>
      </w:r>
      <w:r w:rsidRPr="00FA4826">
        <w:rPr>
          <w:rFonts w:ascii="Arial" w:hAnsi="Arial" w:cs="Arial"/>
          <w:i w:val="0"/>
          <w:noProof/>
          <w:lang w:eastAsia="fr-FR"/>
        </w:rPr>
        <w:pict>
          <v:shape id="_x0000_s1028" type="#_x0000_t202" style="position:absolute;margin-left:175.15pt;margin-top:181.6pt;width:177.75pt;height:22.5pt;z-index:251659264" stroked="f">
            <v:textbox>
              <w:txbxContent>
                <w:p w:rsidR="00D66D28" w:rsidRPr="0021225D" w:rsidRDefault="00D66D28" w:rsidP="0021225D">
                  <w:r w:rsidRPr="0021225D">
                    <w:rPr>
                      <w:b/>
                      <w:bCs/>
                      <w:i w:val="0"/>
                      <w:iCs w:val="0"/>
                    </w:rPr>
                    <w:t>Indépendant du pouvoir politique</w:t>
                  </w:r>
                  <w:r w:rsidRPr="0021225D">
                    <w:t xml:space="preserve"> </w:t>
                  </w:r>
                </w:p>
                <w:p w:rsidR="00D66D28" w:rsidRDefault="00D66D28"/>
              </w:txbxContent>
            </v:textbox>
          </v:shape>
        </w:pict>
      </w:r>
      <w:r w:rsidRPr="00FA4826">
        <w:rPr>
          <w:rFonts w:ascii="Arial" w:hAnsi="Arial" w:cs="Arial"/>
          <w:i w:val="0"/>
          <w:noProof/>
          <w:lang w:eastAsia="fr-FR"/>
        </w:rPr>
        <w:pi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_x0000_s1026" type="#_x0000_t87" style="position:absolute;margin-left:139.15pt;margin-top:168.85pt;width:18pt;height:26.25pt;z-index:251658240" adj=",9586"/>
        </w:pict>
      </w:r>
      <w:r w:rsidR="0021225D" w:rsidRPr="00FA4826">
        <w:rPr>
          <w:rFonts w:ascii="Arial" w:hAnsi="Arial" w:cs="Arial"/>
          <w:i w:val="0"/>
          <w:noProof/>
          <w:lang w:eastAsia="fr-FR"/>
        </w:rPr>
        <w:drawing>
          <wp:inline distT="0" distB="0" distL="0" distR="0" wp14:anchorId="631C146B" wp14:editId="47482A9B">
            <wp:extent cx="5760720" cy="3208634"/>
            <wp:effectExtent l="0" t="0" r="0" b="0"/>
            <wp:docPr id="1" name="Objet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144000" cy="5092700"/>
                      <a:chOff x="0" y="1663700"/>
                      <a:chExt cx="9144000" cy="5092700"/>
                    </a:xfrm>
                  </a:grpSpPr>
                  <a:sp>
                    <a:nvSpPr>
                      <a:cNvPr id="27651" name="Rectangle 3"/>
                      <a:cNvSpPr>
                        <a:spLocks noGrp="1" noChangeArrowheads="1"/>
                      </a:cNvSpPr>
                    </a:nvSpPr>
                    <a:spPr bwMode="auto">
                      <a:xfrm>
                        <a:off x="0" y="1663700"/>
                        <a:ext cx="8331200" cy="4051300"/>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lvl1pPr marL="469900" indent="-469900" algn="l" rtl="0" eaLnBrk="0" fontAlgn="base" hangingPunct="0">
                            <a:spcBef>
                              <a:spcPct val="20000"/>
                            </a:spcBef>
                            <a:spcAft>
                              <a:spcPct val="0"/>
                            </a:spcAft>
                            <a:buClr>
                              <a:schemeClr val="accent2"/>
                            </a:buClr>
                            <a:buFont typeface="Wingdings" pitchFamily="2" charset="2"/>
                            <a:buChar char="o"/>
                            <a:defRPr sz="3000">
                              <a:solidFill>
                                <a:schemeClr val="tx1"/>
                              </a:solidFill>
                              <a:latin typeface="+mn-lt"/>
                              <a:ea typeface="+mn-ea"/>
                              <a:cs typeface="+mn-cs"/>
                            </a:defRPr>
                          </a:lvl1pPr>
                          <a:lvl2pPr marL="908050" indent="-436563" algn="l" rtl="0" eaLnBrk="0" fontAlgn="base" hangingPunct="0">
                            <a:spcBef>
                              <a:spcPct val="20000"/>
                            </a:spcBef>
                            <a:spcAft>
                              <a:spcPct val="0"/>
                            </a:spcAft>
                            <a:buClr>
                              <a:schemeClr val="accent2"/>
                            </a:buClr>
                            <a:buFont typeface="Wingdings" pitchFamily="2" charset="2"/>
                            <a:buChar char="n"/>
                            <a:defRPr sz="2600">
                              <a:solidFill>
                                <a:schemeClr val="tx1"/>
                              </a:solidFill>
                              <a:latin typeface="+mn-lt"/>
                            </a:defRPr>
                          </a:lvl2pPr>
                          <a:lvl3pPr marL="1304925" indent="-395288" algn="l" rtl="0" eaLnBrk="0" fontAlgn="base" hangingPunct="0">
                            <a:spcBef>
                              <a:spcPct val="20000"/>
                            </a:spcBef>
                            <a:spcAft>
                              <a:spcPct val="0"/>
                            </a:spcAft>
                            <a:buClr>
                              <a:schemeClr val="accent2"/>
                            </a:buClr>
                            <a:buFont typeface="Wingdings" pitchFamily="2" charset="2"/>
                            <a:buChar char="o"/>
                            <a:defRPr sz="2300">
                              <a:solidFill>
                                <a:schemeClr val="tx1"/>
                              </a:solidFill>
                              <a:latin typeface="+mn-lt"/>
                            </a:defRPr>
                          </a:lvl3pPr>
                          <a:lvl4pPr marL="1693863" indent="-387350" algn="l" rtl="0" eaLnBrk="0" fontAlgn="base" hangingPunct="0">
                            <a:spcBef>
                              <a:spcPct val="20000"/>
                            </a:spcBef>
                            <a:spcAft>
                              <a:spcPct val="0"/>
                            </a:spcAft>
                            <a:buClr>
                              <a:schemeClr val="accent2"/>
                            </a:buClr>
                            <a:buFont typeface="Wingdings" pitchFamily="2" charset="2"/>
                            <a:buChar char="n"/>
                            <a:defRPr sz="2000">
                              <a:solidFill>
                                <a:schemeClr val="tx1"/>
                              </a:solidFill>
                              <a:latin typeface="+mn-lt"/>
                            </a:defRPr>
                          </a:lvl4pPr>
                          <a:lvl5pPr marL="2093913" indent="-398463" algn="l" rtl="0" eaLnBrk="0" fontAlgn="base" hangingPunct="0">
                            <a:spcBef>
                              <a:spcPct val="25000"/>
                            </a:spcBef>
                            <a:spcAft>
                              <a:spcPct val="0"/>
                            </a:spcAft>
                            <a:buClr>
                              <a:schemeClr val="accent2"/>
                            </a:buClr>
                            <a:buFont typeface="Wingdings" pitchFamily="2" charset="2"/>
                            <a:buChar char="§"/>
                            <a:defRPr sz="2000">
                              <a:solidFill>
                                <a:schemeClr val="tx1"/>
                              </a:solidFill>
                              <a:latin typeface="+mn-lt"/>
                            </a:defRPr>
                          </a:lvl5pPr>
                          <a:lvl6pPr marL="2551113" indent="-398463" algn="l" rtl="0" fontAlgn="base">
                            <a:spcBef>
                              <a:spcPct val="25000"/>
                            </a:spcBef>
                            <a:spcAft>
                              <a:spcPct val="0"/>
                            </a:spcAft>
                            <a:buClr>
                              <a:schemeClr val="accent2"/>
                            </a:buClr>
                            <a:buFont typeface="Wingdings" pitchFamily="2" charset="2"/>
                            <a:buChar char="§"/>
                            <a:defRPr sz="2000">
                              <a:solidFill>
                                <a:schemeClr val="tx1"/>
                              </a:solidFill>
                              <a:latin typeface="+mn-lt"/>
                            </a:defRPr>
                          </a:lvl6pPr>
                          <a:lvl7pPr marL="3008313" indent="-398463" algn="l" rtl="0" fontAlgn="base">
                            <a:spcBef>
                              <a:spcPct val="25000"/>
                            </a:spcBef>
                            <a:spcAft>
                              <a:spcPct val="0"/>
                            </a:spcAft>
                            <a:buClr>
                              <a:schemeClr val="accent2"/>
                            </a:buClr>
                            <a:buFont typeface="Wingdings" pitchFamily="2" charset="2"/>
                            <a:buChar char="§"/>
                            <a:defRPr sz="2000">
                              <a:solidFill>
                                <a:schemeClr val="tx1"/>
                              </a:solidFill>
                              <a:latin typeface="+mn-lt"/>
                            </a:defRPr>
                          </a:lvl7pPr>
                          <a:lvl8pPr marL="3465513" indent="-398463" algn="l" rtl="0" fontAlgn="base">
                            <a:spcBef>
                              <a:spcPct val="25000"/>
                            </a:spcBef>
                            <a:spcAft>
                              <a:spcPct val="0"/>
                            </a:spcAft>
                            <a:buClr>
                              <a:schemeClr val="accent2"/>
                            </a:buClr>
                            <a:buFont typeface="Wingdings" pitchFamily="2" charset="2"/>
                            <a:buChar char="§"/>
                            <a:defRPr sz="2000">
                              <a:solidFill>
                                <a:schemeClr val="tx1"/>
                              </a:solidFill>
                              <a:latin typeface="+mn-lt"/>
                            </a:defRPr>
                          </a:lvl8pPr>
                          <a:lvl9pPr marL="3922713" indent="-398463" algn="l" rtl="0" fontAlgn="base">
                            <a:spcBef>
                              <a:spcPct val="25000"/>
                            </a:spcBef>
                            <a:spcAft>
                              <a:spcPct val="0"/>
                            </a:spcAft>
                            <a:buClr>
                              <a:schemeClr val="accent2"/>
                            </a:buClr>
                            <a:buFont typeface="Wingdings" pitchFamily="2" charset="2"/>
                            <a:buChar char="§"/>
                            <a:defRPr sz="2000">
                              <a:solidFill>
                                <a:schemeClr val="tx1"/>
                              </a:solidFill>
                              <a:latin typeface="+mn-lt"/>
                            </a:defRPr>
                          </a:lvl9pPr>
                        </a:lstStyle>
                        <a:p>
                          <a:pPr marL="358775" lvl="2" indent="0" algn="just">
                            <a:buFont typeface="Wingdings" pitchFamily="2" charset="2"/>
                            <a:buNone/>
                          </a:pPr>
                          <a:r>
                            <a:rPr lang="fr-FR" sz="1700" b="1" dirty="0" smtClean="0"/>
                            <a:t>En somme sous une forme ou</a:t>
                          </a:r>
                        </a:p>
                        <a:p>
                          <a:pPr marL="358775" lvl="2" indent="0" algn="just">
                            <a:buFont typeface="Wingdings" pitchFamily="2" charset="2"/>
                            <a:buNone/>
                          </a:pPr>
                          <a:r>
                            <a:rPr lang="fr-FR" sz="1700" b="1" dirty="0" smtClean="0"/>
                            <a:t>sous une autre la monnaie circule</a:t>
                          </a:r>
                        </a:p>
                        <a:p>
                          <a:pPr marL="358775" lvl="2" indent="0" algn="just">
                            <a:buFont typeface="Wingdings" pitchFamily="2" charset="2"/>
                            <a:buNone/>
                          </a:pPr>
                          <a:endParaRPr lang="fr-FR" sz="800" b="1" dirty="0" smtClean="0"/>
                        </a:p>
                        <a:p>
                          <a:pPr marL="358775" lvl="2" indent="0" algn="just">
                            <a:buFont typeface="Wingdings" pitchFamily="2" charset="2"/>
                            <a:buNone/>
                          </a:pPr>
                          <a:endParaRPr lang="fr-FR" sz="1700" b="1" dirty="0" smtClean="0"/>
                        </a:p>
                        <a:p>
                          <a:pPr marL="358775" lvl="2" indent="0" algn="just">
                            <a:buFont typeface="Wingdings" pitchFamily="2" charset="2"/>
                            <a:buNone/>
                          </a:pPr>
                          <a:r>
                            <a:rPr lang="fr-FR" sz="1700" b="1" dirty="0" smtClean="0"/>
                            <a:t>		Il faut l’émettre</a:t>
                          </a:r>
                        </a:p>
                        <a:p>
                          <a:pPr marL="358775" lvl="2" indent="0" algn="just">
                            <a:buFont typeface="Wingdings" pitchFamily="2" charset="2"/>
                            <a:buNone/>
                          </a:pPr>
                          <a:r>
                            <a:rPr lang="fr-FR" sz="1700" b="1" dirty="0" smtClean="0"/>
                            <a:t>		Il faut réguler sa quantité</a:t>
                          </a:r>
                        </a:p>
                        <a:p>
                          <a:pPr marL="358775" lvl="2" indent="0" algn="just">
                            <a:buFont typeface="Wingdings" pitchFamily="2" charset="2"/>
                            <a:buNone/>
                          </a:pPr>
                          <a:endParaRPr lang="fr-FR" sz="800" b="1" dirty="0" smtClean="0"/>
                        </a:p>
                        <a:p>
                          <a:pPr marL="358775" lvl="2" indent="0" algn="just">
                            <a:buFont typeface="Wingdings" pitchFamily="2" charset="2"/>
                            <a:buNone/>
                          </a:pPr>
                          <a:endParaRPr lang="fr-FR" sz="1700" b="1" dirty="0" smtClean="0"/>
                        </a:p>
                        <a:p>
                          <a:pPr marL="358775" lvl="2" indent="0" algn="just">
                            <a:buFont typeface="Wingdings" pitchFamily="2" charset="2"/>
                            <a:buNone/>
                          </a:pPr>
                          <a:r>
                            <a:rPr lang="fr-FR" sz="1700" b="1" dirty="0" smtClean="0"/>
                            <a:t>				Qui émet, qui régule</a:t>
                          </a:r>
                        </a:p>
                        <a:p>
                          <a:pPr marL="358775" lvl="2" indent="0" algn="just">
                            <a:buFont typeface="Wingdings" pitchFamily="2" charset="2"/>
                            <a:buNone/>
                          </a:pPr>
                          <a:endParaRPr lang="fr-FR" sz="1700" b="1" dirty="0" smtClean="0"/>
                        </a:p>
                        <a:p>
                          <a:pPr marL="358775" lvl="2" indent="0" algn="just">
                            <a:buFont typeface="Wingdings" pitchFamily="2" charset="2"/>
                            <a:buNone/>
                          </a:pPr>
                          <a:r>
                            <a:rPr lang="fr-FR" sz="1400" b="1" i="1" dirty="0" smtClean="0"/>
                            <a:t>							</a:t>
                          </a:r>
                          <a:r>
                            <a:rPr lang="fr-FR" sz="1600" b="1" i="1" dirty="0" smtClean="0"/>
                            <a:t>Le marché</a:t>
                          </a:r>
                        </a:p>
                        <a:p>
                          <a:pPr marL="358775" lvl="2" indent="0" algn="just">
                            <a:buFont typeface="Wingdings" pitchFamily="2" charset="2"/>
                            <a:buNone/>
                          </a:pPr>
                          <a:r>
                            <a:rPr lang="fr-FR" sz="1700" b="1" i="1" dirty="0" smtClean="0"/>
                            <a:t>					    Pouvoir politique</a:t>
                          </a:r>
                          <a:endParaRPr lang="fr-FR" sz="1700" i="1" dirty="0" smtClean="0"/>
                        </a:p>
                        <a:p>
                          <a:pPr marL="358775" lvl="2" indent="0" algn="just">
                            <a:buFont typeface="Wingdings" pitchFamily="2" charset="2"/>
                            <a:buNone/>
                          </a:pPr>
                          <a:endParaRPr lang="fr-FR" sz="1700" dirty="0" smtClean="0"/>
                        </a:p>
                        <a:p>
                          <a:pPr marL="0" indent="0">
                            <a:buFont typeface="Wingdings" pitchFamily="2" charset="2"/>
                            <a:buChar char="Ø"/>
                          </a:pPr>
                          <a:endParaRPr lang="fr-FR" sz="2000" dirty="0" smtClean="0"/>
                        </a:p>
                      </a:txBody>
                      <a:useSpRect/>
                    </a:txSp>
                  </a:sp>
                  <a:sp>
                    <a:nvSpPr>
                      <a:cNvPr id="27654" name="Line 6"/>
                      <a:cNvSpPr>
                        <a:spLocks noChangeShapeType="1"/>
                      </a:cNvSpPr>
                    </a:nvSpPr>
                    <a:spPr bwMode="auto">
                      <a:xfrm flipH="1">
                        <a:off x="4483100" y="4191000"/>
                        <a:ext cx="355600" cy="1143000"/>
                      </a:xfrm>
                      <a:prstGeom prst="line">
                        <a:avLst/>
                      </a:prstGeom>
                      <a:noFill/>
                      <a:ln w="38100">
                        <a:solidFill>
                          <a:schemeClr val="tx1"/>
                        </a:solidFill>
                        <a:round/>
                        <a:headEnd/>
                        <a:tailEnd type="triangle" w="med" len="med"/>
                      </a:ln>
                    </a:spPr>
                    <a:txSp>
                      <a:txBody>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27655" name="Line 7"/>
                      <a:cNvSpPr>
                        <a:spLocks noChangeShapeType="1"/>
                      </a:cNvSpPr>
                    </a:nvSpPr>
                    <a:spPr bwMode="auto">
                      <a:xfrm>
                        <a:off x="5232400" y="4203700"/>
                        <a:ext cx="546100" cy="673100"/>
                      </a:xfrm>
                      <a:prstGeom prst="line">
                        <a:avLst/>
                      </a:prstGeom>
                      <a:noFill/>
                      <a:ln w="38100">
                        <a:solidFill>
                          <a:schemeClr val="tx1"/>
                        </a:solidFill>
                        <a:round/>
                        <a:headEnd/>
                        <a:tailEnd type="triangle" w="med" len="med"/>
                      </a:ln>
                    </a:spPr>
                    <a:txSp>
                      <a:txBody>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27657" name="Oval 9"/>
                      <a:cNvSpPr>
                        <a:spLocks noChangeArrowheads="1"/>
                      </a:cNvSpPr>
                    </a:nvSpPr>
                    <a:spPr bwMode="auto">
                      <a:xfrm>
                        <a:off x="3086100" y="4318000"/>
                        <a:ext cx="6057900" cy="1955800"/>
                      </a:xfrm>
                      <a:prstGeom prst="ellipse">
                        <a:avLst/>
                      </a:prstGeom>
                      <a:noFill/>
                      <a:ln w="25400">
                        <a:solidFill>
                          <a:schemeClr val="tx1"/>
                        </a:solidFill>
                        <a:round/>
                        <a:headEnd/>
                        <a:tailEnd/>
                      </a:ln>
                    </a:spPr>
                    <a:txSp>
                      <a:txBody>
                        <a:bodyPr wrap="none" anchor="ct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a:sp>
                    <a:nvSpPr>
                      <a:cNvPr id="27659" name="Rectangle 11"/>
                      <a:cNvSpPr>
                        <a:spLocks noChangeArrowheads="1"/>
                      </a:cNvSpPr>
                    </a:nvSpPr>
                    <a:spPr bwMode="auto">
                      <a:xfrm>
                        <a:off x="355600" y="4953000"/>
                        <a:ext cx="2463800" cy="647700"/>
                      </a:xfrm>
                      <a:prstGeom prst="rect">
                        <a:avLst/>
                      </a:prstGeom>
                      <a:solidFill>
                        <a:schemeClr val="bg1"/>
                      </a:solidFill>
                      <a:ln w="25400">
                        <a:solidFill>
                          <a:schemeClr val="tx1"/>
                        </a:solidFill>
                        <a:miter lim="800000"/>
                        <a:headEnd/>
                        <a:tailEnd/>
                      </a:ln>
                    </a:spPr>
                    <a:txSp>
                      <a:txBody>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marL="358775" lvl="2" algn="just">
                            <a:spcBef>
                              <a:spcPct val="20000"/>
                            </a:spcBef>
                            <a:buClr>
                              <a:schemeClr val="accent2"/>
                            </a:buClr>
                            <a:buFont typeface="Wingdings" pitchFamily="2" charset="2"/>
                            <a:buNone/>
                          </a:pPr>
                          <a:r>
                            <a:rPr lang="fr-FR" sz="1700" b="1" dirty="0"/>
                            <a:t>POLITIQUE        </a:t>
                          </a:r>
                        </a:p>
                        <a:p>
                          <a:pPr marL="358775" lvl="2" algn="just">
                            <a:spcBef>
                              <a:spcPct val="20000"/>
                            </a:spcBef>
                            <a:buClr>
                              <a:schemeClr val="accent2"/>
                            </a:buClr>
                            <a:buFont typeface="Wingdings" pitchFamily="2" charset="2"/>
                            <a:buNone/>
                          </a:pPr>
                          <a:r>
                            <a:rPr lang="fr-FR" sz="1700" b="1" dirty="0"/>
                            <a:t>MONETAIRE</a:t>
                          </a:r>
                          <a:endParaRPr lang="fr-FR" sz="1700" dirty="0"/>
                        </a:p>
                      </a:txBody>
                      <a:useSpRect/>
                    </a:txSp>
                  </a:sp>
                  <a:sp>
                    <a:nvSpPr>
                      <a:cNvPr id="27660" name="Rectangle 12"/>
                      <a:cNvSpPr>
                        <a:spLocks noChangeArrowheads="1"/>
                      </a:cNvSpPr>
                    </a:nvSpPr>
                    <a:spPr bwMode="auto">
                      <a:xfrm>
                        <a:off x="254000" y="6108700"/>
                        <a:ext cx="2463800" cy="647700"/>
                      </a:xfrm>
                      <a:prstGeom prst="rect">
                        <a:avLst/>
                      </a:prstGeom>
                      <a:solidFill>
                        <a:srgbClr val="808080"/>
                      </a:solidFill>
                      <a:ln w="25400">
                        <a:noFill/>
                        <a:miter lim="800000"/>
                        <a:headEnd/>
                        <a:tailEnd/>
                      </a:ln>
                    </a:spPr>
                    <a:txSp>
                      <a:txBody>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marL="358775" lvl="2" algn="just">
                            <a:spcBef>
                              <a:spcPct val="20000"/>
                            </a:spcBef>
                            <a:buClr>
                              <a:schemeClr val="accent2"/>
                            </a:buClr>
                            <a:buFont typeface="Wingdings" pitchFamily="2" charset="2"/>
                            <a:buNone/>
                          </a:pPr>
                          <a:r>
                            <a:rPr lang="fr-FR" sz="1700" b="1" dirty="0"/>
                            <a:t>   Influence         </a:t>
                          </a:r>
                        </a:p>
                        <a:p>
                          <a:pPr marL="358775" lvl="2" algn="just">
                            <a:spcBef>
                              <a:spcPct val="20000"/>
                            </a:spcBef>
                            <a:buClr>
                              <a:schemeClr val="accent2"/>
                            </a:buClr>
                            <a:buFont typeface="Wingdings" pitchFamily="2" charset="2"/>
                            <a:buNone/>
                          </a:pPr>
                          <a:r>
                            <a:rPr lang="fr-FR" sz="1700" b="1" dirty="0"/>
                            <a:t>des Théories</a:t>
                          </a:r>
                          <a:endParaRPr lang="fr-FR" sz="1700" dirty="0"/>
                        </a:p>
                      </a:txBody>
                      <a:useSpRect/>
                    </a:txSp>
                  </a:sp>
                  <a:sp>
                    <a:nvSpPr>
                      <a:cNvPr id="14" name="Line 7"/>
                      <a:cNvSpPr>
                        <a:spLocks noChangeShapeType="1"/>
                      </a:cNvSpPr>
                    </a:nvSpPr>
                    <a:spPr bwMode="auto">
                      <a:xfrm>
                        <a:off x="6388100" y="4013200"/>
                        <a:ext cx="533400" cy="495300"/>
                      </a:xfrm>
                      <a:prstGeom prst="line">
                        <a:avLst/>
                      </a:prstGeom>
                      <a:noFill/>
                      <a:ln w="38100">
                        <a:solidFill>
                          <a:schemeClr val="tx1"/>
                        </a:solidFill>
                        <a:round/>
                        <a:headEnd/>
                        <a:tailEnd type="triangle" w="med" len="med"/>
                      </a:ln>
                    </a:spPr>
                    <a:txSp>
                      <a:txBody>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fr-FR"/>
                        </a:p>
                      </a:txBody>
                      <a:useSpRect/>
                    </a:txSp>
                  </a:sp>
                </lc:lockedCanvas>
              </a:graphicData>
            </a:graphic>
          </wp:inline>
        </w:drawing>
      </w:r>
    </w:p>
    <w:p w:rsidR="00B803A1" w:rsidRPr="00FA4826" w:rsidRDefault="003217EB" w:rsidP="00123CAF">
      <w:pPr>
        <w:spacing w:after="0"/>
        <w:rPr>
          <w:rFonts w:ascii="Arial" w:hAnsi="Arial" w:cs="Arial"/>
          <w:i w:val="0"/>
        </w:rPr>
      </w:pPr>
      <w:proofErr w:type="gramStart"/>
      <w:r w:rsidRPr="00FA4826">
        <w:rPr>
          <w:rFonts w:ascii="Arial" w:hAnsi="Arial" w:cs="Arial"/>
          <w:i w:val="0"/>
        </w:rPr>
        <w:t>Remarques</w:t>
      </w:r>
      <w:proofErr w:type="gramEnd"/>
      <w:r w:rsidRPr="00FA4826">
        <w:rPr>
          <w:rFonts w:ascii="Arial" w:hAnsi="Arial" w:cs="Arial"/>
          <w:i w:val="0"/>
        </w:rPr>
        <w:t xml:space="preserve"> : </w:t>
      </w:r>
    </w:p>
    <w:p w:rsidR="00FB1565" w:rsidRPr="00FA4826" w:rsidRDefault="00AA4EF0" w:rsidP="00C64C89">
      <w:pPr>
        <w:pStyle w:val="Paragraphedeliste"/>
        <w:numPr>
          <w:ilvl w:val="0"/>
          <w:numId w:val="1"/>
        </w:numPr>
        <w:spacing w:after="0"/>
        <w:rPr>
          <w:rFonts w:ascii="Arial" w:hAnsi="Arial" w:cs="Arial"/>
          <w:i w:val="0"/>
        </w:rPr>
      </w:pPr>
      <w:r w:rsidRPr="00FA4826">
        <w:rPr>
          <w:rFonts w:ascii="Arial" w:hAnsi="Arial" w:cs="Arial"/>
          <w:bCs/>
          <w:i w:val="0"/>
        </w:rPr>
        <w:t>Les théories n’expliquent pas de la même façon un même phénomène</w:t>
      </w:r>
    </w:p>
    <w:p w:rsidR="00FB1565" w:rsidRPr="00FA4826" w:rsidRDefault="00AA4EF0" w:rsidP="00C64C89">
      <w:pPr>
        <w:pStyle w:val="Paragraphedeliste"/>
        <w:numPr>
          <w:ilvl w:val="0"/>
          <w:numId w:val="1"/>
        </w:numPr>
        <w:spacing w:after="0"/>
        <w:rPr>
          <w:rFonts w:ascii="Arial" w:hAnsi="Arial" w:cs="Arial"/>
          <w:i w:val="0"/>
        </w:rPr>
      </w:pPr>
      <w:r w:rsidRPr="00FA4826">
        <w:rPr>
          <w:rFonts w:ascii="Arial" w:hAnsi="Arial" w:cs="Arial"/>
          <w:bCs/>
          <w:i w:val="0"/>
        </w:rPr>
        <w:t>Ne pas faire de liens trop rapides entre théories et phénomènes</w:t>
      </w:r>
    </w:p>
    <w:p w:rsidR="00A9016D" w:rsidRPr="00FA4826" w:rsidRDefault="00AA4EF0" w:rsidP="00C64C89">
      <w:pPr>
        <w:pStyle w:val="Paragraphedeliste"/>
        <w:numPr>
          <w:ilvl w:val="0"/>
          <w:numId w:val="1"/>
        </w:numPr>
        <w:spacing w:after="0"/>
        <w:rPr>
          <w:rFonts w:ascii="Arial" w:hAnsi="Arial" w:cs="Arial"/>
          <w:i w:val="0"/>
        </w:rPr>
      </w:pPr>
      <w:r w:rsidRPr="00FA4826">
        <w:rPr>
          <w:rFonts w:ascii="Arial" w:hAnsi="Arial" w:cs="Arial"/>
          <w:bCs/>
          <w:i w:val="0"/>
        </w:rPr>
        <w:t>On identifiera clairement les phénomènes et ensuite on se penchera sur les cadres théoriques</w:t>
      </w:r>
    </w:p>
    <w:p w:rsidR="00A7688E" w:rsidRPr="00FA4826" w:rsidRDefault="006D2C47" w:rsidP="00123CAF">
      <w:pPr>
        <w:pStyle w:val="Titre1"/>
        <w:rPr>
          <w:rFonts w:ascii="Arial" w:hAnsi="Arial" w:cs="Arial"/>
          <w:i w:val="0"/>
        </w:rPr>
      </w:pPr>
      <w:bookmarkStart w:id="0" w:name="_Toc379227115"/>
      <w:r w:rsidRPr="00FA4826">
        <w:rPr>
          <w:rFonts w:ascii="Arial" w:hAnsi="Arial" w:cs="Arial"/>
          <w:i w:val="0"/>
        </w:rPr>
        <w:t xml:space="preserve">II. </w:t>
      </w:r>
      <w:r w:rsidR="00A7688E" w:rsidRPr="00FA4826">
        <w:rPr>
          <w:rFonts w:ascii="Arial" w:hAnsi="Arial" w:cs="Arial"/>
          <w:i w:val="0"/>
        </w:rPr>
        <w:t>La création monétaire</w:t>
      </w:r>
      <w:bookmarkEnd w:id="0"/>
    </w:p>
    <w:p w:rsidR="00A7688E" w:rsidRPr="00FA4826" w:rsidRDefault="00A9016D" w:rsidP="00123CAF">
      <w:pPr>
        <w:pStyle w:val="Titre2"/>
        <w:rPr>
          <w:rFonts w:ascii="Arial" w:hAnsi="Arial" w:cs="Arial"/>
          <w:i w:val="0"/>
        </w:rPr>
      </w:pPr>
      <w:bookmarkStart w:id="1" w:name="_Toc379227116"/>
      <w:r w:rsidRPr="00FA4826">
        <w:rPr>
          <w:rFonts w:ascii="Arial" w:hAnsi="Arial" w:cs="Arial"/>
          <w:i w:val="0"/>
        </w:rPr>
        <w:t xml:space="preserve">1) </w:t>
      </w:r>
      <w:r w:rsidR="00A7688E" w:rsidRPr="00FA4826">
        <w:rPr>
          <w:rFonts w:ascii="Arial" w:hAnsi="Arial" w:cs="Arial"/>
          <w:i w:val="0"/>
        </w:rPr>
        <w:t>Histoire partielle de la création monétaire</w:t>
      </w:r>
      <w:bookmarkEnd w:id="1"/>
    </w:p>
    <w:p w:rsidR="00A7688E" w:rsidRPr="00FA4826" w:rsidRDefault="00A7688E" w:rsidP="00123CAF">
      <w:pPr>
        <w:pStyle w:val="Paragraphedeliste"/>
        <w:spacing w:after="0"/>
        <w:rPr>
          <w:rFonts w:ascii="Arial" w:hAnsi="Arial" w:cs="Arial"/>
          <w:i w:val="0"/>
        </w:rPr>
      </w:pPr>
    </w:p>
    <w:p w:rsidR="00A9016D" w:rsidRPr="00FA4826" w:rsidRDefault="00A7688E" w:rsidP="00C64C89">
      <w:pPr>
        <w:pStyle w:val="Titre3"/>
        <w:numPr>
          <w:ilvl w:val="0"/>
          <w:numId w:val="26"/>
        </w:numPr>
        <w:rPr>
          <w:rFonts w:ascii="Arial" w:hAnsi="Arial" w:cs="Arial"/>
          <w:i w:val="0"/>
        </w:rPr>
      </w:pPr>
      <w:bookmarkStart w:id="2" w:name="_Toc379227117"/>
      <w:r w:rsidRPr="00FA4826">
        <w:rPr>
          <w:rFonts w:ascii="Arial" w:hAnsi="Arial" w:cs="Arial"/>
          <w:i w:val="0"/>
        </w:rPr>
        <w:t>La référence métallique</w:t>
      </w:r>
      <w:bookmarkEnd w:id="2"/>
      <w:r w:rsidRPr="00FA4826">
        <w:rPr>
          <w:rFonts w:ascii="Arial" w:hAnsi="Arial" w:cs="Arial"/>
          <w:i w:val="0"/>
        </w:rPr>
        <w:t xml:space="preserve"> </w:t>
      </w:r>
    </w:p>
    <w:p w:rsidR="00A7688E" w:rsidRPr="00FA4826" w:rsidRDefault="00A7688E" w:rsidP="00123CAF">
      <w:pPr>
        <w:pStyle w:val="Paragraphedeliste"/>
        <w:spacing w:after="0"/>
        <w:ind w:left="1776"/>
        <w:rPr>
          <w:rFonts w:ascii="Arial" w:hAnsi="Arial" w:cs="Arial"/>
          <w:i w:val="0"/>
        </w:rPr>
      </w:pPr>
    </w:p>
    <w:p w:rsidR="00A7688E" w:rsidRPr="00FA4826" w:rsidRDefault="00A7688E" w:rsidP="00123CAF">
      <w:pPr>
        <w:spacing w:after="0"/>
        <w:rPr>
          <w:rFonts w:ascii="Arial" w:hAnsi="Arial" w:cs="Arial"/>
          <w:i w:val="0"/>
        </w:rPr>
      </w:pPr>
      <w:r w:rsidRPr="00FA4826">
        <w:rPr>
          <w:rFonts w:ascii="Arial" w:hAnsi="Arial" w:cs="Arial"/>
          <w:bCs/>
          <w:i w:val="0"/>
        </w:rPr>
        <w:t>Les monnaies métalliques en France :</w:t>
      </w:r>
    </w:p>
    <w:p w:rsidR="00A7688E" w:rsidRPr="00FA4826" w:rsidRDefault="00A7688E" w:rsidP="00C64C89">
      <w:pPr>
        <w:pStyle w:val="Paragraphedeliste"/>
        <w:numPr>
          <w:ilvl w:val="0"/>
          <w:numId w:val="2"/>
        </w:numPr>
        <w:spacing w:after="0"/>
        <w:rPr>
          <w:rFonts w:ascii="Arial" w:hAnsi="Arial" w:cs="Arial"/>
          <w:i w:val="0"/>
        </w:rPr>
      </w:pPr>
      <w:r w:rsidRPr="00FA4826">
        <w:rPr>
          <w:rFonts w:ascii="Arial" w:hAnsi="Arial" w:cs="Arial"/>
          <w:bCs/>
          <w:i w:val="0"/>
        </w:rPr>
        <w:t>Elles</w:t>
      </w:r>
      <w:r w:rsidR="00AA4EF0" w:rsidRPr="00FA4826">
        <w:rPr>
          <w:rFonts w:ascii="Arial" w:hAnsi="Arial" w:cs="Arial"/>
          <w:bCs/>
          <w:i w:val="0"/>
        </w:rPr>
        <w:t xml:space="preserve"> sont imposées et constituent la référence</w:t>
      </w:r>
    </w:p>
    <w:p w:rsidR="00A7688E" w:rsidRPr="00FA4826" w:rsidRDefault="00A7688E" w:rsidP="00C64C89">
      <w:pPr>
        <w:pStyle w:val="Paragraphedeliste"/>
        <w:numPr>
          <w:ilvl w:val="0"/>
          <w:numId w:val="2"/>
        </w:numPr>
        <w:spacing w:after="0"/>
        <w:rPr>
          <w:rFonts w:ascii="Arial" w:hAnsi="Arial" w:cs="Arial"/>
          <w:i w:val="0"/>
        </w:rPr>
      </w:pPr>
      <w:r w:rsidRPr="00FA4826">
        <w:rPr>
          <w:rFonts w:ascii="Arial" w:hAnsi="Arial" w:cs="Arial"/>
          <w:bCs/>
          <w:i w:val="0"/>
        </w:rPr>
        <w:t xml:space="preserve">Plusieurs monnaies circulent ainsi que </w:t>
      </w:r>
      <w:r w:rsidR="00AA4EF0" w:rsidRPr="00FA4826">
        <w:rPr>
          <w:rFonts w:ascii="Arial" w:hAnsi="Arial" w:cs="Arial"/>
          <w:bCs/>
          <w:i w:val="0"/>
        </w:rPr>
        <w:t>des lettre</w:t>
      </w:r>
      <w:r w:rsidRPr="00FA4826">
        <w:rPr>
          <w:rFonts w:ascii="Arial" w:hAnsi="Arial" w:cs="Arial"/>
          <w:bCs/>
          <w:i w:val="0"/>
        </w:rPr>
        <w:t>s</w:t>
      </w:r>
      <w:r w:rsidR="00AA4EF0" w:rsidRPr="00FA4826">
        <w:rPr>
          <w:rFonts w:ascii="Arial" w:hAnsi="Arial" w:cs="Arial"/>
          <w:bCs/>
          <w:i w:val="0"/>
        </w:rPr>
        <w:t xml:space="preserve"> de change</w:t>
      </w:r>
    </w:p>
    <w:p w:rsidR="00A7688E" w:rsidRPr="00FA4826" w:rsidRDefault="00AA4EF0" w:rsidP="00C64C89">
      <w:pPr>
        <w:pStyle w:val="Paragraphedeliste"/>
        <w:numPr>
          <w:ilvl w:val="0"/>
          <w:numId w:val="2"/>
        </w:numPr>
        <w:spacing w:after="0"/>
        <w:rPr>
          <w:rFonts w:ascii="Arial" w:hAnsi="Arial" w:cs="Arial"/>
          <w:i w:val="0"/>
        </w:rPr>
      </w:pPr>
      <w:r w:rsidRPr="00FA4826">
        <w:rPr>
          <w:rFonts w:ascii="Arial" w:hAnsi="Arial" w:cs="Arial"/>
          <w:bCs/>
          <w:i w:val="0"/>
        </w:rPr>
        <w:t>Innovation conceptuelle : Etalon métallique (or) (début XIX)</w:t>
      </w:r>
    </w:p>
    <w:p w:rsidR="00324394" w:rsidRPr="00FA4826" w:rsidRDefault="00324394" w:rsidP="00324394">
      <w:pPr>
        <w:pStyle w:val="Paragraphedeliste"/>
        <w:spacing w:after="0"/>
        <w:rPr>
          <w:rFonts w:ascii="Arial" w:hAnsi="Arial" w:cs="Arial"/>
          <w:i w:val="0"/>
        </w:rPr>
      </w:pPr>
    </w:p>
    <w:p w:rsidR="00A7688E" w:rsidRPr="00FA4826" w:rsidRDefault="00AA4EF0" w:rsidP="00C64C89">
      <w:pPr>
        <w:pStyle w:val="Paragraphedeliste"/>
        <w:numPr>
          <w:ilvl w:val="0"/>
          <w:numId w:val="2"/>
        </w:numPr>
        <w:spacing w:after="0"/>
        <w:rPr>
          <w:rFonts w:ascii="Arial" w:hAnsi="Arial" w:cs="Arial"/>
          <w:i w:val="0"/>
        </w:rPr>
      </w:pPr>
      <w:r w:rsidRPr="00FA4826">
        <w:rPr>
          <w:rFonts w:ascii="Arial" w:hAnsi="Arial" w:cs="Arial"/>
          <w:bCs/>
          <w:i w:val="0"/>
        </w:rPr>
        <w:lastRenderedPageBreak/>
        <w:t>Création de la Banque Centrale (1800)</w:t>
      </w:r>
    </w:p>
    <w:p w:rsidR="00FB1565" w:rsidRPr="00FA4826" w:rsidRDefault="00AA4EF0" w:rsidP="00C64C89">
      <w:pPr>
        <w:pStyle w:val="Paragraphedeliste"/>
        <w:numPr>
          <w:ilvl w:val="0"/>
          <w:numId w:val="3"/>
        </w:numPr>
        <w:spacing w:after="0"/>
        <w:rPr>
          <w:rFonts w:ascii="Arial" w:hAnsi="Arial" w:cs="Arial"/>
          <w:i w:val="0"/>
        </w:rPr>
      </w:pPr>
      <w:r w:rsidRPr="00FA4826">
        <w:rPr>
          <w:rFonts w:ascii="Arial" w:hAnsi="Arial" w:cs="Arial"/>
          <w:bCs/>
          <w:i w:val="0"/>
        </w:rPr>
        <w:t xml:space="preserve">Bimétallisme (loi du 7 germinal an XI (28 mars 1803). </w:t>
      </w:r>
      <w:r w:rsidR="00A7688E" w:rsidRPr="00FA4826">
        <w:rPr>
          <w:rFonts w:ascii="Arial" w:hAnsi="Arial" w:cs="Arial"/>
          <w:bCs/>
          <w:i w:val="0"/>
        </w:rPr>
        <w:t>Nono métallisme</w:t>
      </w:r>
      <w:r w:rsidRPr="00FA4826">
        <w:rPr>
          <w:rFonts w:ascii="Arial" w:hAnsi="Arial" w:cs="Arial"/>
          <w:bCs/>
          <w:i w:val="0"/>
        </w:rPr>
        <w:t>, 1870</w:t>
      </w:r>
    </w:p>
    <w:p w:rsidR="00FB1565" w:rsidRPr="00FA4826" w:rsidRDefault="00AA4EF0" w:rsidP="00C64C89">
      <w:pPr>
        <w:pStyle w:val="Paragraphedeliste"/>
        <w:numPr>
          <w:ilvl w:val="0"/>
          <w:numId w:val="3"/>
        </w:numPr>
        <w:spacing w:after="0"/>
        <w:rPr>
          <w:rFonts w:ascii="Arial" w:hAnsi="Arial" w:cs="Arial"/>
          <w:i w:val="0"/>
        </w:rPr>
      </w:pPr>
      <w:r w:rsidRPr="00FA4826">
        <w:rPr>
          <w:rFonts w:ascii="Arial" w:hAnsi="Arial" w:cs="Arial"/>
          <w:bCs/>
          <w:i w:val="0"/>
        </w:rPr>
        <w:t xml:space="preserve">Franc Germinal (franc Germinal, sa valeur or durera presque un siècle) </w:t>
      </w:r>
    </w:p>
    <w:p w:rsidR="00FB1565" w:rsidRPr="00FA4826" w:rsidRDefault="00AA4EF0" w:rsidP="00123CAF">
      <w:pPr>
        <w:spacing w:after="0"/>
        <w:rPr>
          <w:rFonts w:ascii="Arial" w:hAnsi="Arial" w:cs="Arial"/>
          <w:i w:val="0"/>
        </w:rPr>
      </w:pPr>
      <w:r w:rsidRPr="00FA4826">
        <w:rPr>
          <w:rFonts w:ascii="Arial" w:hAnsi="Arial" w:cs="Arial"/>
          <w:bCs/>
          <w:i w:val="0"/>
        </w:rPr>
        <w:t>Pourquoi une banque centrale :</w:t>
      </w:r>
    </w:p>
    <w:p w:rsidR="00FB1565" w:rsidRPr="00FA4826" w:rsidRDefault="00AA4EF0" w:rsidP="00C64C89">
      <w:pPr>
        <w:pStyle w:val="Paragraphedeliste"/>
        <w:numPr>
          <w:ilvl w:val="0"/>
          <w:numId w:val="4"/>
        </w:numPr>
        <w:spacing w:after="0"/>
        <w:rPr>
          <w:rFonts w:ascii="Arial" w:hAnsi="Arial" w:cs="Arial"/>
          <w:i w:val="0"/>
        </w:rPr>
      </w:pPr>
      <w:r w:rsidRPr="00FA4826">
        <w:rPr>
          <w:rFonts w:ascii="Arial" w:hAnsi="Arial" w:cs="Arial"/>
          <w:bCs/>
          <w:i w:val="0"/>
        </w:rPr>
        <w:t>Prêter à l’Etat</w:t>
      </w:r>
    </w:p>
    <w:p w:rsidR="00FB1565" w:rsidRPr="00FA4826" w:rsidRDefault="00AA4EF0" w:rsidP="00C64C89">
      <w:pPr>
        <w:pStyle w:val="Paragraphedeliste"/>
        <w:numPr>
          <w:ilvl w:val="0"/>
          <w:numId w:val="4"/>
        </w:numPr>
        <w:spacing w:after="0"/>
        <w:rPr>
          <w:rFonts w:ascii="Arial" w:hAnsi="Arial" w:cs="Arial"/>
          <w:i w:val="0"/>
        </w:rPr>
      </w:pPr>
      <w:r w:rsidRPr="00FA4826">
        <w:rPr>
          <w:rFonts w:ascii="Arial" w:hAnsi="Arial" w:cs="Arial"/>
          <w:bCs/>
          <w:i w:val="0"/>
        </w:rPr>
        <w:t>Emettre des billets convertibles pour financer le commerce et l’industrie</w:t>
      </w:r>
    </w:p>
    <w:p w:rsidR="00FB1565" w:rsidRPr="00FA4826" w:rsidRDefault="00AA4EF0" w:rsidP="00123CAF">
      <w:pPr>
        <w:spacing w:after="0"/>
        <w:rPr>
          <w:rFonts w:ascii="Arial" w:hAnsi="Arial" w:cs="Arial"/>
          <w:bCs/>
          <w:i w:val="0"/>
        </w:rPr>
      </w:pPr>
      <w:r w:rsidRPr="00FA4826">
        <w:rPr>
          <w:rFonts w:ascii="Arial" w:hAnsi="Arial" w:cs="Arial"/>
          <w:bCs/>
          <w:i w:val="0"/>
        </w:rPr>
        <w:t xml:space="preserve">Les billets ont un cours légal (1848) et la banque centrale </w:t>
      </w:r>
      <w:proofErr w:type="gramStart"/>
      <w:r w:rsidRPr="00FA4826">
        <w:rPr>
          <w:rFonts w:ascii="Arial" w:hAnsi="Arial" w:cs="Arial"/>
          <w:bCs/>
          <w:i w:val="0"/>
        </w:rPr>
        <w:t>a</w:t>
      </w:r>
      <w:proofErr w:type="gramEnd"/>
      <w:r w:rsidRPr="00FA4826">
        <w:rPr>
          <w:rFonts w:ascii="Arial" w:hAnsi="Arial" w:cs="Arial"/>
          <w:bCs/>
          <w:i w:val="0"/>
        </w:rPr>
        <w:t xml:space="preserve"> le privilège de l’émission</w:t>
      </w:r>
      <w:r w:rsidR="00B2658B" w:rsidRPr="00FA4826">
        <w:rPr>
          <w:rFonts w:ascii="Arial" w:hAnsi="Arial" w:cs="Arial"/>
          <w:bCs/>
          <w:i w:val="0"/>
        </w:rPr>
        <w:t xml:space="preserve">. </w:t>
      </w:r>
      <w:r w:rsidRPr="00FA4826">
        <w:rPr>
          <w:rFonts w:ascii="Arial" w:hAnsi="Arial" w:cs="Arial"/>
          <w:bCs/>
          <w:i w:val="0"/>
        </w:rPr>
        <w:t xml:space="preserve">La création </w:t>
      </w:r>
      <w:r w:rsidR="00B2658B" w:rsidRPr="00FA4826">
        <w:rPr>
          <w:rFonts w:ascii="Arial" w:hAnsi="Arial" w:cs="Arial"/>
          <w:bCs/>
          <w:i w:val="0"/>
        </w:rPr>
        <w:t>monétaire dépend de la quantité</w:t>
      </w:r>
      <w:r w:rsidRPr="00FA4826">
        <w:rPr>
          <w:rFonts w:ascii="Arial" w:hAnsi="Arial" w:cs="Arial"/>
          <w:bCs/>
          <w:i w:val="0"/>
        </w:rPr>
        <w:t xml:space="preserve"> d’or</w:t>
      </w:r>
      <w:r w:rsidR="00B2658B" w:rsidRPr="00FA4826">
        <w:rPr>
          <w:rFonts w:ascii="Arial" w:hAnsi="Arial" w:cs="Arial"/>
          <w:bCs/>
          <w:i w:val="0"/>
        </w:rPr>
        <w:t>.</w:t>
      </w:r>
    </w:p>
    <w:p w:rsidR="00B2658B" w:rsidRPr="00FA4826" w:rsidRDefault="00D66D28" w:rsidP="00D66D28">
      <w:pPr>
        <w:spacing w:after="0"/>
        <w:jc w:val="center"/>
        <w:rPr>
          <w:rFonts w:ascii="Arial" w:hAnsi="Arial" w:cs="Arial"/>
          <w:i w:val="0"/>
        </w:rPr>
      </w:pPr>
      <w:r w:rsidRPr="00FA4826">
        <w:rPr>
          <w:rFonts w:ascii="Arial" w:hAnsi="Arial" w:cs="Arial"/>
          <w:bCs/>
          <w:i w:val="0"/>
          <w:noProof/>
          <w:lang w:eastAsia="fr-FR"/>
        </w:rPr>
        <w:drawing>
          <wp:inline distT="0" distB="0" distL="0" distR="0" wp14:anchorId="36975F11" wp14:editId="6826D216">
            <wp:extent cx="2372360" cy="122491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72360" cy="1224915"/>
                    </a:xfrm>
                    <a:prstGeom prst="rect">
                      <a:avLst/>
                    </a:prstGeom>
                    <a:noFill/>
                    <a:ln>
                      <a:noFill/>
                    </a:ln>
                  </pic:spPr>
                </pic:pic>
              </a:graphicData>
            </a:graphic>
          </wp:inline>
        </w:drawing>
      </w:r>
    </w:p>
    <w:p w:rsidR="00B2658B" w:rsidRPr="00FA4826" w:rsidRDefault="006E7BC4" w:rsidP="00123CAF">
      <w:pPr>
        <w:spacing w:after="0"/>
        <w:jc w:val="right"/>
        <w:rPr>
          <w:rFonts w:ascii="Arial" w:hAnsi="Arial" w:cs="Arial"/>
          <w:i w:val="0"/>
        </w:rPr>
      </w:pPr>
      <w:r w:rsidRPr="00FA4826">
        <w:rPr>
          <w:rFonts w:ascii="Arial" w:hAnsi="Arial" w:cs="Arial"/>
          <w:i w:val="0"/>
        </w:rPr>
        <w:t>15/02/2011</w:t>
      </w:r>
    </w:p>
    <w:p w:rsidR="00BF583B" w:rsidRPr="00FA4826" w:rsidRDefault="002F12C1" w:rsidP="00123CAF">
      <w:pPr>
        <w:spacing w:after="0"/>
        <w:rPr>
          <w:rFonts w:ascii="Arial" w:hAnsi="Arial" w:cs="Arial"/>
          <w:i w:val="0"/>
        </w:rPr>
      </w:pPr>
      <w:r w:rsidRPr="00FA4826">
        <w:rPr>
          <w:rFonts w:ascii="Arial" w:hAnsi="Arial" w:cs="Arial"/>
          <w:i w:val="0"/>
        </w:rPr>
        <w:t xml:space="preserve">Les monnaies métalliques en France : le fait qu’il n’y ait qu’une seule monnaie en France est assez récent, cela fait environ 350 ans, ensuite il y a eu évolution de la monnaie. Après la révolution, on a commencé à faire de plus en plus de billets et le principe était d’avoir un franc en or que l’on a dans les caisses de la Banque et on peut changer ce franc en billet parce que </w:t>
      </w:r>
      <w:proofErr w:type="spellStart"/>
      <w:r w:rsidRPr="00FA4826">
        <w:rPr>
          <w:rFonts w:ascii="Arial" w:hAnsi="Arial" w:cs="Arial"/>
          <w:i w:val="0"/>
        </w:rPr>
        <w:t>ca</w:t>
      </w:r>
      <w:proofErr w:type="spellEnd"/>
      <w:r w:rsidRPr="00FA4826">
        <w:rPr>
          <w:rFonts w:ascii="Arial" w:hAnsi="Arial" w:cs="Arial"/>
          <w:i w:val="0"/>
        </w:rPr>
        <w:t xml:space="preserve"> circule plus facilement. Rapidement on n’avait pas assez d’or pour répondre à la demande de monnaie. Le billet est une dette qui circule</w:t>
      </w:r>
      <w:r w:rsidR="00BF583B" w:rsidRPr="00FA4826">
        <w:rPr>
          <w:rFonts w:ascii="Arial" w:hAnsi="Arial" w:cs="Arial"/>
          <w:i w:val="0"/>
        </w:rPr>
        <w:t>.</w:t>
      </w:r>
    </w:p>
    <w:p w:rsidR="002F12C1" w:rsidRPr="00FA4826" w:rsidRDefault="002F12C1" w:rsidP="00123CAF">
      <w:pPr>
        <w:spacing w:after="0"/>
        <w:rPr>
          <w:rFonts w:ascii="Arial" w:hAnsi="Arial" w:cs="Arial"/>
          <w:i w:val="0"/>
        </w:rPr>
      </w:pPr>
    </w:p>
    <w:p w:rsidR="00BF583B" w:rsidRPr="00FA4826" w:rsidRDefault="002F12C1" w:rsidP="00123CAF">
      <w:pPr>
        <w:spacing w:after="0"/>
        <w:rPr>
          <w:rFonts w:ascii="Arial" w:hAnsi="Arial" w:cs="Arial"/>
          <w:i w:val="0"/>
        </w:rPr>
      </w:pPr>
      <w:r w:rsidRPr="00FA4826">
        <w:rPr>
          <w:rFonts w:ascii="Arial" w:hAnsi="Arial" w:cs="Arial"/>
          <w:i w:val="0"/>
        </w:rPr>
        <w:t>A partir de 1848, il y a eu le cours légal et on ne peut plus refuser la monnaie papier car les gens n’avaient pas confiance mais elle est quand même échangeable en or. Dans le bilan de la Banque de France, on avait à l’actif de l’or et au passif de la monnaie. On va mettre à l’actif ce dont on a besoin et au passif comment on l’a acquis. Dans le bilan de la Banque de France au 19</w:t>
      </w:r>
      <w:r w:rsidRPr="00FA4826">
        <w:rPr>
          <w:rFonts w:ascii="Arial" w:hAnsi="Arial" w:cs="Arial"/>
          <w:i w:val="0"/>
          <w:vertAlign w:val="superscript"/>
        </w:rPr>
        <w:t>e</w:t>
      </w:r>
      <w:r w:rsidRPr="00FA4826">
        <w:rPr>
          <w:rFonts w:ascii="Arial" w:hAnsi="Arial" w:cs="Arial"/>
          <w:i w:val="0"/>
        </w:rPr>
        <w:t xml:space="preserve"> siècle, on avait donc dans l’actif l’or. Rapidement on s’est rendu compte qu’il était difficile de se procurer de l’or et rapidement on s’est mis à émettre beaucoup de papier alors qu’on n’avait pas d’or mais les banquiers pensaient que </w:t>
      </w:r>
      <w:proofErr w:type="spellStart"/>
      <w:r w:rsidRPr="00FA4826">
        <w:rPr>
          <w:rFonts w:ascii="Arial" w:hAnsi="Arial" w:cs="Arial"/>
          <w:i w:val="0"/>
        </w:rPr>
        <w:t>ca</w:t>
      </w:r>
      <w:proofErr w:type="spellEnd"/>
      <w:r w:rsidRPr="00FA4826">
        <w:rPr>
          <w:rFonts w:ascii="Arial" w:hAnsi="Arial" w:cs="Arial"/>
          <w:i w:val="0"/>
        </w:rPr>
        <w:t xml:space="preserve"> fonctionnerait parce que tout le monde n’irait pas chercher son or en même temps. Mais il y a eu des petits problèmes et avant la guerre 14-18 la quantité d’or ne représentait même pas 30% de la quantité papier donc tout le monde ne pourrait pas récupérer son or. Il a donc été appliqué une loi : le cours forcé : un franc or = un franc papier mais vous n’avez plus le droit de récupérer votre or. A partir de la première guerre mondiale, on a abandonné la référence or parce qu’elle ne fonctionnait plus.</w:t>
      </w:r>
    </w:p>
    <w:p w:rsidR="002F12C1" w:rsidRPr="00FA4826" w:rsidRDefault="002F12C1" w:rsidP="00123CAF">
      <w:pPr>
        <w:spacing w:after="0"/>
        <w:rPr>
          <w:rFonts w:ascii="Arial" w:hAnsi="Arial" w:cs="Arial"/>
          <w:i w:val="0"/>
        </w:rPr>
      </w:pPr>
    </w:p>
    <w:p w:rsidR="002F12C1" w:rsidRPr="00FA4826" w:rsidRDefault="002F12C1" w:rsidP="00123CAF">
      <w:pPr>
        <w:spacing w:after="0"/>
        <w:rPr>
          <w:rFonts w:ascii="Arial" w:hAnsi="Arial" w:cs="Arial"/>
          <w:i w:val="0"/>
        </w:rPr>
      </w:pPr>
      <w:r w:rsidRPr="00FA4826">
        <w:rPr>
          <w:rFonts w:ascii="Arial" w:hAnsi="Arial" w:cs="Arial"/>
          <w:b/>
          <w:i w:val="0"/>
        </w:rPr>
        <w:t>Important :</w:t>
      </w:r>
      <w:r w:rsidRPr="00FA4826">
        <w:rPr>
          <w:rFonts w:ascii="Arial" w:hAnsi="Arial" w:cs="Arial"/>
          <w:i w:val="0"/>
        </w:rPr>
        <w:t xml:space="preserve"> avant 1</w:t>
      </w:r>
      <w:r w:rsidRPr="00FA4826">
        <w:rPr>
          <w:rFonts w:ascii="Arial" w:hAnsi="Arial" w:cs="Arial"/>
          <w:i w:val="0"/>
          <w:vertAlign w:val="superscript"/>
        </w:rPr>
        <w:t>ère</w:t>
      </w:r>
      <w:r w:rsidRPr="00FA4826">
        <w:rPr>
          <w:rFonts w:ascii="Arial" w:hAnsi="Arial" w:cs="Arial"/>
          <w:i w:val="0"/>
        </w:rPr>
        <w:t xml:space="preserve"> guerre mondiale : monnaie papier = or. Après cette équivalence a été abandonné et la monnaie papier ne correspond plus à des quantités d’or. </w:t>
      </w:r>
    </w:p>
    <w:p w:rsidR="002F12C1" w:rsidRPr="00FA4826" w:rsidRDefault="002F12C1" w:rsidP="00123CAF">
      <w:pPr>
        <w:spacing w:after="0"/>
        <w:rPr>
          <w:rFonts w:ascii="Arial" w:hAnsi="Arial" w:cs="Arial"/>
          <w:i w:val="0"/>
        </w:rPr>
      </w:pPr>
      <w:r w:rsidRPr="00FA4826">
        <w:rPr>
          <w:rFonts w:ascii="Arial" w:hAnsi="Arial" w:cs="Arial"/>
          <w:i w:val="0"/>
        </w:rPr>
        <w:t>En France, il y a eu un court épisode : le franc Pointcarré en 1928, il a réimposé la référence or mais cela n’a vécu qu’un an.</w:t>
      </w:r>
    </w:p>
    <w:p w:rsidR="002F12C1" w:rsidRPr="00FA4826" w:rsidRDefault="002F12C1" w:rsidP="00123CAF">
      <w:pPr>
        <w:spacing w:after="0"/>
        <w:rPr>
          <w:rFonts w:ascii="Arial" w:hAnsi="Arial" w:cs="Arial"/>
          <w:i w:val="0"/>
        </w:rPr>
      </w:pPr>
      <w:r w:rsidRPr="00FA4826">
        <w:rPr>
          <w:rFonts w:ascii="Arial" w:hAnsi="Arial" w:cs="Arial"/>
          <w:i w:val="0"/>
        </w:rPr>
        <w:t>La monnaie véritablement forte c’est le dollar car de 1944 (</w:t>
      </w:r>
      <w:proofErr w:type="spellStart"/>
      <w:r w:rsidRPr="00FA4826">
        <w:rPr>
          <w:rFonts w:ascii="Arial" w:hAnsi="Arial" w:cs="Arial"/>
          <w:i w:val="0"/>
        </w:rPr>
        <w:t>Bretton</w:t>
      </w:r>
      <w:proofErr w:type="spellEnd"/>
      <w:r w:rsidRPr="00FA4826">
        <w:rPr>
          <w:rFonts w:ascii="Arial" w:hAnsi="Arial" w:cs="Arial"/>
          <w:i w:val="0"/>
        </w:rPr>
        <w:t xml:space="preserve"> </w:t>
      </w:r>
      <w:proofErr w:type="spellStart"/>
      <w:r w:rsidRPr="00FA4826">
        <w:rPr>
          <w:rFonts w:ascii="Arial" w:hAnsi="Arial" w:cs="Arial"/>
          <w:i w:val="0"/>
        </w:rPr>
        <w:t>Woods</w:t>
      </w:r>
      <w:proofErr w:type="spellEnd"/>
      <w:r w:rsidRPr="00FA4826">
        <w:rPr>
          <w:rFonts w:ascii="Arial" w:hAnsi="Arial" w:cs="Arial"/>
          <w:i w:val="0"/>
        </w:rPr>
        <w:t xml:space="preserve">) à 1971, le dollar équivaut à l’or. Mais en 1971, on s’est rendu qu’il y avait trop de dollar pour la quantité d’or. Donc aujourd’hui il n’y a plus de monnaie qui ait de référence métallique. </w:t>
      </w:r>
    </w:p>
    <w:p w:rsidR="00D66D28" w:rsidRPr="00FA4826" w:rsidRDefault="00D66D28" w:rsidP="00123CAF">
      <w:pPr>
        <w:spacing w:after="0"/>
        <w:rPr>
          <w:rFonts w:ascii="Arial" w:hAnsi="Arial" w:cs="Arial"/>
          <w:i w:val="0"/>
        </w:rPr>
      </w:pPr>
    </w:p>
    <w:p w:rsidR="002F12C1" w:rsidRPr="00FA4826" w:rsidRDefault="002F12C1" w:rsidP="00123CAF">
      <w:pPr>
        <w:spacing w:after="0"/>
        <w:rPr>
          <w:rFonts w:ascii="Arial" w:hAnsi="Arial" w:cs="Arial"/>
          <w:b/>
          <w:i w:val="0"/>
        </w:rPr>
      </w:pPr>
      <w:proofErr w:type="gramStart"/>
      <w:r w:rsidRPr="00FA4826">
        <w:rPr>
          <w:rFonts w:ascii="Arial" w:hAnsi="Arial" w:cs="Arial"/>
          <w:b/>
          <w:i w:val="0"/>
        </w:rPr>
        <w:t>Remarques</w:t>
      </w:r>
      <w:proofErr w:type="gramEnd"/>
      <w:r w:rsidRPr="00FA4826">
        <w:rPr>
          <w:rFonts w:ascii="Arial" w:hAnsi="Arial" w:cs="Arial"/>
          <w:b/>
          <w:i w:val="0"/>
        </w:rPr>
        <w:t xml:space="preserve"> : </w:t>
      </w:r>
    </w:p>
    <w:p w:rsidR="00BF583B" w:rsidRPr="00FA4826" w:rsidRDefault="002F12C1" w:rsidP="00C64C89">
      <w:pPr>
        <w:pStyle w:val="Paragraphedeliste"/>
        <w:numPr>
          <w:ilvl w:val="0"/>
          <w:numId w:val="5"/>
        </w:numPr>
        <w:spacing w:after="0"/>
        <w:rPr>
          <w:rFonts w:ascii="Arial" w:hAnsi="Arial" w:cs="Arial"/>
          <w:i w:val="0"/>
        </w:rPr>
      </w:pPr>
      <w:r w:rsidRPr="00FA4826">
        <w:rPr>
          <w:rFonts w:ascii="Arial" w:hAnsi="Arial" w:cs="Arial"/>
          <w:i w:val="0"/>
        </w:rPr>
        <w:t xml:space="preserve">Les banques centrales n’apparaissent pas toute au même moment : Suède : 1667, RU : 1664, US : 1913. Avant 1913, aux USA, il y avait différentes monnaies, les états pouvaient frapper la monnaie. Par exemple, si l’état de Louisiane avait besoin d’argent pour payer son fonctionnaire, l’état créer une monnaie spécifique à la Louisiane avec laquelle il pouvait les payer. Mais cette forme de monétarisme a posé des problèmes nationaux, il y avait des états qui possédaient beaucoup de richesses et il voulait prendre de l’indépendance par rapport à l’état central au niveau monétaire pour pouvoir jouer avec les taux de change. Ces logiques mettaient en cause l’unité nationale et le gouvernement fédéral des USA a dit stop à toutes ces monnaies en 1913 et ce fut le dollar. Le symbole de cette monnaie unique c’est 1 dollar car le 1 signifie le dollar mais aussi UNE monnaie aux USA (unification monétaire aux </w:t>
      </w:r>
      <w:proofErr w:type="spellStart"/>
      <w:r w:rsidRPr="00FA4826">
        <w:rPr>
          <w:rFonts w:ascii="Arial" w:hAnsi="Arial" w:cs="Arial"/>
          <w:i w:val="0"/>
        </w:rPr>
        <w:t>Etat-Unis</w:t>
      </w:r>
      <w:proofErr w:type="spellEnd"/>
      <w:r w:rsidRPr="00FA4826">
        <w:rPr>
          <w:rFonts w:ascii="Arial" w:hAnsi="Arial" w:cs="Arial"/>
          <w:i w:val="0"/>
        </w:rPr>
        <w:t>)</w:t>
      </w:r>
    </w:p>
    <w:p w:rsidR="002F12C1" w:rsidRPr="00FA4826" w:rsidRDefault="002F12C1" w:rsidP="00123CAF">
      <w:pPr>
        <w:pStyle w:val="Paragraphedeliste"/>
        <w:spacing w:after="0"/>
        <w:rPr>
          <w:rFonts w:ascii="Arial" w:hAnsi="Arial" w:cs="Arial"/>
          <w:i w:val="0"/>
        </w:rPr>
      </w:pPr>
    </w:p>
    <w:p w:rsidR="002F12C1" w:rsidRPr="00FA4826" w:rsidRDefault="002F12C1" w:rsidP="00C64C89">
      <w:pPr>
        <w:pStyle w:val="Paragraphedeliste"/>
        <w:numPr>
          <w:ilvl w:val="0"/>
          <w:numId w:val="5"/>
        </w:numPr>
        <w:spacing w:after="0"/>
        <w:rPr>
          <w:rFonts w:ascii="Arial" w:hAnsi="Arial" w:cs="Arial"/>
          <w:i w:val="0"/>
        </w:rPr>
      </w:pPr>
      <w:r w:rsidRPr="00FA4826">
        <w:rPr>
          <w:rFonts w:ascii="Arial" w:hAnsi="Arial" w:cs="Arial"/>
          <w:i w:val="0"/>
        </w:rPr>
        <w:lastRenderedPageBreak/>
        <w:t xml:space="preserve">Historiquement, les banques privées avaient le droit de seigneuriage. Exemple : la France a occupé la péninsule indochinoise, la France lui a imposé la piastre d’Indochine et la France avait donné à une banque privée le monopole de la création de la monnaie. C’était très </w:t>
      </w:r>
      <w:proofErr w:type="gramStart"/>
      <w:r w:rsidRPr="00FA4826">
        <w:rPr>
          <w:rFonts w:ascii="Arial" w:hAnsi="Arial" w:cs="Arial"/>
          <w:i w:val="0"/>
        </w:rPr>
        <w:t>intéressant</w:t>
      </w:r>
      <w:proofErr w:type="gramEnd"/>
      <w:r w:rsidRPr="00FA4826">
        <w:rPr>
          <w:rFonts w:ascii="Arial" w:hAnsi="Arial" w:cs="Arial"/>
          <w:i w:val="0"/>
        </w:rPr>
        <w:t xml:space="preserve"> pour cette banque privée car elle achetait sur le marché de l’argent et faisait des bénéfices avec ce monopole.</w:t>
      </w:r>
    </w:p>
    <w:p w:rsidR="00BF583B" w:rsidRPr="00FA4826" w:rsidRDefault="00BF583B" w:rsidP="00123CAF">
      <w:pPr>
        <w:pStyle w:val="Paragraphedeliste"/>
        <w:spacing w:after="0"/>
        <w:rPr>
          <w:rFonts w:ascii="Arial" w:hAnsi="Arial" w:cs="Arial"/>
          <w:i w:val="0"/>
        </w:rPr>
      </w:pPr>
    </w:p>
    <w:p w:rsidR="002F12C1" w:rsidRPr="00FA4826" w:rsidRDefault="002F12C1" w:rsidP="00123CAF">
      <w:pPr>
        <w:pStyle w:val="Paragraphedeliste"/>
        <w:spacing w:after="0"/>
        <w:rPr>
          <w:rFonts w:ascii="Arial" w:hAnsi="Arial" w:cs="Arial"/>
          <w:i w:val="0"/>
        </w:rPr>
      </w:pPr>
    </w:p>
    <w:p w:rsidR="00BF583B" w:rsidRPr="00FA4826" w:rsidRDefault="002F12C1" w:rsidP="00C64C89">
      <w:pPr>
        <w:pStyle w:val="Titre3"/>
        <w:numPr>
          <w:ilvl w:val="0"/>
          <w:numId w:val="26"/>
        </w:numPr>
        <w:rPr>
          <w:rFonts w:ascii="Arial" w:hAnsi="Arial" w:cs="Arial"/>
          <w:i w:val="0"/>
        </w:rPr>
      </w:pPr>
      <w:bookmarkStart w:id="3" w:name="_Toc379227118"/>
      <w:r w:rsidRPr="00FA4826">
        <w:rPr>
          <w:rFonts w:ascii="Arial" w:hAnsi="Arial" w:cs="Arial"/>
          <w:i w:val="0"/>
        </w:rPr>
        <w:t>Des repères théoriques</w:t>
      </w:r>
      <w:r w:rsidR="00BF583B" w:rsidRPr="00FA4826">
        <w:rPr>
          <w:rFonts w:ascii="Arial" w:hAnsi="Arial" w:cs="Arial"/>
          <w:i w:val="0"/>
        </w:rPr>
        <w:t> :</w:t>
      </w:r>
      <w:bookmarkEnd w:id="3"/>
    </w:p>
    <w:p w:rsidR="002F12C1" w:rsidRPr="00FA4826" w:rsidRDefault="002F12C1" w:rsidP="00123CAF">
      <w:pPr>
        <w:pStyle w:val="Paragraphedeliste"/>
        <w:spacing w:after="0"/>
        <w:ind w:left="1776"/>
        <w:rPr>
          <w:rFonts w:ascii="Arial" w:hAnsi="Arial" w:cs="Arial"/>
          <w:i w:val="0"/>
        </w:rPr>
      </w:pPr>
    </w:p>
    <w:p w:rsidR="002F12C1" w:rsidRPr="00FA4826" w:rsidRDefault="002F12C1" w:rsidP="00123CAF">
      <w:pPr>
        <w:spacing w:after="0"/>
        <w:rPr>
          <w:rFonts w:ascii="Arial" w:hAnsi="Arial" w:cs="Arial"/>
          <w:i w:val="0"/>
        </w:rPr>
      </w:pPr>
      <w:r w:rsidRPr="00FA4826">
        <w:rPr>
          <w:rFonts w:ascii="Arial" w:hAnsi="Arial" w:cs="Arial"/>
          <w:i w:val="0"/>
        </w:rPr>
        <w:t xml:space="preserve">Avant 1914, monnaie papier équivalente à l’or ou l’argent et si on voulait augmenter la masse monétaire, il fallait augmenter la masse de l’or et de l’argent. Pour certains ce système et bon mais pour d’autres non car le métal est en quantité limitée et on ne peut pas garantir la convertibilité. Quoiqu’il en soit, le fait que la monnaie soit </w:t>
      </w:r>
      <w:proofErr w:type="gramStart"/>
      <w:r w:rsidRPr="00FA4826">
        <w:rPr>
          <w:rFonts w:ascii="Arial" w:hAnsi="Arial" w:cs="Arial"/>
          <w:i w:val="0"/>
        </w:rPr>
        <w:t>accepté</w:t>
      </w:r>
      <w:proofErr w:type="gramEnd"/>
      <w:r w:rsidRPr="00FA4826">
        <w:rPr>
          <w:rFonts w:ascii="Arial" w:hAnsi="Arial" w:cs="Arial"/>
          <w:i w:val="0"/>
        </w:rPr>
        <w:t xml:space="preserve"> repose sur la confiance, et avec le système métallique cette confiance est basée sur le fait que le billet est traductible en or. Il faut créer la monnaie sur d’autres systèmes. Ces deux types de pensées sont : </w:t>
      </w:r>
    </w:p>
    <w:p w:rsidR="00BF583B" w:rsidRPr="00FA4826" w:rsidRDefault="002F12C1" w:rsidP="00C64C89">
      <w:pPr>
        <w:pStyle w:val="Paragraphedeliste"/>
        <w:numPr>
          <w:ilvl w:val="0"/>
          <w:numId w:val="6"/>
        </w:numPr>
        <w:spacing w:after="0"/>
        <w:rPr>
          <w:rFonts w:ascii="Arial" w:hAnsi="Arial" w:cs="Arial"/>
          <w:i w:val="0"/>
        </w:rPr>
      </w:pPr>
      <w:r w:rsidRPr="00FA4826">
        <w:rPr>
          <w:rFonts w:ascii="Arial" w:hAnsi="Arial" w:cs="Arial"/>
          <w:b/>
          <w:i w:val="0"/>
        </w:rPr>
        <w:t xml:space="preserve">La </w:t>
      </w:r>
      <w:proofErr w:type="spellStart"/>
      <w:r w:rsidRPr="00FA4826">
        <w:rPr>
          <w:rFonts w:ascii="Arial" w:hAnsi="Arial" w:cs="Arial"/>
          <w:b/>
          <w:i w:val="0"/>
        </w:rPr>
        <w:t>banking</w:t>
      </w:r>
      <w:proofErr w:type="spellEnd"/>
      <w:r w:rsidRPr="00FA4826">
        <w:rPr>
          <w:rFonts w:ascii="Arial" w:hAnsi="Arial" w:cs="Arial"/>
          <w:b/>
          <w:i w:val="0"/>
        </w:rPr>
        <w:t xml:space="preserve"> </w:t>
      </w:r>
      <w:proofErr w:type="spellStart"/>
      <w:r w:rsidRPr="00FA4826">
        <w:rPr>
          <w:rFonts w:ascii="Arial" w:hAnsi="Arial" w:cs="Arial"/>
          <w:b/>
          <w:i w:val="0"/>
        </w:rPr>
        <w:t>school</w:t>
      </w:r>
      <w:proofErr w:type="spellEnd"/>
      <w:r w:rsidRPr="00FA4826">
        <w:rPr>
          <w:rFonts w:ascii="Arial" w:hAnsi="Arial" w:cs="Arial"/>
          <w:i w:val="0"/>
        </w:rPr>
        <w:t xml:space="preserve"> avec le philosophe écossais Hume : il disait que la monnaie ne devait pas être gagée sur le métal, on devait créer la monnaie avec d’autres mécanismes</w:t>
      </w:r>
    </w:p>
    <w:p w:rsidR="002F12C1" w:rsidRPr="00FA4826" w:rsidRDefault="002F12C1" w:rsidP="00123CAF">
      <w:pPr>
        <w:pStyle w:val="Paragraphedeliste"/>
        <w:spacing w:after="0"/>
        <w:rPr>
          <w:rFonts w:ascii="Arial" w:hAnsi="Arial" w:cs="Arial"/>
          <w:i w:val="0"/>
        </w:rPr>
      </w:pPr>
    </w:p>
    <w:p w:rsidR="00BF583B" w:rsidRPr="00FA4826" w:rsidRDefault="002F12C1" w:rsidP="00C64C89">
      <w:pPr>
        <w:pStyle w:val="Paragraphedeliste"/>
        <w:numPr>
          <w:ilvl w:val="0"/>
          <w:numId w:val="6"/>
        </w:numPr>
        <w:spacing w:after="0"/>
        <w:rPr>
          <w:rFonts w:ascii="Arial" w:hAnsi="Arial" w:cs="Arial"/>
          <w:i w:val="0"/>
        </w:rPr>
      </w:pPr>
      <w:r w:rsidRPr="00FA4826">
        <w:rPr>
          <w:rFonts w:ascii="Arial" w:hAnsi="Arial" w:cs="Arial"/>
          <w:b/>
          <w:i w:val="0"/>
        </w:rPr>
        <w:t xml:space="preserve">La </w:t>
      </w:r>
      <w:proofErr w:type="spellStart"/>
      <w:r w:rsidRPr="00FA4826">
        <w:rPr>
          <w:rFonts w:ascii="Arial" w:hAnsi="Arial" w:cs="Arial"/>
          <w:b/>
          <w:i w:val="0"/>
        </w:rPr>
        <w:t>currency</w:t>
      </w:r>
      <w:proofErr w:type="spellEnd"/>
      <w:r w:rsidRPr="00FA4826">
        <w:rPr>
          <w:rFonts w:ascii="Arial" w:hAnsi="Arial" w:cs="Arial"/>
          <w:b/>
          <w:i w:val="0"/>
        </w:rPr>
        <w:t xml:space="preserve"> </w:t>
      </w:r>
      <w:proofErr w:type="spellStart"/>
      <w:r w:rsidRPr="00FA4826">
        <w:rPr>
          <w:rFonts w:ascii="Arial" w:hAnsi="Arial" w:cs="Arial"/>
          <w:b/>
          <w:i w:val="0"/>
        </w:rPr>
        <w:t>school</w:t>
      </w:r>
      <w:proofErr w:type="spellEnd"/>
      <w:r w:rsidRPr="00FA4826">
        <w:rPr>
          <w:rFonts w:ascii="Arial" w:hAnsi="Arial" w:cs="Arial"/>
          <w:i w:val="0"/>
        </w:rPr>
        <w:t xml:space="preserve"> inspiré par Ricardo et beaucoup de classiques : ils disaient que la monnaie doit avoir une référence en métal pour avoir confiance en elle.</w:t>
      </w:r>
    </w:p>
    <w:p w:rsidR="00BF583B" w:rsidRPr="00FA4826" w:rsidRDefault="00BF583B" w:rsidP="00123CAF">
      <w:pPr>
        <w:spacing w:after="0"/>
        <w:rPr>
          <w:rFonts w:ascii="Arial" w:hAnsi="Arial" w:cs="Arial"/>
          <w:i w:val="0"/>
        </w:rPr>
      </w:pPr>
    </w:p>
    <w:p w:rsidR="002F12C1" w:rsidRPr="00FA4826" w:rsidRDefault="002F12C1" w:rsidP="00123CAF">
      <w:pPr>
        <w:pStyle w:val="Paragraphedeliste"/>
        <w:spacing w:after="0"/>
        <w:rPr>
          <w:rFonts w:ascii="Arial" w:hAnsi="Arial" w:cs="Arial"/>
          <w:i w:val="0"/>
        </w:rPr>
      </w:pPr>
    </w:p>
    <w:p w:rsidR="002F12C1" w:rsidRPr="00FA4826" w:rsidRDefault="002F12C1" w:rsidP="00123CAF">
      <w:pPr>
        <w:spacing w:after="0"/>
        <w:rPr>
          <w:rFonts w:ascii="Arial" w:hAnsi="Arial" w:cs="Arial"/>
          <w:i w:val="0"/>
        </w:rPr>
      </w:pPr>
      <w:r w:rsidRPr="00FA4826">
        <w:rPr>
          <w:rFonts w:ascii="Arial" w:hAnsi="Arial" w:cs="Arial"/>
          <w:i w:val="0"/>
        </w:rPr>
        <w:t xml:space="preserve">On voit qu’historiquement la </w:t>
      </w:r>
      <w:proofErr w:type="spellStart"/>
      <w:r w:rsidRPr="00FA4826">
        <w:rPr>
          <w:rFonts w:ascii="Arial" w:hAnsi="Arial" w:cs="Arial"/>
          <w:i w:val="0"/>
        </w:rPr>
        <w:t>currency</w:t>
      </w:r>
      <w:proofErr w:type="spellEnd"/>
      <w:r w:rsidRPr="00FA4826">
        <w:rPr>
          <w:rFonts w:ascii="Arial" w:hAnsi="Arial" w:cs="Arial"/>
          <w:i w:val="0"/>
        </w:rPr>
        <w:t xml:space="preserve"> </w:t>
      </w:r>
      <w:proofErr w:type="spellStart"/>
      <w:r w:rsidRPr="00FA4826">
        <w:rPr>
          <w:rFonts w:ascii="Arial" w:hAnsi="Arial" w:cs="Arial"/>
          <w:i w:val="0"/>
        </w:rPr>
        <w:t>school</w:t>
      </w:r>
      <w:proofErr w:type="spellEnd"/>
      <w:r w:rsidRPr="00FA4826">
        <w:rPr>
          <w:rFonts w:ascii="Arial" w:hAnsi="Arial" w:cs="Arial"/>
          <w:i w:val="0"/>
        </w:rPr>
        <w:t xml:space="preserve"> a été abandonné et c’est uniquement la </w:t>
      </w:r>
      <w:proofErr w:type="spellStart"/>
      <w:r w:rsidRPr="00FA4826">
        <w:rPr>
          <w:rFonts w:ascii="Arial" w:hAnsi="Arial" w:cs="Arial"/>
          <w:i w:val="0"/>
        </w:rPr>
        <w:t>banking</w:t>
      </w:r>
      <w:proofErr w:type="spellEnd"/>
      <w:r w:rsidRPr="00FA4826">
        <w:rPr>
          <w:rFonts w:ascii="Arial" w:hAnsi="Arial" w:cs="Arial"/>
          <w:i w:val="0"/>
        </w:rPr>
        <w:t xml:space="preserve"> </w:t>
      </w:r>
      <w:proofErr w:type="spellStart"/>
      <w:r w:rsidRPr="00FA4826">
        <w:rPr>
          <w:rFonts w:ascii="Arial" w:hAnsi="Arial" w:cs="Arial"/>
          <w:i w:val="0"/>
        </w:rPr>
        <w:t>school</w:t>
      </w:r>
      <w:proofErr w:type="spellEnd"/>
      <w:r w:rsidRPr="00FA4826">
        <w:rPr>
          <w:rFonts w:ascii="Arial" w:hAnsi="Arial" w:cs="Arial"/>
          <w:i w:val="0"/>
        </w:rPr>
        <w:t xml:space="preserve"> qui maintenant a pris le dessus.</w:t>
      </w:r>
    </w:p>
    <w:p w:rsidR="00BF583B" w:rsidRPr="00FA4826" w:rsidRDefault="002F12C1" w:rsidP="00123CAF">
      <w:pPr>
        <w:spacing w:after="0"/>
        <w:rPr>
          <w:rFonts w:ascii="Arial" w:hAnsi="Arial" w:cs="Arial"/>
          <w:i w:val="0"/>
        </w:rPr>
      </w:pPr>
      <w:r w:rsidRPr="00FA4826">
        <w:rPr>
          <w:rFonts w:ascii="Arial" w:hAnsi="Arial" w:cs="Arial"/>
          <w:i w:val="0"/>
        </w:rPr>
        <w:t xml:space="preserve">Gresham : la mauvaise monnaie chasse la bonne monnaie. Il disait cela parce qu’il constatait que dans les économies de sa période, il n’y a que des monnaies métalliques, quand il y avait une mauvaise monnaie on voulait s’en débarrasser. Puisque les gens veulent garder de la monnaie donc ce qui circule c’est la mauvaise monnaie. Il appelle bonne ou mauvaise monnaie par rapport à la réserve de valeur (l’épargne). </w:t>
      </w:r>
    </w:p>
    <w:p w:rsidR="002F12C1" w:rsidRPr="00FA4826" w:rsidRDefault="002F12C1" w:rsidP="00123CAF">
      <w:pPr>
        <w:spacing w:after="0"/>
        <w:rPr>
          <w:rFonts w:ascii="Arial" w:hAnsi="Arial" w:cs="Arial"/>
          <w:i w:val="0"/>
        </w:rPr>
      </w:pPr>
    </w:p>
    <w:p w:rsidR="00BF583B" w:rsidRPr="00FA4826" w:rsidRDefault="00BF583B" w:rsidP="00123CAF">
      <w:pPr>
        <w:pStyle w:val="Titre2"/>
        <w:rPr>
          <w:rFonts w:ascii="Arial" w:hAnsi="Arial" w:cs="Arial"/>
          <w:i w:val="0"/>
        </w:rPr>
      </w:pPr>
      <w:bookmarkStart w:id="4" w:name="_Toc379227119"/>
      <w:r w:rsidRPr="00FA4826">
        <w:rPr>
          <w:rFonts w:ascii="Arial" w:hAnsi="Arial" w:cs="Arial"/>
          <w:i w:val="0"/>
        </w:rPr>
        <w:t xml:space="preserve">2) </w:t>
      </w:r>
      <w:r w:rsidR="00FA4826">
        <w:rPr>
          <w:rFonts w:ascii="Arial" w:hAnsi="Arial" w:cs="Arial"/>
          <w:i w:val="0"/>
        </w:rPr>
        <w:t>Créer la monnaie contemporaine</w:t>
      </w:r>
      <w:r w:rsidRPr="00FA4826">
        <w:rPr>
          <w:rFonts w:ascii="Arial" w:hAnsi="Arial" w:cs="Arial"/>
          <w:i w:val="0"/>
        </w:rPr>
        <w:t> :</w:t>
      </w:r>
      <w:bookmarkEnd w:id="4"/>
      <w:r w:rsidR="00FA4826">
        <w:rPr>
          <w:rFonts w:ascii="Arial" w:hAnsi="Arial" w:cs="Arial"/>
          <w:i w:val="0"/>
        </w:rPr>
        <w:t xml:space="preserve"> éléments contextuels</w:t>
      </w:r>
    </w:p>
    <w:p w:rsidR="002F12C1" w:rsidRPr="00FA4826" w:rsidRDefault="002F12C1" w:rsidP="00123CAF">
      <w:pPr>
        <w:spacing w:after="0"/>
        <w:rPr>
          <w:rFonts w:ascii="Arial" w:hAnsi="Arial" w:cs="Arial"/>
          <w:i w:val="0"/>
        </w:rPr>
      </w:pPr>
    </w:p>
    <w:p w:rsidR="002F12C1" w:rsidRPr="00FA4826" w:rsidRDefault="002F12C1" w:rsidP="00123CAF">
      <w:pPr>
        <w:spacing w:after="0"/>
        <w:rPr>
          <w:rFonts w:ascii="Arial" w:hAnsi="Arial" w:cs="Arial"/>
          <w:i w:val="0"/>
        </w:rPr>
      </w:pPr>
      <w:r w:rsidRPr="00FA4826">
        <w:rPr>
          <w:rFonts w:ascii="Arial" w:hAnsi="Arial" w:cs="Arial"/>
          <w:i w:val="0"/>
        </w:rPr>
        <w:t>Aujourd’hui, dans les économies contemporaines, la création monétaire est liée au crédit (plus de crédit plus de monnaie). On va se pencher sur le système européen (tous les pays ne fonctionnent pas pareil, la trame est la même mais il y a plein de subtilités différentes). Il faut distinguer trois choses :</w:t>
      </w:r>
    </w:p>
    <w:p w:rsidR="002F12C1" w:rsidRPr="00FA4826" w:rsidRDefault="002F12C1" w:rsidP="00C64C89">
      <w:pPr>
        <w:pStyle w:val="Paragraphedeliste"/>
        <w:numPr>
          <w:ilvl w:val="0"/>
          <w:numId w:val="7"/>
        </w:numPr>
        <w:spacing w:after="0"/>
        <w:rPr>
          <w:rFonts w:ascii="Arial" w:hAnsi="Arial" w:cs="Arial"/>
          <w:i w:val="0"/>
        </w:rPr>
      </w:pPr>
      <w:r w:rsidRPr="00FA4826">
        <w:rPr>
          <w:rFonts w:ascii="Arial" w:hAnsi="Arial" w:cs="Arial"/>
          <w:b/>
          <w:i w:val="0"/>
        </w:rPr>
        <w:t>La Banque Centrale </w:t>
      </w:r>
      <w:r w:rsidRPr="00FA4826">
        <w:rPr>
          <w:rFonts w:ascii="Arial" w:hAnsi="Arial" w:cs="Arial"/>
          <w:i w:val="0"/>
        </w:rPr>
        <w:t>: va émettre les billets</w:t>
      </w:r>
    </w:p>
    <w:p w:rsidR="002F12C1" w:rsidRPr="00FA4826" w:rsidRDefault="002F12C1" w:rsidP="00C64C89">
      <w:pPr>
        <w:pStyle w:val="Paragraphedeliste"/>
        <w:numPr>
          <w:ilvl w:val="0"/>
          <w:numId w:val="7"/>
        </w:numPr>
        <w:spacing w:after="0"/>
        <w:rPr>
          <w:rFonts w:ascii="Arial" w:hAnsi="Arial" w:cs="Arial"/>
          <w:i w:val="0"/>
        </w:rPr>
      </w:pPr>
      <w:r w:rsidRPr="00FA4826">
        <w:rPr>
          <w:rFonts w:ascii="Arial" w:hAnsi="Arial" w:cs="Arial"/>
          <w:b/>
          <w:i w:val="0"/>
        </w:rPr>
        <w:t>Les Trésors Publics </w:t>
      </w:r>
      <w:r w:rsidRPr="00FA4826">
        <w:rPr>
          <w:rFonts w:ascii="Arial" w:hAnsi="Arial" w:cs="Arial"/>
          <w:i w:val="0"/>
        </w:rPr>
        <w:t>: vont émettre les pièces de monnaie (en France : par l’Hôtel de la monnaie)</w:t>
      </w:r>
    </w:p>
    <w:p w:rsidR="002F12C1" w:rsidRPr="00FA4826" w:rsidRDefault="002F12C1" w:rsidP="00C64C89">
      <w:pPr>
        <w:pStyle w:val="Paragraphedeliste"/>
        <w:numPr>
          <w:ilvl w:val="0"/>
          <w:numId w:val="7"/>
        </w:numPr>
        <w:spacing w:after="0"/>
        <w:rPr>
          <w:rFonts w:ascii="Arial" w:hAnsi="Arial" w:cs="Arial"/>
          <w:i w:val="0"/>
        </w:rPr>
      </w:pPr>
      <w:r w:rsidRPr="00FA4826">
        <w:rPr>
          <w:rFonts w:ascii="Arial" w:hAnsi="Arial" w:cs="Arial"/>
          <w:b/>
          <w:i w:val="0"/>
        </w:rPr>
        <w:t>Les banques de second rang </w:t>
      </w:r>
      <w:r w:rsidRPr="00FA4826">
        <w:rPr>
          <w:rFonts w:ascii="Arial" w:hAnsi="Arial" w:cs="Arial"/>
          <w:i w:val="0"/>
        </w:rPr>
        <w:t xml:space="preserve">: font la monnaie scripturale </w:t>
      </w:r>
    </w:p>
    <w:p w:rsidR="00BF583B" w:rsidRPr="00FA4826" w:rsidRDefault="002F12C1" w:rsidP="00123CAF">
      <w:pPr>
        <w:spacing w:after="0"/>
        <w:rPr>
          <w:rFonts w:ascii="Arial" w:hAnsi="Arial" w:cs="Arial"/>
          <w:i w:val="0"/>
        </w:rPr>
      </w:pPr>
      <w:r w:rsidRPr="00FA4826">
        <w:rPr>
          <w:rFonts w:ascii="Arial" w:hAnsi="Arial" w:cs="Arial"/>
          <w:i w:val="0"/>
        </w:rPr>
        <w:t xml:space="preserve">Différence entre banque centrale, trésor public et banque de second rang : la banque centrale est un organisme public en Europe et hiérarchiquement elle est </w:t>
      </w:r>
      <w:proofErr w:type="spellStart"/>
      <w:r w:rsidRPr="00FA4826">
        <w:rPr>
          <w:rFonts w:ascii="Arial" w:hAnsi="Arial" w:cs="Arial"/>
          <w:i w:val="0"/>
        </w:rPr>
        <w:t>au dessus</w:t>
      </w:r>
      <w:proofErr w:type="spellEnd"/>
      <w:r w:rsidRPr="00FA4826">
        <w:rPr>
          <w:rFonts w:ascii="Arial" w:hAnsi="Arial" w:cs="Arial"/>
          <w:i w:val="0"/>
        </w:rPr>
        <w:t xml:space="preserve"> des banques de second rang, son but n’est pas de faire des bénéfices mais de mettre en œuvre la politique monétaire, enfin elle est commune </w:t>
      </w:r>
      <w:proofErr w:type="spellStart"/>
      <w:r w:rsidRPr="00FA4826">
        <w:rPr>
          <w:rFonts w:ascii="Arial" w:hAnsi="Arial" w:cs="Arial"/>
          <w:i w:val="0"/>
        </w:rPr>
        <w:t>a</w:t>
      </w:r>
      <w:proofErr w:type="spellEnd"/>
      <w:r w:rsidRPr="00FA4826">
        <w:rPr>
          <w:rFonts w:ascii="Arial" w:hAnsi="Arial" w:cs="Arial"/>
          <w:i w:val="0"/>
        </w:rPr>
        <w:t xml:space="preserve"> tous les pays d’Europe. Le Trésor Public est la banque de l’Etat, elle encaisse toutes les recettes de l’Etat (impôts) et c’est lui qui fait les dépenses de l’Etat (salaires fonctionnaires). Les banques de second rang sont des entreprises dont le profit est l’objectif, qu’elle soit publique ou privée ne change rien, c’est au banque de second rang que l’on s’adresse pour faire un emprunt, elles gèrent nos comptes. Les banques de second rang sont sous la tutelle de la Banque de France.</w:t>
      </w:r>
    </w:p>
    <w:p w:rsidR="002F12C1" w:rsidRPr="00FA4826" w:rsidRDefault="002F12C1" w:rsidP="00123CAF">
      <w:pPr>
        <w:spacing w:after="0"/>
        <w:rPr>
          <w:rFonts w:ascii="Arial" w:hAnsi="Arial" w:cs="Arial"/>
          <w:i w:val="0"/>
        </w:rPr>
      </w:pPr>
    </w:p>
    <w:p w:rsidR="00BF583B" w:rsidRPr="00FA4826" w:rsidRDefault="002F12C1" w:rsidP="00C64C89">
      <w:pPr>
        <w:pStyle w:val="Titre3"/>
        <w:numPr>
          <w:ilvl w:val="0"/>
          <w:numId w:val="27"/>
        </w:numPr>
        <w:rPr>
          <w:rFonts w:ascii="Arial" w:hAnsi="Arial" w:cs="Arial"/>
          <w:i w:val="0"/>
        </w:rPr>
      </w:pPr>
      <w:bookmarkStart w:id="5" w:name="_Toc379227120"/>
      <w:r w:rsidRPr="00FA4826">
        <w:rPr>
          <w:rFonts w:ascii="Arial" w:hAnsi="Arial" w:cs="Arial"/>
          <w:i w:val="0"/>
        </w:rPr>
        <w:t>La monnaie contemporaine</w:t>
      </w:r>
      <w:bookmarkEnd w:id="5"/>
    </w:p>
    <w:p w:rsidR="002F12C1" w:rsidRPr="00FA4826" w:rsidRDefault="002F12C1" w:rsidP="00123CAF">
      <w:pPr>
        <w:pStyle w:val="Paragraphedeliste"/>
        <w:spacing w:after="0"/>
        <w:ind w:left="1776"/>
        <w:rPr>
          <w:rFonts w:ascii="Arial" w:hAnsi="Arial" w:cs="Arial"/>
          <w:i w:val="0"/>
        </w:rPr>
      </w:pPr>
    </w:p>
    <w:p w:rsidR="002F12C1" w:rsidRPr="00FA4826" w:rsidRDefault="002F12C1" w:rsidP="00123CAF">
      <w:pPr>
        <w:spacing w:after="0"/>
        <w:rPr>
          <w:rFonts w:ascii="Arial" w:hAnsi="Arial" w:cs="Arial"/>
          <w:i w:val="0"/>
        </w:rPr>
      </w:pPr>
      <w:r w:rsidRPr="00FA4826">
        <w:rPr>
          <w:rFonts w:ascii="Arial" w:hAnsi="Arial" w:cs="Arial"/>
          <w:i w:val="0"/>
        </w:rPr>
        <w:t>La création de la monnaie scripturale n’est pas spécifique à l’Europe, elle est un peu partout la même, mais on va quand même décrire le système de l’Europe. Pourquoi mettre l’accent sur la création de monnaie scripturale ?  Parce que la monnaie scripturale représente l’essentiel de la monnaie.</w:t>
      </w:r>
    </w:p>
    <w:p w:rsidR="00414D9C" w:rsidRPr="00FA4826" w:rsidRDefault="00414D9C" w:rsidP="00123CAF">
      <w:pPr>
        <w:spacing w:after="0"/>
        <w:rPr>
          <w:rFonts w:ascii="Arial" w:hAnsi="Arial" w:cs="Arial"/>
          <w:i w:val="0"/>
        </w:rPr>
      </w:pPr>
    </w:p>
    <w:p w:rsidR="00D66D28" w:rsidRPr="00FA4826" w:rsidRDefault="00D66D28" w:rsidP="00123CAF">
      <w:pPr>
        <w:spacing w:after="0"/>
        <w:rPr>
          <w:rFonts w:ascii="Arial" w:hAnsi="Arial" w:cs="Arial"/>
          <w:i w:val="0"/>
        </w:rPr>
      </w:pPr>
    </w:p>
    <w:p w:rsidR="00414D9C" w:rsidRPr="00FA4826" w:rsidRDefault="00414D9C" w:rsidP="00123CAF">
      <w:pPr>
        <w:spacing w:after="0"/>
        <w:rPr>
          <w:rFonts w:ascii="Arial" w:hAnsi="Arial" w:cs="Arial"/>
          <w:i w:val="0"/>
        </w:rPr>
      </w:pPr>
    </w:p>
    <w:p w:rsidR="002F12C1" w:rsidRPr="00FA4826" w:rsidRDefault="002F12C1" w:rsidP="00C64C89">
      <w:pPr>
        <w:pStyle w:val="Paragraphedeliste"/>
        <w:numPr>
          <w:ilvl w:val="0"/>
          <w:numId w:val="8"/>
        </w:numPr>
        <w:spacing w:after="0"/>
        <w:rPr>
          <w:rFonts w:ascii="Arial" w:hAnsi="Arial" w:cs="Arial"/>
          <w:i w:val="0"/>
        </w:rPr>
      </w:pPr>
      <w:r w:rsidRPr="00FA4826">
        <w:rPr>
          <w:rFonts w:ascii="Arial" w:hAnsi="Arial" w:cs="Arial"/>
          <w:i w:val="0"/>
        </w:rPr>
        <w:t xml:space="preserve">Voir tableau sur lequel on voit les quantités des différentes monnaies : les billets sont </w:t>
      </w:r>
      <w:r w:rsidR="00414D9C" w:rsidRPr="00FA4826">
        <w:rPr>
          <w:rFonts w:ascii="Arial" w:hAnsi="Arial" w:cs="Arial"/>
          <w:i w:val="0"/>
        </w:rPr>
        <w:t>créés</w:t>
      </w:r>
      <w:r w:rsidRPr="00FA4826">
        <w:rPr>
          <w:rFonts w:ascii="Arial" w:hAnsi="Arial" w:cs="Arial"/>
          <w:i w:val="0"/>
        </w:rPr>
        <w:t xml:space="preserve"> par la Banque Centrale et représente aujourd’hui moins de 3% et en fonction des pays ça change (Italie, Allemagne ont plus de monnaie fiduciaire), la monnaie divisionnaire n’est même plus compté. Ensuite il y a toute la monnaie scripturale qui représente presque toute la monnaie (presque 97%) : ce sont les chiffres sur le compte. </w:t>
      </w:r>
    </w:p>
    <w:p w:rsidR="002F12C1" w:rsidRPr="00FA4826" w:rsidRDefault="00D66D28" w:rsidP="00D66D28">
      <w:pPr>
        <w:spacing w:after="0"/>
        <w:jc w:val="center"/>
        <w:rPr>
          <w:rFonts w:ascii="Arial" w:hAnsi="Arial" w:cs="Arial"/>
          <w:i w:val="0"/>
        </w:rPr>
      </w:pPr>
      <w:r w:rsidRPr="00FA4826">
        <w:rPr>
          <w:rFonts w:ascii="Arial" w:hAnsi="Arial" w:cs="Arial"/>
          <w:i w:val="0"/>
          <w:noProof/>
          <w:lang w:eastAsia="fr-FR"/>
        </w:rPr>
        <w:drawing>
          <wp:inline distT="0" distB="0" distL="0" distR="0" wp14:anchorId="345677B3" wp14:editId="743AE278">
            <wp:extent cx="6513195" cy="155257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3195" cy="1552575"/>
                    </a:xfrm>
                    <a:prstGeom prst="rect">
                      <a:avLst/>
                    </a:prstGeom>
                    <a:noFill/>
                    <a:ln>
                      <a:noFill/>
                    </a:ln>
                  </pic:spPr>
                </pic:pic>
              </a:graphicData>
            </a:graphic>
          </wp:inline>
        </w:drawing>
      </w:r>
    </w:p>
    <w:p w:rsidR="00D66D28" w:rsidRPr="00FA4826" w:rsidRDefault="00D66D28" w:rsidP="00123CAF">
      <w:pPr>
        <w:spacing w:after="0"/>
        <w:rPr>
          <w:rFonts w:ascii="Arial" w:hAnsi="Arial" w:cs="Arial"/>
          <w:i w:val="0"/>
        </w:rPr>
      </w:pPr>
    </w:p>
    <w:p w:rsidR="00CA18F6" w:rsidRPr="00FA4826" w:rsidRDefault="00CA18F6" w:rsidP="00123CAF">
      <w:pPr>
        <w:spacing w:after="0"/>
        <w:rPr>
          <w:rFonts w:ascii="Arial" w:hAnsi="Arial" w:cs="Arial"/>
          <w:i w:val="0"/>
        </w:rPr>
      </w:pPr>
      <w:r w:rsidRPr="00FA4826">
        <w:rPr>
          <w:rFonts w:ascii="Arial" w:hAnsi="Arial" w:cs="Arial"/>
          <w:i w:val="0"/>
        </w:rPr>
        <w:t>Pourquoi la monnaie fiduciaire représente l’essentiel de la monnaie ? Elle représente l’essentiel de la monnaie parce qu’elle regroupe une multitude relativement grande de moyen de paiements. On va avoir les instruments papiers :</w:t>
      </w:r>
    </w:p>
    <w:p w:rsidR="00CA18F6" w:rsidRPr="00FA4826" w:rsidRDefault="00CA18F6" w:rsidP="00C64C89">
      <w:pPr>
        <w:pStyle w:val="Paragraphedeliste"/>
        <w:numPr>
          <w:ilvl w:val="0"/>
          <w:numId w:val="9"/>
        </w:numPr>
        <w:spacing w:after="0"/>
        <w:rPr>
          <w:rFonts w:ascii="Arial" w:hAnsi="Arial" w:cs="Arial"/>
          <w:i w:val="0"/>
        </w:rPr>
      </w:pPr>
      <w:r w:rsidRPr="00FA4826">
        <w:rPr>
          <w:rFonts w:ascii="Arial" w:hAnsi="Arial" w:cs="Arial"/>
          <w:i w:val="0"/>
        </w:rPr>
        <w:t>Les chèques bancaires</w:t>
      </w:r>
    </w:p>
    <w:p w:rsidR="00CA18F6" w:rsidRPr="00FA4826" w:rsidRDefault="00CA18F6" w:rsidP="00C64C89">
      <w:pPr>
        <w:pStyle w:val="Paragraphedeliste"/>
        <w:numPr>
          <w:ilvl w:val="0"/>
          <w:numId w:val="9"/>
        </w:numPr>
        <w:spacing w:after="0"/>
        <w:rPr>
          <w:rFonts w:ascii="Arial" w:hAnsi="Arial" w:cs="Arial"/>
          <w:i w:val="0"/>
        </w:rPr>
      </w:pPr>
      <w:r w:rsidRPr="00FA4826">
        <w:rPr>
          <w:rFonts w:ascii="Arial" w:hAnsi="Arial" w:cs="Arial"/>
          <w:i w:val="0"/>
        </w:rPr>
        <w:t>Les titres interbancaires de paiement : ça va être par exemple, pour régler une facture EDF, la possibilité de donner ses données bancaires pour qu’EDF puisse prélever directement</w:t>
      </w:r>
    </w:p>
    <w:p w:rsidR="00CA18F6" w:rsidRPr="00FA4826" w:rsidRDefault="00CA18F6" w:rsidP="00C64C89">
      <w:pPr>
        <w:pStyle w:val="Paragraphedeliste"/>
        <w:numPr>
          <w:ilvl w:val="0"/>
          <w:numId w:val="9"/>
        </w:numPr>
        <w:spacing w:after="0"/>
        <w:rPr>
          <w:rFonts w:ascii="Arial" w:hAnsi="Arial" w:cs="Arial"/>
          <w:i w:val="0"/>
        </w:rPr>
      </w:pPr>
      <w:r w:rsidRPr="00FA4826">
        <w:rPr>
          <w:rFonts w:ascii="Arial" w:hAnsi="Arial" w:cs="Arial"/>
          <w:i w:val="0"/>
        </w:rPr>
        <w:t>Le virement bancaire</w:t>
      </w:r>
    </w:p>
    <w:p w:rsidR="00BF583B" w:rsidRPr="00FA4826" w:rsidRDefault="00CA18F6" w:rsidP="00C64C89">
      <w:pPr>
        <w:pStyle w:val="Paragraphedeliste"/>
        <w:numPr>
          <w:ilvl w:val="0"/>
          <w:numId w:val="9"/>
        </w:numPr>
        <w:spacing w:after="0"/>
        <w:rPr>
          <w:rFonts w:ascii="Arial" w:hAnsi="Arial" w:cs="Arial"/>
          <w:i w:val="0"/>
        </w:rPr>
      </w:pPr>
      <w:r w:rsidRPr="00FA4826">
        <w:rPr>
          <w:rFonts w:ascii="Arial" w:hAnsi="Arial" w:cs="Arial"/>
          <w:i w:val="0"/>
        </w:rPr>
        <w:t xml:space="preserve">Les effets de commerce : les crédits </w:t>
      </w:r>
      <w:proofErr w:type="spellStart"/>
      <w:r w:rsidRPr="00FA4826">
        <w:rPr>
          <w:rFonts w:ascii="Arial" w:hAnsi="Arial" w:cs="Arial"/>
          <w:i w:val="0"/>
        </w:rPr>
        <w:t>inter entreprises</w:t>
      </w:r>
      <w:proofErr w:type="spellEnd"/>
      <w:r w:rsidRPr="00FA4826">
        <w:rPr>
          <w:rFonts w:ascii="Arial" w:hAnsi="Arial" w:cs="Arial"/>
          <w:i w:val="0"/>
        </w:rPr>
        <w:t xml:space="preserve"> qui peuvent éventuellement s’échanger.</w:t>
      </w:r>
    </w:p>
    <w:p w:rsidR="00CA18F6" w:rsidRPr="00FA4826" w:rsidRDefault="00CA18F6" w:rsidP="00123CAF">
      <w:pPr>
        <w:pStyle w:val="Paragraphedeliste"/>
        <w:spacing w:after="0"/>
        <w:rPr>
          <w:rFonts w:ascii="Arial" w:hAnsi="Arial" w:cs="Arial"/>
          <w:i w:val="0"/>
        </w:rPr>
      </w:pPr>
    </w:p>
    <w:p w:rsidR="00CA18F6" w:rsidRPr="00FA4826" w:rsidRDefault="00CA18F6" w:rsidP="00123CAF">
      <w:pPr>
        <w:spacing w:after="0"/>
        <w:rPr>
          <w:rFonts w:ascii="Arial" w:hAnsi="Arial" w:cs="Arial"/>
          <w:i w:val="0"/>
        </w:rPr>
      </w:pPr>
      <w:r w:rsidRPr="00FA4826">
        <w:rPr>
          <w:rFonts w:ascii="Arial" w:hAnsi="Arial" w:cs="Arial"/>
          <w:i w:val="0"/>
        </w:rPr>
        <w:t>Ces moyens vont tendre à disparaître. Il y a maintenant les instruments automatisés :</w:t>
      </w:r>
    </w:p>
    <w:p w:rsidR="00CA18F6" w:rsidRPr="00FA4826" w:rsidRDefault="00CA18F6" w:rsidP="00C64C89">
      <w:pPr>
        <w:pStyle w:val="Paragraphedeliste"/>
        <w:numPr>
          <w:ilvl w:val="0"/>
          <w:numId w:val="10"/>
        </w:numPr>
        <w:spacing w:after="0"/>
        <w:rPr>
          <w:rFonts w:ascii="Arial" w:hAnsi="Arial" w:cs="Arial"/>
          <w:i w:val="0"/>
        </w:rPr>
      </w:pPr>
      <w:r w:rsidRPr="00FA4826">
        <w:rPr>
          <w:rFonts w:ascii="Arial" w:hAnsi="Arial" w:cs="Arial"/>
          <w:i w:val="0"/>
        </w:rPr>
        <w:t>La lettre de change relevée</w:t>
      </w:r>
    </w:p>
    <w:p w:rsidR="00CA18F6" w:rsidRPr="00FA4826" w:rsidRDefault="00CA18F6" w:rsidP="00C64C89">
      <w:pPr>
        <w:pStyle w:val="Paragraphedeliste"/>
        <w:numPr>
          <w:ilvl w:val="0"/>
          <w:numId w:val="10"/>
        </w:numPr>
        <w:spacing w:after="0"/>
        <w:rPr>
          <w:rFonts w:ascii="Arial" w:hAnsi="Arial" w:cs="Arial"/>
          <w:i w:val="0"/>
        </w:rPr>
      </w:pPr>
      <w:r w:rsidRPr="00FA4826">
        <w:rPr>
          <w:rFonts w:ascii="Arial" w:hAnsi="Arial" w:cs="Arial"/>
          <w:i w:val="0"/>
        </w:rPr>
        <w:t>Le virement automatisé : par exemple, tous les mois on a l’abonnement internet et automatiquement 10 euros seront virés pour l’opérateur</w:t>
      </w:r>
    </w:p>
    <w:p w:rsidR="00CA18F6" w:rsidRPr="00FA4826" w:rsidRDefault="00CA18F6" w:rsidP="00C64C89">
      <w:pPr>
        <w:pStyle w:val="Paragraphedeliste"/>
        <w:numPr>
          <w:ilvl w:val="0"/>
          <w:numId w:val="10"/>
        </w:numPr>
        <w:spacing w:after="0"/>
        <w:rPr>
          <w:rFonts w:ascii="Arial" w:hAnsi="Arial" w:cs="Arial"/>
          <w:i w:val="0"/>
        </w:rPr>
      </w:pPr>
      <w:r w:rsidRPr="00FA4826">
        <w:rPr>
          <w:rFonts w:ascii="Arial" w:hAnsi="Arial" w:cs="Arial"/>
          <w:i w:val="0"/>
        </w:rPr>
        <w:t>Le prélèvement automatique</w:t>
      </w:r>
    </w:p>
    <w:p w:rsidR="00CA18F6" w:rsidRPr="00FA4826" w:rsidRDefault="00CA18F6" w:rsidP="00C64C89">
      <w:pPr>
        <w:pStyle w:val="Paragraphedeliste"/>
        <w:numPr>
          <w:ilvl w:val="0"/>
          <w:numId w:val="10"/>
        </w:numPr>
        <w:spacing w:after="0"/>
        <w:rPr>
          <w:rFonts w:ascii="Arial" w:hAnsi="Arial" w:cs="Arial"/>
          <w:i w:val="0"/>
        </w:rPr>
      </w:pPr>
      <w:r w:rsidRPr="00FA4826">
        <w:rPr>
          <w:rFonts w:ascii="Arial" w:hAnsi="Arial" w:cs="Arial"/>
          <w:i w:val="0"/>
        </w:rPr>
        <w:t>La carte bancaire</w:t>
      </w:r>
    </w:p>
    <w:p w:rsidR="00D66D28" w:rsidRPr="00FA4826" w:rsidRDefault="00D66D28" w:rsidP="00D66D28">
      <w:pPr>
        <w:pStyle w:val="Paragraphedeliste"/>
        <w:spacing w:after="0"/>
        <w:rPr>
          <w:rFonts w:ascii="Arial" w:hAnsi="Arial" w:cs="Arial"/>
          <w:i w:val="0"/>
        </w:rPr>
      </w:pPr>
    </w:p>
    <w:p w:rsidR="00CA18F6" w:rsidRPr="00FA4826" w:rsidRDefault="00CA18F6" w:rsidP="00123CAF">
      <w:pPr>
        <w:spacing w:after="0"/>
        <w:rPr>
          <w:rFonts w:ascii="Arial" w:hAnsi="Arial" w:cs="Arial"/>
          <w:i w:val="0"/>
        </w:rPr>
      </w:pPr>
      <w:r w:rsidRPr="00FA4826">
        <w:rPr>
          <w:rFonts w:ascii="Arial" w:hAnsi="Arial" w:cs="Arial"/>
          <w:i w:val="0"/>
        </w:rPr>
        <w:t xml:space="preserve">Tous ca ce sont des moyens pour faire circuler la monnaie scripturale. Il y a encore la monnaie électronique : </w:t>
      </w:r>
    </w:p>
    <w:p w:rsidR="00CA18F6" w:rsidRPr="00FA4826" w:rsidRDefault="00CA18F6" w:rsidP="00C64C89">
      <w:pPr>
        <w:pStyle w:val="Paragraphedeliste"/>
        <w:numPr>
          <w:ilvl w:val="0"/>
          <w:numId w:val="11"/>
        </w:numPr>
        <w:spacing w:after="0"/>
        <w:rPr>
          <w:rFonts w:ascii="Arial" w:hAnsi="Arial" w:cs="Arial"/>
          <w:i w:val="0"/>
        </w:rPr>
      </w:pPr>
      <w:r w:rsidRPr="00FA4826">
        <w:rPr>
          <w:rFonts w:ascii="Arial" w:hAnsi="Arial" w:cs="Arial"/>
          <w:i w:val="0"/>
        </w:rPr>
        <w:t xml:space="preserve">Le </w:t>
      </w:r>
      <w:proofErr w:type="spellStart"/>
      <w:r w:rsidRPr="00FA4826">
        <w:rPr>
          <w:rFonts w:ascii="Arial" w:hAnsi="Arial" w:cs="Arial"/>
          <w:i w:val="0"/>
        </w:rPr>
        <w:t>porte monnaie</w:t>
      </w:r>
      <w:proofErr w:type="spellEnd"/>
      <w:r w:rsidRPr="00FA4826">
        <w:rPr>
          <w:rFonts w:ascii="Arial" w:hAnsi="Arial" w:cs="Arial"/>
          <w:i w:val="0"/>
        </w:rPr>
        <w:t xml:space="preserve"> électronique</w:t>
      </w:r>
    </w:p>
    <w:p w:rsidR="00CA18F6" w:rsidRPr="00FA4826" w:rsidRDefault="00CA18F6" w:rsidP="00C64C89">
      <w:pPr>
        <w:pStyle w:val="Paragraphedeliste"/>
        <w:numPr>
          <w:ilvl w:val="0"/>
          <w:numId w:val="11"/>
        </w:numPr>
        <w:spacing w:after="0"/>
        <w:rPr>
          <w:rFonts w:ascii="Arial" w:hAnsi="Arial" w:cs="Arial"/>
          <w:i w:val="0"/>
        </w:rPr>
      </w:pPr>
      <w:r w:rsidRPr="00FA4826">
        <w:rPr>
          <w:rFonts w:ascii="Arial" w:hAnsi="Arial" w:cs="Arial"/>
          <w:i w:val="0"/>
        </w:rPr>
        <w:t xml:space="preserve">Le </w:t>
      </w:r>
      <w:proofErr w:type="spellStart"/>
      <w:r w:rsidRPr="00FA4826">
        <w:rPr>
          <w:rFonts w:ascii="Arial" w:hAnsi="Arial" w:cs="Arial"/>
          <w:i w:val="0"/>
        </w:rPr>
        <w:t>porte monnaie</w:t>
      </w:r>
      <w:proofErr w:type="spellEnd"/>
      <w:r w:rsidRPr="00FA4826">
        <w:rPr>
          <w:rFonts w:ascii="Arial" w:hAnsi="Arial" w:cs="Arial"/>
          <w:i w:val="0"/>
        </w:rPr>
        <w:t xml:space="preserve"> virtuel</w:t>
      </w:r>
    </w:p>
    <w:p w:rsidR="00D66D28" w:rsidRPr="00FA4826" w:rsidRDefault="00D66D28" w:rsidP="00D66D28">
      <w:pPr>
        <w:pStyle w:val="Paragraphedeliste"/>
        <w:spacing w:after="0"/>
        <w:rPr>
          <w:rFonts w:ascii="Arial" w:hAnsi="Arial" w:cs="Arial"/>
          <w:i w:val="0"/>
        </w:rPr>
      </w:pPr>
    </w:p>
    <w:p w:rsidR="00CA18F6" w:rsidRPr="00FA4826" w:rsidRDefault="00CA18F6" w:rsidP="00123CAF">
      <w:pPr>
        <w:spacing w:after="0"/>
        <w:rPr>
          <w:rFonts w:ascii="Arial" w:hAnsi="Arial" w:cs="Arial"/>
          <w:i w:val="0"/>
        </w:rPr>
      </w:pPr>
      <w:r w:rsidRPr="00FA4826">
        <w:rPr>
          <w:rFonts w:ascii="Arial" w:hAnsi="Arial" w:cs="Arial"/>
          <w:i w:val="0"/>
        </w:rPr>
        <w:t>Ce dernier instrument ne se développe pas vraiment pourtant ça fait plus de 10 ans que ça existe.</w:t>
      </w:r>
    </w:p>
    <w:p w:rsidR="00CA18F6" w:rsidRPr="00FA4826" w:rsidRDefault="00CA18F6" w:rsidP="00123CAF">
      <w:pPr>
        <w:spacing w:after="0"/>
        <w:rPr>
          <w:rFonts w:ascii="Arial" w:hAnsi="Arial" w:cs="Arial"/>
          <w:i w:val="0"/>
        </w:rPr>
      </w:pPr>
      <w:r w:rsidRPr="00FA4826">
        <w:rPr>
          <w:rFonts w:ascii="Arial" w:hAnsi="Arial" w:cs="Arial"/>
          <w:i w:val="0"/>
        </w:rPr>
        <w:t>La monnaie est les banques de second rang :</w:t>
      </w:r>
    </w:p>
    <w:p w:rsidR="00D66D28" w:rsidRPr="00FA4826" w:rsidRDefault="00D66D28" w:rsidP="00123CAF">
      <w:pPr>
        <w:spacing w:after="0"/>
        <w:rPr>
          <w:rFonts w:ascii="Arial" w:hAnsi="Arial" w:cs="Arial"/>
          <w:i w:val="0"/>
        </w:rPr>
      </w:pPr>
    </w:p>
    <w:p w:rsidR="00D66D28" w:rsidRPr="00FA4826" w:rsidRDefault="00D66D28" w:rsidP="00123CAF">
      <w:pPr>
        <w:spacing w:after="0"/>
        <w:rPr>
          <w:rFonts w:ascii="Arial" w:hAnsi="Arial" w:cs="Arial"/>
          <w:i w:val="0"/>
        </w:rPr>
      </w:pPr>
    </w:p>
    <w:p w:rsidR="00CA18F6" w:rsidRPr="00FA4826" w:rsidRDefault="00CA18F6" w:rsidP="00C64C89">
      <w:pPr>
        <w:pStyle w:val="Paragraphedeliste"/>
        <w:numPr>
          <w:ilvl w:val="0"/>
          <w:numId w:val="8"/>
        </w:numPr>
        <w:spacing w:after="0"/>
        <w:rPr>
          <w:rFonts w:ascii="Arial" w:hAnsi="Arial" w:cs="Arial"/>
          <w:i w:val="0"/>
        </w:rPr>
      </w:pPr>
      <w:r w:rsidRPr="00FA4826">
        <w:rPr>
          <w:rFonts w:ascii="Arial" w:hAnsi="Arial" w:cs="Arial"/>
          <w:i w:val="0"/>
        </w:rPr>
        <w:t>Voir tableau : les banques de second rang vont créer la monnaie scripturale et il y a plusieurs classes et plusieurs comptes au niveau des banques. Ce qui nous intéresse particulièrement c’est la classe 2 car c’est là que va se faire la création de monnaie. Pour comprendre le système il faut comprendre qu’une banque dispose comme actif le compte des agents, plus elle a de compte plus la banque est riche. Sa richesse est donc complètement fictive. Au passif, il va y avoir les dépôts à vue parce que la banque nous doit cet argent. Donc comme elle nous doit ce qu’il y a sur notre compte, le passif de la banque est constitué des dépôts à vue. Voir tableau actif/passif : quand il y a de l’argent qui rentre dans nos compte, la banque a une dette supplémentaire et inversement. C’est pour ça que quand on lit nos compte, les notions de crédit et débit sont inversés par rapport à ce qu’on apprend en compta.</w:t>
      </w:r>
    </w:p>
    <w:p w:rsidR="00D66D28" w:rsidRPr="00FA4826" w:rsidRDefault="00D66D28" w:rsidP="00D66D28">
      <w:pPr>
        <w:spacing w:after="0"/>
        <w:rPr>
          <w:rFonts w:ascii="Arial" w:hAnsi="Arial" w:cs="Arial"/>
          <w:i w:val="0"/>
        </w:rPr>
      </w:pPr>
    </w:p>
    <w:p w:rsidR="00D66D28" w:rsidRPr="00FA4826" w:rsidRDefault="00D66D28" w:rsidP="00D66D28">
      <w:pPr>
        <w:spacing w:after="0"/>
        <w:rPr>
          <w:rFonts w:ascii="Arial" w:hAnsi="Arial" w:cs="Arial"/>
          <w:i w:val="0"/>
        </w:rPr>
      </w:pPr>
    </w:p>
    <w:p w:rsidR="00D66D28" w:rsidRPr="00FA4826" w:rsidRDefault="00D66D28" w:rsidP="00D66D28">
      <w:pPr>
        <w:spacing w:after="0"/>
        <w:jc w:val="center"/>
        <w:rPr>
          <w:rFonts w:ascii="Arial" w:hAnsi="Arial" w:cs="Arial"/>
          <w:i w:val="0"/>
        </w:rPr>
      </w:pPr>
      <w:r w:rsidRPr="00FA4826">
        <w:rPr>
          <w:rFonts w:ascii="Arial" w:hAnsi="Arial" w:cs="Arial"/>
          <w:i w:val="0"/>
          <w:noProof/>
          <w:lang w:eastAsia="fr-FR"/>
        </w:rPr>
        <w:lastRenderedPageBreak/>
        <w:drawing>
          <wp:inline distT="0" distB="0" distL="0" distR="0" wp14:anchorId="120F0AA3" wp14:editId="6617B833">
            <wp:extent cx="5969635" cy="291592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69635" cy="2915920"/>
                    </a:xfrm>
                    <a:prstGeom prst="rect">
                      <a:avLst/>
                    </a:prstGeom>
                    <a:noFill/>
                    <a:ln>
                      <a:noFill/>
                    </a:ln>
                  </pic:spPr>
                </pic:pic>
              </a:graphicData>
            </a:graphic>
          </wp:inline>
        </w:drawing>
      </w:r>
    </w:p>
    <w:p w:rsidR="00D66D28" w:rsidRPr="00FA4826" w:rsidRDefault="00D66D28" w:rsidP="00D66D28">
      <w:pPr>
        <w:spacing w:after="0"/>
        <w:rPr>
          <w:rFonts w:ascii="Arial" w:hAnsi="Arial" w:cs="Arial"/>
          <w:i w:val="0"/>
        </w:rPr>
      </w:pPr>
    </w:p>
    <w:p w:rsidR="00D66D28" w:rsidRPr="00FA4826" w:rsidRDefault="00D66D28" w:rsidP="00D66D28">
      <w:pPr>
        <w:spacing w:after="0"/>
        <w:jc w:val="center"/>
        <w:rPr>
          <w:rFonts w:ascii="Arial" w:hAnsi="Arial" w:cs="Arial"/>
          <w:i w:val="0"/>
        </w:rPr>
      </w:pPr>
      <w:r w:rsidRPr="00FA4826">
        <w:rPr>
          <w:rFonts w:ascii="Arial" w:hAnsi="Arial" w:cs="Arial"/>
          <w:i w:val="0"/>
          <w:noProof/>
          <w:lang w:eastAsia="fr-FR"/>
        </w:rPr>
        <w:drawing>
          <wp:inline distT="0" distB="0" distL="0" distR="0" wp14:anchorId="37026414" wp14:editId="71C62E27">
            <wp:extent cx="6021070" cy="2708910"/>
            <wp:effectExtent l="0" t="0" r="0" b="0"/>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21070" cy="2708910"/>
                    </a:xfrm>
                    <a:prstGeom prst="rect">
                      <a:avLst/>
                    </a:prstGeom>
                    <a:noFill/>
                    <a:ln>
                      <a:noFill/>
                    </a:ln>
                  </pic:spPr>
                </pic:pic>
              </a:graphicData>
            </a:graphic>
          </wp:inline>
        </w:drawing>
      </w:r>
    </w:p>
    <w:p w:rsidR="00D66D28" w:rsidRPr="00FA4826" w:rsidRDefault="00D66D28" w:rsidP="00123CAF">
      <w:pPr>
        <w:spacing w:after="0"/>
        <w:rPr>
          <w:rFonts w:ascii="Arial" w:hAnsi="Arial" w:cs="Arial"/>
          <w:i w:val="0"/>
        </w:rPr>
      </w:pPr>
    </w:p>
    <w:p w:rsidR="00CA18F6" w:rsidRPr="00FA4826" w:rsidRDefault="00CA18F6" w:rsidP="00123CAF">
      <w:pPr>
        <w:spacing w:after="0"/>
        <w:rPr>
          <w:rFonts w:ascii="Arial" w:hAnsi="Arial" w:cs="Arial"/>
          <w:i w:val="0"/>
        </w:rPr>
      </w:pPr>
      <w:r w:rsidRPr="00FA4826">
        <w:rPr>
          <w:rFonts w:ascii="Arial" w:hAnsi="Arial" w:cs="Arial"/>
          <w:i w:val="0"/>
        </w:rPr>
        <w:t>Les comptes des banques et la banques centrale : chaque banque doit avoir un compte à la banque centrale.</w:t>
      </w:r>
    </w:p>
    <w:p w:rsidR="00CA18F6" w:rsidRPr="00FA4826" w:rsidRDefault="00CA18F6" w:rsidP="00C64C89">
      <w:pPr>
        <w:pStyle w:val="Paragraphedeliste"/>
        <w:numPr>
          <w:ilvl w:val="0"/>
          <w:numId w:val="8"/>
        </w:numPr>
        <w:spacing w:after="0"/>
        <w:rPr>
          <w:rFonts w:ascii="Arial" w:hAnsi="Arial" w:cs="Arial"/>
          <w:i w:val="0"/>
        </w:rPr>
      </w:pPr>
      <w:r w:rsidRPr="00FA4826">
        <w:rPr>
          <w:rFonts w:ascii="Arial" w:hAnsi="Arial" w:cs="Arial"/>
          <w:i w:val="0"/>
        </w:rPr>
        <w:t>Schéma : on y voit l’architecture du système : la Banque centrale régule la quantité de monnaie</w:t>
      </w:r>
    </w:p>
    <w:p w:rsidR="00D66D28" w:rsidRPr="00FA4826" w:rsidRDefault="00D66D28" w:rsidP="00D66D28">
      <w:pPr>
        <w:pStyle w:val="Paragraphedeliste"/>
        <w:spacing w:after="0"/>
        <w:rPr>
          <w:rFonts w:ascii="Arial" w:hAnsi="Arial" w:cs="Arial"/>
          <w:i w:val="0"/>
        </w:rPr>
      </w:pPr>
    </w:p>
    <w:p w:rsidR="009B715C" w:rsidRPr="00FA4826" w:rsidRDefault="00D66D28" w:rsidP="00123CAF">
      <w:pPr>
        <w:spacing w:after="0"/>
        <w:rPr>
          <w:rFonts w:ascii="Arial" w:hAnsi="Arial" w:cs="Arial"/>
          <w:i w:val="0"/>
        </w:rPr>
      </w:pPr>
      <w:r w:rsidRPr="00FA4826">
        <w:rPr>
          <w:rFonts w:ascii="Arial" w:hAnsi="Arial" w:cs="Arial"/>
          <w:i w:val="0"/>
          <w:noProof/>
          <w:lang w:eastAsia="fr-FR"/>
        </w:rPr>
        <w:drawing>
          <wp:inline distT="0" distB="0" distL="0" distR="0" wp14:anchorId="5AE574AB" wp14:editId="2FB9B08B">
            <wp:extent cx="4942936" cy="2757179"/>
            <wp:effectExtent l="0" t="0" r="0" b="0"/>
            <wp:docPr id="40" name="Imag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43283" cy="2757373"/>
                    </a:xfrm>
                    <a:prstGeom prst="rect">
                      <a:avLst/>
                    </a:prstGeom>
                    <a:noFill/>
                    <a:ln>
                      <a:noFill/>
                    </a:ln>
                  </pic:spPr>
                </pic:pic>
              </a:graphicData>
            </a:graphic>
          </wp:inline>
        </w:drawing>
      </w:r>
    </w:p>
    <w:p w:rsidR="00D66D28" w:rsidRPr="00FA4826" w:rsidRDefault="00D66D28" w:rsidP="00123CAF">
      <w:pPr>
        <w:spacing w:after="0"/>
        <w:rPr>
          <w:rFonts w:ascii="Arial" w:hAnsi="Arial" w:cs="Arial"/>
          <w:i w:val="0"/>
        </w:rPr>
      </w:pPr>
    </w:p>
    <w:p w:rsidR="00BF583B" w:rsidRPr="00FA4826" w:rsidRDefault="008727CB" w:rsidP="00C64C89">
      <w:pPr>
        <w:pStyle w:val="Titre3"/>
        <w:numPr>
          <w:ilvl w:val="0"/>
          <w:numId w:val="27"/>
        </w:numPr>
        <w:rPr>
          <w:rFonts w:ascii="Arial" w:hAnsi="Arial" w:cs="Arial"/>
          <w:i w:val="0"/>
        </w:rPr>
      </w:pPr>
      <w:bookmarkStart w:id="6" w:name="_Toc379227121"/>
      <w:r w:rsidRPr="00FA4826">
        <w:rPr>
          <w:rFonts w:ascii="Arial" w:hAnsi="Arial" w:cs="Arial"/>
          <w:i w:val="0"/>
        </w:rPr>
        <w:t>Créer la monnaie scripturale</w:t>
      </w:r>
      <w:r w:rsidR="00BF583B" w:rsidRPr="00FA4826">
        <w:rPr>
          <w:rFonts w:ascii="Arial" w:hAnsi="Arial" w:cs="Arial"/>
          <w:i w:val="0"/>
        </w:rPr>
        <w:t> :</w:t>
      </w:r>
      <w:bookmarkEnd w:id="6"/>
    </w:p>
    <w:p w:rsidR="00CA18F6" w:rsidRPr="00FA4826" w:rsidRDefault="00CA18F6" w:rsidP="00123CAF">
      <w:pPr>
        <w:pStyle w:val="Paragraphedeliste"/>
        <w:spacing w:after="0"/>
        <w:ind w:left="1776"/>
        <w:rPr>
          <w:rFonts w:ascii="Arial" w:hAnsi="Arial" w:cs="Arial"/>
          <w:i w:val="0"/>
        </w:rPr>
      </w:pPr>
    </w:p>
    <w:p w:rsidR="00CA18F6" w:rsidRPr="00FA4826" w:rsidRDefault="00CA18F6" w:rsidP="00123CAF">
      <w:pPr>
        <w:spacing w:after="0"/>
        <w:rPr>
          <w:rFonts w:ascii="Arial" w:hAnsi="Arial" w:cs="Arial"/>
          <w:i w:val="0"/>
        </w:rPr>
      </w:pPr>
      <w:r w:rsidRPr="00FA4826">
        <w:rPr>
          <w:rFonts w:ascii="Arial" w:hAnsi="Arial" w:cs="Arial"/>
          <w:i w:val="0"/>
        </w:rPr>
        <w:t xml:space="preserve">Récapitulatif : </w:t>
      </w:r>
    </w:p>
    <w:p w:rsidR="00CA18F6" w:rsidRPr="00FA4826" w:rsidRDefault="00CA18F6" w:rsidP="00C64C89">
      <w:pPr>
        <w:pStyle w:val="Paragraphedeliste"/>
        <w:numPr>
          <w:ilvl w:val="0"/>
          <w:numId w:val="12"/>
        </w:numPr>
        <w:spacing w:after="0"/>
        <w:rPr>
          <w:rFonts w:ascii="Arial" w:hAnsi="Arial" w:cs="Arial"/>
          <w:i w:val="0"/>
        </w:rPr>
      </w:pPr>
      <w:r w:rsidRPr="00FA4826">
        <w:rPr>
          <w:rFonts w:ascii="Arial" w:hAnsi="Arial" w:cs="Arial"/>
          <w:i w:val="0"/>
        </w:rPr>
        <w:t>Les pièces sont créées par le Trésor Public</w:t>
      </w:r>
    </w:p>
    <w:p w:rsidR="00CA18F6" w:rsidRPr="00FA4826" w:rsidRDefault="00CA18F6" w:rsidP="00C64C89">
      <w:pPr>
        <w:pStyle w:val="Paragraphedeliste"/>
        <w:numPr>
          <w:ilvl w:val="0"/>
          <w:numId w:val="12"/>
        </w:numPr>
        <w:spacing w:after="0"/>
        <w:rPr>
          <w:rFonts w:ascii="Arial" w:hAnsi="Arial" w:cs="Arial"/>
          <w:i w:val="0"/>
        </w:rPr>
      </w:pPr>
      <w:r w:rsidRPr="00FA4826">
        <w:rPr>
          <w:rFonts w:ascii="Arial" w:hAnsi="Arial" w:cs="Arial"/>
          <w:i w:val="0"/>
        </w:rPr>
        <w:t>Les billets sont créés par la Banque Centrale</w:t>
      </w:r>
    </w:p>
    <w:p w:rsidR="00CA18F6" w:rsidRPr="00FA4826" w:rsidRDefault="00CA18F6" w:rsidP="00C64C89">
      <w:pPr>
        <w:pStyle w:val="Paragraphedeliste"/>
        <w:numPr>
          <w:ilvl w:val="0"/>
          <w:numId w:val="12"/>
        </w:numPr>
        <w:spacing w:after="0"/>
        <w:rPr>
          <w:rFonts w:ascii="Arial" w:hAnsi="Arial" w:cs="Arial"/>
          <w:i w:val="0"/>
        </w:rPr>
      </w:pPr>
      <w:r w:rsidRPr="00FA4826">
        <w:rPr>
          <w:rFonts w:ascii="Arial" w:hAnsi="Arial" w:cs="Arial"/>
          <w:i w:val="0"/>
        </w:rPr>
        <w:t xml:space="preserve">La monnaie scripturale est créée par deux mécanismes distincts : </w:t>
      </w:r>
    </w:p>
    <w:p w:rsidR="00CA18F6" w:rsidRPr="00FA4826" w:rsidRDefault="00CA18F6" w:rsidP="00C64C89">
      <w:pPr>
        <w:pStyle w:val="Paragraphedeliste"/>
        <w:numPr>
          <w:ilvl w:val="0"/>
          <w:numId w:val="13"/>
        </w:numPr>
        <w:spacing w:after="0"/>
        <w:rPr>
          <w:rFonts w:ascii="Arial" w:hAnsi="Arial" w:cs="Arial"/>
          <w:i w:val="0"/>
        </w:rPr>
      </w:pPr>
      <w:r w:rsidRPr="00FA4826">
        <w:rPr>
          <w:rFonts w:ascii="Arial" w:hAnsi="Arial" w:cs="Arial"/>
          <w:i w:val="0"/>
        </w:rPr>
        <w:t>Soit l’apport de devises étrangères</w:t>
      </w:r>
    </w:p>
    <w:p w:rsidR="00CA18F6" w:rsidRPr="00FA4826" w:rsidRDefault="00CA18F6" w:rsidP="00C64C89">
      <w:pPr>
        <w:pStyle w:val="Paragraphedeliste"/>
        <w:numPr>
          <w:ilvl w:val="0"/>
          <w:numId w:val="13"/>
        </w:numPr>
        <w:spacing w:after="0"/>
        <w:rPr>
          <w:rFonts w:ascii="Arial" w:hAnsi="Arial" w:cs="Arial"/>
          <w:i w:val="0"/>
        </w:rPr>
      </w:pPr>
      <w:r w:rsidRPr="00FA4826">
        <w:rPr>
          <w:rFonts w:ascii="Arial" w:hAnsi="Arial" w:cs="Arial"/>
          <w:i w:val="0"/>
        </w:rPr>
        <w:t xml:space="preserve">Soit par la dette : c’est le mécanisme majoritaire, celle-ci se fait de deux manières : </w:t>
      </w:r>
    </w:p>
    <w:p w:rsidR="00CA18F6" w:rsidRPr="00FA4826" w:rsidRDefault="00CA18F6" w:rsidP="00C64C89">
      <w:pPr>
        <w:pStyle w:val="Paragraphedeliste"/>
        <w:numPr>
          <w:ilvl w:val="0"/>
          <w:numId w:val="14"/>
        </w:numPr>
        <w:spacing w:after="0"/>
        <w:rPr>
          <w:rFonts w:ascii="Arial" w:hAnsi="Arial" w:cs="Arial"/>
          <w:i w:val="0"/>
        </w:rPr>
      </w:pPr>
      <w:r w:rsidRPr="00FA4826">
        <w:rPr>
          <w:rFonts w:ascii="Arial" w:hAnsi="Arial" w:cs="Arial"/>
          <w:i w:val="0"/>
        </w:rPr>
        <w:t>Les bons du trésor</w:t>
      </w:r>
    </w:p>
    <w:p w:rsidR="00CA18F6" w:rsidRPr="00FA4826" w:rsidRDefault="00CA18F6" w:rsidP="00C64C89">
      <w:pPr>
        <w:pStyle w:val="Paragraphedeliste"/>
        <w:numPr>
          <w:ilvl w:val="0"/>
          <w:numId w:val="14"/>
        </w:numPr>
        <w:spacing w:after="0"/>
        <w:rPr>
          <w:rFonts w:ascii="Arial" w:hAnsi="Arial" w:cs="Arial"/>
          <w:i w:val="0"/>
        </w:rPr>
      </w:pPr>
      <w:r w:rsidRPr="00FA4826">
        <w:rPr>
          <w:rFonts w:ascii="Arial" w:hAnsi="Arial" w:cs="Arial"/>
          <w:i w:val="0"/>
        </w:rPr>
        <w:t>Le crédit : à ce niveau, le crédit en Europe représente l’essentiel de la création monétaire</w:t>
      </w:r>
    </w:p>
    <w:p w:rsidR="00CA18F6" w:rsidRPr="00FA4826" w:rsidRDefault="00CA18F6" w:rsidP="00123CAF">
      <w:pPr>
        <w:spacing w:after="0"/>
        <w:rPr>
          <w:rFonts w:ascii="Arial" w:hAnsi="Arial" w:cs="Arial"/>
          <w:i w:val="0"/>
        </w:rPr>
      </w:pPr>
      <w:r w:rsidRPr="00FA4826">
        <w:rPr>
          <w:rFonts w:ascii="Arial" w:hAnsi="Arial" w:cs="Arial"/>
          <w:i w:val="0"/>
        </w:rPr>
        <w:t xml:space="preserve">Ainsi la création monétaire repose essentiellement sur le crédit et c’est pour </w:t>
      </w:r>
      <w:proofErr w:type="spellStart"/>
      <w:r w:rsidRPr="00FA4826">
        <w:rPr>
          <w:rFonts w:ascii="Arial" w:hAnsi="Arial" w:cs="Arial"/>
          <w:i w:val="0"/>
        </w:rPr>
        <w:t>ca</w:t>
      </w:r>
      <w:proofErr w:type="spellEnd"/>
      <w:r w:rsidRPr="00FA4826">
        <w:rPr>
          <w:rFonts w:ascii="Arial" w:hAnsi="Arial" w:cs="Arial"/>
          <w:i w:val="0"/>
        </w:rPr>
        <w:t xml:space="preserve"> que nous allons nous pencher particulièrement sur ce système de création monétaire =&gt; crise de </w:t>
      </w:r>
      <w:proofErr w:type="spellStart"/>
      <w:r w:rsidRPr="00FA4826">
        <w:rPr>
          <w:rFonts w:ascii="Arial" w:hAnsi="Arial" w:cs="Arial"/>
          <w:i w:val="0"/>
        </w:rPr>
        <w:t>subprimes</w:t>
      </w:r>
      <w:proofErr w:type="spellEnd"/>
      <w:r w:rsidRPr="00FA4826">
        <w:rPr>
          <w:rFonts w:ascii="Arial" w:hAnsi="Arial" w:cs="Arial"/>
          <w:i w:val="0"/>
        </w:rPr>
        <w:t xml:space="preserve"> qui est une crise de crédit parce que pour augmenter la masse monétaire, on a fait des crédits aux gens donc on a facilité son accès et on l’a tellement facilité qu’il y a eu des dérives et le système a « explosé ».</w:t>
      </w:r>
    </w:p>
    <w:p w:rsidR="00CA18F6" w:rsidRPr="00FA4826" w:rsidRDefault="00CA18F6" w:rsidP="00123CAF">
      <w:pPr>
        <w:spacing w:after="0"/>
        <w:rPr>
          <w:rFonts w:ascii="Arial" w:hAnsi="Arial" w:cs="Arial"/>
          <w:i w:val="0"/>
        </w:rPr>
      </w:pPr>
      <w:r w:rsidRPr="00FA4826">
        <w:rPr>
          <w:rFonts w:ascii="Arial" w:hAnsi="Arial" w:cs="Arial"/>
          <w:i w:val="0"/>
        </w:rPr>
        <w:t xml:space="preserve">Nous allons considérer deux périodes : la période t1 et la période t2. Nous allons étudier un schéma simplifié avec une seule banque. La période t1 va </w:t>
      </w:r>
      <w:proofErr w:type="spellStart"/>
      <w:proofErr w:type="gramStart"/>
      <w:r w:rsidRPr="00FA4826">
        <w:rPr>
          <w:rFonts w:ascii="Arial" w:hAnsi="Arial" w:cs="Arial"/>
          <w:i w:val="0"/>
        </w:rPr>
        <w:t>a</w:t>
      </w:r>
      <w:proofErr w:type="spellEnd"/>
      <w:proofErr w:type="gramEnd"/>
      <w:r w:rsidRPr="00FA4826">
        <w:rPr>
          <w:rFonts w:ascii="Arial" w:hAnsi="Arial" w:cs="Arial"/>
          <w:i w:val="0"/>
        </w:rPr>
        <w:t xml:space="preserve"> son tour être divisé en deux périodes. </w:t>
      </w:r>
    </w:p>
    <w:p w:rsidR="00414D9C" w:rsidRPr="00FA4826" w:rsidRDefault="00414D9C" w:rsidP="00123CAF">
      <w:pPr>
        <w:spacing w:after="0"/>
        <w:rPr>
          <w:rFonts w:ascii="Arial" w:hAnsi="Arial" w:cs="Arial"/>
          <w:i w:val="0"/>
        </w:rPr>
      </w:pPr>
    </w:p>
    <w:p w:rsidR="00D66D28" w:rsidRPr="00FA4826" w:rsidRDefault="00D66D28" w:rsidP="00D66D28">
      <w:pPr>
        <w:spacing w:after="0"/>
        <w:jc w:val="center"/>
        <w:rPr>
          <w:rFonts w:ascii="Arial" w:hAnsi="Arial" w:cs="Arial"/>
          <w:i w:val="0"/>
        </w:rPr>
      </w:pPr>
      <w:r w:rsidRPr="00FA4826">
        <w:rPr>
          <w:rFonts w:ascii="Arial" w:hAnsi="Arial" w:cs="Arial"/>
          <w:i w:val="0"/>
          <w:noProof/>
          <w:lang w:eastAsia="fr-FR"/>
        </w:rPr>
        <w:drawing>
          <wp:inline distT="0" distB="0" distL="0" distR="0" wp14:anchorId="01B697F8" wp14:editId="54F0C5E8">
            <wp:extent cx="6012815" cy="3691890"/>
            <wp:effectExtent l="0" t="0" r="0" b="0"/>
            <wp:docPr id="41" name="Imag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012815" cy="3691890"/>
                    </a:xfrm>
                    <a:prstGeom prst="rect">
                      <a:avLst/>
                    </a:prstGeom>
                    <a:noFill/>
                    <a:ln>
                      <a:noFill/>
                    </a:ln>
                  </pic:spPr>
                </pic:pic>
              </a:graphicData>
            </a:graphic>
          </wp:inline>
        </w:drawing>
      </w:r>
    </w:p>
    <w:p w:rsidR="00D66D28" w:rsidRPr="00FA4826" w:rsidRDefault="00D66D28" w:rsidP="00D66D28">
      <w:pPr>
        <w:spacing w:after="0"/>
        <w:jc w:val="center"/>
        <w:rPr>
          <w:rFonts w:ascii="Arial" w:hAnsi="Arial" w:cs="Arial"/>
          <w:i w:val="0"/>
        </w:rPr>
      </w:pPr>
    </w:p>
    <w:p w:rsidR="00BF583B" w:rsidRPr="00FA4826" w:rsidRDefault="00CA18F6" w:rsidP="00C64C89">
      <w:pPr>
        <w:pStyle w:val="Paragraphedeliste"/>
        <w:numPr>
          <w:ilvl w:val="0"/>
          <w:numId w:val="8"/>
        </w:numPr>
        <w:spacing w:after="0"/>
        <w:rPr>
          <w:rFonts w:ascii="Arial" w:hAnsi="Arial" w:cs="Arial"/>
          <w:i w:val="0"/>
        </w:rPr>
      </w:pPr>
      <w:r w:rsidRPr="00FA4826">
        <w:rPr>
          <w:rFonts w:ascii="Arial" w:hAnsi="Arial" w:cs="Arial"/>
          <w:i w:val="0"/>
        </w:rPr>
        <w:t xml:space="preserve">Schéma période t1 : imaginons un système où il y a la Banque Centrale et une banque Z. La banque Z va dire à son client, Monsieur A, qu’il lui accorde un crédit de 100 car celui-ci veut construire une usine, ou acheter une voiture… Ce monsieur a donc besoin d’argent et la banque va étudier son dossier et s’il l’accepte, il va lui prêter les 100 euros. Ces 100 sont une dette de la banque : donc le </w:t>
      </w:r>
      <w:proofErr w:type="spellStart"/>
      <w:r w:rsidRPr="00FA4826">
        <w:rPr>
          <w:rFonts w:ascii="Arial" w:hAnsi="Arial" w:cs="Arial"/>
          <w:i w:val="0"/>
        </w:rPr>
        <w:t>fond</w:t>
      </w:r>
      <w:proofErr w:type="spellEnd"/>
      <w:r w:rsidRPr="00FA4826">
        <w:rPr>
          <w:rFonts w:ascii="Arial" w:hAnsi="Arial" w:cs="Arial"/>
          <w:i w:val="0"/>
        </w:rPr>
        <w:t xml:space="preserve"> de commerce de la banque va être les crédits accordés au client. En bref, à l’actif : les crédits accordés aux clients, au passif : les dépôts à vue. A la première période c’est équilibré. Mais ce crédit de 100 euros va être dépensé. Dans un deuxième temps : Monsieur A achète des produits à messieurs B, C et D. Les 35, 45 et 20 appartiennent aux différents messieurs et sont donc des dettes de la banque. Donc le bilan est équilibré : on a 100 euros au passif (somme de tous les comptes que la banque doit aux messieurs B, C et D) et on a toujours les 100 de crédit de monsieur A. On a l’équivalent au niveau de la banque centrale</w:t>
      </w:r>
    </w:p>
    <w:p w:rsidR="00CA18F6" w:rsidRPr="00FA4826" w:rsidRDefault="00CA18F6" w:rsidP="00123CAF">
      <w:pPr>
        <w:pStyle w:val="Paragraphedeliste"/>
        <w:spacing w:after="0"/>
        <w:rPr>
          <w:rFonts w:ascii="Arial" w:hAnsi="Arial" w:cs="Arial"/>
          <w:i w:val="0"/>
        </w:rPr>
      </w:pPr>
    </w:p>
    <w:p w:rsidR="00D66D28" w:rsidRPr="00FA4826" w:rsidRDefault="00D66D28" w:rsidP="00123CAF">
      <w:pPr>
        <w:pStyle w:val="Paragraphedeliste"/>
        <w:spacing w:after="0"/>
        <w:rPr>
          <w:rFonts w:ascii="Arial" w:hAnsi="Arial" w:cs="Arial"/>
          <w:i w:val="0"/>
        </w:rPr>
      </w:pPr>
    </w:p>
    <w:p w:rsidR="00D66D28" w:rsidRPr="00FA4826" w:rsidRDefault="00D66D28" w:rsidP="00123CAF">
      <w:pPr>
        <w:spacing w:after="0"/>
        <w:rPr>
          <w:rFonts w:ascii="Arial" w:hAnsi="Arial" w:cs="Arial"/>
          <w:i w:val="0"/>
        </w:rPr>
      </w:pPr>
    </w:p>
    <w:p w:rsidR="00CA18F6" w:rsidRPr="00FA4826" w:rsidRDefault="00CA18F6" w:rsidP="00123CAF">
      <w:pPr>
        <w:spacing w:after="0"/>
        <w:rPr>
          <w:rFonts w:ascii="Arial" w:hAnsi="Arial" w:cs="Arial"/>
          <w:i w:val="0"/>
        </w:rPr>
      </w:pPr>
      <w:r w:rsidRPr="00FA4826">
        <w:rPr>
          <w:rFonts w:ascii="Arial" w:hAnsi="Arial" w:cs="Arial"/>
          <w:i w:val="0"/>
        </w:rPr>
        <w:t>Dans la réalité c’est beaucoup plus complexe car il y a beaucoup plus de banques.</w:t>
      </w:r>
    </w:p>
    <w:p w:rsidR="00D66D28" w:rsidRPr="00FA4826" w:rsidRDefault="00D66D28" w:rsidP="00123CAF">
      <w:pPr>
        <w:spacing w:after="0"/>
        <w:rPr>
          <w:rFonts w:ascii="Arial" w:hAnsi="Arial" w:cs="Arial"/>
          <w:i w:val="0"/>
        </w:rPr>
      </w:pPr>
    </w:p>
    <w:p w:rsidR="00D66D28" w:rsidRPr="00FA4826" w:rsidRDefault="00D66D28" w:rsidP="00123CAF">
      <w:pPr>
        <w:spacing w:after="0"/>
        <w:rPr>
          <w:rFonts w:ascii="Arial" w:hAnsi="Arial" w:cs="Arial"/>
          <w:i w:val="0"/>
        </w:rPr>
      </w:pPr>
    </w:p>
    <w:p w:rsidR="00D66D28" w:rsidRPr="00FA4826" w:rsidRDefault="00D66D28" w:rsidP="00D66D28">
      <w:pPr>
        <w:spacing w:after="0"/>
        <w:jc w:val="center"/>
        <w:rPr>
          <w:rFonts w:ascii="Arial" w:hAnsi="Arial" w:cs="Arial"/>
          <w:i w:val="0"/>
        </w:rPr>
      </w:pPr>
      <w:r w:rsidRPr="00FA4826">
        <w:rPr>
          <w:rFonts w:ascii="Arial" w:hAnsi="Arial" w:cs="Arial"/>
          <w:i w:val="0"/>
          <w:noProof/>
          <w:lang w:eastAsia="fr-FR"/>
        </w:rPr>
        <w:drawing>
          <wp:inline distT="0" distB="0" distL="0" distR="0" wp14:anchorId="33E533B2" wp14:editId="7AFCF90B">
            <wp:extent cx="6323330" cy="3761105"/>
            <wp:effectExtent l="0" t="0" r="0" b="0"/>
            <wp:docPr id="42" name="Imag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323330" cy="3761105"/>
                    </a:xfrm>
                    <a:prstGeom prst="rect">
                      <a:avLst/>
                    </a:prstGeom>
                    <a:noFill/>
                    <a:ln>
                      <a:noFill/>
                    </a:ln>
                  </pic:spPr>
                </pic:pic>
              </a:graphicData>
            </a:graphic>
          </wp:inline>
        </w:drawing>
      </w:r>
    </w:p>
    <w:p w:rsidR="00D66D28" w:rsidRPr="00FA4826" w:rsidRDefault="00D66D28" w:rsidP="00123CAF">
      <w:pPr>
        <w:spacing w:after="0"/>
        <w:rPr>
          <w:rFonts w:ascii="Arial" w:hAnsi="Arial" w:cs="Arial"/>
          <w:i w:val="0"/>
        </w:rPr>
      </w:pPr>
    </w:p>
    <w:p w:rsidR="00CA18F6" w:rsidRPr="00FA4826" w:rsidRDefault="00CA18F6" w:rsidP="00C64C89">
      <w:pPr>
        <w:pStyle w:val="Paragraphedeliste"/>
        <w:numPr>
          <w:ilvl w:val="0"/>
          <w:numId w:val="8"/>
        </w:numPr>
        <w:spacing w:after="0"/>
        <w:rPr>
          <w:rFonts w:ascii="Arial" w:hAnsi="Arial" w:cs="Arial"/>
          <w:i w:val="0"/>
        </w:rPr>
      </w:pPr>
      <w:r w:rsidRPr="00FA4826">
        <w:rPr>
          <w:rFonts w:ascii="Arial" w:hAnsi="Arial" w:cs="Arial"/>
          <w:i w:val="0"/>
        </w:rPr>
        <w:t xml:space="preserve">Schéma période 2 : </w:t>
      </w:r>
      <w:r w:rsidR="005E6F33" w:rsidRPr="00FA4826">
        <w:rPr>
          <w:rFonts w:ascii="Arial" w:hAnsi="Arial" w:cs="Arial"/>
          <w:i w:val="0"/>
        </w:rPr>
        <w:t xml:space="preserve">Dans un premier </w:t>
      </w:r>
      <w:r w:rsidRPr="00FA4826">
        <w:rPr>
          <w:rFonts w:ascii="Arial" w:hAnsi="Arial" w:cs="Arial"/>
          <w:i w:val="0"/>
        </w:rPr>
        <w:t>temps, l’entreprise de monsieur A est terminé, l’entreprise B ainsi que les entreprises C et D, l’argent circule et finalement l’entreprise A dispose de 30, l’entreprise B : 25, l’entreprise C :</w:t>
      </w:r>
      <w:r w:rsidR="005E6F33" w:rsidRPr="00FA4826">
        <w:rPr>
          <w:rFonts w:ascii="Arial" w:hAnsi="Arial" w:cs="Arial"/>
          <w:i w:val="0"/>
        </w:rPr>
        <w:t xml:space="preserve"> </w:t>
      </w:r>
      <w:r w:rsidRPr="00FA4826">
        <w:rPr>
          <w:rFonts w:ascii="Arial" w:hAnsi="Arial" w:cs="Arial"/>
          <w:i w:val="0"/>
        </w:rPr>
        <w:t xml:space="preserve">35, l’entreprise D : 10. La deuxième période il faut rembourser le crédit à la banque donc à la fin de la seconde période de la deuxième période, on commence à rembourser en rendant 25, il reste donc au passif de la banque pour A : 5 mais à l’actif, le crédit à diminuer donc il reste 75. Encore une fois l’actif et le passif sont équivalents : le bilan est équilibré </w:t>
      </w:r>
    </w:p>
    <w:p w:rsidR="00D66D28" w:rsidRPr="00FA4826" w:rsidRDefault="00D66D28" w:rsidP="00D66D28">
      <w:pPr>
        <w:spacing w:after="0"/>
        <w:rPr>
          <w:rFonts w:ascii="Arial" w:hAnsi="Arial" w:cs="Arial"/>
          <w:i w:val="0"/>
        </w:rPr>
      </w:pPr>
    </w:p>
    <w:p w:rsidR="00D66D28" w:rsidRPr="00FA4826" w:rsidRDefault="00D66D28" w:rsidP="00D66D28">
      <w:pPr>
        <w:spacing w:after="0"/>
        <w:jc w:val="center"/>
        <w:rPr>
          <w:rFonts w:ascii="Arial" w:hAnsi="Arial" w:cs="Arial"/>
          <w:i w:val="0"/>
        </w:rPr>
      </w:pPr>
      <w:r w:rsidRPr="00FA4826">
        <w:rPr>
          <w:rFonts w:ascii="Arial" w:hAnsi="Arial" w:cs="Arial"/>
          <w:i w:val="0"/>
          <w:noProof/>
          <w:lang w:eastAsia="fr-FR"/>
        </w:rPr>
        <w:drawing>
          <wp:inline distT="0" distB="0" distL="0" distR="0" wp14:anchorId="55EB22D7" wp14:editId="38A47815">
            <wp:extent cx="5710555" cy="2648585"/>
            <wp:effectExtent l="0" t="0" r="0" b="0"/>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10555" cy="2648585"/>
                    </a:xfrm>
                    <a:prstGeom prst="rect">
                      <a:avLst/>
                    </a:prstGeom>
                    <a:noFill/>
                    <a:ln>
                      <a:noFill/>
                    </a:ln>
                  </pic:spPr>
                </pic:pic>
              </a:graphicData>
            </a:graphic>
          </wp:inline>
        </w:drawing>
      </w:r>
    </w:p>
    <w:p w:rsidR="00D66D28" w:rsidRPr="00FA4826" w:rsidRDefault="00D66D28" w:rsidP="00D66D28">
      <w:pPr>
        <w:spacing w:after="0"/>
        <w:rPr>
          <w:rFonts w:ascii="Arial" w:hAnsi="Arial" w:cs="Arial"/>
          <w:i w:val="0"/>
        </w:rPr>
      </w:pPr>
    </w:p>
    <w:p w:rsidR="00CA18F6" w:rsidRPr="00FA4826" w:rsidRDefault="00CA18F6" w:rsidP="00C64C89">
      <w:pPr>
        <w:pStyle w:val="Paragraphedeliste"/>
        <w:numPr>
          <w:ilvl w:val="0"/>
          <w:numId w:val="8"/>
        </w:numPr>
        <w:spacing w:after="0"/>
        <w:rPr>
          <w:rFonts w:ascii="Arial" w:hAnsi="Arial" w:cs="Arial"/>
          <w:i w:val="0"/>
        </w:rPr>
      </w:pPr>
      <w:r w:rsidRPr="00FA4826">
        <w:rPr>
          <w:rFonts w:ascii="Arial" w:hAnsi="Arial" w:cs="Arial"/>
          <w:i w:val="0"/>
        </w:rPr>
        <w:t xml:space="preserve">Schéma avec les périodes et masse monétaire : globalement, si on le fait sur plusieurs périodes, on rembourse 25 par an donc en l’espace de 4 années, le crédit est remboursé mais en même temps la masse monétaire est diminuée. A partir de l’année 4, on ferme le crédit donc la masse monétaire diminue. La </w:t>
      </w:r>
      <w:proofErr w:type="spellStart"/>
      <w:r w:rsidRPr="00FA4826">
        <w:rPr>
          <w:rFonts w:ascii="Arial" w:hAnsi="Arial" w:cs="Arial"/>
          <w:i w:val="0"/>
        </w:rPr>
        <w:t>mase</w:t>
      </w:r>
      <w:proofErr w:type="spellEnd"/>
      <w:r w:rsidRPr="00FA4826">
        <w:rPr>
          <w:rFonts w:ascii="Arial" w:hAnsi="Arial" w:cs="Arial"/>
          <w:i w:val="0"/>
        </w:rPr>
        <w:t xml:space="preserve"> monétaire correspond à la somme de chaque ligne pour chaque période.</w:t>
      </w:r>
    </w:p>
    <w:p w:rsidR="00D66D28" w:rsidRPr="00FA4826" w:rsidRDefault="00D66D28" w:rsidP="00D66D28">
      <w:pPr>
        <w:pStyle w:val="Paragraphedeliste"/>
        <w:spacing w:after="0"/>
        <w:rPr>
          <w:rFonts w:ascii="Arial" w:hAnsi="Arial" w:cs="Arial"/>
          <w:i w:val="0"/>
        </w:rPr>
      </w:pPr>
    </w:p>
    <w:p w:rsidR="00CA18F6" w:rsidRPr="00FA4826" w:rsidRDefault="00CA18F6" w:rsidP="00123CAF">
      <w:pPr>
        <w:spacing w:after="0"/>
        <w:rPr>
          <w:rFonts w:ascii="Arial" w:hAnsi="Arial" w:cs="Arial"/>
          <w:i w:val="0"/>
        </w:rPr>
      </w:pPr>
      <w:r w:rsidRPr="00FA4826">
        <w:rPr>
          <w:rFonts w:ascii="Arial" w:hAnsi="Arial" w:cs="Arial"/>
          <w:i w:val="0"/>
        </w:rPr>
        <w:t>La création monétaire va être le solde entre les crédits alloués et les crédits remboursés : si on alloue plus de crédit qu’on en rembourse la masse monétaire va augmenter. Un solde négatif va entraîner une destruction de la monnaie et un solde positif va entraîner une création de la monnaie.</w:t>
      </w:r>
    </w:p>
    <w:p w:rsidR="00B87E84" w:rsidRPr="00FA4826" w:rsidRDefault="00CA18F6" w:rsidP="00123CAF">
      <w:pPr>
        <w:spacing w:after="0"/>
        <w:rPr>
          <w:rFonts w:ascii="Arial" w:hAnsi="Arial" w:cs="Arial"/>
          <w:i w:val="0"/>
        </w:rPr>
      </w:pPr>
      <w:r w:rsidRPr="00FA4826">
        <w:rPr>
          <w:rFonts w:ascii="Arial" w:hAnsi="Arial" w:cs="Arial"/>
          <w:i w:val="0"/>
        </w:rPr>
        <w:t>Lien direct entre création monétaire et activité économique. Si la banque n’avait pas prêté, la personne A n’aurait jamais pu mener à bien son projet et dans ce cas l’activité économique aurait été moins importante. Et c’est d’ailleurs pour cette raison que le gouvernement américain, à partir des années 2000, a décidé de booster l’activité économique et donc ils ont injecté de l’argent dans le système économique et on a donc facilité l’accès aux crédits.</w:t>
      </w:r>
    </w:p>
    <w:p w:rsidR="00CA18F6" w:rsidRPr="00FA4826" w:rsidRDefault="00CA18F6" w:rsidP="00123CAF">
      <w:pPr>
        <w:spacing w:after="0"/>
        <w:rPr>
          <w:rFonts w:ascii="Arial" w:hAnsi="Arial" w:cs="Arial"/>
          <w:i w:val="0"/>
        </w:rPr>
      </w:pPr>
    </w:p>
    <w:p w:rsidR="00CA18F6" w:rsidRPr="00FA4826" w:rsidRDefault="00CA18F6" w:rsidP="00123CAF">
      <w:pPr>
        <w:spacing w:after="0"/>
        <w:rPr>
          <w:rFonts w:ascii="Arial" w:hAnsi="Arial" w:cs="Arial"/>
          <w:i w:val="0"/>
        </w:rPr>
      </w:pPr>
      <w:r w:rsidRPr="00FA4826">
        <w:rPr>
          <w:rFonts w:ascii="Arial" w:hAnsi="Arial" w:cs="Arial"/>
          <w:b/>
          <w:i w:val="0"/>
        </w:rPr>
        <w:t>Remarque :</w:t>
      </w:r>
      <w:r w:rsidRPr="00FA4826">
        <w:rPr>
          <w:rFonts w:ascii="Arial" w:hAnsi="Arial" w:cs="Arial"/>
          <w:i w:val="0"/>
        </w:rPr>
        <w:t xml:space="preserve"> on raisonne comme s’il n’y avait pas de taux d’intérêt </w:t>
      </w:r>
    </w:p>
    <w:p w:rsidR="00CA18F6" w:rsidRPr="00FA4826" w:rsidRDefault="00CA18F6" w:rsidP="00123CAF">
      <w:pPr>
        <w:spacing w:after="0"/>
        <w:rPr>
          <w:rFonts w:ascii="Arial" w:hAnsi="Arial" w:cs="Arial"/>
          <w:i w:val="0"/>
        </w:rPr>
      </w:pPr>
      <w:r w:rsidRPr="00FA4826">
        <w:rPr>
          <w:rFonts w:ascii="Arial" w:hAnsi="Arial" w:cs="Arial"/>
          <w:i w:val="0"/>
        </w:rPr>
        <w:t>Les banques de second rang ont, dans ce système, un avantage : ça ne leur compte rien de mettre de 100 sur notre compte mais elle nous fait payer un taux d’intérêt donc à travers la création monétaire, les banques peuvent gagner de l’argent. C’est l’équivalent du seigneuriage (référence au droit dont disposait le seigneur au moyen âge : battre la monnaie). Les banques de second rang veulent garder cette prérogative, elle facture quelque chose qui ne leur coûte rien. Actuellement on ne peut plus vivre sans les banques car si les banques font faillites, il n’y a plus de monnaie et cela tend à la révolution : le pouvoir est alors remis en cause. Donc les banques savent qu’elles sont essentielles donc elles jouent de ce pouvoir.</w:t>
      </w:r>
    </w:p>
    <w:p w:rsidR="00B87E84" w:rsidRPr="00FA4826" w:rsidRDefault="00CA18F6" w:rsidP="00123CAF">
      <w:pPr>
        <w:spacing w:after="0"/>
        <w:rPr>
          <w:rFonts w:ascii="Arial" w:hAnsi="Arial" w:cs="Arial"/>
          <w:i w:val="0"/>
        </w:rPr>
      </w:pPr>
      <w:r w:rsidRPr="00FA4826">
        <w:rPr>
          <w:rFonts w:ascii="Arial" w:hAnsi="Arial" w:cs="Arial"/>
          <w:i w:val="0"/>
        </w:rPr>
        <w:t xml:space="preserve">Chaque banque émet sa « monnaie » convertible : les euros crédits lyonnais, les euros crédit coopérative, les euros banque populaires… mais ce qui fait la forcer du système c’est que tous ces euros sont convertibles en monnaie banque centrale. Dans la pratique il y a plusieurs types d’euros mais on ne s’en aperçoit pas. </w:t>
      </w:r>
    </w:p>
    <w:p w:rsidR="00CA18F6" w:rsidRPr="00FA4826" w:rsidRDefault="00CA18F6" w:rsidP="00123CAF">
      <w:pPr>
        <w:spacing w:after="0"/>
        <w:rPr>
          <w:rFonts w:ascii="Arial" w:hAnsi="Arial" w:cs="Arial"/>
          <w:i w:val="0"/>
        </w:rPr>
      </w:pPr>
    </w:p>
    <w:p w:rsidR="00CA18F6" w:rsidRPr="00FA4826" w:rsidRDefault="00CA18F6" w:rsidP="00123CAF">
      <w:pPr>
        <w:spacing w:after="0"/>
        <w:rPr>
          <w:rFonts w:ascii="Arial" w:hAnsi="Arial" w:cs="Arial"/>
          <w:b/>
          <w:i w:val="0"/>
          <w:u w:val="single"/>
        </w:rPr>
      </w:pPr>
      <w:r w:rsidRPr="00FA4826">
        <w:rPr>
          <w:rFonts w:ascii="Arial" w:hAnsi="Arial" w:cs="Arial"/>
          <w:b/>
          <w:i w:val="0"/>
          <w:u w:val="single"/>
        </w:rPr>
        <w:t>TOUS LES CREDITS NE CREENT PAS DE LA MONNAIE :</w:t>
      </w:r>
    </w:p>
    <w:p w:rsidR="00CA18F6" w:rsidRPr="00FA4826" w:rsidRDefault="00CA18F6" w:rsidP="00C64C89">
      <w:pPr>
        <w:pStyle w:val="Paragraphedeliste"/>
        <w:numPr>
          <w:ilvl w:val="0"/>
          <w:numId w:val="15"/>
        </w:numPr>
        <w:spacing w:after="0"/>
        <w:rPr>
          <w:rFonts w:ascii="Arial" w:hAnsi="Arial" w:cs="Arial"/>
          <w:i w:val="0"/>
        </w:rPr>
      </w:pPr>
      <w:r w:rsidRPr="00FA4826">
        <w:rPr>
          <w:rFonts w:ascii="Arial" w:hAnsi="Arial" w:cs="Arial"/>
          <w:i w:val="0"/>
        </w:rPr>
        <w:t>Il y a les crédits « interentreprises » ne créent pas de la monnaie mais ils ne représentent pas une grande masse</w:t>
      </w:r>
    </w:p>
    <w:p w:rsidR="00CA18F6" w:rsidRPr="00FA4826" w:rsidRDefault="00CA18F6" w:rsidP="00C64C89">
      <w:pPr>
        <w:pStyle w:val="Paragraphedeliste"/>
        <w:numPr>
          <w:ilvl w:val="0"/>
          <w:numId w:val="15"/>
        </w:numPr>
        <w:spacing w:after="0"/>
        <w:rPr>
          <w:rFonts w:ascii="Arial" w:hAnsi="Arial" w:cs="Arial"/>
          <w:i w:val="0"/>
        </w:rPr>
      </w:pPr>
      <w:r w:rsidRPr="00FA4826">
        <w:rPr>
          <w:rFonts w:ascii="Arial" w:hAnsi="Arial" w:cs="Arial"/>
          <w:i w:val="0"/>
        </w:rPr>
        <w:t xml:space="preserve">La part du crédit constituée par l’épargne : l’épargne qui est </w:t>
      </w:r>
      <w:proofErr w:type="spellStart"/>
      <w:r w:rsidRPr="00FA4826">
        <w:rPr>
          <w:rFonts w:ascii="Arial" w:hAnsi="Arial" w:cs="Arial"/>
          <w:i w:val="0"/>
        </w:rPr>
        <w:t>investit</w:t>
      </w:r>
      <w:proofErr w:type="spellEnd"/>
      <w:r w:rsidRPr="00FA4826">
        <w:rPr>
          <w:rFonts w:ascii="Arial" w:hAnsi="Arial" w:cs="Arial"/>
          <w:i w:val="0"/>
        </w:rPr>
        <w:t xml:space="preserve"> représente très peu</w:t>
      </w:r>
    </w:p>
    <w:p w:rsidR="00CA18F6" w:rsidRPr="00FA4826" w:rsidRDefault="00CA18F6" w:rsidP="00123CAF">
      <w:pPr>
        <w:spacing w:after="0"/>
        <w:rPr>
          <w:rFonts w:ascii="Arial" w:hAnsi="Arial" w:cs="Arial"/>
          <w:i w:val="0"/>
        </w:rPr>
      </w:pPr>
      <w:r w:rsidRPr="00FA4826">
        <w:rPr>
          <w:rFonts w:ascii="Arial" w:hAnsi="Arial" w:cs="Arial"/>
          <w:i w:val="0"/>
        </w:rPr>
        <w:t xml:space="preserve">La dette publique (bons du trésor) et la création monétaire. Que signifie monétiser la dette publique ? Pour se financer l’Etat va émettre des bons du trésor par l’intermédiaire du Trésor Public, lorsque l’Etat n’a pas assez d’argent pour payer ses agents il va émettre des bons du Trésor (ce sont des titres). Quel est le mécanisme de créer des bons ? Si l’Etat français a besoin de 5000€, parce qu’il a un déficit, soit il emprunte soit il émet des bons. Dans ce cas, on prend un morceau de papier et on met : bon qui équivaut à 1000 et dans ce cas on donne 1000 à l’Etat et plus tard l’Etat rendra 1000€ avec les intérêts. L’Etat monétise la dette car elle mobilise l’épargne qui est immobile. </w:t>
      </w:r>
    </w:p>
    <w:p w:rsidR="00FA4826" w:rsidRPr="00FA4826" w:rsidRDefault="00FA4826" w:rsidP="00123CAF">
      <w:pPr>
        <w:spacing w:after="0"/>
        <w:rPr>
          <w:rFonts w:ascii="Arial" w:hAnsi="Arial" w:cs="Arial"/>
          <w:i w:val="0"/>
        </w:rPr>
      </w:pPr>
    </w:p>
    <w:p w:rsidR="00FA4826" w:rsidRPr="00FA4826" w:rsidRDefault="004D268F" w:rsidP="00123CAF">
      <w:pPr>
        <w:spacing w:after="0"/>
        <w:rPr>
          <w:rFonts w:ascii="Arial" w:hAnsi="Arial" w:cs="Arial"/>
          <w:i w:val="0"/>
        </w:rPr>
      </w:pPr>
      <w:r w:rsidRPr="00FA4826">
        <w:rPr>
          <w:rFonts w:ascii="Arial" w:hAnsi="Arial" w:cs="Arial"/>
          <w:b/>
          <w:i w:val="0"/>
          <w:u w:val="single"/>
        </w:rPr>
        <w:t>Rappel : CF cours précédent</w:t>
      </w:r>
      <w:r w:rsidRPr="00FA4826">
        <w:rPr>
          <w:rFonts w:ascii="Arial" w:hAnsi="Arial" w:cs="Arial"/>
          <w:b/>
          <w:i w:val="0"/>
        </w:rPr>
        <w:t>.</w:t>
      </w:r>
      <w:r w:rsidRPr="00FA4826">
        <w:rPr>
          <w:rFonts w:ascii="Arial" w:hAnsi="Arial" w:cs="Arial"/>
          <w:i w:val="0"/>
        </w:rPr>
        <w:t xml:space="preserve"> </w:t>
      </w:r>
    </w:p>
    <w:p w:rsidR="004D268F" w:rsidRPr="00FA4826" w:rsidRDefault="004D268F" w:rsidP="00123CAF">
      <w:pPr>
        <w:spacing w:after="0"/>
        <w:rPr>
          <w:rFonts w:ascii="Arial" w:hAnsi="Arial" w:cs="Arial"/>
          <w:i w:val="0"/>
        </w:rPr>
      </w:pPr>
      <w:r w:rsidRPr="00FA4826">
        <w:rPr>
          <w:rFonts w:ascii="Arial" w:hAnsi="Arial" w:cs="Arial"/>
          <w:i w:val="0"/>
        </w:rPr>
        <w:t>La principale source de monnaie est le crédit en Europe.</w:t>
      </w:r>
    </w:p>
    <w:p w:rsidR="004D268F" w:rsidRPr="00FA4826" w:rsidRDefault="004D268F" w:rsidP="00123CAF">
      <w:pPr>
        <w:spacing w:after="0"/>
        <w:rPr>
          <w:rFonts w:ascii="Arial" w:hAnsi="Arial" w:cs="Arial"/>
          <w:i w:val="0"/>
        </w:rPr>
      </w:pPr>
      <w:r w:rsidRPr="00FA4826">
        <w:rPr>
          <w:rFonts w:ascii="Arial" w:hAnsi="Arial" w:cs="Arial"/>
          <w:i w:val="0"/>
        </w:rPr>
        <w:t xml:space="preserve">La création monétaire : En Europe, il y a les billets (banque centrale) et l’essentiel de la monnaie scripturale est </w:t>
      </w:r>
      <w:proofErr w:type="spellStart"/>
      <w:r w:rsidRPr="00FA4826">
        <w:rPr>
          <w:rFonts w:ascii="Arial" w:hAnsi="Arial" w:cs="Arial"/>
          <w:i w:val="0"/>
        </w:rPr>
        <w:t>crée</w:t>
      </w:r>
      <w:proofErr w:type="spellEnd"/>
      <w:r w:rsidRPr="00FA4826">
        <w:rPr>
          <w:rFonts w:ascii="Arial" w:hAnsi="Arial" w:cs="Arial"/>
          <w:i w:val="0"/>
        </w:rPr>
        <w:t xml:space="preserve"> par la dette (les bons du trésor, le crédit). </w:t>
      </w:r>
      <w:r w:rsidRPr="00FA4826">
        <w:rPr>
          <w:rFonts w:ascii="Arial" w:hAnsi="Arial" w:cs="Arial"/>
          <w:b/>
          <w:i w:val="0"/>
        </w:rPr>
        <w:t>Le crédit crée la monnaie</w:t>
      </w:r>
      <w:r w:rsidRPr="00FA4826">
        <w:rPr>
          <w:rFonts w:ascii="Arial" w:hAnsi="Arial" w:cs="Arial"/>
          <w:i w:val="0"/>
        </w:rPr>
        <w:t>. Plus on fait de crédit, plus on a de la monnaie dans l’économie. A l’inverse si on diminue le crédit, on réduit la masse monétaire. C’est le solde entre les crédits faits/remboursés qui détermine la masse monétaire dans une économie. Dans une économie en croissance on a besoin de davantage de masse monétaire pour permettre les échanges. Ces échanges sont autorisés par les crédits qui sont alloués.</w:t>
      </w:r>
    </w:p>
    <w:p w:rsidR="00FA4826" w:rsidRPr="00FA4826" w:rsidRDefault="00FA4826" w:rsidP="00123CAF">
      <w:pPr>
        <w:spacing w:after="0"/>
        <w:rPr>
          <w:rFonts w:ascii="Arial" w:hAnsi="Arial" w:cs="Arial"/>
          <w:i w:val="0"/>
        </w:rPr>
      </w:pPr>
    </w:p>
    <w:p w:rsidR="00FA4826" w:rsidRPr="00FA4826" w:rsidRDefault="004D268F" w:rsidP="00123CAF">
      <w:pPr>
        <w:spacing w:after="0"/>
        <w:rPr>
          <w:rFonts w:ascii="Arial" w:hAnsi="Arial" w:cs="Arial"/>
          <w:b/>
          <w:i w:val="0"/>
          <w:u w:val="single"/>
        </w:rPr>
      </w:pPr>
      <w:r w:rsidRPr="00FA4826">
        <w:rPr>
          <w:rFonts w:ascii="Arial" w:hAnsi="Arial" w:cs="Arial"/>
          <w:b/>
          <w:i w:val="0"/>
          <w:u w:val="single"/>
        </w:rPr>
        <w:t>La dette publique (bons du trésor) et la création monétaire</w:t>
      </w:r>
      <w:r w:rsidR="008727CB" w:rsidRPr="00FA4826">
        <w:rPr>
          <w:rFonts w:ascii="Arial" w:hAnsi="Arial" w:cs="Arial"/>
          <w:b/>
          <w:i w:val="0"/>
          <w:u w:val="single"/>
        </w:rPr>
        <w:t xml:space="preserve"> : </w:t>
      </w:r>
    </w:p>
    <w:p w:rsidR="00FA4826" w:rsidRPr="00FA4826" w:rsidRDefault="004D268F" w:rsidP="00123CAF">
      <w:pPr>
        <w:spacing w:after="0"/>
        <w:rPr>
          <w:rFonts w:ascii="Arial" w:hAnsi="Arial" w:cs="Arial"/>
          <w:i w:val="0"/>
        </w:rPr>
      </w:pPr>
      <w:r w:rsidRPr="00FA4826">
        <w:rPr>
          <w:rFonts w:ascii="Arial" w:hAnsi="Arial" w:cs="Arial"/>
          <w:i w:val="0"/>
        </w:rPr>
        <w:t xml:space="preserve">Chaque pays a un budget et cherche à savoir comment équilibrer la balance dépenses/recettes. L’état s’endette pour « combler les trous ». Chez Keynes, </w:t>
      </w:r>
      <w:r w:rsidRPr="00FA4826">
        <w:rPr>
          <w:rFonts w:ascii="Arial" w:hAnsi="Arial" w:cs="Arial"/>
          <w:b/>
          <w:i w:val="0"/>
        </w:rPr>
        <w:t>la dette publique est une bonne chose</w:t>
      </w:r>
      <w:r w:rsidRPr="00FA4826">
        <w:rPr>
          <w:rFonts w:ascii="Arial" w:hAnsi="Arial" w:cs="Arial"/>
          <w:i w:val="0"/>
        </w:rPr>
        <w:t xml:space="preserve"> contrairement aux idées reçues actuelles (Irlande, Espagne). Sur la longue période, la dépense en pourcentage de PIB en Europe est constante, l’augmentation de la dette publique s’explique alors par la baisse des impôts et non pas par la hausse de la dépense (les prélèvements donc les ressources ont diminuées). </w:t>
      </w:r>
    </w:p>
    <w:p w:rsidR="004D268F" w:rsidRPr="00FA4826" w:rsidRDefault="004D268F" w:rsidP="00123CAF">
      <w:pPr>
        <w:spacing w:after="0"/>
        <w:rPr>
          <w:rFonts w:ascii="Arial" w:hAnsi="Arial" w:cs="Arial"/>
          <w:b/>
          <w:i w:val="0"/>
          <w:u w:val="single"/>
        </w:rPr>
      </w:pPr>
      <w:r w:rsidRPr="00FA4826">
        <w:rPr>
          <w:rFonts w:ascii="Arial" w:hAnsi="Arial" w:cs="Arial"/>
          <w:i w:val="0"/>
        </w:rPr>
        <w:t>C’est pour cela qu’il y a du déficit public.</w:t>
      </w:r>
    </w:p>
    <w:p w:rsidR="004D268F" w:rsidRPr="00FA4826" w:rsidRDefault="004D268F" w:rsidP="00123CAF">
      <w:pPr>
        <w:spacing w:after="0"/>
        <w:rPr>
          <w:rFonts w:ascii="Arial" w:hAnsi="Arial" w:cs="Arial"/>
          <w:i w:val="0"/>
        </w:rPr>
      </w:pPr>
      <w:r w:rsidRPr="00FA4826">
        <w:rPr>
          <w:rFonts w:ascii="Arial" w:hAnsi="Arial" w:cs="Arial"/>
          <w:i w:val="0"/>
        </w:rPr>
        <w:t xml:space="preserve">L’état ne doit pas se focaliser seulement sur ses dépenses comme un père de famille mais sur l’ensemble de son « foyer ». L’état n’est pas une famille. Il s’insère dans un système économique, et </w:t>
      </w:r>
      <w:r w:rsidRPr="00FA4826">
        <w:rPr>
          <w:rFonts w:ascii="Arial" w:hAnsi="Arial" w:cs="Arial"/>
          <w:b/>
          <w:i w:val="0"/>
        </w:rPr>
        <w:t>non pas un élément isolé</w:t>
      </w:r>
      <w:r w:rsidRPr="00FA4826">
        <w:rPr>
          <w:rFonts w:ascii="Arial" w:hAnsi="Arial" w:cs="Arial"/>
          <w:i w:val="0"/>
        </w:rPr>
        <w:t>. Si sa dépense a un impact positif sur tou</w:t>
      </w:r>
      <w:r w:rsidR="00FA4826" w:rsidRPr="00FA4826">
        <w:rPr>
          <w:rFonts w:ascii="Arial" w:hAnsi="Arial" w:cs="Arial"/>
          <w:i w:val="0"/>
        </w:rPr>
        <w:t>t</w:t>
      </w:r>
      <w:r w:rsidRPr="00FA4826">
        <w:rPr>
          <w:rFonts w:ascii="Arial" w:hAnsi="Arial" w:cs="Arial"/>
          <w:i w:val="0"/>
        </w:rPr>
        <w:t xml:space="preserve"> le pays elle est envisageable. </w:t>
      </w:r>
    </w:p>
    <w:p w:rsidR="00FA4826" w:rsidRPr="00FA4826" w:rsidRDefault="00FA4826" w:rsidP="00123CAF">
      <w:pPr>
        <w:spacing w:after="0"/>
        <w:rPr>
          <w:rFonts w:ascii="Arial" w:hAnsi="Arial" w:cs="Arial"/>
          <w:i w:val="0"/>
        </w:rPr>
      </w:pPr>
    </w:p>
    <w:p w:rsidR="00FA4826" w:rsidRPr="00FA4826" w:rsidRDefault="00FA4826" w:rsidP="00123CAF">
      <w:pPr>
        <w:spacing w:after="0"/>
        <w:rPr>
          <w:rFonts w:ascii="Arial" w:hAnsi="Arial" w:cs="Arial"/>
          <w:i w:val="0"/>
        </w:rPr>
      </w:pPr>
    </w:p>
    <w:p w:rsidR="00FA4826" w:rsidRPr="00FA4826" w:rsidRDefault="00FA4826" w:rsidP="00123CAF">
      <w:pPr>
        <w:spacing w:after="0"/>
        <w:rPr>
          <w:rFonts w:ascii="Arial" w:hAnsi="Arial" w:cs="Arial"/>
          <w:i w:val="0"/>
        </w:rPr>
      </w:pPr>
    </w:p>
    <w:p w:rsidR="00FA4826" w:rsidRPr="00FA4826" w:rsidRDefault="00FA4826" w:rsidP="00123CAF">
      <w:pPr>
        <w:spacing w:after="0"/>
        <w:rPr>
          <w:rFonts w:ascii="Arial" w:hAnsi="Arial" w:cs="Arial"/>
          <w:i w:val="0"/>
        </w:rPr>
      </w:pPr>
    </w:p>
    <w:p w:rsidR="00FA4826" w:rsidRPr="00FA4826" w:rsidRDefault="00FA4826" w:rsidP="00123CAF">
      <w:pPr>
        <w:spacing w:after="0"/>
        <w:rPr>
          <w:rFonts w:ascii="Arial" w:hAnsi="Arial" w:cs="Arial"/>
          <w:i w:val="0"/>
        </w:rPr>
      </w:pPr>
    </w:p>
    <w:p w:rsidR="004D268F" w:rsidRPr="00FA4826" w:rsidRDefault="00FA4826" w:rsidP="00123CAF">
      <w:pPr>
        <w:spacing w:after="0"/>
        <w:rPr>
          <w:rFonts w:ascii="Arial" w:hAnsi="Arial" w:cs="Arial"/>
          <w:i w:val="0"/>
        </w:rPr>
      </w:pPr>
      <w:r>
        <w:rPr>
          <w:rFonts w:ascii="Arial" w:hAnsi="Arial" w:cs="Arial"/>
          <w:i w:val="0"/>
        </w:rPr>
        <w:t>Comment crée-t-</w:t>
      </w:r>
      <w:r w:rsidR="004D268F" w:rsidRPr="00FA4826">
        <w:rPr>
          <w:rFonts w:ascii="Arial" w:hAnsi="Arial" w:cs="Arial"/>
          <w:i w:val="0"/>
        </w:rPr>
        <w:t>on de la monnaie par le biais de la dette publique ?</w:t>
      </w:r>
    </w:p>
    <w:p w:rsidR="00FA4826" w:rsidRPr="00FA4826" w:rsidRDefault="00FA4826" w:rsidP="00123CAF">
      <w:pPr>
        <w:spacing w:after="0"/>
        <w:rPr>
          <w:rFonts w:ascii="Arial" w:hAnsi="Arial" w:cs="Arial"/>
          <w:i w:val="0"/>
        </w:rPr>
      </w:pPr>
    </w:p>
    <w:p w:rsidR="004D268F" w:rsidRPr="00FA4826" w:rsidRDefault="004D268F" w:rsidP="00C64C89">
      <w:pPr>
        <w:pStyle w:val="Paragraphedeliste"/>
        <w:numPr>
          <w:ilvl w:val="0"/>
          <w:numId w:val="22"/>
        </w:numPr>
        <w:spacing w:after="0"/>
        <w:rPr>
          <w:rFonts w:ascii="Arial" w:hAnsi="Arial" w:cs="Arial"/>
          <w:i w:val="0"/>
        </w:rPr>
      </w:pPr>
      <w:r w:rsidRPr="00FA4826">
        <w:rPr>
          <w:rFonts w:ascii="Arial" w:hAnsi="Arial" w:cs="Arial"/>
          <w:i w:val="0"/>
        </w:rPr>
        <w:t xml:space="preserve">On peut émettre des bons du trésor (des titres) par l’intermédiaire de sa « banque » le trésor public. Les agents achètent à l’état un bon du trésor à un certain rendement, l’Etat encaisse l’argent et paye ses fonctionnaires. Ex : à la période 1 l’état est en déficit et Mr Dupont </w:t>
      </w:r>
      <w:proofErr w:type="gramStart"/>
      <w:r w:rsidRPr="00FA4826">
        <w:rPr>
          <w:rFonts w:ascii="Arial" w:hAnsi="Arial" w:cs="Arial"/>
          <w:i w:val="0"/>
        </w:rPr>
        <w:t>a</w:t>
      </w:r>
      <w:proofErr w:type="gramEnd"/>
      <w:r w:rsidRPr="00FA4826">
        <w:rPr>
          <w:rFonts w:ascii="Arial" w:hAnsi="Arial" w:cs="Arial"/>
          <w:i w:val="0"/>
        </w:rPr>
        <w:t xml:space="preserve"> une épargne de 100</w:t>
      </w:r>
      <w:r w:rsidRPr="00FA4826">
        <w:rPr>
          <w:rFonts w:ascii="Arial" w:hAnsi="Arial" w:cs="Arial"/>
          <w:i w:val="0"/>
          <w:vertAlign w:val="superscript"/>
        </w:rPr>
        <w:t>e</w:t>
      </w:r>
      <w:r w:rsidRPr="00FA4826">
        <w:rPr>
          <w:rFonts w:ascii="Arial" w:hAnsi="Arial" w:cs="Arial"/>
          <w:i w:val="0"/>
        </w:rPr>
        <w:t xml:space="preserve">. </w:t>
      </w:r>
      <w:proofErr w:type="gramStart"/>
      <w:r w:rsidRPr="00FA4826">
        <w:rPr>
          <w:rFonts w:ascii="Arial" w:hAnsi="Arial" w:cs="Arial"/>
          <w:i w:val="0"/>
        </w:rPr>
        <w:t>A le</w:t>
      </w:r>
      <w:proofErr w:type="gramEnd"/>
      <w:r w:rsidRPr="00FA4826">
        <w:rPr>
          <w:rFonts w:ascii="Arial" w:hAnsi="Arial" w:cs="Arial"/>
          <w:i w:val="0"/>
        </w:rPr>
        <w:t xml:space="preserve"> période 2 l’état émet un bon du trésor de 100</w:t>
      </w:r>
      <w:r w:rsidRPr="00FA4826">
        <w:rPr>
          <w:rFonts w:ascii="Arial" w:hAnsi="Arial" w:cs="Arial"/>
          <w:i w:val="0"/>
          <w:vertAlign w:val="superscript"/>
        </w:rPr>
        <w:t>e</w:t>
      </w:r>
      <w:r w:rsidRPr="00FA4826">
        <w:rPr>
          <w:rFonts w:ascii="Arial" w:hAnsi="Arial" w:cs="Arial"/>
          <w:i w:val="0"/>
        </w:rPr>
        <w:t xml:space="preserve"> que Mr Dupont achète. Ces 100</w:t>
      </w:r>
      <w:r w:rsidRPr="00FA4826">
        <w:rPr>
          <w:rFonts w:ascii="Arial" w:hAnsi="Arial" w:cs="Arial"/>
          <w:i w:val="0"/>
          <w:vertAlign w:val="superscript"/>
        </w:rPr>
        <w:t>e</w:t>
      </w:r>
      <w:r w:rsidRPr="00FA4826">
        <w:rPr>
          <w:rFonts w:ascii="Arial" w:hAnsi="Arial" w:cs="Arial"/>
          <w:i w:val="0"/>
        </w:rPr>
        <w:t xml:space="preserve"> vont dans les caisses de l’état qui va le dépenser. A la période 2 on aura 100</w:t>
      </w:r>
      <w:r w:rsidRPr="00FA4826">
        <w:rPr>
          <w:rFonts w:ascii="Arial" w:hAnsi="Arial" w:cs="Arial"/>
          <w:i w:val="0"/>
          <w:vertAlign w:val="superscript"/>
        </w:rPr>
        <w:t>e</w:t>
      </w:r>
      <w:r w:rsidRPr="00FA4826">
        <w:rPr>
          <w:rFonts w:ascii="Arial" w:hAnsi="Arial" w:cs="Arial"/>
          <w:i w:val="0"/>
        </w:rPr>
        <w:t xml:space="preserve"> en bon pour Mr Dupont, et 100</w:t>
      </w:r>
      <w:r w:rsidRPr="00FA4826">
        <w:rPr>
          <w:rFonts w:ascii="Arial" w:hAnsi="Arial" w:cs="Arial"/>
          <w:i w:val="0"/>
          <w:vertAlign w:val="superscript"/>
        </w:rPr>
        <w:t xml:space="preserve">e </w:t>
      </w:r>
      <w:r w:rsidRPr="00FA4826">
        <w:rPr>
          <w:rFonts w:ascii="Arial" w:hAnsi="Arial" w:cs="Arial"/>
          <w:i w:val="0"/>
        </w:rPr>
        <w:t>que l’état fait circuler dans l’économie, donc finalement 200</w:t>
      </w:r>
      <w:r w:rsidRPr="00FA4826">
        <w:rPr>
          <w:rFonts w:ascii="Arial" w:hAnsi="Arial" w:cs="Arial"/>
          <w:i w:val="0"/>
          <w:vertAlign w:val="superscript"/>
        </w:rPr>
        <w:t>e</w:t>
      </w:r>
      <w:r w:rsidRPr="00FA4826">
        <w:rPr>
          <w:rFonts w:ascii="Arial" w:hAnsi="Arial" w:cs="Arial"/>
          <w:i w:val="0"/>
        </w:rPr>
        <w:t>. Ce processus s’appelle la « monétisation de la dette publique ».</w:t>
      </w:r>
    </w:p>
    <w:p w:rsidR="004D268F" w:rsidRPr="00FA4826" w:rsidRDefault="004D268F" w:rsidP="00C64C89">
      <w:pPr>
        <w:pStyle w:val="Paragraphedeliste"/>
        <w:numPr>
          <w:ilvl w:val="0"/>
          <w:numId w:val="22"/>
        </w:numPr>
        <w:spacing w:after="0"/>
        <w:rPr>
          <w:rFonts w:ascii="Arial" w:hAnsi="Arial" w:cs="Arial"/>
          <w:i w:val="0"/>
        </w:rPr>
      </w:pPr>
      <w:r w:rsidRPr="00FA4826">
        <w:rPr>
          <w:rFonts w:ascii="Arial" w:hAnsi="Arial" w:cs="Arial"/>
          <w:i w:val="0"/>
        </w:rPr>
        <w:t xml:space="preserve">Les banques de second rang achètent parfois les bons (et les revendent aux clients): des bons a long moyen court terme, taux fixes variables, etc. Panel assez vaste de ce type de produit. </w:t>
      </w:r>
    </w:p>
    <w:p w:rsidR="004D268F" w:rsidRPr="00FA4826" w:rsidRDefault="004D268F" w:rsidP="00123CAF">
      <w:pPr>
        <w:spacing w:after="0"/>
        <w:rPr>
          <w:rFonts w:ascii="Arial" w:hAnsi="Arial" w:cs="Arial"/>
          <w:i w:val="0"/>
        </w:rPr>
      </w:pPr>
      <w:r w:rsidRPr="00FA4826">
        <w:rPr>
          <w:rFonts w:ascii="Arial" w:hAnsi="Arial" w:cs="Arial"/>
          <w:i w:val="0"/>
        </w:rPr>
        <w:t xml:space="preserve">Si le solde achet/vente de bons est positif il y a création de monnaie, et à l’inverse destruction de la quantité de monnaie lorsque le solde est négatif. Plus ou moins 10% de la création monétaire en Europe. </w:t>
      </w:r>
    </w:p>
    <w:p w:rsidR="004D268F" w:rsidRPr="00FA4826" w:rsidRDefault="004D268F" w:rsidP="00123CAF">
      <w:pPr>
        <w:spacing w:after="0"/>
        <w:rPr>
          <w:rFonts w:ascii="Arial" w:hAnsi="Arial" w:cs="Arial"/>
          <w:b/>
          <w:i w:val="0"/>
          <w:u w:val="single"/>
        </w:rPr>
      </w:pPr>
      <w:r w:rsidRPr="00FA4826">
        <w:rPr>
          <w:rFonts w:ascii="Arial" w:hAnsi="Arial" w:cs="Arial"/>
          <w:b/>
          <w:i w:val="0"/>
          <w:u w:val="single"/>
        </w:rPr>
        <w:t>Les devises et la création monétaire</w:t>
      </w:r>
      <w:r w:rsidR="008727CB" w:rsidRPr="00FA4826">
        <w:rPr>
          <w:rFonts w:ascii="Arial" w:hAnsi="Arial" w:cs="Arial"/>
          <w:b/>
          <w:i w:val="0"/>
          <w:u w:val="single"/>
        </w:rPr>
        <w:t> </w:t>
      </w:r>
      <w:r w:rsidR="008727CB" w:rsidRPr="00FA4826">
        <w:rPr>
          <w:rFonts w:ascii="Arial" w:hAnsi="Arial" w:cs="Arial"/>
          <w:b/>
          <w:i w:val="0"/>
        </w:rPr>
        <w:t xml:space="preserve">: </w:t>
      </w:r>
      <w:r w:rsidRPr="00FA4826">
        <w:rPr>
          <w:rFonts w:ascii="Arial" w:hAnsi="Arial" w:cs="Arial"/>
          <w:i w:val="0"/>
        </w:rPr>
        <w:t>Les exportations (payées en devise) entrainent une création monétaire.</w:t>
      </w:r>
    </w:p>
    <w:p w:rsidR="008727CB" w:rsidRPr="00FA4826" w:rsidRDefault="004D268F" w:rsidP="00123CAF">
      <w:pPr>
        <w:spacing w:after="0"/>
        <w:rPr>
          <w:rFonts w:ascii="Arial" w:hAnsi="Arial" w:cs="Arial"/>
          <w:i w:val="0"/>
        </w:rPr>
      </w:pPr>
      <w:r w:rsidRPr="00FA4826">
        <w:rPr>
          <w:rFonts w:ascii="Arial" w:hAnsi="Arial" w:cs="Arial"/>
          <w:i w:val="0"/>
        </w:rPr>
        <w:t xml:space="preserve">Le mécanisme : </w:t>
      </w:r>
    </w:p>
    <w:p w:rsidR="004D268F" w:rsidRPr="00FA4826" w:rsidRDefault="00D66D28" w:rsidP="00123CAF">
      <w:pPr>
        <w:spacing w:after="0"/>
        <w:rPr>
          <w:rFonts w:ascii="Arial" w:hAnsi="Arial" w:cs="Arial"/>
          <w:i w:val="0"/>
        </w:rPr>
      </w:pPr>
      <w:r w:rsidRPr="00FA4826">
        <w:rPr>
          <w:rFonts w:ascii="Arial" w:hAnsi="Arial" w:cs="Arial"/>
          <w:i w:val="0"/>
          <w:noProof/>
          <w:lang w:eastAsia="fr-FR"/>
        </w:rPr>
        <w:pict>
          <v:shapetyp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_x0000_s1039" type="#_x0000_t85" style="position:absolute;margin-left:198.75pt;margin-top:-37.25pt;width:24.75pt;height:250.5pt;rotation:270;z-index:251667456"/>
        </w:pict>
      </w:r>
      <w:r w:rsidR="008727CB" w:rsidRPr="00FA4826">
        <w:rPr>
          <w:rFonts w:ascii="Arial" w:hAnsi="Arial" w:cs="Arial"/>
          <w:i w:val="0"/>
          <w:noProof/>
          <w:lang w:eastAsia="fr-FR"/>
        </w:rPr>
        <w:drawing>
          <wp:inline distT="0" distB="0" distL="0" distR="0" wp14:anchorId="189F9FA3" wp14:editId="3EBBFA2B">
            <wp:extent cx="2314575" cy="967332"/>
            <wp:effectExtent l="0" t="0" r="0" b="0"/>
            <wp:docPr id="7" name="Image 2"/>
            <wp:cNvGraphicFramePr/>
            <a:graphic xmlns:a="http://schemas.openxmlformats.org/drawingml/2006/main">
              <a:graphicData uri="http://schemas.openxmlformats.org/drawingml/2006/picture">
                <pic:pic xmlns:pic="http://schemas.openxmlformats.org/drawingml/2006/picture">
                  <pic:nvPicPr>
                    <pic:cNvPr id="6" name="table"/>
                    <pic:cNvPicPr>
                      <a:picLocks noChangeAspect="1"/>
                    </pic:cNvPicPr>
                  </pic:nvPicPr>
                  <pic:blipFill>
                    <a:blip r:embed="rId16" cstate="print"/>
                    <a:stretch>
                      <a:fillRect/>
                    </a:stretch>
                  </pic:blipFill>
                  <pic:spPr>
                    <a:xfrm>
                      <a:off x="0" y="0"/>
                      <a:ext cx="2315590" cy="967756"/>
                    </a:xfrm>
                    <a:prstGeom prst="rect">
                      <a:avLst/>
                    </a:prstGeom>
                  </pic:spPr>
                </pic:pic>
              </a:graphicData>
            </a:graphic>
          </wp:inline>
        </w:drawing>
      </w:r>
      <w:r w:rsidR="008727CB" w:rsidRPr="00FA4826">
        <w:rPr>
          <w:rFonts w:ascii="Arial" w:hAnsi="Arial" w:cs="Arial"/>
          <w:i w:val="0"/>
        </w:rPr>
        <w:t xml:space="preserve">              </w:t>
      </w:r>
      <w:r w:rsidR="008727CB" w:rsidRPr="00FA4826">
        <w:rPr>
          <w:rFonts w:ascii="Arial" w:hAnsi="Arial" w:cs="Arial"/>
          <w:i w:val="0"/>
          <w:noProof/>
          <w:lang w:eastAsia="fr-FR"/>
        </w:rPr>
        <w:drawing>
          <wp:inline distT="0" distB="0" distL="0" distR="0" wp14:anchorId="4C79282D" wp14:editId="5F07170B">
            <wp:extent cx="3000375" cy="1009650"/>
            <wp:effectExtent l="0" t="0" r="0" b="0"/>
            <wp:docPr id="8" name="Image 3"/>
            <wp:cNvGraphicFramePr/>
            <a:graphic xmlns:a="http://schemas.openxmlformats.org/drawingml/2006/main">
              <a:graphicData uri="http://schemas.openxmlformats.org/drawingml/2006/picture">
                <pic:pic xmlns:pic="http://schemas.openxmlformats.org/drawingml/2006/picture">
                  <pic:nvPicPr>
                    <pic:cNvPr id="7" name="table"/>
                    <pic:cNvPicPr>
                      <a:picLocks noChangeAspect="1"/>
                    </pic:cNvPicPr>
                  </pic:nvPicPr>
                  <pic:blipFill>
                    <a:blip r:embed="rId17" cstate="print"/>
                    <a:stretch>
                      <a:fillRect/>
                    </a:stretch>
                  </pic:blipFill>
                  <pic:spPr>
                    <a:xfrm>
                      <a:off x="0" y="0"/>
                      <a:ext cx="3002463" cy="1010353"/>
                    </a:xfrm>
                    <a:prstGeom prst="rect">
                      <a:avLst/>
                    </a:prstGeom>
                  </pic:spPr>
                </pic:pic>
              </a:graphicData>
            </a:graphic>
          </wp:inline>
        </w:drawing>
      </w:r>
      <w:r w:rsidR="004D268F" w:rsidRPr="00FA4826">
        <w:rPr>
          <w:rFonts w:ascii="Arial" w:hAnsi="Arial" w:cs="Arial"/>
          <w:i w:val="0"/>
        </w:rPr>
        <w:t xml:space="preserve"> </w:t>
      </w:r>
    </w:p>
    <w:p w:rsidR="008727CB" w:rsidRPr="00FA4826" w:rsidRDefault="008727CB" w:rsidP="00123CAF">
      <w:pPr>
        <w:spacing w:after="0"/>
        <w:rPr>
          <w:rFonts w:ascii="Arial" w:hAnsi="Arial" w:cs="Arial"/>
          <w:i w:val="0"/>
        </w:rPr>
      </w:pPr>
    </w:p>
    <w:p w:rsidR="004D268F" w:rsidRPr="00FA4826" w:rsidRDefault="004D268F" w:rsidP="00123CAF">
      <w:pPr>
        <w:spacing w:after="0"/>
        <w:rPr>
          <w:rFonts w:ascii="Arial" w:hAnsi="Arial" w:cs="Arial"/>
          <w:i w:val="0"/>
        </w:rPr>
      </w:pPr>
      <w:r w:rsidRPr="00FA4826">
        <w:rPr>
          <w:rFonts w:ascii="Arial" w:hAnsi="Arial" w:cs="Arial"/>
          <w:i w:val="0"/>
        </w:rPr>
        <w:t>Imaginons un exportateur vendant du champagne aux américains pour 100$.</w:t>
      </w:r>
      <w:r w:rsidR="008727CB" w:rsidRPr="00FA4826">
        <w:rPr>
          <w:rFonts w:ascii="Arial" w:hAnsi="Arial" w:cs="Arial"/>
          <w:i w:val="0"/>
        </w:rPr>
        <w:t xml:space="preserve"> </w:t>
      </w:r>
      <w:r w:rsidRPr="00FA4826">
        <w:rPr>
          <w:rFonts w:ascii="Arial" w:hAnsi="Arial" w:cs="Arial"/>
          <w:i w:val="0"/>
        </w:rPr>
        <w:t>L’exportateur aura 100$ sur son compte et échangera ses dollars contre euros. La banque centrale donne son accord pour créditer le compte de l’exportateur en euros, donc création monétaire.</w:t>
      </w:r>
    </w:p>
    <w:p w:rsidR="004D268F" w:rsidRPr="00FA4826" w:rsidRDefault="004D268F" w:rsidP="00123CAF">
      <w:pPr>
        <w:spacing w:after="0"/>
        <w:rPr>
          <w:rFonts w:ascii="Arial" w:hAnsi="Arial" w:cs="Arial"/>
          <w:i w:val="0"/>
        </w:rPr>
      </w:pPr>
      <w:r w:rsidRPr="00FA4826">
        <w:rPr>
          <w:rFonts w:ascii="Arial" w:hAnsi="Arial" w:cs="Arial"/>
          <w:i w:val="0"/>
        </w:rPr>
        <w:t>A la période 1 on a du champagne en France. A la période 2 on a le champagne qui sort aux USA pour 100$, et on a parallèlement 100$ qui entre en France. On va ensuite créer l’équivalent en euro via la banque centrale.</w:t>
      </w:r>
    </w:p>
    <w:p w:rsidR="008727CB" w:rsidRPr="00FA4826" w:rsidRDefault="004D268F" w:rsidP="00123CAF">
      <w:pPr>
        <w:spacing w:after="0"/>
        <w:rPr>
          <w:rFonts w:ascii="Arial" w:hAnsi="Arial" w:cs="Arial"/>
          <w:i w:val="0"/>
        </w:rPr>
      </w:pPr>
      <w:r w:rsidRPr="00FA4826">
        <w:rPr>
          <w:rFonts w:ascii="Arial" w:hAnsi="Arial" w:cs="Arial"/>
          <w:i w:val="0"/>
        </w:rPr>
        <w:t>Si la balance commerciale est positive on a de la création de monnaie. A l’inverse si elle est négative on a destruction</w:t>
      </w:r>
      <w:r w:rsidR="008727CB" w:rsidRPr="00FA4826">
        <w:rPr>
          <w:rFonts w:ascii="Arial" w:hAnsi="Arial" w:cs="Arial"/>
          <w:i w:val="0"/>
        </w:rPr>
        <w:t xml:space="preserve"> de monnaie. </w:t>
      </w:r>
    </w:p>
    <w:p w:rsidR="00B87E84" w:rsidRPr="00FA4826" w:rsidRDefault="008727CB" w:rsidP="00123CAF">
      <w:pPr>
        <w:spacing w:after="0"/>
        <w:rPr>
          <w:rFonts w:ascii="Arial" w:hAnsi="Arial" w:cs="Arial"/>
          <w:i w:val="0"/>
        </w:rPr>
      </w:pPr>
      <w:r w:rsidRPr="00FA4826">
        <w:rPr>
          <w:rFonts w:ascii="Arial" w:hAnsi="Arial" w:cs="Arial"/>
          <w:i w:val="0"/>
        </w:rPr>
        <w:t>Malgré leur forte é</w:t>
      </w:r>
      <w:r w:rsidR="004D268F" w:rsidRPr="00FA4826">
        <w:rPr>
          <w:rFonts w:ascii="Arial" w:hAnsi="Arial" w:cs="Arial"/>
          <w:i w:val="0"/>
        </w:rPr>
        <w:t>pargne, la Chine exporte énormément, elle a un solde extrêmement positif, il y a donc beaucoup de devises, et finalement beaucoup de la monnaie dans l’économie.</w:t>
      </w:r>
    </w:p>
    <w:p w:rsidR="00B87E84" w:rsidRPr="00FA4826" w:rsidRDefault="00B87E84" w:rsidP="00123CAF">
      <w:pPr>
        <w:spacing w:after="0"/>
        <w:rPr>
          <w:rFonts w:ascii="Arial" w:hAnsi="Arial" w:cs="Arial"/>
          <w:i w:val="0"/>
        </w:rPr>
      </w:pPr>
    </w:p>
    <w:p w:rsidR="00B87E84" w:rsidRPr="00FA4826" w:rsidRDefault="00BF1997" w:rsidP="00123CAF">
      <w:pPr>
        <w:pStyle w:val="Titre2"/>
        <w:rPr>
          <w:rFonts w:ascii="Arial" w:hAnsi="Arial" w:cs="Arial"/>
          <w:i w:val="0"/>
        </w:rPr>
      </w:pPr>
      <w:bookmarkStart w:id="7" w:name="_Toc379227122"/>
      <w:r w:rsidRPr="00FA4826">
        <w:rPr>
          <w:rFonts w:ascii="Arial" w:hAnsi="Arial" w:cs="Arial"/>
          <w:i w:val="0"/>
        </w:rPr>
        <w:t>3</w:t>
      </w:r>
      <w:r w:rsidR="00B87E84" w:rsidRPr="00FA4826">
        <w:rPr>
          <w:rFonts w:ascii="Arial" w:hAnsi="Arial" w:cs="Arial"/>
          <w:i w:val="0"/>
        </w:rPr>
        <w:t xml:space="preserve">) </w:t>
      </w:r>
      <w:r w:rsidR="008727CB" w:rsidRPr="00FA4826">
        <w:rPr>
          <w:rFonts w:ascii="Arial" w:hAnsi="Arial" w:cs="Arial"/>
          <w:i w:val="0"/>
        </w:rPr>
        <w:t>Réguler la création monétaire</w:t>
      </w:r>
      <w:r w:rsidR="00B87E84" w:rsidRPr="00FA4826">
        <w:rPr>
          <w:rFonts w:ascii="Arial" w:hAnsi="Arial" w:cs="Arial"/>
          <w:i w:val="0"/>
        </w:rPr>
        <w:t> :</w:t>
      </w:r>
      <w:bookmarkEnd w:id="7"/>
    </w:p>
    <w:p w:rsidR="004D268F" w:rsidRPr="00FA4826" w:rsidRDefault="00B87E84" w:rsidP="00123CAF">
      <w:pPr>
        <w:spacing w:after="0"/>
        <w:rPr>
          <w:rFonts w:ascii="Arial" w:hAnsi="Arial" w:cs="Arial"/>
          <w:i w:val="0"/>
        </w:rPr>
      </w:pPr>
      <w:r w:rsidRPr="00FA4826">
        <w:rPr>
          <w:rFonts w:ascii="Arial" w:hAnsi="Arial" w:cs="Arial"/>
          <w:i w:val="0"/>
          <w:noProof/>
          <w:lang w:eastAsia="fr-FR"/>
        </w:rPr>
        <w:drawing>
          <wp:inline distT="0" distB="0" distL="0" distR="0" wp14:anchorId="2E0BF2E3" wp14:editId="1B71CBE7">
            <wp:extent cx="4692770" cy="3019245"/>
            <wp:effectExtent l="19050" t="38100" r="0" b="67310"/>
            <wp:docPr id="4" name="Diagramme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B87E84" w:rsidRPr="00FA4826" w:rsidRDefault="00B87E84" w:rsidP="00123CAF">
      <w:pPr>
        <w:spacing w:after="0"/>
        <w:jc w:val="center"/>
        <w:rPr>
          <w:rFonts w:ascii="Arial" w:hAnsi="Arial" w:cs="Arial"/>
          <w:i w:val="0"/>
        </w:rPr>
      </w:pPr>
    </w:p>
    <w:p w:rsidR="008727CB" w:rsidRPr="00FA4826" w:rsidRDefault="008727CB" w:rsidP="00123CAF">
      <w:pPr>
        <w:spacing w:after="0"/>
        <w:jc w:val="center"/>
        <w:rPr>
          <w:rFonts w:ascii="Arial" w:hAnsi="Arial" w:cs="Arial"/>
          <w:i w:val="0"/>
        </w:rPr>
      </w:pPr>
    </w:p>
    <w:p w:rsidR="004D268F" w:rsidRPr="00FA4826" w:rsidRDefault="004D268F" w:rsidP="00123CAF">
      <w:pPr>
        <w:spacing w:after="0"/>
        <w:rPr>
          <w:rFonts w:ascii="Arial" w:hAnsi="Arial" w:cs="Arial"/>
          <w:i w:val="0"/>
        </w:rPr>
      </w:pPr>
      <w:r w:rsidRPr="00FA4826">
        <w:rPr>
          <w:rFonts w:ascii="Arial" w:hAnsi="Arial" w:cs="Arial"/>
          <w:i w:val="0"/>
        </w:rPr>
        <w:t>Les devises : il faut que la balance commerciale soit excédentaire (Chine)</w:t>
      </w:r>
    </w:p>
    <w:p w:rsidR="0025465A" w:rsidRPr="00FA4826" w:rsidRDefault="004D268F" w:rsidP="00123CAF">
      <w:pPr>
        <w:spacing w:after="0"/>
        <w:rPr>
          <w:rFonts w:ascii="Arial" w:hAnsi="Arial" w:cs="Arial"/>
          <w:i w:val="0"/>
        </w:rPr>
      </w:pPr>
      <w:r w:rsidRPr="00FA4826">
        <w:rPr>
          <w:rFonts w:ascii="Arial" w:hAnsi="Arial" w:cs="Arial"/>
          <w:i w:val="0"/>
        </w:rPr>
        <w:t>La dette : 2 système</w:t>
      </w:r>
      <w:r w:rsidR="0025465A" w:rsidRPr="00FA4826">
        <w:rPr>
          <w:rFonts w:ascii="Arial" w:hAnsi="Arial" w:cs="Arial"/>
          <w:i w:val="0"/>
        </w:rPr>
        <w:t>s :</w:t>
      </w:r>
    </w:p>
    <w:p w:rsidR="0025465A" w:rsidRPr="00FA4826" w:rsidRDefault="004D268F" w:rsidP="00C64C89">
      <w:pPr>
        <w:pStyle w:val="Paragraphedeliste"/>
        <w:numPr>
          <w:ilvl w:val="0"/>
          <w:numId w:val="23"/>
        </w:numPr>
        <w:spacing w:after="0"/>
        <w:rPr>
          <w:rFonts w:ascii="Arial" w:hAnsi="Arial" w:cs="Arial"/>
          <w:i w:val="0"/>
        </w:rPr>
      </w:pPr>
      <w:r w:rsidRPr="00FA4826">
        <w:rPr>
          <w:rFonts w:ascii="Arial" w:hAnsi="Arial" w:cs="Arial"/>
          <w:i w:val="0"/>
        </w:rPr>
        <w:t>les bons du</w:t>
      </w:r>
      <w:r w:rsidR="0025465A" w:rsidRPr="00FA4826">
        <w:rPr>
          <w:rFonts w:ascii="Arial" w:hAnsi="Arial" w:cs="Arial"/>
          <w:i w:val="0"/>
        </w:rPr>
        <w:t xml:space="preserve"> trésor (créances de l’état) </w:t>
      </w:r>
    </w:p>
    <w:p w:rsidR="004D268F" w:rsidRPr="00FA4826" w:rsidRDefault="004D268F" w:rsidP="00C64C89">
      <w:pPr>
        <w:pStyle w:val="Paragraphedeliste"/>
        <w:numPr>
          <w:ilvl w:val="0"/>
          <w:numId w:val="23"/>
        </w:numPr>
        <w:spacing w:after="0"/>
        <w:rPr>
          <w:rFonts w:ascii="Arial" w:hAnsi="Arial" w:cs="Arial"/>
          <w:i w:val="0"/>
        </w:rPr>
      </w:pPr>
      <w:r w:rsidRPr="00FA4826">
        <w:rPr>
          <w:rFonts w:ascii="Arial" w:hAnsi="Arial" w:cs="Arial"/>
          <w:i w:val="0"/>
        </w:rPr>
        <w:t>le crédit (dettes privées, créances sur ménages et entreprises).</w:t>
      </w:r>
    </w:p>
    <w:p w:rsidR="004D268F" w:rsidRPr="00FA4826" w:rsidRDefault="004D268F" w:rsidP="00123CAF">
      <w:pPr>
        <w:spacing w:after="0"/>
        <w:rPr>
          <w:rFonts w:ascii="Arial" w:hAnsi="Arial" w:cs="Arial"/>
          <w:i w:val="0"/>
        </w:rPr>
      </w:pPr>
      <w:r w:rsidRPr="00FA4826">
        <w:rPr>
          <w:rFonts w:ascii="Arial" w:hAnsi="Arial" w:cs="Arial"/>
          <w:i w:val="0"/>
        </w:rPr>
        <w:t xml:space="preserve">Les USA recourent massivement aux bons du trésor et au crédit, la crise des </w:t>
      </w:r>
      <w:proofErr w:type="spellStart"/>
      <w:r w:rsidRPr="00FA4826">
        <w:rPr>
          <w:rFonts w:ascii="Arial" w:hAnsi="Arial" w:cs="Arial"/>
          <w:i w:val="0"/>
        </w:rPr>
        <w:t>subprimes</w:t>
      </w:r>
      <w:proofErr w:type="spellEnd"/>
      <w:r w:rsidRPr="00FA4826">
        <w:rPr>
          <w:rFonts w:ascii="Arial" w:hAnsi="Arial" w:cs="Arial"/>
          <w:i w:val="0"/>
        </w:rPr>
        <w:t xml:space="preserve"> illustre bien cela.</w:t>
      </w:r>
      <w:r w:rsidR="0025465A" w:rsidRPr="00FA4826">
        <w:rPr>
          <w:rFonts w:ascii="Arial" w:hAnsi="Arial" w:cs="Arial"/>
          <w:i w:val="0"/>
        </w:rPr>
        <w:t xml:space="preserve"> </w:t>
      </w:r>
      <w:r w:rsidRPr="00FA4826">
        <w:rPr>
          <w:rFonts w:ascii="Arial" w:hAnsi="Arial" w:cs="Arial"/>
          <w:i w:val="0"/>
        </w:rPr>
        <w:t>L’Europe a essentiellement recourt au crédit privé (90%)</w:t>
      </w:r>
      <w:r w:rsidR="0025465A" w:rsidRPr="00FA4826">
        <w:rPr>
          <w:rFonts w:ascii="Arial" w:hAnsi="Arial" w:cs="Arial"/>
          <w:i w:val="0"/>
        </w:rPr>
        <w:t xml:space="preserve">. </w:t>
      </w:r>
      <w:r w:rsidRPr="00FA4826">
        <w:rPr>
          <w:rFonts w:ascii="Arial" w:hAnsi="Arial" w:cs="Arial"/>
          <w:i w:val="0"/>
        </w:rPr>
        <w:t xml:space="preserve">Ce crédit privé va être régulé par plusieurs moyens : le taux de refinancement, les fuites, </w:t>
      </w:r>
      <w:proofErr w:type="spellStart"/>
      <w:r w:rsidRPr="00FA4826">
        <w:rPr>
          <w:rFonts w:ascii="Arial" w:hAnsi="Arial" w:cs="Arial"/>
          <w:i w:val="0"/>
        </w:rPr>
        <w:t>reserve</w:t>
      </w:r>
      <w:proofErr w:type="spellEnd"/>
      <w:r w:rsidRPr="00FA4826">
        <w:rPr>
          <w:rFonts w:ascii="Arial" w:hAnsi="Arial" w:cs="Arial"/>
          <w:i w:val="0"/>
        </w:rPr>
        <w:t xml:space="preserve"> obligatoire. </w:t>
      </w:r>
    </w:p>
    <w:p w:rsidR="004D268F" w:rsidRPr="00FA4826" w:rsidRDefault="004D268F" w:rsidP="00123CAF">
      <w:pPr>
        <w:spacing w:after="0"/>
        <w:rPr>
          <w:rFonts w:ascii="Arial" w:hAnsi="Arial" w:cs="Arial"/>
          <w:i w:val="0"/>
        </w:rPr>
      </w:pPr>
      <w:r w:rsidRPr="00FA4826">
        <w:rPr>
          <w:rFonts w:ascii="Arial" w:hAnsi="Arial" w:cs="Arial"/>
          <w:i w:val="0"/>
        </w:rPr>
        <w:t xml:space="preserve">En 1992, referendum voté en France qui promet l’union monétaire en Europe. Etaient inscrit des critères de convergence et notamment de déficit public (qui ne doit pas dépasser 70% du </w:t>
      </w:r>
      <w:proofErr w:type="spellStart"/>
      <w:r w:rsidRPr="00FA4826">
        <w:rPr>
          <w:rFonts w:ascii="Arial" w:hAnsi="Arial" w:cs="Arial"/>
          <w:i w:val="0"/>
        </w:rPr>
        <w:t>pib</w:t>
      </w:r>
      <w:proofErr w:type="spellEnd"/>
      <w:r w:rsidRPr="00FA4826">
        <w:rPr>
          <w:rFonts w:ascii="Arial" w:hAnsi="Arial" w:cs="Arial"/>
          <w:i w:val="0"/>
        </w:rPr>
        <w:t>). Ces critères ne sont plus tout à fait valides aujourd’hui (fin 2011 80% en France, Belgique 130%). Ils avaient été fixés pour éviter la dette à outrance qui pourrait relancer l’inflation</w:t>
      </w:r>
    </w:p>
    <w:p w:rsidR="002C4D8C" w:rsidRPr="00FA4826" w:rsidRDefault="0025465A" w:rsidP="00C64C89">
      <w:pPr>
        <w:pStyle w:val="Titre3"/>
        <w:numPr>
          <w:ilvl w:val="0"/>
          <w:numId w:val="30"/>
        </w:numPr>
        <w:rPr>
          <w:rFonts w:ascii="Arial" w:hAnsi="Arial" w:cs="Arial"/>
          <w:i w:val="0"/>
        </w:rPr>
      </w:pPr>
      <w:bookmarkStart w:id="8" w:name="_Toc379227123"/>
      <w:r w:rsidRPr="00FA4826">
        <w:rPr>
          <w:rFonts w:ascii="Arial" w:hAnsi="Arial" w:cs="Arial"/>
          <w:i w:val="0"/>
        </w:rPr>
        <w:t>L</w:t>
      </w:r>
      <w:r w:rsidR="004D268F" w:rsidRPr="00FA4826">
        <w:rPr>
          <w:rFonts w:ascii="Arial" w:hAnsi="Arial" w:cs="Arial"/>
          <w:i w:val="0"/>
        </w:rPr>
        <w:t>e taux de refinancement</w:t>
      </w:r>
      <w:r w:rsidR="002C4D8C" w:rsidRPr="00FA4826">
        <w:rPr>
          <w:rFonts w:ascii="Arial" w:hAnsi="Arial" w:cs="Arial"/>
          <w:i w:val="0"/>
        </w:rPr>
        <w:t> :</w:t>
      </w:r>
      <w:bookmarkEnd w:id="8"/>
    </w:p>
    <w:p w:rsidR="004D268F" w:rsidRPr="00FA4826" w:rsidRDefault="004D268F" w:rsidP="00123CAF">
      <w:pPr>
        <w:pStyle w:val="Paragraphedeliste"/>
        <w:spacing w:after="0"/>
        <w:ind w:left="1776"/>
        <w:rPr>
          <w:rFonts w:ascii="Arial" w:hAnsi="Arial" w:cs="Arial"/>
          <w:i w:val="0"/>
        </w:rPr>
      </w:pPr>
    </w:p>
    <w:p w:rsidR="00B87E84" w:rsidRPr="00FA4826" w:rsidRDefault="004D268F" w:rsidP="00123CAF">
      <w:pPr>
        <w:tabs>
          <w:tab w:val="left" w:pos="3573"/>
        </w:tabs>
        <w:spacing w:after="0"/>
        <w:rPr>
          <w:rFonts w:ascii="Arial" w:hAnsi="Arial" w:cs="Arial"/>
          <w:i w:val="0"/>
        </w:rPr>
      </w:pPr>
      <w:r w:rsidRPr="00FA4826">
        <w:rPr>
          <w:rFonts w:ascii="Arial" w:hAnsi="Arial" w:cs="Arial"/>
          <w:i w:val="0"/>
        </w:rPr>
        <w:t xml:space="preserve">Le système de paiement : une masse de règlements considérables. </w:t>
      </w:r>
      <w:proofErr w:type="spellStart"/>
      <w:r w:rsidRPr="00FA4826">
        <w:rPr>
          <w:rFonts w:ascii="Arial" w:hAnsi="Arial" w:cs="Arial"/>
          <w:i w:val="0"/>
        </w:rPr>
        <w:t>Cf</w:t>
      </w:r>
      <w:proofErr w:type="spellEnd"/>
      <w:r w:rsidRPr="00FA4826">
        <w:rPr>
          <w:rFonts w:ascii="Arial" w:hAnsi="Arial" w:cs="Arial"/>
          <w:i w:val="0"/>
        </w:rPr>
        <w:t xml:space="preserve"> tableau </w:t>
      </w:r>
      <w:proofErr w:type="spellStart"/>
      <w:r w:rsidRPr="00FA4826">
        <w:rPr>
          <w:rFonts w:ascii="Arial" w:hAnsi="Arial" w:cs="Arial"/>
          <w:i w:val="0"/>
        </w:rPr>
        <w:t>slide</w:t>
      </w:r>
      <w:proofErr w:type="spellEnd"/>
      <w:r w:rsidRPr="00FA4826">
        <w:rPr>
          <w:rFonts w:ascii="Arial" w:hAnsi="Arial" w:cs="Arial"/>
          <w:i w:val="0"/>
        </w:rPr>
        <w:t xml:space="preserve"> : il faut considérer le passif des banques. </w:t>
      </w:r>
    </w:p>
    <w:p w:rsidR="00B87E84" w:rsidRPr="00FA4826" w:rsidRDefault="00B87E84" w:rsidP="00123CAF">
      <w:pPr>
        <w:tabs>
          <w:tab w:val="left" w:pos="3573"/>
        </w:tabs>
        <w:spacing w:after="0"/>
        <w:rPr>
          <w:rFonts w:ascii="Arial" w:hAnsi="Arial" w:cs="Arial"/>
          <w:i w:val="0"/>
        </w:rPr>
      </w:pPr>
      <w:r w:rsidRPr="00FA4826">
        <w:rPr>
          <w:rFonts w:ascii="Arial" w:hAnsi="Arial" w:cs="Arial"/>
          <w:i w:val="0"/>
          <w:noProof/>
          <w:lang w:eastAsia="fr-FR"/>
        </w:rPr>
        <w:drawing>
          <wp:inline distT="0" distB="0" distL="0" distR="0" wp14:anchorId="77A823CC" wp14:editId="087242DF">
            <wp:extent cx="5459095" cy="2846705"/>
            <wp:effectExtent l="25400" t="0" r="1905" b="0"/>
            <wp:docPr id="35" name="O 3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58025" cy="3725863"/>
                      <a:chOff x="827088" y="2486025"/>
                      <a:chExt cx="7058025" cy="3725863"/>
                    </a:xfrm>
                  </a:grpSpPr>
                  <a:sp>
                    <a:nvSpPr>
                      <a:cNvPr id="92171" name="Text Box 11"/>
                      <a:cNvSpPr txBox="1">
                        <a:spLocks noChangeArrowheads="1"/>
                      </a:cNvSpPr>
                    </a:nvSpPr>
                    <a:spPr bwMode="auto">
                      <a:xfrm>
                        <a:off x="827088" y="2844800"/>
                        <a:ext cx="1296987" cy="600075"/>
                      </a:xfrm>
                      <a:prstGeom prst="rect">
                        <a:avLst/>
                      </a:prstGeom>
                      <a:solidFill>
                        <a:schemeClr val="bg1"/>
                      </a:solidFill>
                      <a:ln w="19050">
                        <a:solidFill>
                          <a:schemeClr val="tx1"/>
                        </a:solidFill>
                        <a:miter lim="800000"/>
                        <a:headEnd/>
                        <a:tailEnd/>
                      </a:ln>
                    </a:spPr>
                    <a:txSp>
                      <a:txBody>
                        <a:bodyPr>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spcBef>
                              <a:spcPct val="50000"/>
                            </a:spcBef>
                          </a:pPr>
                          <a:endParaRPr lang="fr-FR" sz="800" b="1" i="1"/>
                        </a:p>
                        <a:p>
                          <a:pPr algn="ctr">
                            <a:spcBef>
                              <a:spcPct val="50000"/>
                            </a:spcBef>
                          </a:pPr>
                          <a:r>
                            <a:rPr lang="fr-FR" sz="1600" b="1" i="1"/>
                            <a:t>Client A</a:t>
                          </a:r>
                        </a:p>
                      </a:txBody>
                      <a:useSpRect/>
                    </a:txSp>
                  </a:sp>
                  <a:sp>
                    <a:nvSpPr>
                      <a:cNvPr id="92174" name="Text Box 14"/>
                      <a:cNvSpPr txBox="1">
                        <a:spLocks noChangeArrowheads="1"/>
                      </a:cNvSpPr>
                    </a:nvSpPr>
                    <a:spPr bwMode="auto">
                      <a:xfrm>
                        <a:off x="827088" y="2486025"/>
                        <a:ext cx="2520950" cy="358775"/>
                      </a:xfrm>
                      <a:prstGeom prst="rect">
                        <a:avLst/>
                      </a:prstGeom>
                      <a:solidFill>
                        <a:srgbClr val="FF9900"/>
                      </a:solidFill>
                      <a:ln w="19050">
                        <a:solidFill>
                          <a:schemeClr val="tx1"/>
                        </a:solidFill>
                        <a:miter lim="800000"/>
                        <a:headEnd/>
                        <a:tailEnd/>
                      </a:ln>
                    </a:spPr>
                    <a:txSp>
                      <a:txBody>
                        <a:bodyPr>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lnSpc>
                              <a:spcPct val="90000"/>
                            </a:lnSpc>
                            <a:spcBef>
                              <a:spcPct val="50000"/>
                            </a:spcBef>
                            <a:spcAft>
                              <a:spcPct val="15000"/>
                            </a:spcAft>
                          </a:pPr>
                          <a:r>
                            <a:rPr lang="fr-FR" b="1"/>
                            <a:t>Banque X</a:t>
                          </a:r>
                          <a:endParaRPr lang="fr-FR" b="1" i="1"/>
                        </a:p>
                      </a:txBody>
                      <a:useSpRect/>
                    </a:txSp>
                  </a:sp>
                  <a:sp>
                    <a:nvSpPr>
                      <a:cNvPr id="92193" name="Text Box 33"/>
                      <a:cNvSpPr txBox="1">
                        <a:spLocks noChangeArrowheads="1"/>
                      </a:cNvSpPr>
                    </a:nvSpPr>
                    <a:spPr bwMode="auto">
                      <a:xfrm flipH="1">
                        <a:off x="2124075" y="2844800"/>
                        <a:ext cx="1222375" cy="600075"/>
                      </a:xfrm>
                      <a:prstGeom prst="rect">
                        <a:avLst/>
                      </a:prstGeom>
                      <a:solidFill>
                        <a:schemeClr val="bg1"/>
                      </a:solidFill>
                      <a:ln w="19050">
                        <a:solidFill>
                          <a:schemeClr val="tx1"/>
                        </a:solidFill>
                        <a:miter lim="800000"/>
                        <a:headEnd/>
                        <a:tailEnd/>
                      </a:ln>
                    </a:spPr>
                    <a:txSp>
                      <a:txBody>
                        <a:bodyPr>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spcBef>
                              <a:spcPct val="50000"/>
                            </a:spcBef>
                          </a:pPr>
                          <a:endParaRPr lang="fr-FR" sz="800" b="1" i="1"/>
                        </a:p>
                        <a:p>
                          <a:pPr algn="ctr">
                            <a:spcBef>
                              <a:spcPct val="50000"/>
                            </a:spcBef>
                          </a:pPr>
                          <a:r>
                            <a:rPr lang="fr-FR" sz="1600" b="1" i="1"/>
                            <a:t>Client B</a:t>
                          </a:r>
                        </a:p>
                      </a:txBody>
                      <a:useSpRect/>
                    </a:txSp>
                  </a:sp>
                  <a:sp>
                    <a:nvSpPr>
                      <a:cNvPr id="92195" name="Text Box 35"/>
                      <a:cNvSpPr txBox="1">
                        <a:spLocks noChangeArrowheads="1"/>
                      </a:cNvSpPr>
                    </a:nvSpPr>
                    <a:spPr bwMode="auto">
                      <a:xfrm>
                        <a:off x="5364163" y="2509838"/>
                        <a:ext cx="2520950" cy="358775"/>
                      </a:xfrm>
                      <a:prstGeom prst="rect">
                        <a:avLst/>
                      </a:prstGeom>
                      <a:solidFill>
                        <a:srgbClr val="00CCFF"/>
                      </a:solidFill>
                      <a:ln w="19050">
                        <a:solidFill>
                          <a:schemeClr val="tx1"/>
                        </a:solidFill>
                        <a:miter lim="800000"/>
                        <a:headEnd/>
                        <a:tailEnd/>
                      </a:ln>
                    </a:spPr>
                    <a:txSp>
                      <a:txBody>
                        <a:bodyPr>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lnSpc>
                              <a:spcPct val="90000"/>
                            </a:lnSpc>
                            <a:spcBef>
                              <a:spcPct val="50000"/>
                            </a:spcBef>
                            <a:spcAft>
                              <a:spcPct val="15000"/>
                            </a:spcAft>
                          </a:pPr>
                          <a:r>
                            <a:rPr lang="fr-FR" b="1"/>
                            <a:t>Banque Y</a:t>
                          </a:r>
                          <a:endParaRPr lang="fr-FR" b="1" i="1"/>
                        </a:p>
                      </a:txBody>
                      <a:useSpRect/>
                    </a:txSp>
                  </a:sp>
                  <a:sp>
                    <a:nvSpPr>
                      <a:cNvPr id="92196" name="Text Box 36"/>
                      <a:cNvSpPr txBox="1">
                        <a:spLocks noChangeArrowheads="1"/>
                      </a:cNvSpPr>
                    </a:nvSpPr>
                    <a:spPr bwMode="auto">
                      <a:xfrm>
                        <a:off x="5362575" y="2870200"/>
                        <a:ext cx="1296988" cy="600075"/>
                      </a:xfrm>
                      <a:prstGeom prst="rect">
                        <a:avLst/>
                      </a:prstGeom>
                      <a:solidFill>
                        <a:schemeClr val="bg1"/>
                      </a:solidFill>
                      <a:ln w="19050">
                        <a:solidFill>
                          <a:schemeClr val="tx1"/>
                        </a:solidFill>
                        <a:miter lim="800000"/>
                        <a:headEnd/>
                        <a:tailEnd/>
                      </a:ln>
                    </a:spPr>
                    <a:txSp>
                      <a:txBody>
                        <a:bodyPr>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spcBef>
                              <a:spcPct val="50000"/>
                            </a:spcBef>
                          </a:pPr>
                          <a:endParaRPr lang="fr-FR" sz="800" b="1" i="1"/>
                        </a:p>
                        <a:p>
                          <a:pPr algn="ctr">
                            <a:spcBef>
                              <a:spcPct val="50000"/>
                            </a:spcBef>
                          </a:pPr>
                          <a:r>
                            <a:rPr lang="fr-FR" sz="1600" b="1" i="1"/>
                            <a:t>Client D</a:t>
                          </a:r>
                        </a:p>
                      </a:txBody>
                      <a:useSpRect/>
                    </a:txSp>
                  </a:sp>
                  <a:sp>
                    <a:nvSpPr>
                      <a:cNvPr id="92197" name="Text Box 37"/>
                      <a:cNvSpPr txBox="1">
                        <a:spLocks noChangeArrowheads="1"/>
                      </a:cNvSpPr>
                    </a:nvSpPr>
                    <a:spPr bwMode="auto">
                      <a:xfrm flipH="1">
                        <a:off x="6662738" y="2870200"/>
                        <a:ext cx="1222375" cy="600075"/>
                      </a:xfrm>
                      <a:prstGeom prst="rect">
                        <a:avLst/>
                      </a:prstGeom>
                      <a:solidFill>
                        <a:schemeClr val="bg1"/>
                      </a:solidFill>
                      <a:ln w="19050">
                        <a:solidFill>
                          <a:schemeClr val="tx1"/>
                        </a:solidFill>
                        <a:miter lim="800000"/>
                        <a:headEnd/>
                        <a:tailEnd/>
                      </a:ln>
                    </a:spPr>
                    <a:txSp>
                      <a:txBody>
                        <a:bodyPr>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spcBef>
                              <a:spcPct val="50000"/>
                            </a:spcBef>
                          </a:pPr>
                          <a:endParaRPr lang="fr-FR" sz="800" b="1" i="1"/>
                        </a:p>
                        <a:p>
                          <a:pPr algn="ctr">
                            <a:spcBef>
                              <a:spcPct val="50000"/>
                            </a:spcBef>
                          </a:pPr>
                          <a:r>
                            <a:rPr lang="fr-FR" sz="1600" b="1" i="1"/>
                            <a:t>Client C</a:t>
                          </a:r>
                        </a:p>
                      </a:txBody>
                      <a:useSpRect/>
                    </a:txSp>
                  </a:sp>
                  <a:sp>
                    <a:nvSpPr>
                      <a:cNvPr id="92200" name="Freeform 40"/>
                      <a:cNvSpPr>
                        <a:spLocks/>
                      </a:cNvSpPr>
                    </a:nvSpPr>
                    <a:spPr bwMode="auto">
                      <a:xfrm>
                        <a:off x="3162300" y="3459163"/>
                        <a:ext cx="2401888" cy="676275"/>
                      </a:xfrm>
                      <a:custGeom>
                        <a:avLst/>
                        <a:gdLst>
                          <a:gd name="T0" fmla="*/ 0 w 1513"/>
                          <a:gd name="T1" fmla="*/ 0 h 167"/>
                          <a:gd name="T2" fmla="*/ 0 w 1513"/>
                          <a:gd name="T3" fmla="*/ 2147483647 h 167"/>
                          <a:gd name="T4" fmla="*/ 2147483647 w 1513"/>
                          <a:gd name="T5" fmla="*/ 2147483647 h 167"/>
                          <a:gd name="T6" fmla="*/ 2147483647 w 1513"/>
                          <a:gd name="T7" fmla="*/ 0 h 167"/>
                          <a:gd name="T8" fmla="*/ 0 60000 65536"/>
                          <a:gd name="T9" fmla="*/ 0 60000 65536"/>
                          <a:gd name="T10" fmla="*/ 0 60000 65536"/>
                          <a:gd name="T11" fmla="*/ 0 60000 65536"/>
                          <a:gd name="T12" fmla="*/ 0 w 1513"/>
                          <a:gd name="T13" fmla="*/ 0 h 167"/>
                          <a:gd name="T14" fmla="*/ 1513 w 1513"/>
                          <a:gd name="T15" fmla="*/ 167 h 167"/>
                        </a:gdLst>
                        <a:ahLst/>
                        <a:cxnLst>
                          <a:cxn ang="T8">
                            <a:pos x="T0" y="T1"/>
                          </a:cxn>
                          <a:cxn ang="T9">
                            <a:pos x="T2" y="T3"/>
                          </a:cxn>
                          <a:cxn ang="T10">
                            <a:pos x="T4" y="T5"/>
                          </a:cxn>
                          <a:cxn ang="T11">
                            <a:pos x="T6" y="T7"/>
                          </a:cxn>
                        </a:cxnLst>
                        <a:rect l="T12" t="T13" r="T14" b="T15"/>
                        <a:pathLst>
                          <a:path w="1513" h="167">
                            <a:moveTo>
                              <a:pt x="0" y="0"/>
                            </a:moveTo>
                            <a:lnTo>
                              <a:pt x="0" y="167"/>
                            </a:lnTo>
                            <a:lnTo>
                              <a:pt x="1506" y="160"/>
                            </a:lnTo>
                            <a:lnTo>
                              <a:pt x="1513" y="0"/>
                            </a:lnTo>
                          </a:path>
                        </a:pathLst>
                      </a:custGeom>
                      <a:noFill/>
                      <a:ln w="31750">
                        <a:solidFill>
                          <a:schemeClr val="accent2"/>
                        </a:solidFill>
                        <a:round/>
                        <a:headEnd/>
                        <a:tailEnd type="triangle" w="med" len="me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fr-FR"/>
                        </a:p>
                      </a:txBody>
                      <a:useSpRect/>
                    </a:txSp>
                  </a:sp>
                  <a:sp>
                    <a:nvSpPr>
                      <a:cNvPr id="92201" name="Freeform 41"/>
                      <a:cNvSpPr>
                        <a:spLocks/>
                      </a:cNvSpPr>
                    </a:nvSpPr>
                    <a:spPr bwMode="auto">
                      <a:xfrm>
                        <a:off x="2908300" y="3454400"/>
                        <a:ext cx="3944938" cy="1036638"/>
                      </a:xfrm>
                      <a:custGeom>
                        <a:avLst/>
                        <a:gdLst>
                          <a:gd name="T0" fmla="*/ 0 w 2485"/>
                          <a:gd name="T1" fmla="*/ 0 h 653"/>
                          <a:gd name="T2" fmla="*/ 0 w 2485"/>
                          <a:gd name="T3" fmla="*/ 2147483647 h 653"/>
                          <a:gd name="T4" fmla="*/ 2147483647 w 2485"/>
                          <a:gd name="T5" fmla="*/ 2147483647 h 653"/>
                          <a:gd name="T6" fmla="*/ 2147483647 w 2485"/>
                          <a:gd name="T7" fmla="*/ 2147483647 h 653"/>
                          <a:gd name="T8" fmla="*/ 0 60000 65536"/>
                          <a:gd name="T9" fmla="*/ 0 60000 65536"/>
                          <a:gd name="T10" fmla="*/ 0 60000 65536"/>
                          <a:gd name="T11" fmla="*/ 0 60000 65536"/>
                          <a:gd name="T12" fmla="*/ 0 w 2485"/>
                          <a:gd name="T13" fmla="*/ 0 h 653"/>
                          <a:gd name="T14" fmla="*/ 2485 w 2485"/>
                          <a:gd name="T15" fmla="*/ 653 h 653"/>
                        </a:gdLst>
                        <a:ahLst/>
                        <a:cxnLst>
                          <a:cxn ang="T8">
                            <a:pos x="T0" y="T1"/>
                          </a:cxn>
                          <a:cxn ang="T9">
                            <a:pos x="T2" y="T3"/>
                          </a:cxn>
                          <a:cxn ang="T10">
                            <a:pos x="T4" y="T5"/>
                          </a:cxn>
                          <a:cxn ang="T11">
                            <a:pos x="T6" y="T7"/>
                          </a:cxn>
                        </a:cxnLst>
                        <a:rect l="T12" t="T13" r="T14" b="T15"/>
                        <a:pathLst>
                          <a:path w="2485" h="653">
                            <a:moveTo>
                              <a:pt x="0" y="0"/>
                            </a:moveTo>
                            <a:lnTo>
                              <a:pt x="0" y="653"/>
                            </a:lnTo>
                            <a:lnTo>
                              <a:pt x="2485" y="652"/>
                            </a:lnTo>
                            <a:lnTo>
                              <a:pt x="2478" y="25"/>
                            </a:lnTo>
                          </a:path>
                        </a:pathLst>
                      </a:custGeom>
                      <a:noFill/>
                      <a:ln w="31750">
                        <a:solidFill>
                          <a:schemeClr val="accent2"/>
                        </a:solidFill>
                        <a:round/>
                        <a:headEnd/>
                        <a:tailEnd type="triangle" w="med" len="me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fr-FR"/>
                        </a:p>
                      </a:txBody>
                      <a:useSpRect/>
                    </a:txSp>
                  </a:sp>
                  <a:sp>
                    <a:nvSpPr>
                      <a:cNvPr id="92202" name="Freeform 42"/>
                      <a:cNvSpPr>
                        <a:spLocks/>
                      </a:cNvSpPr>
                    </a:nvSpPr>
                    <a:spPr bwMode="auto">
                      <a:xfrm>
                        <a:off x="1828800" y="3430588"/>
                        <a:ext cx="5321300" cy="1443037"/>
                      </a:xfrm>
                      <a:custGeom>
                        <a:avLst/>
                        <a:gdLst>
                          <a:gd name="T0" fmla="*/ 0 w 3352"/>
                          <a:gd name="T1" fmla="*/ 0 h 909"/>
                          <a:gd name="T2" fmla="*/ 2147483647 w 3352"/>
                          <a:gd name="T3" fmla="*/ 2147483647 h 909"/>
                          <a:gd name="T4" fmla="*/ 2147483647 w 3352"/>
                          <a:gd name="T5" fmla="*/ 2147483647 h 909"/>
                          <a:gd name="T6" fmla="*/ 2147483647 w 3352"/>
                          <a:gd name="T7" fmla="*/ 2147483647 h 909"/>
                          <a:gd name="T8" fmla="*/ 0 60000 65536"/>
                          <a:gd name="T9" fmla="*/ 0 60000 65536"/>
                          <a:gd name="T10" fmla="*/ 0 60000 65536"/>
                          <a:gd name="T11" fmla="*/ 0 60000 65536"/>
                          <a:gd name="T12" fmla="*/ 0 w 3352"/>
                          <a:gd name="T13" fmla="*/ 0 h 909"/>
                          <a:gd name="T14" fmla="*/ 3352 w 3352"/>
                          <a:gd name="T15" fmla="*/ 909 h 909"/>
                        </a:gdLst>
                        <a:ahLst/>
                        <a:cxnLst>
                          <a:cxn ang="T8">
                            <a:pos x="T0" y="T1"/>
                          </a:cxn>
                          <a:cxn ang="T9">
                            <a:pos x="T2" y="T3"/>
                          </a:cxn>
                          <a:cxn ang="T10">
                            <a:pos x="T4" y="T5"/>
                          </a:cxn>
                          <a:cxn ang="T11">
                            <a:pos x="T6" y="T7"/>
                          </a:cxn>
                        </a:cxnLst>
                        <a:rect l="T12" t="T13" r="T14" b="T15"/>
                        <a:pathLst>
                          <a:path w="3352" h="909">
                            <a:moveTo>
                              <a:pt x="0" y="0"/>
                            </a:moveTo>
                            <a:lnTo>
                              <a:pt x="4" y="906"/>
                            </a:lnTo>
                            <a:lnTo>
                              <a:pt x="3338" y="909"/>
                            </a:lnTo>
                            <a:lnTo>
                              <a:pt x="3352" y="69"/>
                            </a:lnTo>
                          </a:path>
                        </a:pathLst>
                      </a:custGeom>
                      <a:noFill/>
                      <a:ln w="31750">
                        <a:solidFill>
                          <a:schemeClr val="accent2"/>
                        </a:solidFill>
                        <a:round/>
                        <a:headEnd/>
                        <a:tailEnd type="triangle" w="med" len="me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fr-FR"/>
                        </a:p>
                      </a:txBody>
                      <a:useSpRect/>
                    </a:txSp>
                  </a:sp>
                  <a:sp>
                    <a:nvSpPr>
                      <a:cNvPr id="92204" name="Text Box 44"/>
                      <a:cNvSpPr txBox="1">
                        <a:spLocks noChangeArrowheads="1"/>
                      </a:cNvSpPr>
                    </a:nvSpPr>
                    <a:spPr bwMode="auto">
                      <a:xfrm>
                        <a:off x="2268538" y="4508500"/>
                        <a:ext cx="503237" cy="360363"/>
                      </a:xfrm>
                      <a:prstGeom prst="rect">
                        <a:avLst/>
                      </a:prstGeom>
                      <a:solidFill>
                        <a:schemeClr val="accent2"/>
                      </a:solidFill>
                      <a:ln w="9525">
                        <a:noFill/>
                        <a:miter lim="800000"/>
                        <a:headEnd/>
                        <a:tailEn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lnSpc>
                              <a:spcPct val="85000"/>
                            </a:lnSpc>
                            <a:spcBef>
                              <a:spcPct val="50000"/>
                            </a:spcBef>
                          </a:pPr>
                          <a:r>
                            <a:rPr lang="fr-FR" sz="1600" b="1">
                              <a:solidFill>
                                <a:schemeClr val="bg1"/>
                              </a:solidFill>
                            </a:rPr>
                            <a:t>50</a:t>
                          </a:r>
                          <a:endParaRPr lang="fr-FR" sz="1600" i="1">
                            <a:solidFill>
                              <a:schemeClr val="bg1"/>
                            </a:solidFill>
                          </a:endParaRPr>
                        </a:p>
                      </a:txBody>
                      <a:useSpRect/>
                    </a:txSp>
                  </a:sp>
                  <a:sp>
                    <a:nvSpPr>
                      <a:cNvPr id="92205" name="Text Box 45"/>
                      <a:cNvSpPr txBox="1">
                        <a:spLocks noChangeArrowheads="1"/>
                      </a:cNvSpPr>
                    </a:nvSpPr>
                    <a:spPr bwMode="auto">
                      <a:xfrm>
                        <a:off x="4068763" y="3787775"/>
                        <a:ext cx="503237" cy="360363"/>
                      </a:xfrm>
                      <a:prstGeom prst="rect">
                        <a:avLst/>
                      </a:prstGeom>
                      <a:solidFill>
                        <a:schemeClr val="accent2"/>
                      </a:solidFill>
                      <a:ln w="9525">
                        <a:noFill/>
                        <a:miter lim="800000"/>
                        <a:headEnd/>
                        <a:tailEn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lnSpc>
                              <a:spcPct val="85000"/>
                            </a:lnSpc>
                            <a:spcBef>
                              <a:spcPct val="50000"/>
                            </a:spcBef>
                          </a:pPr>
                          <a:r>
                            <a:rPr lang="fr-FR" sz="1600" b="1">
                              <a:solidFill>
                                <a:schemeClr val="bg1"/>
                              </a:solidFill>
                            </a:rPr>
                            <a:t>15</a:t>
                          </a:r>
                          <a:endParaRPr lang="fr-FR" sz="1600" i="1">
                            <a:solidFill>
                              <a:schemeClr val="bg1"/>
                            </a:solidFill>
                          </a:endParaRPr>
                        </a:p>
                      </a:txBody>
                      <a:useSpRect/>
                    </a:txSp>
                  </a:sp>
                  <a:sp>
                    <a:nvSpPr>
                      <a:cNvPr id="92206" name="Text Box 46"/>
                      <a:cNvSpPr txBox="1">
                        <a:spLocks noChangeArrowheads="1"/>
                      </a:cNvSpPr>
                    </a:nvSpPr>
                    <a:spPr bwMode="auto">
                      <a:xfrm>
                        <a:off x="5795963" y="4140200"/>
                        <a:ext cx="503237" cy="360363"/>
                      </a:xfrm>
                      <a:prstGeom prst="rect">
                        <a:avLst/>
                      </a:prstGeom>
                      <a:solidFill>
                        <a:schemeClr val="accent2"/>
                      </a:solidFill>
                      <a:ln w="9525">
                        <a:noFill/>
                        <a:miter lim="800000"/>
                        <a:headEnd/>
                        <a:tailEn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lnSpc>
                              <a:spcPct val="85000"/>
                            </a:lnSpc>
                            <a:spcBef>
                              <a:spcPct val="50000"/>
                            </a:spcBef>
                          </a:pPr>
                          <a:r>
                            <a:rPr lang="fr-FR" sz="1600" b="1">
                              <a:solidFill>
                                <a:schemeClr val="bg1"/>
                              </a:solidFill>
                            </a:rPr>
                            <a:t>10</a:t>
                          </a:r>
                          <a:endParaRPr lang="fr-FR" sz="1600" i="1">
                            <a:solidFill>
                              <a:schemeClr val="bg1"/>
                            </a:solidFill>
                          </a:endParaRPr>
                        </a:p>
                      </a:txBody>
                      <a:useSpRect/>
                    </a:txSp>
                  </a:sp>
                  <a:sp>
                    <a:nvSpPr>
                      <a:cNvPr id="92207" name="Freeform 47"/>
                      <a:cNvSpPr>
                        <a:spLocks/>
                      </a:cNvSpPr>
                    </a:nvSpPr>
                    <a:spPr bwMode="auto">
                      <a:xfrm>
                        <a:off x="2832100" y="3429000"/>
                        <a:ext cx="3611563" cy="1944688"/>
                      </a:xfrm>
                      <a:custGeom>
                        <a:avLst/>
                        <a:gdLst>
                          <a:gd name="T0" fmla="*/ 2147483647 w 2275"/>
                          <a:gd name="T1" fmla="*/ 0 h 1225"/>
                          <a:gd name="T2" fmla="*/ 0 w 2275"/>
                          <a:gd name="T3" fmla="*/ 2147483647 h 1225"/>
                          <a:gd name="T4" fmla="*/ 2147483647 w 2275"/>
                          <a:gd name="T5" fmla="*/ 2147483647 h 1225"/>
                          <a:gd name="T6" fmla="*/ 2147483647 w 2275"/>
                          <a:gd name="T7" fmla="*/ 2147483647 h 1225"/>
                          <a:gd name="T8" fmla="*/ 0 60000 65536"/>
                          <a:gd name="T9" fmla="*/ 0 60000 65536"/>
                          <a:gd name="T10" fmla="*/ 0 60000 65536"/>
                          <a:gd name="T11" fmla="*/ 0 60000 65536"/>
                          <a:gd name="T12" fmla="*/ 0 w 2275"/>
                          <a:gd name="T13" fmla="*/ 0 h 1225"/>
                          <a:gd name="T14" fmla="*/ 2275 w 2275"/>
                          <a:gd name="T15" fmla="*/ 1225 h 1225"/>
                        </a:gdLst>
                        <a:ahLst/>
                        <a:cxnLst>
                          <a:cxn ang="T8">
                            <a:pos x="T0" y="T1"/>
                          </a:cxn>
                          <a:cxn ang="T9">
                            <a:pos x="T2" y="T3"/>
                          </a:cxn>
                          <a:cxn ang="T10">
                            <a:pos x="T4" y="T5"/>
                          </a:cxn>
                          <a:cxn ang="T11">
                            <a:pos x="T6" y="T7"/>
                          </a:cxn>
                        </a:cxnLst>
                        <a:rect l="T12" t="T13" r="T14" b="T15"/>
                        <a:pathLst>
                          <a:path w="2275" h="1225">
                            <a:moveTo>
                              <a:pt x="7" y="0"/>
                            </a:moveTo>
                            <a:lnTo>
                              <a:pt x="0" y="1214"/>
                            </a:lnTo>
                            <a:lnTo>
                              <a:pt x="2275" y="1225"/>
                            </a:lnTo>
                            <a:lnTo>
                              <a:pt x="2275" y="88"/>
                            </a:lnTo>
                          </a:path>
                        </a:pathLst>
                      </a:custGeom>
                      <a:noFill/>
                      <a:ln w="31750">
                        <a:solidFill>
                          <a:srgbClr val="008000"/>
                        </a:solidFill>
                        <a:round/>
                        <a:headEnd type="stealth" w="lg" len="lg"/>
                        <a:tailEn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fr-FR"/>
                        </a:p>
                      </a:txBody>
                      <a:useSpRect/>
                    </a:txSp>
                  </a:sp>
                  <a:sp>
                    <a:nvSpPr>
                      <a:cNvPr id="92208" name="Freeform 48"/>
                      <a:cNvSpPr>
                        <a:spLocks/>
                      </a:cNvSpPr>
                    </a:nvSpPr>
                    <a:spPr bwMode="auto">
                      <a:xfrm>
                        <a:off x="2181225" y="3416300"/>
                        <a:ext cx="4406900" cy="2303463"/>
                      </a:xfrm>
                      <a:custGeom>
                        <a:avLst/>
                        <a:gdLst>
                          <a:gd name="T0" fmla="*/ 2147483647 w 2776"/>
                          <a:gd name="T1" fmla="*/ 0 h 1451"/>
                          <a:gd name="T2" fmla="*/ 0 w 2776"/>
                          <a:gd name="T3" fmla="*/ 2147483647 h 1451"/>
                          <a:gd name="T4" fmla="*/ 2147483647 w 2776"/>
                          <a:gd name="T5" fmla="*/ 2147483647 h 1451"/>
                          <a:gd name="T6" fmla="*/ 2147483647 w 2776"/>
                          <a:gd name="T7" fmla="*/ 2147483647 h 1451"/>
                          <a:gd name="T8" fmla="*/ 0 60000 65536"/>
                          <a:gd name="T9" fmla="*/ 0 60000 65536"/>
                          <a:gd name="T10" fmla="*/ 0 60000 65536"/>
                          <a:gd name="T11" fmla="*/ 0 60000 65536"/>
                          <a:gd name="T12" fmla="*/ 0 w 2776"/>
                          <a:gd name="T13" fmla="*/ 0 h 1451"/>
                          <a:gd name="T14" fmla="*/ 2776 w 2776"/>
                          <a:gd name="T15" fmla="*/ 1451 h 1451"/>
                        </a:gdLst>
                        <a:ahLst/>
                        <a:cxnLst>
                          <a:cxn ang="T8">
                            <a:pos x="T0" y="T1"/>
                          </a:cxn>
                          <a:cxn ang="T9">
                            <a:pos x="T2" y="T3"/>
                          </a:cxn>
                          <a:cxn ang="T10">
                            <a:pos x="T4" y="T5"/>
                          </a:cxn>
                          <a:cxn ang="T11">
                            <a:pos x="T6" y="T7"/>
                          </a:cxn>
                        </a:cxnLst>
                        <a:rect l="T12" t="T13" r="T14" b="T15"/>
                        <a:pathLst>
                          <a:path w="2776" h="1451">
                            <a:moveTo>
                              <a:pt x="9" y="0"/>
                            </a:moveTo>
                            <a:lnTo>
                              <a:pt x="0" y="1422"/>
                            </a:lnTo>
                            <a:lnTo>
                              <a:pt x="2776" y="1451"/>
                            </a:lnTo>
                            <a:lnTo>
                              <a:pt x="2776" y="105"/>
                            </a:lnTo>
                          </a:path>
                        </a:pathLst>
                      </a:custGeom>
                      <a:noFill/>
                      <a:ln w="31750">
                        <a:solidFill>
                          <a:srgbClr val="008000"/>
                        </a:solidFill>
                        <a:round/>
                        <a:headEnd type="stealth" w="lg" len="lg"/>
                        <a:tailEn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fr-FR"/>
                        </a:p>
                      </a:txBody>
                      <a:useSpRect/>
                    </a:txSp>
                  </a:sp>
                  <a:sp>
                    <a:nvSpPr>
                      <a:cNvPr id="92209" name="Freeform 49"/>
                      <a:cNvSpPr>
                        <a:spLocks/>
                      </a:cNvSpPr>
                    </a:nvSpPr>
                    <a:spPr bwMode="auto">
                      <a:xfrm>
                        <a:off x="1258888" y="3416300"/>
                        <a:ext cx="6276975" cy="2790825"/>
                      </a:xfrm>
                      <a:custGeom>
                        <a:avLst/>
                        <a:gdLst>
                          <a:gd name="T0" fmla="*/ 0 w 3954"/>
                          <a:gd name="T1" fmla="*/ 0 h 1758"/>
                          <a:gd name="T2" fmla="*/ 2147483647 w 3954"/>
                          <a:gd name="T3" fmla="*/ 2147483647 h 1758"/>
                          <a:gd name="T4" fmla="*/ 2147483647 w 3954"/>
                          <a:gd name="T5" fmla="*/ 2147483647 h 1758"/>
                          <a:gd name="T6" fmla="*/ 2147483647 w 3954"/>
                          <a:gd name="T7" fmla="*/ 2147483647 h 1758"/>
                          <a:gd name="T8" fmla="*/ 0 60000 65536"/>
                          <a:gd name="T9" fmla="*/ 0 60000 65536"/>
                          <a:gd name="T10" fmla="*/ 0 60000 65536"/>
                          <a:gd name="T11" fmla="*/ 0 60000 65536"/>
                          <a:gd name="T12" fmla="*/ 0 w 3954"/>
                          <a:gd name="T13" fmla="*/ 0 h 1758"/>
                          <a:gd name="T14" fmla="*/ 3954 w 3954"/>
                          <a:gd name="T15" fmla="*/ 1758 h 1758"/>
                        </a:gdLst>
                        <a:ahLst/>
                        <a:cxnLst>
                          <a:cxn ang="T8">
                            <a:pos x="T0" y="T1"/>
                          </a:cxn>
                          <a:cxn ang="T9">
                            <a:pos x="T2" y="T3"/>
                          </a:cxn>
                          <a:cxn ang="T10">
                            <a:pos x="T4" y="T5"/>
                          </a:cxn>
                          <a:cxn ang="T11">
                            <a:pos x="T6" y="T7"/>
                          </a:cxn>
                        </a:cxnLst>
                        <a:rect l="T12" t="T13" r="T14" b="T15"/>
                        <a:pathLst>
                          <a:path w="3954" h="1758">
                            <a:moveTo>
                              <a:pt x="0" y="0"/>
                            </a:moveTo>
                            <a:lnTo>
                              <a:pt x="5" y="1758"/>
                            </a:lnTo>
                            <a:lnTo>
                              <a:pt x="3954" y="1755"/>
                            </a:lnTo>
                            <a:lnTo>
                              <a:pt x="3947" y="55"/>
                            </a:lnTo>
                          </a:path>
                        </a:pathLst>
                      </a:custGeom>
                      <a:noFill/>
                      <a:ln w="31750">
                        <a:solidFill>
                          <a:srgbClr val="008000"/>
                        </a:solidFill>
                        <a:round/>
                        <a:headEnd type="stealth" w="lg" len="lg"/>
                        <a:tailEn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fr-FR"/>
                        </a:p>
                      </a:txBody>
                      <a:useSpRect/>
                    </a:txSp>
                  </a:sp>
                  <a:sp>
                    <a:nvSpPr>
                      <a:cNvPr id="92210" name="Text Box 50"/>
                      <a:cNvSpPr txBox="1">
                        <a:spLocks noChangeArrowheads="1"/>
                      </a:cNvSpPr>
                    </a:nvSpPr>
                    <a:spPr bwMode="auto">
                      <a:xfrm>
                        <a:off x="4356100" y="5000625"/>
                        <a:ext cx="503238" cy="360363"/>
                      </a:xfrm>
                      <a:prstGeom prst="rect">
                        <a:avLst/>
                      </a:prstGeom>
                      <a:solidFill>
                        <a:srgbClr val="008000"/>
                      </a:solidFill>
                      <a:ln w="9525">
                        <a:noFill/>
                        <a:miter lim="800000"/>
                        <a:headEnd/>
                        <a:tailEn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lnSpc>
                              <a:spcPct val="85000"/>
                            </a:lnSpc>
                            <a:spcBef>
                              <a:spcPct val="50000"/>
                            </a:spcBef>
                          </a:pPr>
                          <a:r>
                            <a:rPr lang="fr-FR" sz="1600" b="1">
                              <a:solidFill>
                                <a:schemeClr val="bg1"/>
                              </a:solidFill>
                            </a:rPr>
                            <a:t>10</a:t>
                          </a:r>
                          <a:endParaRPr lang="fr-FR" sz="1600" i="1">
                            <a:solidFill>
                              <a:schemeClr val="bg1"/>
                            </a:solidFill>
                          </a:endParaRPr>
                        </a:p>
                      </a:txBody>
                      <a:useSpRect/>
                    </a:txSp>
                  </a:sp>
                  <a:sp>
                    <a:nvSpPr>
                      <a:cNvPr id="92211" name="Text Box 51"/>
                      <a:cNvSpPr txBox="1">
                        <a:spLocks noChangeArrowheads="1"/>
                      </a:cNvSpPr>
                    </a:nvSpPr>
                    <a:spPr bwMode="auto">
                      <a:xfrm>
                        <a:off x="1403350" y="5851525"/>
                        <a:ext cx="503238" cy="360363"/>
                      </a:xfrm>
                      <a:prstGeom prst="rect">
                        <a:avLst/>
                      </a:prstGeom>
                      <a:solidFill>
                        <a:srgbClr val="008000"/>
                      </a:solidFill>
                      <a:ln w="9525">
                        <a:noFill/>
                        <a:miter lim="800000"/>
                        <a:headEnd/>
                        <a:tailEn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lnSpc>
                              <a:spcPct val="85000"/>
                            </a:lnSpc>
                            <a:spcBef>
                              <a:spcPct val="50000"/>
                            </a:spcBef>
                          </a:pPr>
                          <a:r>
                            <a:rPr lang="fr-FR" sz="1600" b="1">
                              <a:solidFill>
                                <a:schemeClr val="bg1"/>
                              </a:solidFill>
                            </a:rPr>
                            <a:t>10</a:t>
                          </a:r>
                          <a:endParaRPr lang="fr-FR" sz="1600" i="1">
                            <a:solidFill>
                              <a:schemeClr val="bg1"/>
                            </a:solidFill>
                          </a:endParaRPr>
                        </a:p>
                      </a:txBody>
                      <a:useSpRect/>
                    </a:txSp>
                  </a:sp>
                  <a:sp>
                    <a:nvSpPr>
                      <a:cNvPr id="92212" name="Text Box 52"/>
                      <a:cNvSpPr txBox="1">
                        <a:spLocks noChangeArrowheads="1"/>
                      </a:cNvSpPr>
                    </a:nvSpPr>
                    <a:spPr bwMode="auto">
                      <a:xfrm>
                        <a:off x="2195513" y="5313363"/>
                        <a:ext cx="503237" cy="360362"/>
                      </a:xfrm>
                      <a:prstGeom prst="rect">
                        <a:avLst/>
                      </a:prstGeom>
                      <a:solidFill>
                        <a:srgbClr val="008000"/>
                      </a:solidFill>
                      <a:ln w="9525">
                        <a:noFill/>
                        <a:miter lim="800000"/>
                        <a:headEnd/>
                        <a:tailEn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lnSpc>
                              <a:spcPct val="85000"/>
                            </a:lnSpc>
                            <a:spcBef>
                              <a:spcPct val="50000"/>
                            </a:spcBef>
                          </a:pPr>
                          <a:r>
                            <a:rPr lang="fr-FR" sz="1600" b="1">
                              <a:solidFill>
                                <a:schemeClr val="bg1"/>
                              </a:solidFill>
                            </a:rPr>
                            <a:t>15</a:t>
                          </a:r>
                          <a:endParaRPr lang="fr-FR" sz="1600" i="1">
                            <a:solidFill>
                              <a:schemeClr val="bg1"/>
                            </a:solidFill>
                          </a:endParaRPr>
                        </a:p>
                      </a:txBody>
                      <a:useSpRect/>
                    </a:txSp>
                  </a:sp>
                </lc:lockedCanvas>
              </a:graphicData>
            </a:graphic>
          </wp:inline>
        </w:drawing>
      </w:r>
    </w:p>
    <w:p w:rsidR="00B87E84" w:rsidRPr="00FA4826" w:rsidRDefault="00B87E84" w:rsidP="00123CAF">
      <w:pPr>
        <w:tabs>
          <w:tab w:val="left" w:pos="3573"/>
        </w:tabs>
        <w:spacing w:after="0"/>
        <w:rPr>
          <w:rFonts w:ascii="Arial" w:hAnsi="Arial" w:cs="Arial"/>
          <w:i w:val="0"/>
        </w:rPr>
      </w:pPr>
      <w:r w:rsidRPr="00FA4826">
        <w:rPr>
          <w:rFonts w:ascii="Arial" w:hAnsi="Arial" w:cs="Arial"/>
          <w:i w:val="0"/>
          <w:noProof/>
          <w:lang w:eastAsia="fr-FR"/>
        </w:rPr>
        <w:drawing>
          <wp:inline distT="0" distB="0" distL="0" distR="0" wp14:anchorId="227C1EEF" wp14:editId="0EBB79F7">
            <wp:extent cx="5459095" cy="2465705"/>
            <wp:effectExtent l="25400" t="0" r="1905" b="0"/>
            <wp:docPr id="5" name="O 36"/>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58025" cy="3289300"/>
                      <a:chOff x="827088" y="1989138"/>
                      <a:chExt cx="7058025" cy="3289300"/>
                    </a:xfrm>
                  </a:grpSpPr>
                  <a:sp>
                    <a:nvSpPr>
                      <a:cNvPr id="39938" name="Text Box 3"/>
                      <a:cNvSpPr txBox="1">
                        <a:spLocks noChangeArrowheads="1"/>
                      </a:cNvSpPr>
                    </a:nvSpPr>
                    <a:spPr bwMode="auto">
                      <a:xfrm>
                        <a:off x="827088" y="2349500"/>
                        <a:ext cx="1296987" cy="600075"/>
                      </a:xfrm>
                      <a:prstGeom prst="rect">
                        <a:avLst/>
                      </a:prstGeom>
                      <a:solidFill>
                        <a:schemeClr val="bg1"/>
                      </a:solidFill>
                      <a:ln w="19050">
                        <a:solidFill>
                          <a:schemeClr val="tx1"/>
                        </a:solidFill>
                        <a:miter lim="800000"/>
                        <a:headEnd/>
                        <a:tailEnd/>
                      </a:ln>
                    </a:spPr>
                    <a:txSp>
                      <a:txBody>
                        <a:bodyPr>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spcBef>
                              <a:spcPct val="50000"/>
                            </a:spcBef>
                          </a:pPr>
                          <a:endParaRPr lang="fr-FR" sz="800" b="1" i="1"/>
                        </a:p>
                        <a:p>
                          <a:pPr algn="ctr">
                            <a:spcBef>
                              <a:spcPct val="50000"/>
                            </a:spcBef>
                          </a:pPr>
                          <a:r>
                            <a:rPr lang="fr-FR" sz="1600" b="1" i="1"/>
                            <a:t>Client A</a:t>
                          </a:r>
                        </a:p>
                      </a:txBody>
                      <a:useSpRect/>
                    </a:txSp>
                  </a:sp>
                  <a:sp>
                    <a:nvSpPr>
                      <a:cNvPr id="39939" name="Text Box 4"/>
                      <a:cNvSpPr txBox="1">
                        <a:spLocks noChangeArrowheads="1"/>
                      </a:cNvSpPr>
                    </a:nvSpPr>
                    <a:spPr bwMode="auto">
                      <a:xfrm>
                        <a:off x="827088" y="1990725"/>
                        <a:ext cx="2520950" cy="358775"/>
                      </a:xfrm>
                      <a:prstGeom prst="rect">
                        <a:avLst/>
                      </a:prstGeom>
                      <a:solidFill>
                        <a:srgbClr val="FF9900"/>
                      </a:solidFill>
                      <a:ln w="19050">
                        <a:solidFill>
                          <a:schemeClr val="tx1"/>
                        </a:solidFill>
                        <a:miter lim="800000"/>
                        <a:headEnd/>
                        <a:tailEnd/>
                      </a:ln>
                    </a:spPr>
                    <a:txSp>
                      <a:txBody>
                        <a:bodyPr>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lnSpc>
                              <a:spcPct val="90000"/>
                            </a:lnSpc>
                            <a:spcBef>
                              <a:spcPct val="50000"/>
                            </a:spcBef>
                            <a:spcAft>
                              <a:spcPct val="15000"/>
                            </a:spcAft>
                          </a:pPr>
                          <a:r>
                            <a:rPr lang="fr-FR" b="1"/>
                            <a:t>Banque X</a:t>
                          </a:r>
                          <a:endParaRPr lang="fr-FR" b="1" i="1"/>
                        </a:p>
                      </a:txBody>
                      <a:useSpRect/>
                    </a:txSp>
                  </a:sp>
                  <a:sp>
                    <a:nvSpPr>
                      <a:cNvPr id="39940" name="Text Box 5"/>
                      <a:cNvSpPr txBox="1">
                        <a:spLocks noChangeArrowheads="1"/>
                      </a:cNvSpPr>
                    </a:nvSpPr>
                    <a:spPr bwMode="auto">
                      <a:xfrm flipH="1">
                        <a:off x="2124075" y="2349500"/>
                        <a:ext cx="1222375" cy="600075"/>
                      </a:xfrm>
                      <a:prstGeom prst="rect">
                        <a:avLst/>
                      </a:prstGeom>
                      <a:solidFill>
                        <a:schemeClr val="bg1"/>
                      </a:solidFill>
                      <a:ln w="19050">
                        <a:solidFill>
                          <a:schemeClr val="tx1"/>
                        </a:solidFill>
                        <a:miter lim="800000"/>
                        <a:headEnd/>
                        <a:tailEnd/>
                      </a:ln>
                    </a:spPr>
                    <a:txSp>
                      <a:txBody>
                        <a:bodyPr>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spcBef>
                              <a:spcPct val="50000"/>
                            </a:spcBef>
                          </a:pPr>
                          <a:endParaRPr lang="fr-FR" sz="800" b="1" i="1"/>
                        </a:p>
                        <a:p>
                          <a:pPr algn="ctr">
                            <a:spcBef>
                              <a:spcPct val="50000"/>
                            </a:spcBef>
                          </a:pPr>
                          <a:r>
                            <a:rPr lang="fr-FR" sz="1600" b="1" i="1"/>
                            <a:t>Client B</a:t>
                          </a:r>
                        </a:p>
                      </a:txBody>
                      <a:useSpRect/>
                    </a:txSp>
                  </a:sp>
                  <a:sp>
                    <a:nvSpPr>
                      <a:cNvPr id="39941" name="Text Box 6"/>
                      <a:cNvSpPr txBox="1">
                        <a:spLocks noChangeArrowheads="1"/>
                      </a:cNvSpPr>
                    </a:nvSpPr>
                    <a:spPr bwMode="auto">
                      <a:xfrm>
                        <a:off x="5364163" y="1989138"/>
                        <a:ext cx="2520950" cy="358775"/>
                      </a:xfrm>
                      <a:prstGeom prst="rect">
                        <a:avLst/>
                      </a:prstGeom>
                      <a:solidFill>
                        <a:srgbClr val="00CCFF"/>
                      </a:solidFill>
                      <a:ln w="19050">
                        <a:solidFill>
                          <a:schemeClr val="tx1"/>
                        </a:solidFill>
                        <a:miter lim="800000"/>
                        <a:headEnd/>
                        <a:tailEnd/>
                      </a:ln>
                    </a:spPr>
                    <a:txSp>
                      <a:txBody>
                        <a:bodyPr>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lnSpc>
                              <a:spcPct val="90000"/>
                            </a:lnSpc>
                            <a:spcBef>
                              <a:spcPct val="50000"/>
                            </a:spcBef>
                            <a:spcAft>
                              <a:spcPct val="15000"/>
                            </a:spcAft>
                          </a:pPr>
                          <a:r>
                            <a:rPr lang="fr-FR" b="1"/>
                            <a:t>Banque Y</a:t>
                          </a:r>
                          <a:endParaRPr lang="fr-FR" b="1" i="1"/>
                        </a:p>
                      </a:txBody>
                      <a:useSpRect/>
                    </a:txSp>
                  </a:sp>
                  <a:sp>
                    <a:nvSpPr>
                      <a:cNvPr id="39942" name="Text Box 7"/>
                      <a:cNvSpPr txBox="1">
                        <a:spLocks noChangeArrowheads="1"/>
                      </a:cNvSpPr>
                    </a:nvSpPr>
                    <a:spPr bwMode="auto">
                      <a:xfrm>
                        <a:off x="5362575" y="2349500"/>
                        <a:ext cx="1296988" cy="600075"/>
                      </a:xfrm>
                      <a:prstGeom prst="rect">
                        <a:avLst/>
                      </a:prstGeom>
                      <a:solidFill>
                        <a:schemeClr val="bg1"/>
                      </a:solidFill>
                      <a:ln w="19050">
                        <a:solidFill>
                          <a:schemeClr val="tx1"/>
                        </a:solidFill>
                        <a:miter lim="800000"/>
                        <a:headEnd/>
                        <a:tailEnd/>
                      </a:ln>
                    </a:spPr>
                    <a:txSp>
                      <a:txBody>
                        <a:bodyPr>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spcBef>
                              <a:spcPct val="50000"/>
                            </a:spcBef>
                          </a:pPr>
                          <a:endParaRPr lang="fr-FR" sz="800" b="1" i="1"/>
                        </a:p>
                        <a:p>
                          <a:pPr algn="ctr">
                            <a:spcBef>
                              <a:spcPct val="50000"/>
                            </a:spcBef>
                          </a:pPr>
                          <a:r>
                            <a:rPr lang="fr-FR" sz="1600" b="1" i="1"/>
                            <a:t>Client C</a:t>
                          </a:r>
                        </a:p>
                      </a:txBody>
                      <a:useSpRect/>
                    </a:txSp>
                  </a:sp>
                  <a:sp>
                    <a:nvSpPr>
                      <a:cNvPr id="39943" name="Text Box 8"/>
                      <a:cNvSpPr txBox="1">
                        <a:spLocks noChangeArrowheads="1"/>
                      </a:cNvSpPr>
                    </a:nvSpPr>
                    <a:spPr bwMode="auto">
                      <a:xfrm flipH="1">
                        <a:off x="6662738" y="2349500"/>
                        <a:ext cx="1222375" cy="600075"/>
                      </a:xfrm>
                      <a:prstGeom prst="rect">
                        <a:avLst/>
                      </a:prstGeom>
                      <a:solidFill>
                        <a:schemeClr val="bg1"/>
                      </a:solidFill>
                      <a:ln w="19050">
                        <a:solidFill>
                          <a:schemeClr val="tx1"/>
                        </a:solidFill>
                        <a:miter lim="800000"/>
                        <a:headEnd/>
                        <a:tailEnd/>
                      </a:ln>
                    </a:spPr>
                    <a:txSp>
                      <a:txBody>
                        <a:bodyPr>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spcBef>
                              <a:spcPct val="50000"/>
                            </a:spcBef>
                          </a:pPr>
                          <a:endParaRPr lang="fr-FR" sz="800" b="1" i="1"/>
                        </a:p>
                        <a:p>
                          <a:pPr algn="ctr">
                            <a:spcBef>
                              <a:spcPct val="50000"/>
                            </a:spcBef>
                          </a:pPr>
                          <a:r>
                            <a:rPr lang="fr-FR" sz="1600" b="1" i="1"/>
                            <a:t>Client D</a:t>
                          </a:r>
                        </a:p>
                      </a:txBody>
                      <a:useSpRect/>
                    </a:txSp>
                  </a:sp>
                  <a:sp>
                    <a:nvSpPr>
                      <a:cNvPr id="39944" name="Freeform 9"/>
                      <a:cNvSpPr>
                        <a:spLocks/>
                      </a:cNvSpPr>
                    </a:nvSpPr>
                    <a:spPr bwMode="auto">
                      <a:xfrm>
                        <a:off x="3162300" y="3040063"/>
                        <a:ext cx="2401888" cy="676275"/>
                      </a:xfrm>
                      <a:custGeom>
                        <a:avLst/>
                        <a:gdLst>
                          <a:gd name="T0" fmla="*/ 0 w 1513"/>
                          <a:gd name="T1" fmla="*/ 0 h 167"/>
                          <a:gd name="T2" fmla="*/ 0 w 1513"/>
                          <a:gd name="T3" fmla="*/ 2147483647 h 167"/>
                          <a:gd name="T4" fmla="*/ 2147483647 w 1513"/>
                          <a:gd name="T5" fmla="*/ 2147483647 h 167"/>
                          <a:gd name="T6" fmla="*/ 2147483647 w 1513"/>
                          <a:gd name="T7" fmla="*/ 0 h 167"/>
                          <a:gd name="T8" fmla="*/ 0 60000 65536"/>
                          <a:gd name="T9" fmla="*/ 0 60000 65536"/>
                          <a:gd name="T10" fmla="*/ 0 60000 65536"/>
                          <a:gd name="T11" fmla="*/ 0 60000 65536"/>
                          <a:gd name="T12" fmla="*/ 0 w 1513"/>
                          <a:gd name="T13" fmla="*/ 0 h 167"/>
                          <a:gd name="T14" fmla="*/ 1513 w 1513"/>
                          <a:gd name="T15" fmla="*/ 167 h 167"/>
                        </a:gdLst>
                        <a:ahLst/>
                        <a:cxnLst>
                          <a:cxn ang="T8">
                            <a:pos x="T0" y="T1"/>
                          </a:cxn>
                          <a:cxn ang="T9">
                            <a:pos x="T2" y="T3"/>
                          </a:cxn>
                          <a:cxn ang="T10">
                            <a:pos x="T4" y="T5"/>
                          </a:cxn>
                          <a:cxn ang="T11">
                            <a:pos x="T6" y="T7"/>
                          </a:cxn>
                        </a:cxnLst>
                        <a:rect l="T12" t="T13" r="T14" b="T15"/>
                        <a:pathLst>
                          <a:path w="1513" h="167">
                            <a:moveTo>
                              <a:pt x="0" y="0"/>
                            </a:moveTo>
                            <a:lnTo>
                              <a:pt x="0" y="167"/>
                            </a:lnTo>
                            <a:lnTo>
                              <a:pt x="1506" y="160"/>
                            </a:lnTo>
                            <a:lnTo>
                              <a:pt x="1513" y="0"/>
                            </a:lnTo>
                          </a:path>
                        </a:pathLst>
                      </a:custGeom>
                      <a:noFill/>
                      <a:ln w="31750">
                        <a:solidFill>
                          <a:schemeClr val="accent2"/>
                        </a:solidFill>
                        <a:round/>
                        <a:headEnd/>
                        <a:tailEnd type="triangle" w="med" len="me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fr-FR"/>
                        </a:p>
                      </a:txBody>
                      <a:useSpRect/>
                    </a:txSp>
                  </a:sp>
                  <a:sp>
                    <a:nvSpPr>
                      <a:cNvPr id="39945" name="Freeform 10"/>
                      <a:cNvSpPr>
                        <a:spLocks/>
                      </a:cNvSpPr>
                    </a:nvSpPr>
                    <a:spPr bwMode="auto">
                      <a:xfrm>
                        <a:off x="2908300" y="2997200"/>
                        <a:ext cx="3944938" cy="1036638"/>
                      </a:xfrm>
                      <a:custGeom>
                        <a:avLst/>
                        <a:gdLst>
                          <a:gd name="T0" fmla="*/ 0 w 2485"/>
                          <a:gd name="T1" fmla="*/ 0 h 653"/>
                          <a:gd name="T2" fmla="*/ 0 w 2485"/>
                          <a:gd name="T3" fmla="*/ 2147483647 h 653"/>
                          <a:gd name="T4" fmla="*/ 2147483647 w 2485"/>
                          <a:gd name="T5" fmla="*/ 2147483647 h 653"/>
                          <a:gd name="T6" fmla="*/ 2147483647 w 2485"/>
                          <a:gd name="T7" fmla="*/ 2147483647 h 653"/>
                          <a:gd name="T8" fmla="*/ 0 60000 65536"/>
                          <a:gd name="T9" fmla="*/ 0 60000 65536"/>
                          <a:gd name="T10" fmla="*/ 0 60000 65536"/>
                          <a:gd name="T11" fmla="*/ 0 60000 65536"/>
                          <a:gd name="T12" fmla="*/ 0 w 2485"/>
                          <a:gd name="T13" fmla="*/ 0 h 653"/>
                          <a:gd name="T14" fmla="*/ 2485 w 2485"/>
                          <a:gd name="T15" fmla="*/ 653 h 653"/>
                        </a:gdLst>
                        <a:ahLst/>
                        <a:cxnLst>
                          <a:cxn ang="T8">
                            <a:pos x="T0" y="T1"/>
                          </a:cxn>
                          <a:cxn ang="T9">
                            <a:pos x="T2" y="T3"/>
                          </a:cxn>
                          <a:cxn ang="T10">
                            <a:pos x="T4" y="T5"/>
                          </a:cxn>
                          <a:cxn ang="T11">
                            <a:pos x="T6" y="T7"/>
                          </a:cxn>
                        </a:cxnLst>
                        <a:rect l="T12" t="T13" r="T14" b="T15"/>
                        <a:pathLst>
                          <a:path w="2485" h="653">
                            <a:moveTo>
                              <a:pt x="0" y="0"/>
                            </a:moveTo>
                            <a:lnTo>
                              <a:pt x="0" y="653"/>
                            </a:lnTo>
                            <a:lnTo>
                              <a:pt x="2485" y="652"/>
                            </a:lnTo>
                            <a:lnTo>
                              <a:pt x="2478" y="25"/>
                            </a:lnTo>
                          </a:path>
                        </a:pathLst>
                      </a:custGeom>
                      <a:noFill/>
                      <a:ln w="31750">
                        <a:solidFill>
                          <a:schemeClr val="accent2"/>
                        </a:solidFill>
                        <a:round/>
                        <a:headEnd/>
                        <a:tailEnd type="triangle" w="med" len="me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fr-FR"/>
                        </a:p>
                      </a:txBody>
                      <a:useSpRect/>
                    </a:txSp>
                  </a:sp>
                  <a:sp>
                    <a:nvSpPr>
                      <a:cNvPr id="39946" name="Freeform 11"/>
                      <a:cNvSpPr>
                        <a:spLocks/>
                      </a:cNvSpPr>
                    </a:nvSpPr>
                    <a:spPr bwMode="auto">
                      <a:xfrm>
                        <a:off x="1828800" y="2986088"/>
                        <a:ext cx="5321300" cy="1443037"/>
                      </a:xfrm>
                      <a:custGeom>
                        <a:avLst/>
                        <a:gdLst>
                          <a:gd name="T0" fmla="*/ 0 w 3352"/>
                          <a:gd name="T1" fmla="*/ 0 h 909"/>
                          <a:gd name="T2" fmla="*/ 2147483647 w 3352"/>
                          <a:gd name="T3" fmla="*/ 2147483647 h 909"/>
                          <a:gd name="T4" fmla="*/ 2147483647 w 3352"/>
                          <a:gd name="T5" fmla="*/ 2147483647 h 909"/>
                          <a:gd name="T6" fmla="*/ 2147483647 w 3352"/>
                          <a:gd name="T7" fmla="*/ 2147483647 h 909"/>
                          <a:gd name="T8" fmla="*/ 0 60000 65536"/>
                          <a:gd name="T9" fmla="*/ 0 60000 65536"/>
                          <a:gd name="T10" fmla="*/ 0 60000 65536"/>
                          <a:gd name="T11" fmla="*/ 0 60000 65536"/>
                          <a:gd name="T12" fmla="*/ 0 w 3352"/>
                          <a:gd name="T13" fmla="*/ 0 h 909"/>
                          <a:gd name="T14" fmla="*/ 3352 w 3352"/>
                          <a:gd name="T15" fmla="*/ 909 h 909"/>
                        </a:gdLst>
                        <a:ahLst/>
                        <a:cxnLst>
                          <a:cxn ang="T8">
                            <a:pos x="T0" y="T1"/>
                          </a:cxn>
                          <a:cxn ang="T9">
                            <a:pos x="T2" y="T3"/>
                          </a:cxn>
                          <a:cxn ang="T10">
                            <a:pos x="T4" y="T5"/>
                          </a:cxn>
                          <a:cxn ang="T11">
                            <a:pos x="T6" y="T7"/>
                          </a:cxn>
                        </a:cxnLst>
                        <a:rect l="T12" t="T13" r="T14" b="T15"/>
                        <a:pathLst>
                          <a:path w="3352" h="909">
                            <a:moveTo>
                              <a:pt x="0" y="0"/>
                            </a:moveTo>
                            <a:lnTo>
                              <a:pt x="4" y="906"/>
                            </a:lnTo>
                            <a:lnTo>
                              <a:pt x="3338" y="909"/>
                            </a:lnTo>
                            <a:lnTo>
                              <a:pt x="3352" y="69"/>
                            </a:lnTo>
                          </a:path>
                        </a:pathLst>
                      </a:custGeom>
                      <a:noFill/>
                      <a:ln w="31750">
                        <a:solidFill>
                          <a:schemeClr val="accent2"/>
                        </a:solidFill>
                        <a:round/>
                        <a:headEnd/>
                        <a:tailEnd type="triangle" w="med" len="me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fr-FR"/>
                        </a:p>
                      </a:txBody>
                      <a:useSpRect/>
                    </a:txSp>
                  </a:sp>
                  <a:sp>
                    <a:nvSpPr>
                      <a:cNvPr id="39947" name="Text Box 12"/>
                      <a:cNvSpPr txBox="1">
                        <a:spLocks noChangeArrowheads="1"/>
                      </a:cNvSpPr>
                    </a:nvSpPr>
                    <a:spPr bwMode="auto">
                      <a:xfrm>
                        <a:off x="2268538" y="4076700"/>
                        <a:ext cx="503237" cy="360363"/>
                      </a:xfrm>
                      <a:prstGeom prst="rect">
                        <a:avLst/>
                      </a:prstGeom>
                      <a:solidFill>
                        <a:schemeClr val="accent2"/>
                      </a:solidFill>
                      <a:ln w="9525">
                        <a:noFill/>
                        <a:miter lim="800000"/>
                        <a:headEnd/>
                        <a:tailEn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lnSpc>
                              <a:spcPct val="85000"/>
                            </a:lnSpc>
                            <a:spcBef>
                              <a:spcPct val="50000"/>
                            </a:spcBef>
                          </a:pPr>
                          <a:r>
                            <a:rPr lang="fr-FR" sz="1600" b="1">
                              <a:solidFill>
                                <a:schemeClr val="bg1"/>
                              </a:solidFill>
                            </a:rPr>
                            <a:t>50</a:t>
                          </a:r>
                          <a:endParaRPr lang="fr-FR" sz="1600" i="1">
                            <a:solidFill>
                              <a:schemeClr val="bg1"/>
                            </a:solidFill>
                          </a:endParaRPr>
                        </a:p>
                      </a:txBody>
                      <a:useSpRect/>
                    </a:txSp>
                  </a:sp>
                  <a:sp>
                    <a:nvSpPr>
                      <a:cNvPr id="39948" name="Text Box 13"/>
                      <a:cNvSpPr txBox="1">
                        <a:spLocks noChangeArrowheads="1"/>
                      </a:cNvSpPr>
                    </a:nvSpPr>
                    <a:spPr bwMode="auto">
                      <a:xfrm>
                        <a:off x="4068763" y="3355975"/>
                        <a:ext cx="503237" cy="360363"/>
                      </a:xfrm>
                      <a:prstGeom prst="rect">
                        <a:avLst/>
                      </a:prstGeom>
                      <a:solidFill>
                        <a:schemeClr val="accent2"/>
                      </a:solidFill>
                      <a:ln w="9525">
                        <a:noFill/>
                        <a:miter lim="800000"/>
                        <a:headEnd/>
                        <a:tailEn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lnSpc>
                              <a:spcPct val="85000"/>
                            </a:lnSpc>
                            <a:spcBef>
                              <a:spcPct val="50000"/>
                            </a:spcBef>
                          </a:pPr>
                          <a:r>
                            <a:rPr lang="fr-FR" sz="1600" b="1">
                              <a:solidFill>
                                <a:schemeClr val="bg1"/>
                              </a:solidFill>
                            </a:rPr>
                            <a:t>15</a:t>
                          </a:r>
                          <a:endParaRPr lang="fr-FR" sz="1600" i="1">
                            <a:solidFill>
                              <a:schemeClr val="bg1"/>
                            </a:solidFill>
                          </a:endParaRPr>
                        </a:p>
                      </a:txBody>
                      <a:useSpRect/>
                    </a:txSp>
                  </a:sp>
                  <a:sp>
                    <a:nvSpPr>
                      <a:cNvPr id="39949" name="Text Box 14"/>
                      <a:cNvSpPr txBox="1">
                        <a:spLocks noChangeArrowheads="1"/>
                      </a:cNvSpPr>
                    </a:nvSpPr>
                    <a:spPr bwMode="auto">
                      <a:xfrm>
                        <a:off x="5795963" y="3644900"/>
                        <a:ext cx="503237" cy="360363"/>
                      </a:xfrm>
                      <a:prstGeom prst="rect">
                        <a:avLst/>
                      </a:prstGeom>
                      <a:solidFill>
                        <a:schemeClr val="accent2"/>
                      </a:solidFill>
                      <a:ln w="9525">
                        <a:noFill/>
                        <a:miter lim="800000"/>
                        <a:headEnd/>
                        <a:tailEn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lnSpc>
                              <a:spcPct val="85000"/>
                            </a:lnSpc>
                            <a:spcBef>
                              <a:spcPct val="50000"/>
                            </a:spcBef>
                          </a:pPr>
                          <a:r>
                            <a:rPr lang="fr-FR" sz="1600" b="1">
                              <a:solidFill>
                                <a:schemeClr val="bg1"/>
                              </a:solidFill>
                            </a:rPr>
                            <a:t>10</a:t>
                          </a:r>
                          <a:endParaRPr lang="fr-FR" sz="1600" i="1">
                            <a:solidFill>
                              <a:schemeClr val="bg1"/>
                            </a:solidFill>
                          </a:endParaRPr>
                        </a:p>
                      </a:txBody>
                      <a:useSpRect/>
                    </a:txSp>
                  </a:sp>
                  <a:sp>
                    <a:nvSpPr>
                      <a:cNvPr id="93205" name="Text Box 21"/>
                      <a:cNvSpPr txBox="1">
                        <a:spLocks noChangeArrowheads="1"/>
                      </a:cNvSpPr>
                    </a:nvSpPr>
                    <a:spPr bwMode="auto">
                      <a:xfrm flipH="1">
                        <a:off x="3276600" y="4941888"/>
                        <a:ext cx="2590800" cy="336550"/>
                      </a:xfrm>
                      <a:prstGeom prst="rect">
                        <a:avLst/>
                      </a:prstGeom>
                      <a:solidFill>
                        <a:schemeClr val="accent2"/>
                      </a:solidFill>
                      <a:ln w="19050">
                        <a:noFill/>
                        <a:miter lim="800000"/>
                        <a:headEnd/>
                        <a:tailEnd/>
                      </a:ln>
                    </a:spPr>
                    <a:txSp>
                      <a:txBody>
                        <a:bodyPr>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spcBef>
                              <a:spcPct val="50000"/>
                            </a:spcBef>
                          </a:pPr>
                          <a:r>
                            <a:rPr lang="fr-FR" sz="1600" b="1" i="1">
                              <a:solidFill>
                                <a:schemeClr val="bg1"/>
                              </a:solidFill>
                            </a:rPr>
                            <a:t>50 + 15 +10 = 75</a:t>
                          </a:r>
                        </a:p>
                      </a:txBody>
                      <a:useSpRect/>
                    </a:txSp>
                  </a:sp>
                </lc:lockedCanvas>
              </a:graphicData>
            </a:graphic>
          </wp:inline>
        </w:drawing>
      </w:r>
    </w:p>
    <w:p w:rsidR="004D268F" w:rsidRPr="00FA4826" w:rsidRDefault="004D268F" w:rsidP="00123CAF">
      <w:pPr>
        <w:tabs>
          <w:tab w:val="left" w:pos="3573"/>
        </w:tabs>
        <w:spacing w:after="0"/>
        <w:rPr>
          <w:rFonts w:ascii="Arial" w:hAnsi="Arial" w:cs="Arial"/>
          <w:i w:val="0"/>
        </w:rPr>
      </w:pPr>
    </w:p>
    <w:p w:rsidR="00B87E84" w:rsidRPr="00FA4826" w:rsidRDefault="004D268F" w:rsidP="00123CAF">
      <w:pPr>
        <w:tabs>
          <w:tab w:val="left" w:pos="3573"/>
        </w:tabs>
        <w:spacing w:after="0"/>
        <w:rPr>
          <w:rFonts w:ascii="Arial" w:hAnsi="Arial" w:cs="Arial"/>
          <w:i w:val="0"/>
        </w:rPr>
      </w:pPr>
      <w:r w:rsidRPr="00FA4826">
        <w:rPr>
          <w:rFonts w:ascii="Arial" w:hAnsi="Arial" w:cs="Arial"/>
          <w:i w:val="0"/>
        </w:rPr>
        <w:t xml:space="preserve">Ce mécanisme s’appelle la compensation </w:t>
      </w:r>
      <w:proofErr w:type="spellStart"/>
      <w:r w:rsidRPr="00FA4826">
        <w:rPr>
          <w:rFonts w:ascii="Arial" w:hAnsi="Arial" w:cs="Arial"/>
          <w:i w:val="0"/>
        </w:rPr>
        <w:t>inter-bancaire</w:t>
      </w:r>
      <w:proofErr w:type="spellEnd"/>
      <w:r w:rsidRPr="00FA4826">
        <w:rPr>
          <w:rFonts w:ascii="Arial" w:hAnsi="Arial" w:cs="Arial"/>
          <w:i w:val="0"/>
        </w:rPr>
        <w:t> : Dans les banques, les clients dépensent plus ou moins. Lorsque la banque Y dépense plus que X, il devrait y avoir un transfert de fond pour égaliser la balance, simplifier les calculs. Ces sommes correspondent aux dépenses des clients.</w:t>
      </w:r>
    </w:p>
    <w:p w:rsidR="00B87E84" w:rsidRPr="00FA4826" w:rsidRDefault="00B87E84" w:rsidP="00123CAF">
      <w:pPr>
        <w:tabs>
          <w:tab w:val="left" w:pos="3573"/>
        </w:tabs>
        <w:spacing w:after="0"/>
        <w:rPr>
          <w:rFonts w:ascii="Arial" w:hAnsi="Arial" w:cs="Arial"/>
          <w:i w:val="0"/>
        </w:rPr>
      </w:pPr>
    </w:p>
    <w:p w:rsidR="004D268F" w:rsidRPr="00FA4826" w:rsidRDefault="004D268F" w:rsidP="00123CAF">
      <w:pPr>
        <w:tabs>
          <w:tab w:val="left" w:pos="3573"/>
        </w:tabs>
        <w:spacing w:after="0"/>
        <w:rPr>
          <w:rFonts w:ascii="Arial" w:hAnsi="Arial" w:cs="Arial"/>
          <w:i w:val="0"/>
        </w:rPr>
      </w:pPr>
    </w:p>
    <w:p w:rsidR="00B87E84" w:rsidRPr="00FA4826" w:rsidRDefault="00B87E84" w:rsidP="00123CAF">
      <w:pPr>
        <w:tabs>
          <w:tab w:val="left" w:pos="3573"/>
        </w:tabs>
        <w:spacing w:after="0"/>
        <w:rPr>
          <w:rFonts w:ascii="Arial" w:hAnsi="Arial" w:cs="Arial"/>
          <w:i w:val="0"/>
        </w:rPr>
      </w:pPr>
      <w:r w:rsidRPr="00FA4826">
        <w:rPr>
          <w:rFonts w:ascii="Arial" w:hAnsi="Arial" w:cs="Arial"/>
          <w:i w:val="0"/>
          <w:noProof/>
          <w:lang w:eastAsia="fr-FR"/>
        </w:rPr>
        <w:lastRenderedPageBreak/>
        <w:drawing>
          <wp:inline distT="0" distB="0" distL="0" distR="0" wp14:anchorId="4942A29D" wp14:editId="1C654F7B">
            <wp:extent cx="5459095" cy="2999105"/>
            <wp:effectExtent l="25400" t="0" r="1905" b="0"/>
            <wp:docPr id="37" name="O 3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058025" cy="3816350"/>
                      <a:chOff x="827088" y="1989138"/>
                      <a:chExt cx="7058025" cy="3816350"/>
                    </a:xfrm>
                  </a:grpSpPr>
                  <a:sp>
                    <a:nvSpPr>
                      <a:cNvPr id="40962" name="Text Box 3"/>
                      <a:cNvSpPr txBox="1">
                        <a:spLocks noChangeArrowheads="1"/>
                      </a:cNvSpPr>
                    </a:nvSpPr>
                    <a:spPr bwMode="auto">
                      <a:xfrm>
                        <a:off x="827088" y="2349500"/>
                        <a:ext cx="1296987" cy="600075"/>
                      </a:xfrm>
                      <a:prstGeom prst="rect">
                        <a:avLst/>
                      </a:prstGeom>
                      <a:solidFill>
                        <a:schemeClr val="bg1"/>
                      </a:solidFill>
                      <a:ln w="19050">
                        <a:solidFill>
                          <a:schemeClr val="tx1"/>
                        </a:solidFill>
                        <a:miter lim="800000"/>
                        <a:headEnd/>
                        <a:tailEnd/>
                      </a:ln>
                    </a:spPr>
                    <a:txSp>
                      <a:txBody>
                        <a:bodyPr>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spcBef>
                              <a:spcPct val="50000"/>
                            </a:spcBef>
                          </a:pPr>
                          <a:endParaRPr lang="fr-FR" sz="800" b="1" i="1"/>
                        </a:p>
                        <a:p>
                          <a:pPr algn="ctr">
                            <a:spcBef>
                              <a:spcPct val="50000"/>
                            </a:spcBef>
                          </a:pPr>
                          <a:r>
                            <a:rPr lang="fr-FR" sz="1600" b="1" i="1"/>
                            <a:t>Client A</a:t>
                          </a:r>
                        </a:p>
                      </a:txBody>
                      <a:useSpRect/>
                    </a:txSp>
                  </a:sp>
                  <a:sp>
                    <a:nvSpPr>
                      <a:cNvPr id="40963" name="Text Box 4"/>
                      <a:cNvSpPr txBox="1">
                        <a:spLocks noChangeArrowheads="1"/>
                      </a:cNvSpPr>
                    </a:nvSpPr>
                    <a:spPr bwMode="auto">
                      <a:xfrm>
                        <a:off x="827088" y="1990725"/>
                        <a:ext cx="2520950" cy="358775"/>
                      </a:xfrm>
                      <a:prstGeom prst="rect">
                        <a:avLst/>
                      </a:prstGeom>
                      <a:solidFill>
                        <a:srgbClr val="FF9900"/>
                      </a:solidFill>
                      <a:ln w="19050">
                        <a:solidFill>
                          <a:schemeClr val="tx1"/>
                        </a:solidFill>
                        <a:miter lim="800000"/>
                        <a:headEnd/>
                        <a:tailEnd/>
                      </a:ln>
                    </a:spPr>
                    <a:txSp>
                      <a:txBody>
                        <a:bodyPr>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lnSpc>
                              <a:spcPct val="90000"/>
                            </a:lnSpc>
                            <a:spcBef>
                              <a:spcPct val="50000"/>
                            </a:spcBef>
                            <a:spcAft>
                              <a:spcPct val="15000"/>
                            </a:spcAft>
                          </a:pPr>
                          <a:r>
                            <a:rPr lang="fr-FR" b="1"/>
                            <a:t>Banque X</a:t>
                          </a:r>
                          <a:endParaRPr lang="fr-FR" b="1" i="1"/>
                        </a:p>
                      </a:txBody>
                      <a:useSpRect/>
                    </a:txSp>
                  </a:sp>
                  <a:sp>
                    <a:nvSpPr>
                      <a:cNvPr id="40964" name="Text Box 5"/>
                      <a:cNvSpPr txBox="1">
                        <a:spLocks noChangeArrowheads="1"/>
                      </a:cNvSpPr>
                    </a:nvSpPr>
                    <a:spPr bwMode="auto">
                      <a:xfrm flipH="1">
                        <a:off x="2124075" y="2349500"/>
                        <a:ext cx="1222375" cy="600075"/>
                      </a:xfrm>
                      <a:prstGeom prst="rect">
                        <a:avLst/>
                      </a:prstGeom>
                      <a:solidFill>
                        <a:schemeClr val="bg1"/>
                      </a:solidFill>
                      <a:ln w="19050">
                        <a:solidFill>
                          <a:schemeClr val="tx1"/>
                        </a:solidFill>
                        <a:miter lim="800000"/>
                        <a:headEnd/>
                        <a:tailEnd/>
                      </a:ln>
                    </a:spPr>
                    <a:txSp>
                      <a:txBody>
                        <a:bodyPr>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spcBef>
                              <a:spcPct val="50000"/>
                            </a:spcBef>
                          </a:pPr>
                          <a:endParaRPr lang="fr-FR" sz="800" b="1" i="1"/>
                        </a:p>
                        <a:p>
                          <a:pPr algn="ctr">
                            <a:spcBef>
                              <a:spcPct val="50000"/>
                            </a:spcBef>
                          </a:pPr>
                          <a:r>
                            <a:rPr lang="fr-FR" sz="1600" b="1" i="1"/>
                            <a:t>Client B</a:t>
                          </a:r>
                        </a:p>
                      </a:txBody>
                      <a:useSpRect/>
                    </a:txSp>
                  </a:sp>
                  <a:sp>
                    <a:nvSpPr>
                      <a:cNvPr id="40965" name="Text Box 6"/>
                      <a:cNvSpPr txBox="1">
                        <a:spLocks noChangeArrowheads="1"/>
                      </a:cNvSpPr>
                    </a:nvSpPr>
                    <a:spPr bwMode="auto">
                      <a:xfrm>
                        <a:off x="5364163" y="1989138"/>
                        <a:ext cx="2520950" cy="358775"/>
                      </a:xfrm>
                      <a:prstGeom prst="rect">
                        <a:avLst/>
                      </a:prstGeom>
                      <a:solidFill>
                        <a:srgbClr val="00CCFF"/>
                      </a:solidFill>
                      <a:ln w="19050">
                        <a:solidFill>
                          <a:schemeClr val="tx1"/>
                        </a:solidFill>
                        <a:miter lim="800000"/>
                        <a:headEnd/>
                        <a:tailEnd/>
                      </a:ln>
                    </a:spPr>
                    <a:txSp>
                      <a:txBody>
                        <a:bodyPr>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lnSpc>
                              <a:spcPct val="90000"/>
                            </a:lnSpc>
                            <a:spcBef>
                              <a:spcPct val="50000"/>
                            </a:spcBef>
                            <a:spcAft>
                              <a:spcPct val="15000"/>
                            </a:spcAft>
                          </a:pPr>
                          <a:r>
                            <a:rPr lang="fr-FR" b="1"/>
                            <a:t>Banque Y</a:t>
                          </a:r>
                          <a:endParaRPr lang="fr-FR" b="1" i="1"/>
                        </a:p>
                      </a:txBody>
                      <a:useSpRect/>
                    </a:txSp>
                  </a:sp>
                  <a:sp>
                    <a:nvSpPr>
                      <a:cNvPr id="40966" name="Text Box 7"/>
                      <a:cNvSpPr txBox="1">
                        <a:spLocks noChangeArrowheads="1"/>
                      </a:cNvSpPr>
                    </a:nvSpPr>
                    <a:spPr bwMode="auto">
                      <a:xfrm>
                        <a:off x="5362575" y="2349500"/>
                        <a:ext cx="1296988" cy="600075"/>
                      </a:xfrm>
                      <a:prstGeom prst="rect">
                        <a:avLst/>
                      </a:prstGeom>
                      <a:solidFill>
                        <a:schemeClr val="bg1"/>
                      </a:solidFill>
                      <a:ln w="19050">
                        <a:solidFill>
                          <a:schemeClr val="tx1"/>
                        </a:solidFill>
                        <a:miter lim="800000"/>
                        <a:headEnd/>
                        <a:tailEnd/>
                      </a:ln>
                    </a:spPr>
                    <a:txSp>
                      <a:txBody>
                        <a:bodyPr>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spcBef>
                              <a:spcPct val="50000"/>
                            </a:spcBef>
                          </a:pPr>
                          <a:endParaRPr lang="fr-FR" sz="800" b="1" i="1"/>
                        </a:p>
                        <a:p>
                          <a:pPr algn="ctr">
                            <a:spcBef>
                              <a:spcPct val="50000"/>
                            </a:spcBef>
                          </a:pPr>
                          <a:r>
                            <a:rPr lang="fr-FR" sz="1600" b="1" i="1"/>
                            <a:t>Client C</a:t>
                          </a:r>
                        </a:p>
                      </a:txBody>
                      <a:useSpRect/>
                    </a:txSp>
                  </a:sp>
                  <a:sp>
                    <a:nvSpPr>
                      <a:cNvPr id="40967" name="Text Box 8"/>
                      <a:cNvSpPr txBox="1">
                        <a:spLocks noChangeArrowheads="1"/>
                      </a:cNvSpPr>
                    </a:nvSpPr>
                    <a:spPr bwMode="auto">
                      <a:xfrm flipH="1">
                        <a:off x="6662738" y="2349500"/>
                        <a:ext cx="1222375" cy="600075"/>
                      </a:xfrm>
                      <a:prstGeom prst="rect">
                        <a:avLst/>
                      </a:prstGeom>
                      <a:solidFill>
                        <a:schemeClr val="bg1"/>
                      </a:solidFill>
                      <a:ln w="19050">
                        <a:solidFill>
                          <a:schemeClr val="tx1"/>
                        </a:solidFill>
                        <a:miter lim="800000"/>
                        <a:headEnd/>
                        <a:tailEnd/>
                      </a:ln>
                    </a:spPr>
                    <a:txSp>
                      <a:txBody>
                        <a:bodyPr>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spcBef>
                              <a:spcPct val="50000"/>
                            </a:spcBef>
                          </a:pPr>
                          <a:endParaRPr lang="fr-FR" sz="800" b="1" i="1"/>
                        </a:p>
                        <a:p>
                          <a:pPr algn="ctr">
                            <a:spcBef>
                              <a:spcPct val="50000"/>
                            </a:spcBef>
                          </a:pPr>
                          <a:r>
                            <a:rPr lang="fr-FR" sz="1600" b="1" i="1"/>
                            <a:t>Client D</a:t>
                          </a:r>
                        </a:p>
                      </a:txBody>
                      <a:useSpRect/>
                    </a:txSp>
                  </a:sp>
                  <a:sp>
                    <a:nvSpPr>
                      <a:cNvPr id="40968" name="Freeform 15"/>
                      <a:cNvSpPr>
                        <a:spLocks/>
                      </a:cNvSpPr>
                    </a:nvSpPr>
                    <a:spPr bwMode="auto">
                      <a:xfrm>
                        <a:off x="2832100" y="2997200"/>
                        <a:ext cx="3611563" cy="1944688"/>
                      </a:xfrm>
                      <a:custGeom>
                        <a:avLst/>
                        <a:gdLst>
                          <a:gd name="T0" fmla="*/ 2147483647 w 2275"/>
                          <a:gd name="T1" fmla="*/ 0 h 1225"/>
                          <a:gd name="T2" fmla="*/ 0 w 2275"/>
                          <a:gd name="T3" fmla="*/ 2147483647 h 1225"/>
                          <a:gd name="T4" fmla="*/ 2147483647 w 2275"/>
                          <a:gd name="T5" fmla="*/ 2147483647 h 1225"/>
                          <a:gd name="T6" fmla="*/ 2147483647 w 2275"/>
                          <a:gd name="T7" fmla="*/ 2147483647 h 1225"/>
                          <a:gd name="T8" fmla="*/ 0 60000 65536"/>
                          <a:gd name="T9" fmla="*/ 0 60000 65536"/>
                          <a:gd name="T10" fmla="*/ 0 60000 65536"/>
                          <a:gd name="T11" fmla="*/ 0 60000 65536"/>
                          <a:gd name="T12" fmla="*/ 0 w 2275"/>
                          <a:gd name="T13" fmla="*/ 0 h 1225"/>
                          <a:gd name="T14" fmla="*/ 2275 w 2275"/>
                          <a:gd name="T15" fmla="*/ 1225 h 1225"/>
                        </a:gdLst>
                        <a:ahLst/>
                        <a:cxnLst>
                          <a:cxn ang="T8">
                            <a:pos x="T0" y="T1"/>
                          </a:cxn>
                          <a:cxn ang="T9">
                            <a:pos x="T2" y="T3"/>
                          </a:cxn>
                          <a:cxn ang="T10">
                            <a:pos x="T4" y="T5"/>
                          </a:cxn>
                          <a:cxn ang="T11">
                            <a:pos x="T6" y="T7"/>
                          </a:cxn>
                        </a:cxnLst>
                        <a:rect l="T12" t="T13" r="T14" b="T15"/>
                        <a:pathLst>
                          <a:path w="2275" h="1225">
                            <a:moveTo>
                              <a:pt x="7" y="0"/>
                            </a:moveTo>
                            <a:lnTo>
                              <a:pt x="0" y="1214"/>
                            </a:lnTo>
                            <a:lnTo>
                              <a:pt x="2275" y="1225"/>
                            </a:lnTo>
                            <a:lnTo>
                              <a:pt x="2275" y="88"/>
                            </a:lnTo>
                          </a:path>
                        </a:pathLst>
                      </a:custGeom>
                      <a:noFill/>
                      <a:ln w="31750">
                        <a:solidFill>
                          <a:srgbClr val="008000"/>
                        </a:solidFill>
                        <a:round/>
                        <a:headEnd type="stealth" w="lg" len="lg"/>
                        <a:tailEn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fr-FR"/>
                        </a:p>
                      </a:txBody>
                      <a:useSpRect/>
                    </a:txSp>
                  </a:sp>
                  <a:sp>
                    <a:nvSpPr>
                      <a:cNvPr id="40969" name="Freeform 16"/>
                      <a:cNvSpPr>
                        <a:spLocks/>
                      </a:cNvSpPr>
                    </a:nvSpPr>
                    <a:spPr bwMode="auto">
                      <a:xfrm>
                        <a:off x="2181225" y="2997200"/>
                        <a:ext cx="4406900" cy="2303463"/>
                      </a:xfrm>
                      <a:custGeom>
                        <a:avLst/>
                        <a:gdLst>
                          <a:gd name="T0" fmla="*/ 2147483647 w 2776"/>
                          <a:gd name="T1" fmla="*/ 0 h 1451"/>
                          <a:gd name="T2" fmla="*/ 0 w 2776"/>
                          <a:gd name="T3" fmla="*/ 2147483647 h 1451"/>
                          <a:gd name="T4" fmla="*/ 2147483647 w 2776"/>
                          <a:gd name="T5" fmla="*/ 2147483647 h 1451"/>
                          <a:gd name="T6" fmla="*/ 2147483647 w 2776"/>
                          <a:gd name="T7" fmla="*/ 2147483647 h 1451"/>
                          <a:gd name="T8" fmla="*/ 0 60000 65536"/>
                          <a:gd name="T9" fmla="*/ 0 60000 65536"/>
                          <a:gd name="T10" fmla="*/ 0 60000 65536"/>
                          <a:gd name="T11" fmla="*/ 0 60000 65536"/>
                          <a:gd name="T12" fmla="*/ 0 w 2776"/>
                          <a:gd name="T13" fmla="*/ 0 h 1451"/>
                          <a:gd name="T14" fmla="*/ 2776 w 2776"/>
                          <a:gd name="T15" fmla="*/ 1451 h 1451"/>
                        </a:gdLst>
                        <a:ahLst/>
                        <a:cxnLst>
                          <a:cxn ang="T8">
                            <a:pos x="T0" y="T1"/>
                          </a:cxn>
                          <a:cxn ang="T9">
                            <a:pos x="T2" y="T3"/>
                          </a:cxn>
                          <a:cxn ang="T10">
                            <a:pos x="T4" y="T5"/>
                          </a:cxn>
                          <a:cxn ang="T11">
                            <a:pos x="T6" y="T7"/>
                          </a:cxn>
                        </a:cxnLst>
                        <a:rect l="T12" t="T13" r="T14" b="T15"/>
                        <a:pathLst>
                          <a:path w="2776" h="1451">
                            <a:moveTo>
                              <a:pt x="9" y="0"/>
                            </a:moveTo>
                            <a:lnTo>
                              <a:pt x="0" y="1422"/>
                            </a:lnTo>
                            <a:lnTo>
                              <a:pt x="2776" y="1451"/>
                            </a:lnTo>
                            <a:lnTo>
                              <a:pt x="2776" y="105"/>
                            </a:lnTo>
                          </a:path>
                        </a:pathLst>
                      </a:custGeom>
                      <a:noFill/>
                      <a:ln w="31750">
                        <a:solidFill>
                          <a:srgbClr val="008000"/>
                        </a:solidFill>
                        <a:round/>
                        <a:headEnd type="stealth" w="lg" len="lg"/>
                        <a:tailEn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fr-FR"/>
                        </a:p>
                      </a:txBody>
                      <a:useSpRect/>
                    </a:txSp>
                  </a:sp>
                  <a:sp>
                    <a:nvSpPr>
                      <a:cNvPr id="40970" name="Freeform 17"/>
                      <a:cNvSpPr>
                        <a:spLocks/>
                      </a:cNvSpPr>
                    </a:nvSpPr>
                    <a:spPr bwMode="auto">
                      <a:xfrm>
                        <a:off x="1258888" y="2997200"/>
                        <a:ext cx="6276975" cy="2790825"/>
                      </a:xfrm>
                      <a:custGeom>
                        <a:avLst/>
                        <a:gdLst>
                          <a:gd name="T0" fmla="*/ 0 w 3954"/>
                          <a:gd name="T1" fmla="*/ 0 h 1758"/>
                          <a:gd name="T2" fmla="*/ 2147483647 w 3954"/>
                          <a:gd name="T3" fmla="*/ 2147483647 h 1758"/>
                          <a:gd name="T4" fmla="*/ 2147483647 w 3954"/>
                          <a:gd name="T5" fmla="*/ 2147483647 h 1758"/>
                          <a:gd name="T6" fmla="*/ 2147483647 w 3954"/>
                          <a:gd name="T7" fmla="*/ 2147483647 h 1758"/>
                          <a:gd name="T8" fmla="*/ 0 60000 65536"/>
                          <a:gd name="T9" fmla="*/ 0 60000 65536"/>
                          <a:gd name="T10" fmla="*/ 0 60000 65536"/>
                          <a:gd name="T11" fmla="*/ 0 60000 65536"/>
                          <a:gd name="T12" fmla="*/ 0 w 3954"/>
                          <a:gd name="T13" fmla="*/ 0 h 1758"/>
                          <a:gd name="T14" fmla="*/ 3954 w 3954"/>
                          <a:gd name="T15" fmla="*/ 1758 h 1758"/>
                        </a:gdLst>
                        <a:ahLst/>
                        <a:cxnLst>
                          <a:cxn ang="T8">
                            <a:pos x="T0" y="T1"/>
                          </a:cxn>
                          <a:cxn ang="T9">
                            <a:pos x="T2" y="T3"/>
                          </a:cxn>
                          <a:cxn ang="T10">
                            <a:pos x="T4" y="T5"/>
                          </a:cxn>
                          <a:cxn ang="T11">
                            <a:pos x="T6" y="T7"/>
                          </a:cxn>
                        </a:cxnLst>
                        <a:rect l="T12" t="T13" r="T14" b="T15"/>
                        <a:pathLst>
                          <a:path w="3954" h="1758">
                            <a:moveTo>
                              <a:pt x="0" y="0"/>
                            </a:moveTo>
                            <a:lnTo>
                              <a:pt x="5" y="1758"/>
                            </a:lnTo>
                            <a:lnTo>
                              <a:pt x="3954" y="1755"/>
                            </a:lnTo>
                            <a:lnTo>
                              <a:pt x="3947" y="55"/>
                            </a:lnTo>
                          </a:path>
                        </a:pathLst>
                      </a:custGeom>
                      <a:noFill/>
                      <a:ln w="31750">
                        <a:solidFill>
                          <a:srgbClr val="008000"/>
                        </a:solidFill>
                        <a:round/>
                        <a:headEnd type="stealth" w="lg" len="lg"/>
                        <a:tailEn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fr-FR"/>
                        </a:p>
                      </a:txBody>
                      <a:useSpRect/>
                    </a:txSp>
                  </a:sp>
                  <a:sp>
                    <a:nvSpPr>
                      <a:cNvPr id="40971" name="Text Box 18"/>
                      <a:cNvSpPr txBox="1">
                        <a:spLocks noChangeArrowheads="1"/>
                      </a:cNvSpPr>
                    </a:nvSpPr>
                    <a:spPr bwMode="auto">
                      <a:xfrm>
                        <a:off x="4356100" y="4581525"/>
                        <a:ext cx="503238" cy="360363"/>
                      </a:xfrm>
                      <a:prstGeom prst="rect">
                        <a:avLst/>
                      </a:prstGeom>
                      <a:solidFill>
                        <a:srgbClr val="008000"/>
                      </a:solidFill>
                      <a:ln w="9525">
                        <a:noFill/>
                        <a:miter lim="800000"/>
                        <a:headEnd/>
                        <a:tailEn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lnSpc>
                              <a:spcPct val="85000"/>
                            </a:lnSpc>
                            <a:spcBef>
                              <a:spcPct val="50000"/>
                            </a:spcBef>
                          </a:pPr>
                          <a:r>
                            <a:rPr lang="fr-FR" sz="1600" b="1">
                              <a:solidFill>
                                <a:schemeClr val="bg1"/>
                              </a:solidFill>
                            </a:rPr>
                            <a:t>10</a:t>
                          </a:r>
                          <a:endParaRPr lang="fr-FR" sz="1600" i="1">
                            <a:solidFill>
                              <a:schemeClr val="bg1"/>
                            </a:solidFill>
                          </a:endParaRPr>
                        </a:p>
                      </a:txBody>
                      <a:useSpRect/>
                    </a:txSp>
                  </a:sp>
                  <a:sp>
                    <a:nvSpPr>
                      <a:cNvPr id="40972" name="Text Box 19"/>
                      <a:cNvSpPr txBox="1">
                        <a:spLocks noChangeArrowheads="1"/>
                      </a:cNvSpPr>
                    </a:nvSpPr>
                    <a:spPr bwMode="auto">
                      <a:xfrm>
                        <a:off x="1403350" y="5445125"/>
                        <a:ext cx="503238" cy="360363"/>
                      </a:xfrm>
                      <a:prstGeom prst="rect">
                        <a:avLst/>
                      </a:prstGeom>
                      <a:solidFill>
                        <a:srgbClr val="008000"/>
                      </a:solidFill>
                      <a:ln w="9525">
                        <a:noFill/>
                        <a:miter lim="800000"/>
                        <a:headEnd/>
                        <a:tailEn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lnSpc>
                              <a:spcPct val="85000"/>
                            </a:lnSpc>
                            <a:spcBef>
                              <a:spcPct val="50000"/>
                            </a:spcBef>
                          </a:pPr>
                          <a:r>
                            <a:rPr lang="fr-FR" sz="1600" b="1">
                              <a:solidFill>
                                <a:schemeClr val="bg1"/>
                              </a:solidFill>
                            </a:rPr>
                            <a:t>10</a:t>
                          </a:r>
                          <a:endParaRPr lang="fr-FR" sz="1600" i="1">
                            <a:solidFill>
                              <a:schemeClr val="bg1"/>
                            </a:solidFill>
                          </a:endParaRPr>
                        </a:p>
                      </a:txBody>
                      <a:useSpRect/>
                    </a:txSp>
                  </a:sp>
                  <a:sp>
                    <a:nvSpPr>
                      <a:cNvPr id="40973" name="Text Box 20"/>
                      <a:cNvSpPr txBox="1">
                        <a:spLocks noChangeArrowheads="1"/>
                      </a:cNvSpPr>
                    </a:nvSpPr>
                    <a:spPr bwMode="auto">
                      <a:xfrm>
                        <a:off x="2195513" y="4868863"/>
                        <a:ext cx="503237" cy="360362"/>
                      </a:xfrm>
                      <a:prstGeom prst="rect">
                        <a:avLst/>
                      </a:prstGeom>
                      <a:solidFill>
                        <a:srgbClr val="008000"/>
                      </a:solidFill>
                      <a:ln w="9525">
                        <a:noFill/>
                        <a:miter lim="800000"/>
                        <a:headEnd/>
                        <a:tailEn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lnSpc>
                              <a:spcPct val="85000"/>
                            </a:lnSpc>
                            <a:spcBef>
                              <a:spcPct val="50000"/>
                            </a:spcBef>
                          </a:pPr>
                          <a:r>
                            <a:rPr lang="fr-FR" sz="1600" b="1">
                              <a:solidFill>
                                <a:schemeClr val="bg1"/>
                              </a:solidFill>
                            </a:rPr>
                            <a:t>15</a:t>
                          </a:r>
                          <a:endParaRPr lang="fr-FR" sz="1600" i="1">
                            <a:solidFill>
                              <a:schemeClr val="bg1"/>
                            </a:solidFill>
                          </a:endParaRPr>
                        </a:p>
                      </a:txBody>
                      <a:useSpRect/>
                    </a:txSp>
                  </a:sp>
                  <a:sp>
                    <a:nvSpPr>
                      <a:cNvPr id="94229" name="Text Box 21"/>
                      <a:cNvSpPr txBox="1">
                        <a:spLocks noChangeArrowheads="1"/>
                      </a:cNvSpPr>
                    </a:nvSpPr>
                    <a:spPr bwMode="auto">
                      <a:xfrm>
                        <a:off x="3348038" y="3716338"/>
                        <a:ext cx="2736850" cy="360362"/>
                      </a:xfrm>
                      <a:prstGeom prst="rect">
                        <a:avLst/>
                      </a:prstGeom>
                      <a:solidFill>
                        <a:srgbClr val="008000"/>
                      </a:solidFill>
                      <a:ln w="9525">
                        <a:noFill/>
                        <a:miter lim="800000"/>
                        <a:headEnd/>
                        <a:tailEn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lnSpc>
                              <a:spcPct val="85000"/>
                            </a:lnSpc>
                            <a:spcBef>
                              <a:spcPct val="50000"/>
                            </a:spcBef>
                          </a:pPr>
                          <a:r>
                            <a:rPr lang="fr-FR" sz="1600" b="1">
                              <a:solidFill>
                                <a:schemeClr val="bg1"/>
                              </a:solidFill>
                            </a:rPr>
                            <a:t>10 + 15 +10 = 35</a:t>
                          </a:r>
                          <a:endParaRPr lang="fr-FR" sz="1600" i="1">
                            <a:solidFill>
                              <a:schemeClr val="bg1"/>
                            </a:solidFill>
                          </a:endParaRPr>
                        </a:p>
                      </a:txBody>
                      <a:useSpRect/>
                    </a:txSp>
                  </a:sp>
                </lc:lockedCanvas>
              </a:graphicData>
            </a:graphic>
          </wp:inline>
        </w:drawing>
      </w:r>
    </w:p>
    <w:p w:rsidR="00B87E84" w:rsidRPr="00FA4826" w:rsidRDefault="00B87E84" w:rsidP="00123CAF">
      <w:pPr>
        <w:tabs>
          <w:tab w:val="left" w:pos="3573"/>
        </w:tabs>
        <w:spacing w:after="0"/>
        <w:rPr>
          <w:rFonts w:ascii="Arial" w:hAnsi="Arial" w:cs="Arial"/>
          <w:i w:val="0"/>
        </w:rPr>
      </w:pPr>
    </w:p>
    <w:p w:rsidR="00B87E84" w:rsidRPr="00FA4826" w:rsidRDefault="004D268F" w:rsidP="00123CAF">
      <w:pPr>
        <w:tabs>
          <w:tab w:val="left" w:pos="3573"/>
        </w:tabs>
        <w:spacing w:after="0"/>
        <w:rPr>
          <w:rFonts w:ascii="Arial" w:hAnsi="Arial" w:cs="Arial"/>
          <w:i w:val="0"/>
        </w:rPr>
      </w:pPr>
      <w:r w:rsidRPr="00FA4826">
        <w:rPr>
          <w:rFonts w:ascii="Arial" w:hAnsi="Arial" w:cs="Arial"/>
          <w:i w:val="0"/>
        </w:rPr>
        <w:t xml:space="preserve">Que se passe </w:t>
      </w:r>
      <w:proofErr w:type="spellStart"/>
      <w:r w:rsidRPr="00FA4826">
        <w:rPr>
          <w:rFonts w:ascii="Arial" w:hAnsi="Arial" w:cs="Arial"/>
          <w:i w:val="0"/>
        </w:rPr>
        <w:t>t il</w:t>
      </w:r>
      <w:proofErr w:type="spellEnd"/>
      <w:r w:rsidRPr="00FA4826">
        <w:rPr>
          <w:rFonts w:ascii="Arial" w:hAnsi="Arial" w:cs="Arial"/>
          <w:i w:val="0"/>
        </w:rPr>
        <w:t xml:space="preserve"> si X n’a pas les 40 qu’elle devrait donner à Y ? Soit elle va emprunter aux autres banques (prêts inter bancaires), soit elle va emprunter à la banque centrale qui lui prêtera au taux directeur (taux auquel la BC prête aux banques commerciales pour se refinancer). Pourquoi la banque </w:t>
      </w:r>
      <w:proofErr w:type="spellStart"/>
      <w:r w:rsidRPr="00FA4826">
        <w:rPr>
          <w:rFonts w:ascii="Arial" w:hAnsi="Arial" w:cs="Arial"/>
          <w:i w:val="0"/>
        </w:rPr>
        <w:t>doit elle</w:t>
      </w:r>
      <w:proofErr w:type="spellEnd"/>
      <w:r w:rsidRPr="00FA4826">
        <w:rPr>
          <w:rFonts w:ascii="Arial" w:hAnsi="Arial" w:cs="Arial"/>
          <w:i w:val="0"/>
        </w:rPr>
        <w:t xml:space="preserve"> compenser ? Les clients dépensent car ils ont beaucoup de crédit. Si le taux d’</w:t>
      </w:r>
      <w:r w:rsidR="0025465A" w:rsidRPr="00FA4826">
        <w:rPr>
          <w:rFonts w:ascii="Arial" w:hAnsi="Arial" w:cs="Arial"/>
          <w:i w:val="0"/>
        </w:rPr>
        <w:t>intérêt</w:t>
      </w:r>
      <w:r w:rsidRPr="00FA4826">
        <w:rPr>
          <w:rFonts w:ascii="Arial" w:hAnsi="Arial" w:cs="Arial"/>
          <w:i w:val="0"/>
        </w:rPr>
        <w:t xml:space="preserve"> est plus faible chez X que chez Y, alors les clients iront vers X. Ils vont faire sortir beaucoup d’argent donc seront obligés de compenser. Si la banque est obligée d’emprunter beaucoup à la banque centrale à un taux élevé elle n’a aucun intérêt à octroyer autant de crédit, donc elle va augmenter le taux d’</w:t>
      </w:r>
      <w:r w:rsidR="0025465A" w:rsidRPr="00FA4826">
        <w:rPr>
          <w:rFonts w:ascii="Arial" w:hAnsi="Arial" w:cs="Arial"/>
          <w:i w:val="0"/>
        </w:rPr>
        <w:t>intérêt</w:t>
      </w:r>
      <w:r w:rsidRPr="00FA4826">
        <w:rPr>
          <w:rFonts w:ascii="Arial" w:hAnsi="Arial" w:cs="Arial"/>
          <w:i w:val="0"/>
        </w:rPr>
        <w:t xml:space="preserve"> </w:t>
      </w:r>
      <w:r w:rsidR="0025465A" w:rsidRPr="00FA4826">
        <w:rPr>
          <w:rFonts w:ascii="Arial" w:hAnsi="Arial" w:cs="Arial"/>
          <w:i w:val="0"/>
        </w:rPr>
        <w:t>commercial</w:t>
      </w:r>
      <w:r w:rsidRPr="00FA4826">
        <w:rPr>
          <w:rFonts w:ascii="Arial" w:hAnsi="Arial" w:cs="Arial"/>
          <w:i w:val="0"/>
        </w:rPr>
        <w:t xml:space="preserve"> pour réguler ces mouvements.</w:t>
      </w:r>
    </w:p>
    <w:p w:rsidR="00B87E84" w:rsidRPr="00FA4826" w:rsidRDefault="00B87E84" w:rsidP="00123CAF">
      <w:pPr>
        <w:tabs>
          <w:tab w:val="left" w:pos="3573"/>
        </w:tabs>
        <w:spacing w:after="0"/>
        <w:rPr>
          <w:rFonts w:ascii="Arial" w:hAnsi="Arial" w:cs="Arial"/>
          <w:i w:val="0"/>
        </w:rPr>
      </w:pPr>
    </w:p>
    <w:p w:rsidR="004D268F" w:rsidRPr="00FA4826" w:rsidRDefault="00B87E84" w:rsidP="00123CAF">
      <w:pPr>
        <w:tabs>
          <w:tab w:val="left" w:pos="3573"/>
        </w:tabs>
        <w:spacing w:after="0"/>
        <w:rPr>
          <w:rFonts w:ascii="Arial" w:hAnsi="Arial" w:cs="Arial"/>
          <w:i w:val="0"/>
        </w:rPr>
      </w:pPr>
      <w:r w:rsidRPr="00FA4826">
        <w:rPr>
          <w:rFonts w:ascii="Arial" w:hAnsi="Arial" w:cs="Arial"/>
          <w:i w:val="0"/>
          <w:noProof/>
          <w:lang w:eastAsia="fr-FR"/>
        </w:rPr>
        <w:drawing>
          <wp:inline distT="0" distB="0" distL="0" distR="0" wp14:anchorId="75A6F17B" wp14:editId="208AE6AF">
            <wp:extent cx="5573395" cy="814705"/>
            <wp:effectExtent l="25400" t="0" r="0" b="0"/>
            <wp:docPr id="38" name="O 38"/>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920037" cy="1081088"/>
                      <a:chOff x="468313" y="2060575"/>
                      <a:chExt cx="7920037" cy="1081088"/>
                    </a:xfrm>
                  </a:grpSpPr>
                  <a:sp>
                    <a:nvSpPr>
                      <a:cNvPr id="41986" name="Text Box 3"/>
                      <a:cNvSpPr txBox="1">
                        <a:spLocks noChangeArrowheads="1"/>
                      </a:cNvSpPr>
                    </a:nvSpPr>
                    <a:spPr bwMode="auto">
                      <a:xfrm>
                        <a:off x="468313" y="2420938"/>
                        <a:ext cx="1296987" cy="600075"/>
                      </a:xfrm>
                      <a:prstGeom prst="rect">
                        <a:avLst/>
                      </a:prstGeom>
                      <a:solidFill>
                        <a:schemeClr val="bg1"/>
                      </a:solidFill>
                      <a:ln w="19050">
                        <a:solidFill>
                          <a:schemeClr val="tx1"/>
                        </a:solidFill>
                        <a:miter lim="800000"/>
                        <a:headEnd/>
                        <a:tailEnd/>
                      </a:ln>
                    </a:spPr>
                    <a:txSp>
                      <a:txBody>
                        <a:bodyPr>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spcBef>
                              <a:spcPct val="50000"/>
                            </a:spcBef>
                          </a:pPr>
                          <a:endParaRPr lang="fr-FR" sz="800" b="1" i="1"/>
                        </a:p>
                        <a:p>
                          <a:pPr algn="ctr">
                            <a:spcBef>
                              <a:spcPct val="50000"/>
                            </a:spcBef>
                          </a:pPr>
                          <a:r>
                            <a:rPr lang="fr-FR" sz="1600" b="1" i="1"/>
                            <a:t>Client A</a:t>
                          </a:r>
                        </a:p>
                      </a:txBody>
                      <a:useSpRect/>
                    </a:txSp>
                  </a:sp>
                  <a:sp>
                    <a:nvSpPr>
                      <a:cNvPr id="95236" name="Text Box 4"/>
                      <a:cNvSpPr txBox="1">
                        <a:spLocks noChangeArrowheads="1"/>
                      </a:cNvSpPr>
                    </a:nvSpPr>
                    <a:spPr bwMode="auto">
                      <a:xfrm>
                        <a:off x="468313" y="2060575"/>
                        <a:ext cx="2520950" cy="358775"/>
                      </a:xfrm>
                      <a:prstGeom prst="rect">
                        <a:avLst/>
                      </a:prstGeom>
                      <a:solidFill>
                        <a:srgbClr val="FF9900"/>
                      </a:solidFill>
                      <a:ln w="19050">
                        <a:solidFill>
                          <a:schemeClr val="tx1"/>
                        </a:solidFill>
                        <a:miter lim="800000"/>
                        <a:headEnd/>
                        <a:tailEnd/>
                      </a:ln>
                    </a:spPr>
                    <a:txSp>
                      <a:txBody>
                        <a:bodyPr>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lnSpc>
                              <a:spcPct val="90000"/>
                            </a:lnSpc>
                            <a:spcBef>
                              <a:spcPct val="50000"/>
                            </a:spcBef>
                            <a:spcAft>
                              <a:spcPct val="15000"/>
                            </a:spcAft>
                          </a:pPr>
                          <a:r>
                            <a:rPr lang="fr-FR" b="1"/>
                            <a:t>Banque X</a:t>
                          </a:r>
                          <a:endParaRPr lang="fr-FR" b="1" i="1"/>
                        </a:p>
                      </a:txBody>
                      <a:useSpRect/>
                    </a:txSp>
                  </a:sp>
                  <a:sp>
                    <a:nvSpPr>
                      <a:cNvPr id="95237" name="Text Box 5"/>
                      <a:cNvSpPr txBox="1">
                        <a:spLocks noChangeArrowheads="1"/>
                      </a:cNvSpPr>
                    </a:nvSpPr>
                    <a:spPr bwMode="auto">
                      <a:xfrm flipH="1">
                        <a:off x="1763713" y="2420938"/>
                        <a:ext cx="1222375" cy="600075"/>
                      </a:xfrm>
                      <a:prstGeom prst="rect">
                        <a:avLst/>
                      </a:prstGeom>
                      <a:solidFill>
                        <a:schemeClr val="bg1"/>
                      </a:solidFill>
                      <a:ln w="19050">
                        <a:solidFill>
                          <a:schemeClr val="tx1"/>
                        </a:solidFill>
                        <a:miter lim="800000"/>
                        <a:headEnd/>
                        <a:tailEnd/>
                      </a:ln>
                    </a:spPr>
                    <a:txSp>
                      <a:txBody>
                        <a:bodyPr>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spcBef>
                              <a:spcPct val="50000"/>
                            </a:spcBef>
                          </a:pPr>
                          <a:endParaRPr lang="fr-FR" sz="800" b="1" i="1"/>
                        </a:p>
                        <a:p>
                          <a:pPr algn="ctr">
                            <a:spcBef>
                              <a:spcPct val="50000"/>
                            </a:spcBef>
                          </a:pPr>
                          <a:r>
                            <a:rPr lang="fr-FR" sz="1600" b="1" i="1"/>
                            <a:t>Client B</a:t>
                          </a:r>
                        </a:p>
                      </a:txBody>
                      <a:useSpRect/>
                    </a:txSp>
                  </a:sp>
                  <a:sp>
                    <a:nvSpPr>
                      <a:cNvPr id="95238" name="Text Box 6"/>
                      <a:cNvSpPr txBox="1">
                        <a:spLocks noChangeArrowheads="1"/>
                      </a:cNvSpPr>
                    </a:nvSpPr>
                    <a:spPr bwMode="auto">
                      <a:xfrm>
                        <a:off x="5867400" y="2060575"/>
                        <a:ext cx="2520950" cy="358775"/>
                      </a:xfrm>
                      <a:prstGeom prst="rect">
                        <a:avLst/>
                      </a:prstGeom>
                      <a:solidFill>
                        <a:srgbClr val="00CCFF"/>
                      </a:solidFill>
                      <a:ln w="19050">
                        <a:solidFill>
                          <a:schemeClr val="tx1"/>
                        </a:solidFill>
                        <a:miter lim="800000"/>
                        <a:headEnd/>
                        <a:tailEnd/>
                      </a:ln>
                    </a:spPr>
                    <a:txSp>
                      <a:txBody>
                        <a:bodyPr>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lnSpc>
                              <a:spcPct val="90000"/>
                            </a:lnSpc>
                            <a:spcBef>
                              <a:spcPct val="50000"/>
                            </a:spcBef>
                            <a:spcAft>
                              <a:spcPct val="15000"/>
                            </a:spcAft>
                          </a:pPr>
                          <a:r>
                            <a:rPr lang="fr-FR" b="1"/>
                            <a:t>Banque Y</a:t>
                          </a:r>
                          <a:endParaRPr lang="fr-FR" b="1" i="1"/>
                        </a:p>
                      </a:txBody>
                      <a:useSpRect/>
                    </a:txSp>
                  </a:sp>
                  <a:sp>
                    <a:nvSpPr>
                      <a:cNvPr id="95239" name="Text Box 7"/>
                      <a:cNvSpPr txBox="1">
                        <a:spLocks noChangeArrowheads="1"/>
                      </a:cNvSpPr>
                    </a:nvSpPr>
                    <a:spPr bwMode="auto">
                      <a:xfrm>
                        <a:off x="5867400" y="2420938"/>
                        <a:ext cx="1296988" cy="600075"/>
                      </a:xfrm>
                      <a:prstGeom prst="rect">
                        <a:avLst/>
                      </a:prstGeom>
                      <a:solidFill>
                        <a:schemeClr val="bg1"/>
                      </a:solidFill>
                      <a:ln w="19050">
                        <a:solidFill>
                          <a:schemeClr val="tx1"/>
                        </a:solidFill>
                        <a:miter lim="800000"/>
                        <a:headEnd/>
                        <a:tailEnd/>
                      </a:ln>
                    </a:spPr>
                    <a:txSp>
                      <a:txBody>
                        <a:bodyPr>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spcBef>
                              <a:spcPct val="50000"/>
                            </a:spcBef>
                          </a:pPr>
                          <a:endParaRPr lang="fr-FR" sz="800" b="1" i="1"/>
                        </a:p>
                        <a:p>
                          <a:pPr algn="ctr">
                            <a:spcBef>
                              <a:spcPct val="50000"/>
                            </a:spcBef>
                          </a:pPr>
                          <a:r>
                            <a:rPr lang="fr-FR" sz="1600" b="1" i="1"/>
                            <a:t>Client C</a:t>
                          </a:r>
                        </a:p>
                      </a:txBody>
                      <a:useSpRect/>
                    </a:txSp>
                  </a:sp>
                  <a:sp>
                    <a:nvSpPr>
                      <a:cNvPr id="95240" name="Text Box 8"/>
                      <a:cNvSpPr txBox="1">
                        <a:spLocks noChangeArrowheads="1"/>
                      </a:cNvSpPr>
                    </a:nvSpPr>
                    <a:spPr bwMode="auto">
                      <a:xfrm flipH="1">
                        <a:off x="7164388" y="2420938"/>
                        <a:ext cx="1222375" cy="600075"/>
                      </a:xfrm>
                      <a:prstGeom prst="rect">
                        <a:avLst/>
                      </a:prstGeom>
                      <a:solidFill>
                        <a:schemeClr val="bg1"/>
                      </a:solidFill>
                      <a:ln w="19050">
                        <a:solidFill>
                          <a:schemeClr val="tx1"/>
                        </a:solidFill>
                        <a:miter lim="800000"/>
                        <a:headEnd/>
                        <a:tailEnd/>
                      </a:ln>
                    </a:spPr>
                    <a:txSp>
                      <a:txBody>
                        <a:bodyPr>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spcBef>
                              <a:spcPct val="50000"/>
                            </a:spcBef>
                          </a:pPr>
                          <a:endParaRPr lang="fr-FR" sz="800" b="1" i="1"/>
                        </a:p>
                        <a:p>
                          <a:pPr algn="ctr">
                            <a:spcBef>
                              <a:spcPct val="50000"/>
                            </a:spcBef>
                          </a:pPr>
                          <a:r>
                            <a:rPr lang="fr-FR" sz="1600" b="1" i="1"/>
                            <a:t>Client D</a:t>
                          </a:r>
                        </a:p>
                      </a:txBody>
                      <a:useSpRect/>
                    </a:txSp>
                  </a:sp>
                  <a:sp>
                    <a:nvSpPr>
                      <a:cNvPr id="95253" name="Line 21"/>
                      <a:cNvSpPr>
                        <a:spLocks noChangeShapeType="1"/>
                      </a:cNvSpPr>
                    </a:nvSpPr>
                    <a:spPr bwMode="auto">
                      <a:xfrm>
                        <a:off x="3132138" y="2420938"/>
                        <a:ext cx="2376487" cy="0"/>
                      </a:xfrm>
                      <a:prstGeom prst="line">
                        <a:avLst/>
                      </a:prstGeom>
                      <a:noFill/>
                      <a:ln w="31750">
                        <a:solidFill>
                          <a:schemeClr val="accent2"/>
                        </a:solidFill>
                        <a:round/>
                        <a:headEnd/>
                        <a:tailEnd type="triangle" w="med" len="me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fr-FR"/>
                        </a:p>
                      </a:txBody>
                      <a:useSpRect/>
                    </a:txSp>
                  </a:sp>
                  <a:sp>
                    <a:nvSpPr>
                      <a:cNvPr id="95254" name="Text Box 22"/>
                      <a:cNvSpPr txBox="1">
                        <a:spLocks noChangeArrowheads="1"/>
                      </a:cNvSpPr>
                    </a:nvSpPr>
                    <a:spPr bwMode="auto">
                      <a:xfrm flipH="1">
                        <a:off x="3995738" y="2073275"/>
                        <a:ext cx="574675" cy="336550"/>
                      </a:xfrm>
                      <a:prstGeom prst="rect">
                        <a:avLst/>
                      </a:prstGeom>
                      <a:solidFill>
                        <a:schemeClr val="accent2"/>
                      </a:solidFill>
                      <a:ln w="19050">
                        <a:noFill/>
                        <a:miter lim="800000"/>
                        <a:headEnd/>
                        <a:tailEnd/>
                      </a:ln>
                    </a:spPr>
                    <a:txSp>
                      <a:txBody>
                        <a:bodyPr>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spcBef>
                              <a:spcPct val="50000"/>
                            </a:spcBef>
                          </a:pPr>
                          <a:r>
                            <a:rPr lang="fr-FR" sz="1600" b="1" i="1">
                              <a:solidFill>
                                <a:schemeClr val="bg1"/>
                              </a:solidFill>
                            </a:rPr>
                            <a:t>75</a:t>
                          </a:r>
                        </a:p>
                      </a:txBody>
                      <a:useSpRect/>
                    </a:txSp>
                  </a:sp>
                  <a:sp>
                    <a:nvSpPr>
                      <a:cNvPr id="95255" name="Line 23"/>
                      <a:cNvSpPr>
                        <a:spLocks noChangeShapeType="1"/>
                      </a:cNvSpPr>
                    </a:nvSpPr>
                    <a:spPr bwMode="auto">
                      <a:xfrm>
                        <a:off x="3132138" y="2781300"/>
                        <a:ext cx="2376487" cy="0"/>
                      </a:xfrm>
                      <a:prstGeom prst="line">
                        <a:avLst/>
                      </a:prstGeom>
                      <a:noFill/>
                      <a:ln w="31750">
                        <a:solidFill>
                          <a:srgbClr val="008000"/>
                        </a:solidFill>
                        <a:round/>
                        <a:headEnd type="triangle" w="med" len="med"/>
                        <a:tailEn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fr-FR"/>
                        </a:p>
                      </a:txBody>
                      <a:useSpRect/>
                    </a:txSp>
                  </a:sp>
                  <a:sp>
                    <a:nvSpPr>
                      <a:cNvPr id="95256" name="Text Box 24"/>
                      <a:cNvSpPr txBox="1">
                        <a:spLocks noChangeArrowheads="1"/>
                      </a:cNvSpPr>
                    </a:nvSpPr>
                    <a:spPr bwMode="auto">
                      <a:xfrm>
                        <a:off x="3995738" y="2781300"/>
                        <a:ext cx="574675" cy="360363"/>
                      </a:xfrm>
                      <a:prstGeom prst="rect">
                        <a:avLst/>
                      </a:prstGeom>
                      <a:solidFill>
                        <a:srgbClr val="008000"/>
                      </a:solidFill>
                      <a:ln w="9525">
                        <a:noFill/>
                        <a:miter lim="800000"/>
                        <a:headEnd/>
                        <a:tailEn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lnSpc>
                              <a:spcPct val="85000"/>
                            </a:lnSpc>
                            <a:spcBef>
                              <a:spcPct val="50000"/>
                            </a:spcBef>
                          </a:pPr>
                          <a:r>
                            <a:rPr lang="fr-FR" sz="1600" b="1">
                              <a:solidFill>
                                <a:schemeClr val="bg1"/>
                              </a:solidFill>
                            </a:rPr>
                            <a:t>35</a:t>
                          </a:r>
                          <a:endParaRPr lang="fr-FR" sz="1600" i="1">
                            <a:solidFill>
                              <a:schemeClr val="bg1"/>
                            </a:solidFill>
                          </a:endParaRPr>
                        </a:p>
                      </a:txBody>
                      <a:useSpRect/>
                    </a:txSp>
                  </a:sp>
                </lc:lockedCanvas>
              </a:graphicData>
            </a:graphic>
          </wp:inline>
        </w:drawing>
      </w:r>
    </w:p>
    <w:p w:rsidR="00B87E84" w:rsidRPr="00FA4826" w:rsidRDefault="00B87E84" w:rsidP="00123CAF">
      <w:pPr>
        <w:spacing w:after="0"/>
        <w:rPr>
          <w:rFonts w:ascii="Arial" w:hAnsi="Arial" w:cs="Arial"/>
          <w:i w:val="0"/>
        </w:rPr>
      </w:pPr>
    </w:p>
    <w:p w:rsidR="0025465A" w:rsidRPr="00FA4826" w:rsidRDefault="004D268F" w:rsidP="00123CAF">
      <w:pPr>
        <w:spacing w:after="0"/>
        <w:rPr>
          <w:rFonts w:ascii="Arial" w:hAnsi="Arial" w:cs="Arial"/>
          <w:i w:val="0"/>
        </w:rPr>
      </w:pPr>
      <w:r w:rsidRPr="00FA4826">
        <w:rPr>
          <w:rFonts w:ascii="Arial" w:hAnsi="Arial" w:cs="Arial"/>
          <w:i w:val="0"/>
        </w:rPr>
        <w:t xml:space="preserve">3 types de taux directeurs : </w:t>
      </w:r>
    </w:p>
    <w:p w:rsidR="004D268F" w:rsidRPr="00FA4826" w:rsidRDefault="004D268F" w:rsidP="00C64C89">
      <w:pPr>
        <w:pStyle w:val="Paragraphedeliste"/>
        <w:numPr>
          <w:ilvl w:val="0"/>
          <w:numId w:val="25"/>
        </w:numPr>
        <w:spacing w:after="0"/>
        <w:rPr>
          <w:rFonts w:ascii="Arial" w:hAnsi="Arial" w:cs="Arial"/>
          <w:i w:val="0"/>
        </w:rPr>
      </w:pPr>
      <w:r w:rsidRPr="00FA4826">
        <w:rPr>
          <w:rFonts w:ascii="Arial" w:hAnsi="Arial" w:cs="Arial"/>
          <w:i w:val="0"/>
        </w:rPr>
        <w:t xml:space="preserve">le taux de refinancement, c’est </w:t>
      </w:r>
      <w:proofErr w:type="spellStart"/>
      <w:proofErr w:type="gramStart"/>
      <w:r w:rsidRPr="00FA4826">
        <w:rPr>
          <w:rFonts w:ascii="Arial" w:hAnsi="Arial" w:cs="Arial"/>
          <w:i w:val="0"/>
        </w:rPr>
        <w:t>a</w:t>
      </w:r>
      <w:proofErr w:type="spellEnd"/>
      <w:proofErr w:type="gramEnd"/>
      <w:r w:rsidRPr="00FA4826">
        <w:rPr>
          <w:rFonts w:ascii="Arial" w:hAnsi="Arial" w:cs="Arial"/>
          <w:i w:val="0"/>
        </w:rPr>
        <w:t xml:space="preserve"> dire le taux auquel les banques se refinancent.</w:t>
      </w:r>
    </w:p>
    <w:p w:rsidR="004D268F" w:rsidRPr="00FA4826" w:rsidRDefault="004D268F" w:rsidP="00C64C89">
      <w:pPr>
        <w:pStyle w:val="Paragraphedeliste"/>
        <w:numPr>
          <w:ilvl w:val="0"/>
          <w:numId w:val="25"/>
        </w:numPr>
        <w:spacing w:after="0"/>
        <w:rPr>
          <w:rFonts w:ascii="Arial" w:hAnsi="Arial" w:cs="Arial"/>
          <w:i w:val="0"/>
        </w:rPr>
      </w:pPr>
      <w:r w:rsidRPr="00FA4826">
        <w:rPr>
          <w:rFonts w:ascii="Arial" w:hAnsi="Arial" w:cs="Arial"/>
          <w:i w:val="0"/>
        </w:rPr>
        <w:t>Le taux de rémunération des dépôts.</w:t>
      </w:r>
    </w:p>
    <w:p w:rsidR="004D268F" w:rsidRPr="00FA4826" w:rsidRDefault="004D268F" w:rsidP="00C64C89">
      <w:pPr>
        <w:pStyle w:val="Paragraphedeliste"/>
        <w:numPr>
          <w:ilvl w:val="0"/>
          <w:numId w:val="25"/>
        </w:numPr>
        <w:spacing w:after="0"/>
        <w:rPr>
          <w:rFonts w:ascii="Arial" w:hAnsi="Arial" w:cs="Arial"/>
          <w:i w:val="0"/>
        </w:rPr>
      </w:pPr>
      <w:r w:rsidRPr="00FA4826">
        <w:rPr>
          <w:rFonts w:ascii="Arial" w:hAnsi="Arial" w:cs="Arial"/>
          <w:i w:val="0"/>
        </w:rPr>
        <w:t xml:space="preserve">Le taux d’escompte (taux de prêt marginal) : rémunère </w:t>
      </w:r>
      <w:proofErr w:type="gramStart"/>
      <w:r w:rsidRPr="00FA4826">
        <w:rPr>
          <w:rFonts w:ascii="Arial" w:hAnsi="Arial" w:cs="Arial"/>
          <w:i w:val="0"/>
        </w:rPr>
        <w:t>les escompte</w:t>
      </w:r>
      <w:proofErr w:type="gramEnd"/>
      <w:r w:rsidRPr="00FA4826">
        <w:rPr>
          <w:rFonts w:ascii="Arial" w:hAnsi="Arial" w:cs="Arial"/>
          <w:i w:val="0"/>
        </w:rPr>
        <w:t xml:space="preserve"> à taux fixe.</w:t>
      </w:r>
    </w:p>
    <w:p w:rsidR="00BF1997" w:rsidRPr="00FA4826" w:rsidRDefault="0025465A" w:rsidP="00123CAF">
      <w:pPr>
        <w:spacing w:after="0"/>
        <w:jc w:val="center"/>
        <w:rPr>
          <w:rFonts w:ascii="Arial" w:hAnsi="Arial" w:cs="Arial"/>
          <w:i w:val="0"/>
        </w:rPr>
      </w:pPr>
      <w:r w:rsidRPr="00FA4826">
        <w:rPr>
          <w:rFonts w:ascii="Arial" w:hAnsi="Arial" w:cs="Arial"/>
          <w:i w:val="0"/>
          <w:noProof/>
          <w:lang w:eastAsia="fr-FR"/>
        </w:rPr>
        <w:drawing>
          <wp:inline distT="0" distB="0" distL="0" distR="0" wp14:anchorId="0BC089BD" wp14:editId="7470DA0B">
            <wp:extent cx="4076700" cy="2514600"/>
            <wp:effectExtent l="19050" t="0" r="0" b="0"/>
            <wp:docPr id="15" name="Image 4"/>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23" cstate="print"/>
                    <a:srcRect/>
                    <a:stretch>
                      <a:fillRect/>
                    </a:stretch>
                  </pic:blipFill>
                  <pic:spPr bwMode="auto">
                    <a:xfrm>
                      <a:off x="0" y="0"/>
                      <a:ext cx="4079005" cy="2516022"/>
                    </a:xfrm>
                    <a:prstGeom prst="rect">
                      <a:avLst/>
                    </a:prstGeom>
                    <a:noFill/>
                    <a:ln w="9525">
                      <a:noFill/>
                      <a:miter lim="800000"/>
                      <a:headEnd/>
                      <a:tailEnd/>
                    </a:ln>
                  </pic:spPr>
                </pic:pic>
              </a:graphicData>
            </a:graphic>
          </wp:inline>
        </w:drawing>
      </w:r>
    </w:p>
    <w:p w:rsidR="004D268F" w:rsidRDefault="004D268F" w:rsidP="00123CAF">
      <w:pPr>
        <w:spacing w:after="0"/>
        <w:jc w:val="center"/>
        <w:rPr>
          <w:rFonts w:ascii="Arial" w:hAnsi="Arial" w:cs="Arial"/>
          <w:i w:val="0"/>
        </w:rPr>
      </w:pPr>
    </w:p>
    <w:p w:rsidR="00E66336" w:rsidRPr="00FA4826" w:rsidRDefault="00E66336" w:rsidP="00123CAF">
      <w:pPr>
        <w:spacing w:after="0"/>
        <w:jc w:val="center"/>
        <w:rPr>
          <w:rFonts w:ascii="Arial" w:hAnsi="Arial" w:cs="Arial"/>
          <w:i w:val="0"/>
        </w:rPr>
      </w:pPr>
    </w:p>
    <w:p w:rsidR="00BF1997" w:rsidRPr="00FA4826" w:rsidRDefault="004D268F" w:rsidP="00C64C89">
      <w:pPr>
        <w:pStyle w:val="Titre3"/>
        <w:numPr>
          <w:ilvl w:val="0"/>
          <w:numId w:val="24"/>
        </w:numPr>
        <w:rPr>
          <w:rFonts w:ascii="Arial" w:hAnsi="Arial" w:cs="Arial"/>
          <w:i w:val="0"/>
        </w:rPr>
      </w:pPr>
      <w:bookmarkStart w:id="9" w:name="_Toc379227124"/>
      <w:r w:rsidRPr="00FA4826">
        <w:rPr>
          <w:rFonts w:ascii="Arial" w:hAnsi="Arial" w:cs="Arial"/>
          <w:i w:val="0"/>
        </w:rPr>
        <w:lastRenderedPageBreak/>
        <w:t>Les fuites</w:t>
      </w:r>
      <w:r w:rsidR="00BF1997" w:rsidRPr="00FA4826">
        <w:rPr>
          <w:rFonts w:ascii="Arial" w:hAnsi="Arial" w:cs="Arial"/>
          <w:i w:val="0"/>
        </w:rPr>
        <w:t> :</w:t>
      </w:r>
      <w:bookmarkEnd w:id="9"/>
    </w:p>
    <w:p w:rsidR="004D268F" w:rsidRPr="00FA4826" w:rsidRDefault="004D268F" w:rsidP="00123CAF">
      <w:pPr>
        <w:spacing w:after="0"/>
        <w:ind w:left="1080"/>
        <w:rPr>
          <w:rFonts w:ascii="Arial" w:hAnsi="Arial" w:cs="Arial"/>
          <w:i w:val="0"/>
        </w:rPr>
      </w:pPr>
    </w:p>
    <w:p w:rsidR="004D268F" w:rsidRPr="00FA4826" w:rsidRDefault="004D268F" w:rsidP="00123CAF">
      <w:pPr>
        <w:spacing w:after="0"/>
        <w:rPr>
          <w:rFonts w:ascii="Arial" w:hAnsi="Arial" w:cs="Arial"/>
          <w:i w:val="0"/>
        </w:rPr>
      </w:pPr>
      <w:r w:rsidRPr="00FA4826">
        <w:rPr>
          <w:rFonts w:ascii="Arial" w:hAnsi="Arial" w:cs="Arial"/>
          <w:i w:val="0"/>
        </w:rPr>
        <w:t>Si une seule banque existait, il n’y aurait pas de problème de fuite. Or, il y a plusieurs banques. Chacune doit assurer la conversion en monnaie « d’autres circuits ».</w:t>
      </w:r>
    </w:p>
    <w:p w:rsidR="00117769" w:rsidRPr="00FA4826" w:rsidRDefault="004D268F" w:rsidP="00123CAF">
      <w:pPr>
        <w:spacing w:after="0"/>
        <w:rPr>
          <w:rFonts w:ascii="Arial" w:hAnsi="Arial" w:cs="Arial"/>
          <w:i w:val="0"/>
        </w:rPr>
      </w:pPr>
      <w:r w:rsidRPr="00FA4826">
        <w:rPr>
          <w:rFonts w:ascii="Arial" w:hAnsi="Arial" w:cs="Arial"/>
          <w:i w:val="0"/>
        </w:rPr>
        <w:t>Autres circuits : conversion en monnaie « des autres banques », conversion de monnaie scripturale en billets.</w:t>
      </w:r>
    </w:p>
    <w:p w:rsidR="00117769" w:rsidRPr="00FA4826" w:rsidRDefault="00117769" w:rsidP="00C64C89">
      <w:pPr>
        <w:pStyle w:val="Titre3"/>
        <w:numPr>
          <w:ilvl w:val="0"/>
          <w:numId w:val="24"/>
        </w:numPr>
        <w:rPr>
          <w:rFonts w:ascii="Arial" w:hAnsi="Arial" w:cs="Arial"/>
          <w:i w:val="0"/>
        </w:rPr>
      </w:pPr>
      <w:bookmarkStart w:id="10" w:name="_Toc379227125"/>
      <w:r w:rsidRPr="00FA4826">
        <w:rPr>
          <w:rFonts w:ascii="Arial" w:hAnsi="Arial" w:cs="Arial"/>
          <w:i w:val="0"/>
        </w:rPr>
        <w:t>La réserve obligatoire :</w:t>
      </w:r>
      <w:bookmarkEnd w:id="10"/>
    </w:p>
    <w:p w:rsidR="004D268F" w:rsidRPr="00FA4826" w:rsidRDefault="004D268F" w:rsidP="00123CAF">
      <w:pPr>
        <w:spacing w:after="0"/>
        <w:rPr>
          <w:rFonts w:ascii="Arial" w:hAnsi="Arial" w:cs="Arial"/>
          <w:i w:val="0"/>
        </w:rPr>
      </w:pPr>
    </w:p>
    <w:p w:rsidR="004D268F" w:rsidRPr="00FA4826" w:rsidRDefault="004D268F" w:rsidP="00123CAF">
      <w:pPr>
        <w:spacing w:after="0"/>
        <w:rPr>
          <w:rFonts w:ascii="Arial" w:hAnsi="Arial" w:cs="Arial"/>
          <w:i w:val="0"/>
        </w:rPr>
      </w:pPr>
      <w:r w:rsidRPr="00FA4826">
        <w:rPr>
          <w:rFonts w:ascii="Arial" w:hAnsi="Arial" w:cs="Arial"/>
          <w:i w:val="0"/>
        </w:rPr>
        <w:t>La réserve obligatoire est une réserve que la banque centrale fixe. Reserve financière que les banques de second rang doivent déposer auprès de la banque centrale. Elle est actuellement en Europe à un taux historiquement très bas, à savoir 2%. En chine elle est de 12%.</w:t>
      </w:r>
    </w:p>
    <w:p w:rsidR="005F29C9" w:rsidRPr="00FA4826" w:rsidRDefault="005F29C9" w:rsidP="00123CAF">
      <w:pPr>
        <w:spacing w:after="0"/>
        <w:jc w:val="right"/>
        <w:rPr>
          <w:rFonts w:ascii="Arial" w:hAnsi="Arial" w:cs="Arial"/>
          <w:i w:val="0"/>
        </w:rPr>
      </w:pPr>
    </w:p>
    <w:p w:rsidR="004D268F" w:rsidRPr="00FA4826" w:rsidRDefault="00C00F0D" w:rsidP="00123CAF">
      <w:pPr>
        <w:spacing w:after="0"/>
        <w:jc w:val="right"/>
        <w:rPr>
          <w:rFonts w:ascii="Arial" w:hAnsi="Arial" w:cs="Arial"/>
          <w:i w:val="0"/>
        </w:rPr>
      </w:pPr>
      <w:r w:rsidRPr="00FA4826">
        <w:rPr>
          <w:rFonts w:ascii="Arial" w:hAnsi="Arial" w:cs="Arial"/>
          <w:i w:val="0"/>
        </w:rPr>
        <w:t>22/03/2011</w:t>
      </w:r>
    </w:p>
    <w:p w:rsidR="005F29C9" w:rsidRPr="00FA4826" w:rsidRDefault="00117769" w:rsidP="00123CAF">
      <w:pPr>
        <w:pStyle w:val="Titre2"/>
        <w:rPr>
          <w:rFonts w:ascii="Arial" w:hAnsi="Arial" w:cs="Arial"/>
          <w:i w:val="0"/>
        </w:rPr>
      </w:pPr>
      <w:bookmarkStart w:id="11" w:name="_Toc379227126"/>
      <w:r w:rsidRPr="00FA4826">
        <w:rPr>
          <w:rFonts w:ascii="Arial" w:hAnsi="Arial" w:cs="Arial"/>
          <w:i w:val="0"/>
        </w:rPr>
        <w:t>4</w:t>
      </w:r>
      <w:r w:rsidR="005F29C9" w:rsidRPr="00FA4826">
        <w:rPr>
          <w:rFonts w:ascii="Arial" w:hAnsi="Arial" w:cs="Arial"/>
          <w:i w:val="0"/>
        </w:rPr>
        <w:t>)</w:t>
      </w:r>
      <w:r w:rsidRPr="00FA4826">
        <w:rPr>
          <w:rFonts w:ascii="Arial" w:hAnsi="Arial" w:cs="Arial"/>
          <w:i w:val="0"/>
        </w:rPr>
        <w:t xml:space="preserve"> Les multiplicateurs de la base monétaire</w:t>
      </w:r>
      <w:r w:rsidR="005F29C9" w:rsidRPr="00FA4826">
        <w:rPr>
          <w:rFonts w:ascii="Arial" w:hAnsi="Arial" w:cs="Arial"/>
          <w:i w:val="0"/>
        </w:rPr>
        <w:t> :</w:t>
      </w:r>
      <w:bookmarkEnd w:id="11"/>
    </w:p>
    <w:p w:rsidR="00117769" w:rsidRPr="00FA4826" w:rsidRDefault="00117769" w:rsidP="00123CAF">
      <w:pPr>
        <w:spacing w:after="0"/>
        <w:rPr>
          <w:rFonts w:ascii="Arial" w:hAnsi="Arial" w:cs="Arial"/>
          <w:i w:val="0"/>
        </w:rPr>
      </w:pPr>
    </w:p>
    <w:p w:rsidR="00117769" w:rsidRPr="00FA4826" w:rsidRDefault="00117769" w:rsidP="00123CAF">
      <w:pPr>
        <w:spacing w:after="0"/>
        <w:rPr>
          <w:rFonts w:ascii="Arial" w:hAnsi="Arial" w:cs="Arial"/>
          <w:i w:val="0"/>
        </w:rPr>
      </w:pPr>
      <w:r w:rsidRPr="00FA4826">
        <w:rPr>
          <w:rFonts w:ascii="Arial" w:hAnsi="Arial" w:cs="Arial"/>
          <w:i w:val="0"/>
        </w:rPr>
        <w:t>La monnaie centre=base monétaire</w:t>
      </w:r>
    </w:p>
    <w:p w:rsidR="00117769" w:rsidRPr="00FA4826" w:rsidRDefault="00117769" w:rsidP="00123CAF">
      <w:pPr>
        <w:spacing w:after="0"/>
        <w:rPr>
          <w:rFonts w:ascii="Arial" w:hAnsi="Arial" w:cs="Arial"/>
          <w:i w:val="0"/>
        </w:rPr>
      </w:pPr>
      <w:r w:rsidRPr="00FA4826">
        <w:rPr>
          <w:rFonts w:ascii="Arial" w:hAnsi="Arial" w:cs="Arial"/>
          <w:i w:val="0"/>
        </w:rPr>
        <w:t>On distingue les deux types de monnaie: celle de la banque centrale (qui ne se diffuse pas dans l’économie) et celle des banques de second rang (on l’a dans notre poche).</w:t>
      </w:r>
    </w:p>
    <w:p w:rsidR="005F29C9" w:rsidRPr="00FA4826" w:rsidRDefault="00117769" w:rsidP="00123CAF">
      <w:pPr>
        <w:spacing w:after="0"/>
        <w:rPr>
          <w:rFonts w:ascii="Arial" w:hAnsi="Arial" w:cs="Arial"/>
          <w:i w:val="0"/>
        </w:rPr>
      </w:pPr>
      <w:r w:rsidRPr="00FA4826">
        <w:rPr>
          <w:rFonts w:ascii="Arial" w:hAnsi="Arial" w:cs="Arial"/>
          <w:i w:val="0"/>
        </w:rPr>
        <w:t>Il y a une relation de « base monétaire » à « création monétaire ». Les banques créent la monnaie du multiple de la base monétaire.  La variation de monnaie centrale va être égale à un coefficient de masse monétaire. Il y a possibilité d’augmenter la réserve obligatoire, l’augmentation de cette masse monétaire va avoir u</w:t>
      </w:r>
      <w:r w:rsidR="005F29C9" w:rsidRPr="00FA4826">
        <w:rPr>
          <w:rFonts w:ascii="Arial" w:hAnsi="Arial" w:cs="Arial"/>
          <w:i w:val="0"/>
        </w:rPr>
        <w:t>n impact sur la base monétaire :</w:t>
      </w:r>
    </w:p>
    <w:p w:rsidR="006D2C47" w:rsidRPr="00FA4826" w:rsidRDefault="006D2C47" w:rsidP="00123CAF">
      <w:pPr>
        <w:spacing w:after="0"/>
        <w:rPr>
          <w:rFonts w:ascii="Arial" w:hAnsi="Arial" w:cs="Arial"/>
          <w:b/>
          <w:i w:val="0"/>
          <w:u w:val="single"/>
        </w:rPr>
      </w:pPr>
      <w:r w:rsidRPr="00FA4826">
        <w:rPr>
          <w:rFonts w:ascii="Arial" w:hAnsi="Arial" w:cs="Arial"/>
          <w:b/>
          <w:i w:val="0"/>
          <w:noProof/>
          <w:u w:val="single"/>
          <w:lang w:eastAsia="fr-FR"/>
        </w:rPr>
        <w:drawing>
          <wp:inline distT="0" distB="0" distL="0" distR="0" wp14:anchorId="2869D5A7" wp14:editId="7F3632AB">
            <wp:extent cx="5120428" cy="1293653"/>
            <wp:effectExtent l="25400" t="0" r="10372" b="0"/>
            <wp:docPr id="10" name="Image 9" descr="Capture d’écran 2011-04-05 à 14.50.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1-04-05 à 14.50.42.png"/>
                    <pic:cNvPicPr/>
                  </pic:nvPicPr>
                  <pic:blipFill>
                    <a:blip r:embed="rId24"/>
                    <a:stretch>
                      <a:fillRect/>
                    </a:stretch>
                  </pic:blipFill>
                  <pic:spPr>
                    <a:xfrm>
                      <a:off x="0" y="0"/>
                      <a:ext cx="5120428" cy="1293653"/>
                    </a:xfrm>
                    <a:prstGeom prst="rect">
                      <a:avLst/>
                    </a:prstGeom>
                  </pic:spPr>
                </pic:pic>
              </a:graphicData>
            </a:graphic>
          </wp:inline>
        </w:drawing>
      </w:r>
    </w:p>
    <w:p w:rsidR="00117769" w:rsidRPr="00FA4826" w:rsidRDefault="00117769" w:rsidP="00123CAF">
      <w:pPr>
        <w:spacing w:after="0"/>
        <w:rPr>
          <w:rFonts w:ascii="Arial" w:hAnsi="Arial" w:cs="Arial"/>
          <w:i w:val="0"/>
        </w:rPr>
      </w:pPr>
      <w:r w:rsidRPr="00FA4826">
        <w:rPr>
          <w:rFonts w:ascii="Arial" w:hAnsi="Arial" w:cs="Arial"/>
          <w:i w:val="0"/>
        </w:rPr>
        <w:t>C’est parce qu’il y a ce lien, en utilisant ces mécanismes de transmission, que la banque centrale va déterminer une masse monétaire.</w:t>
      </w:r>
    </w:p>
    <w:p w:rsidR="00117769" w:rsidRPr="00FA4826" w:rsidRDefault="00117769" w:rsidP="00123CAF">
      <w:pPr>
        <w:spacing w:after="0"/>
        <w:rPr>
          <w:rFonts w:ascii="Arial" w:hAnsi="Arial" w:cs="Arial"/>
          <w:i w:val="0"/>
        </w:rPr>
      </w:pPr>
      <w:r w:rsidRPr="00FA4826">
        <w:rPr>
          <w:rFonts w:ascii="Arial" w:hAnsi="Arial" w:cs="Arial"/>
          <w:i w:val="0"/>
        </w:rPr>
        <w:t xml:space="preserve">Pour résumer : la banque centrale a un rôle très important parce </w:t>
      </w:r>
      <w:proofErr w:type="gramStart"/>
      <w:r w:rsidRPr="00FA4826">
        <w:rPr>
          <w:rFonts w:ascii="Arial" w:hAnsi="Arial" w:cs="Arial"/>
          <w:i w:val="0"/>
        </w:rPr>
        <w:t>que in</w:t>
      </w:r>
      <w:proofErr w:type="gramEnd"/>
      <w:r w:rsidRPr="00FA4826">
        <w:rPr>
          <w:rFonts w:ascii="Arial" w:hAnsi="Arial" w:cs="Arial"/>
          <w:i w:val="0"/>
        </w:rPr>
        <w:t xml:space="preserve"> fine c’est elle qui régule et influence </w:t>
      </w:r>
    </w:p>
    <w:p w:rsidR="00117769" w:rsidRPr="00FA4826" w:rsidRDefault="00117769" w:rsidP="00123CAF">
      <w:pPr>
        <w:spacing w:after="0"/>
        <w:rPr>
          <w:rFonts w:ascii="Arial" w:hAnsi="Arial" w:cs="Arial"/>
          <w:i w:val="0"/>
        </w:rPr>
      </w:pPr>
      <w:r w:rsidRPr="00FA4826">
        <w:rPr>
          <w:rFonts w:ascii="Arial" w:hAnsi="Arial" w:cs="Arial"/>
          <w:i w:val="0"/>
        </w:rPr>
        <w:t>Va mener certaines politiques monétaires (expansionnistes/restrictives)</w:t>
      </w:r>
    </w:p>
    <w:p w:rsidR="002C4D8C" w:rsidRPr="00FA4826" w:rsidRDefault="00117769" w:rsidP="00123CAF">
      <w:pPr>
        <w:pStyle w:val="Titre2"/>
        <w:rPr>
          <w:rFonts w:ascii="Arial" w:hAnsi="Arial" w:cs="Arial"/>
          <w:i w:val="0"/>
        </w:rPr>
      </w:pPr>
      <w:bookmarkStart w:id="12" w:name="_Toc379227127"/>
      <w:r w:rsidRPr="00FA4826">
        <w:rPr>
          <w:rFonts w:ascii="Arial" w:hAnsi="Arial" w:cs="Arial"/>
          <w:i w:val="0"/>
        </w:rPr>
        <w:t>5</w:t>
      </w:r>
      <w:r w:rsidR="002C4D8C" w:rsidRPr="00FA4826">
        <w:rPr>
          <w:rFonts w:ascii="Arial" w:hAnsi="Arial" w:cs="Arial"/>
          <w:i w:val="0"/>
        </w:rPr>
        <w:t>)</w:t>
      </w:r>
      <w:r w:rsidRPr="00FA4826">
        <w:rPr>
          <w:rFonts w:ascii="Arial" w:hAnsi="Arial" w:cs="Arial"/>
          <w:i w:val="0"/>
        </w:rPr>
        <w:t xml:space="preserve"> La BC au sommet de la hiérarchie bancaire</w:t>
      </w:r>
      <w:r w:rsidR="002C4D8C" w:rsidRPr="00FA4826">
        <w:rPr>
          <w:rFonts w:ascii="Arial" w:hAnsi="Arial" w:cs="Arial"/>
          <w:i w:val="0"/>
        </w:rPr>
        <w:t> :</w:t>
      </w:r>
      <w:bookmarkEnd w:id="12"/>
    </w:p>
    <w:p w:rsidR="00117769" w:rsidRPr="00FA4826" w:rsidRDefault="00117769" w:rsidP="00123CAF">
      <w:pPr>
        <w:spacing w:after="0"/>
        <w:rPr>
          <w:rFonts w:ascii="Arial" w:hAnsi="Arial" w:cs="Arial"/>
          <w:i w:val="0"/>
        </w:rPr>
      </w:pPr>
    </w:p>
    <w:p w:rsidR="002C4D8C" w:rsidRPr="00FA4826" w:rsidRDefault="002C4D8C" w:rsidP="00E66336">
      <w:pPr>
        <w:spacing w:after="0"/>
        <w:jc w:val="center"/>
        <w:rPr>
          <w:rFonts w:ascii="Arial" w:hAnsi="Arial" w:cs="Arial"/>
          <w:i w:val="0"/>
        </w:rPr>
      </w:pPr>
      <w:r w:rsidRPr="00FA4826">
        <w:rPr>
          <w:rFonts w:ascii="Arial" w:hAnsi="Arial" w:cs="Arial"/>
          <w:i w:val="0"/>
          <w:noProof/>
          <w:lang w:eastAsia="fr-FR"/>
        </w:rPr>
        <w:drawing>
          <wp:inline distT="0" distB="0" distL="0" distR="0" wp14:anchorId="5D42C381" wp14:editId="65530F97">
            <wp:extent cx="5190110" cy="2734574"/>
            <wp:effectExtent l="0" t="0" r="0" b="0"/>
            <wp:docPr id="39" name="O 39"/>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7632700" cy="4127500"/>
                      <a:chOff x="1116013" y="1700213"/>
                      <a:chExt cx="7632700" cy="4127500"/>
                    </a:xfrm>
                  </a:grpSpPr>
                  <a:sp>
                    <a:nvSpPr>
                      <a:cNvPr id="96260" name="Text Box 4"/>
                      <a:cNvSpPr txBox="1">
                        <a:spLocks noChangeArrowheads="1"/>
                      </a:cNvSpPr>
                    </a:nvSpPr>
                    <a:spPr bwMode="auto">
                      <a:xfrm>
                        <a:off x="1258888" y="2022475"/>
                        <a:ext cx="6697662" cy="1711325"/>
                      </a:xfrm>
                      <a:prstGeom prst="rect">
                        <a:avLst/>
                      </a:prstGeom>
                      <a:noFill/>
                      <a:ln w="34925">
                        <a:solidFill>
                          <a:schemeClr val="tx1"/>
                        </a:solidFill>
                        <a:miter lim="800000"/>
                        <a:headEnd/>
                        <a:tailEnd/>
                      </a:ln>
                    </a:spPr>
                    <a:txSp>
                      <a:txBody>
                        <a:bodyPr>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spcBef>
                              <a:spcPct val="50000"/>
                            </a:spcBef>
                          </a:pPr>
                          <a:endParaRPr lang="fr-FR" sz="1400"/>
                        </a:p>
                        <a:p>
                          <a:pPr>
                            <a:spcBef>
                              <a:spcPct val="50000"/>
                            </a:spcBef>
                          </a:pPr>
                          <a:endParaRPr lang="fr-FR"/>
                        </a:p>
                        <a:p>
                          <a:pPr>
                            <a:spcBef>
                              <a:spcPct val="50000"/>
                            </a:spcBef>
                          </a:pPr>
                          <a:endParaRPr lang="fr-FR"/>
                        </a:p>
                        <a:p>
                          <a:pPr>
                            <a:spcBef>
                              <a:spcPct val="50000"/>
                            </a:spcBef>
                          </a:pPr>
                          <a:endParaRPr lang="fr-FR"/>
                        </a:p>
                        <a:p>
                          <a:pPr>
                            <a:spcBef>
                              <a:spcPct val="50000"/>
                            </a:spcBef>
                          </a:pPr>
                          <a:endParaRPr lang="fr-FR"/>
                        </a:p>
                      </a:txBody>
                      <a:useSpRect/>
                    </a:txSp>
                  </a:sp>
                  <a:sp>
                    <a:nvSpPr>
                      <a:cNvPr id="96262" name="Text Box 6"/>
                      <a:cNvSpPr txBox="1">
                        <a:spLocks noChangeArrowheads="1"/>
                      </a:cNvSpPr>
                    </a:nvSpPr>
                    <a:spPr bwMode="auto">
                      <a:xfrm>
                        <a:off x="3238500" y="2387600"/>
                        <a:ext cx="2971800" cy="461963"/>
                      </a:xfrm>
                      <a:prstGeom prst="rect">
                        <a:avLst/>
                      </a:prstGeom>
                      <a:noFill/>
                      <a:ln w="22225">
                        <a:solidFill>
                          <a:schemeClr val="tx1"/>
                        </a:solidFill>
                        <a:miter lim="800000"/>
                        <a:headEnd/>
                        <a:tailEnd/>
                      </a:ln>
                    </a:spPr>
                    <a:txSp>
                      <a:txBody>
                        <a:bodyPr>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r>
                            <a:rPr lang="fr-FR" sz="1200" b="1" i="1"/>
                            <a:t>Fixe les taux directeurs</a:t>
                          </a:r>
                        </a:p>
                        <a:p>
                          <a:pPr algn="ctr"/>
                          <a:r>
                            <a:rPr lang="fr-FR" sz="1200" b="1" i="1"/>
                            <a:t>Fixe le niveau de réserve obligatoire</a:t>
                          </a:r>
                        </a:p>
                      </a:txBody>
                      <a:useSpRect/>
                    </a:txSp>
                  </a:sp>
                  <a:sp>
                    <a:nvSpPr>
                      <a:cNvPr id="96263" name="Text Box 7"/>
                      <a:cNvSpPr txBox="1">
                        <a:spLocks noChangeArrowheads="1"/>
                      </a:cNvSpPr>
                    </a:nvSpPr>
                    <a:spPr bwMode="auto">
                      <a:xfrm>
                        <a:off x="1547813" y="3068638"/>
                        <a:ext cx="1460500" cy="571500"/>
                      </a:xfrm>
                      <a:prstGeom prst="rect">
                        <a:avLst/>
                      </a:prstGeom>
                      <a:solidFill>
                        <a:srgbClr val="008080"/>
                      </a:solidFill>
                      <a:ln w="22225">
                        <a:solidFill>
                          <a:schemeClr val="tx1"/>
                        </a:solidFill>
                        <a:miter lim="800000"/>
                        <a:headEnd/>
                        <a:tailEnd/>
                      </a:ln>
                    </a:spPr>
                    <a:txSp>
                      <a:txBody>
                        <a:bodyPr lIns="0" rIns="0">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r>
                            <a:rPr lang="fr-FR" sz="1000" b="1"/>
                            <a:t>Cpte BANQUE X</a:t>
                          </a:r>
                        </a:p>
                        <a:p>
                          <a:pPr algn="ctr"/>
                          <a:endParaRPr lang="fr-FR" sz="1000" b="1"/>
                        </a:p>
                        <a:p>
                          <a:pPr algn="ctr"/>
                          <a:r>
                            <a:rPr lang="fr-FR" sz="1000" b="1" i="1"/>
                            <a:t>Actif         Passif</a:t>
                          </a:r>
                        </a:p>
                      </a:txBody>
                      <a:useSpRect/>
                    </a:txSp>
                  </a:sp>
                  <a:sp>
                    <a:nvSpPr>
                      <a:cNvPr id="96264" name="Line 8"/>
                      <a:cNvSpPr>
                        <a:spLocks noChangeShapeType="1"/>
                      </a:cNvSpPr>
                    </a:nvSpPr>
                    <a:spPr bwMode="auto">
                      <a:xfrm>
                        <a:off x="1763713" y="3357563"/>
                        <a:ext cx="1079500" cy="0"/>
                      </a:xfrm>
                      <a:prstGeom prst="line">
                        <a:avLst/>
                      </a:prstGeom>
                      <a:noFill/>
                      <a:ln w="19050">
                        <a:solidFill>
                          <a:schemeClr val="tx1"/>
                        </a:solidFill>
                        <a:round/>
                        <a:headEnd/>
                        <a:tailEn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fr-FR"/>
                        </a:p>
                      </a:txBody>
                      <a:useSpRect/>
                    </a:txSp>
                  </a:sp>
                  <a:sp>
                    <a:nvSpPr>
                      <a:cNvPr id="96265" name="Line 9"/>
                      <a:cNvSpPr>
                        <a:spLocks noChangeShapeType="1"/>
                      </a:cNvSpPr>
                    </a:nvSpPr>
                    <a:spPr bwMode="auto">
                      <a:xfrm>
                        <a:off x="2268538" y="3355975"/>
                        <a:ext cx="0" cy="288925"/>
                      </a:xfrm>
                      <a:prstGeom prst="line">
                        <a:avLst/>
                      </a:prstGeom>
                      <a:noFill/>
                      <a:ln w="19050">
                        <a:solidFill>
                          <a:schemeClr val="tx1"/>
                        </a:solidFill>
                        <a:round/>
                        <a:headEnd/>
                        <a:tailEn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fr-FR"/>
                        </a:p>
                      </a:txBody>
                      <a:useSpRect/>
                    </a:txSp>
                  </a:sp>
                  <a:sp>
                    <a:nvSpPr>
                      <a:cNvPr id="96266" name="Text Box 10"/>
                      <a:cNvSpPr txBox="1">
                        <a:spLocks noChangeArrowheads="1"/>
                      </a:cNvSpPr>
                    </a:nvSpPr>
                    <a:spPr bwMode="auto">
                      <a:xfrm>
                        <a:off x="3995738" y="3073400"/>
                        <a:ext cx="1460500" cy="554038"/>
                      </a:xfrm>
                      <a:prstGeom prst="rect">
                        <a:avLst/>
                      </a:prstGeom>
                      <a:solidFill>
                        <a:srgbClr val="33CCCC"/>
                      </a:solidFill>
                      <a:ln w="22225">
                        <a:solidFill>
                          <a:schemeClr val="tx1"/>
                        </a:solidFill>
                        <a:miter lim="800000"/>
                        <a:headEnd/>
                        <a:tailEnd/>
                      </a:ln>
                    </a:spPr>
                    <a:txSp>
                      <a:txBody>
                        <a:bodyPr lIns="0" rIns="0">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r>
                            <a:rPr lang="fr-FR" sz="1000" b="1"/>
                            <a:t>Cpte BANQUE Y</a:t>
                          </a:r>
                        </a:p>
                        <a:p>
                          <a:pPr algn="ctr"/>
                          <a:endParaRPr lang="fr-FR" sz="1000" b="1"/>
                        </a:p>
                        <a:p>
                          <a:pPr algn="ctr"/>
                          <a:r>
                            <a:rPr lang="fr-FR" sz="1000" b="1" i="1"/>
                            <a:t>Actif        Passif </a:t>
                          </a:r>
                        </a:p>
                      </a:txBody>
                      <a:useSpRect/>
                    </a:txSp>
                  </a:sp>
                  <a:sp>
                    <a:nvSpPr>
                      <a:cNvPr id="96267" name="Text Box 11"/>
                      <a:cNvSpPr txBox="1">
                        <a:spLocks noChangeArrowheads="1"/>
                      </a:cNvSpPr>
                    </a:nvSpPr>
                    <a:spPr bwMode="auto">
                      <a:xfrm>
                        <a:off x="6351588" y="3073400"/>
                        <a:ext cx="1460500" cy="554038"/>
                      </a:xfrm>
                      <a:prstGeom prst="rect">
                        <a:avLst/>
                      </a:prstGeom>
                      <a:solidFill>
                        <a:srgbClr val="CC99FF"/>
                      </a:solidFill>
                      <a:ln w="22225">
                        <a:solidFill>
                          <a:schemeClr val="tx1"/>
                        </a:solidFill>
                        <a:miter lim="800000"/>
                        <a:headEnd/>
                        <a:tailEnd/>
                      </a:ln>
                    </a:spPr>
                    <a:txSp>
                      <a:txBody>
                        <a:bodyPr lIns="0" rIns="0">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r>
                            <a:rPr lang="fr-FR" sz="1000" b="1"/>
                            <a:t>Cpte BANQUE Z</a:t>
                          </a:r>
                        </a:p>
                        <a:p>
                          <a:pPr algn="ctr"/>
                          <a:endParaRPr lang="fr-FR" sz="1000" b="1"/>
                        </a:p>
                        <a:p>
                          <a:pPr algn="ctr"/>
                          <a:r>
                            <a:rPr lang="fr-FR" sz="1000" b="1" i="1"/>
                            <a:t>Actif           Passif</a:t>
                          </a:r>
                        </a:p>
                      </a:txBody>
                      <a:useSpRect/>
                    </a:txSp>
                  </a:sp>
                  <a:sp>
                    <a:nvSpPr>
                      <a:cNvPr id="96268" name="Line 12"/>
                      <a:cNvSpPr>
                        <a:spLocks noChangeShapeType="1"/>
                      </a:cNvSpPr>
                    </a:nvSpPr>
                    <a:spPr bwMode="auto">
                      <a:xfrm>
                        <a:off x="4213225" y="3357563"/>
                        <a:ext cx="1079500" cy="0"/>
                      </a:xfrm>
                      <a:prstGeom prst="line">
                        <a:avLst/>
                      </a:prstGeom>
                      <a:noFill/>
                      <a:ln w="19050">
                        <a:solidFill>
                          <a:schemeClr val="tx1"/>
                        </a:solidFill>
                        <a:round/>
                        <a:headEnd/>
                        <a:tailEn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fr-FR"/>
                        </a:p>
                      </a:txBody>
                      <a:useSpRect/>
                    </a:txSp>
                  </a:sp>
                  <a:sp>
                    <a:nvSpPr>
                      <a:cNvPr id="96269" name="Line 13"/>
                      <a:cNvSpPr>
                        <a:spLocks noChangeShapeType="1"/>
                      </a:cNvSpPr>
                    </a:nvSpPr>
                    <a:spPr bwMode="auto">
                      <a:xfrm>
                        <a:off x="6588125" y="3357563"/>
                        <a:ext cx="1079500" cy="0"/>
                      </a:xfrm>
                      <a:prstGeom prst="line">
                        <a:avLst/>
                      </a:prstGeom>
                      <a:noFill/>
                      <a:ln w="19050">
                        <a:solidFill>
                          <a:schemeClr val="tx1"/>
                        </a:solidFill>
                        <a:round/>
                        <a:headEnd/>
                        <a:tailEn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fr-FR"/>
                        </a:p>
                      </a:txBody>
                      <a:useSpRect/>
                    </a:txSp>
                  </a:sp>
                  <a:sp>
                    <a:nvSpPr>
                      <a:cNvPr id="96270" name="Line 14"/>
                      <a:cNvSpPr>
                        <a:spLocks noChangeShapeType="1"/>
                      </a:cNvSpPr>
                    </a:nvSpPr>
                    <a:spPr bwMode="auto">
                      <a:xfrm>
                        <a:off x="4716463" y="3355975"/>
                        <a:ext cx="0" cy="288925"/>
                      </a:xfrm>
                      <a:prstGeom prst="line">
                        <a:avLst/>
                      </a:prstGeom>
                      <a:noFill/>
                      <a:ln w="19050">
                        <a:solidFill>
                          <a:schemeClr val="tx1"/>
                        </a:solidFill>
                        <a:round/>
                        <a:headEnd/>
                        <a:tailEn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fr-FR"/>
                        </a:p>
                      </a:txBody>
                      <a:useSpRect/>
                    </a:txSp>
                  </a:sp>
                  <a:sp>
                    <a:nvSpPr>
                      <a:cNvPr id="96271" name="Line 15"/>
                      <a:cNvSpPr>
                        <a:spLocks noChangeShapeType="1"/>
                      </a:cNvSpPr>
                    </a:nvSpPr>
                    <a:spPr bwMode="auto">
                      <a:xfrm>
                        <a:off x="7092950" y="3355975"/>
                        <a:ext cx="0" cy="288925"/>
                      </a:xfrm>
                      <a:prstGeom prst="line">
                        <a:avLst/>
                      </a:prstGeom>
                      <a:noFill/>
                      <a:ln w="19050">
                        <a:solidFill>
                          <a:schemeClr val="tx1"/>
                        </a:solidFill>
                        <a:round/>
                        <a:headEnd/>
                        <a:tailEn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fr-FR"/>
                        </a:p>
                      </a:txBody>
                      <a:useSpRect/>
                    </a:txSp>
                  </a:sp>
                  <a:sp>
                    <a:nvSpPr>
                      <a:cNvPr id="96272" name="Text Box 16"/>
                      <a:cNvSpPr txBox="1">
                        <a:spLocks noChangeArrowheads="1"/>
                      </a:cNvSpPr>
                    </a:nvSpPr>
                    <a:spPr bwMode="auto">
                      <a:xfrm>
                        <a:off x="3563938" y="1700213"/>
                        <a:ext cx="2016125" cy="330200"/>
                      </a:xfrm>
                      <a:prstGeom prst="rect">
                        <a:avLst/>
                      </a:prstGeom>
                      <a:noFill/>
                      <a:ln w="25400">
                        <a:solidFill>
                          <a:schemeClr val="tx1"/>
                        </a:solidFill>
                        <a:miter lim="800000"/>
                        <a:headEnd/>
                        <a:tailEnd/>
                      </a:ln>
                    </a:spPr>
                    <a:txSp>
                      <a:txBody>
                        <a:bodyPr>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spcBef>
                              <a:spcPct val="50000"/>
                            </a:spcBef>
                          </a:pPr>
                          <a:r>
                            <a:rPr lang="fr-FR" sz="1400"/>
                            <a:t>BANQUE CENTRALE</a:t>
                          </a:r>
                        </a:p>
                      </a:txBody>
                      <a:useSpRect/>
                    </a:txSp>
                  </a:sp>
                  <a:sp>
                    <a:nvSpPr>
                      <a:cNvPr id="96281" name="Line 25"/>
                      <a:cNvSpPr>
                        <a:spLocks noChangeShapeType="1"/>
                      </a:cNvSpPr>
                    </a:nvSpPr>
                    <a:spPr bwMode="auto">
                      <a:xfrm>
                        <a:off x="3059113" y="3429000"/>
                        <a:ext cx="865187" cy="0"/>
                      </a:xfrm>
                      <a:prstGeom prst="line">
                        <a:avLst/>
                      </a:prstGeom>
                      <a:noFill/>
                      <a:ln w="38100">
                        <a:solidFill>
                          <a:schemeClr val="accent2"/>
                        </a:solidFill>
                        <a:prstDash val="sysDot"/>
                        <a:round/>
                        <a:headEnd type="stealth" w="med" len="lg"/>
                        <a:tailEnd type="stealth" w="med" len="lg"/>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fr-FR"/>
                        </a:p>
                      </a:txBody>
                      <a:useSpRect/>
                    </a:txSp>
                  </a:sp>
                  <a:sp>
                    <a:nvSpPr>
                      <a:cNvPr id="96282" name="Line 26"/>
                      <a:cNvSpPr>
                        <a:spLocks noChangeShapeType="1"/>
                      </a:cNvSpPr>
                    </a:nvSpPr>
                    <a:spPr bwMode="auto">
                      <a:xfrm>
                        <a:off x="5508625" y="3429000"/>
                        <a:ext cx="792163" cy="0"/>
                      </a:xfrm>
                      <a:prstGeom prst="line">
                        <a:avLst/>
                      </a:prstGeom>
                      <a:noFill/>
                      <a:ln w="38100">
                        <a:solidFill>
                          <a:schemeClr val="accent2"/>
                        </a:solidFill>
                        <a:prstDash val="sysDot"/>
                        <a:round/>
                        <a:headEnd type="stealth" w="med" len="lg"/>
                        <a:tailEnd type="stealth" w="med" len="lg"/>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fr-FR"/>
                        </a:p>
                      </a:txBody>
                      <a:useSpRect/>
                    </a:txSp>
                  </a:sp>
                  <a:sp>
                    <a:nvSpPr>
                      <a:cNvPr id="96283" name="Line 27"/>
                      <a:cNvSpPr>
                        <a:spLocks noChangeShapeType="1"/>
                      </a:cNvSpPr>
                    </a:nvSpPr>
                    <a:spPr bwMode="auto">
                      <a:xfrm flipH="1">
                        <a:off x="3492500" y="2852738"/>
                        <a:ext cx="431800" cy="431800"/>
                      </a:xfrm>
                      <a:prstGeom prst="line">
                        <a:avLst/>
                      </a:prstGeom>
                      <a:noFill/>
                      <a:ln w="25400">
                        <a:solidFill>
                          <a:schemeClr val="accent2"/>
                        </a:solidFill>
                        <a:round/>
                        <a:headEnd/>
                        <a:tailEnd type="triangle" w="med" len="me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fr-FR"/>
                        </a:p>
                      </a:txBody>
                      <a:useSpRect/>
                    </a:txSp>
                  </a:sp>
                  <a:sp>
                    <a:nvSpPr>
                      <a:cNvPr id="96284" name="Line 28"/>
                      <a:cNvSpPr>
                        <a:spLocks noChangeShapeType="1"/>
                      </a:cNvSpPr>
                    </a:nvSpPr>
                    <a:spPr bwMode="auto">
                      <a:xfrm>
                        <a:off x="5364163" y="2852738"/>
                        <a:ext cx="503237" cy="504825"/>
                      </a:xfrm>
                      <a:prstGeom prst="line">
                        <a:avLst/>
                      </a:prstGeom>
                      <a:noFill/>
                      <a:ln w="25400">
                        <a:solidFill>
                          <a:schemeClr val="accent2"/>
                        </a:solidFill>
                        <a:round/>
                        <a:headEnd/>
                        <a:tailEnd type="triangle" w="med" len="me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fr-FR"/>
                        </a:p>
                      </a:txBody>
                      <a:useSpRect/>
                    </a:txSp>
                  </a:sp>
                  <a:sp>
                    <a:nvSpPr>
                      <a:cNvPr id="96286" name="Text Box 30"/>
                      <a:cNvSpPr txBox="1">
                        <a:spLocks noChangeArrowheads="1"/>
                      </a:cNvSpPr>
                    </a:nvSpPr>
                    <a:spPr bwMode="auto">
                      <a:xfrm>
                        <a:off x="3635375" y="4581525"/>
                        <a:ext cx="2108200" cy="723900"/>
                      </a:xfrm>
                      <a:prstGeom prst="rect">
                        <a:avLst/>
                      </a:prstGeom>
                      <a:solidFill>
                        <a:srgbClr val="33CCCC"/>
                      </a:solidFill>
                      <a:ln w="22225">
                        <a:solidFill>
                          <a:schemeClr val="tx1"/>
                        </a:solidFill>
                        <a:miter lim="800000"/>
                        <a:headEnd/>
                        <a:tailEnd/>
                      </a:ln>
                    </a:spPr>
                    <a:txSp>
                      <a:txBody>
                        <a:bodyPr lIns="0" rIns="0">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r>
                            <a:rPr lang="fr-FR" sz="1000" b="1"/>
                            <a:t>BANQUE 2 Rang Y</a:t>
                          </a:r>
                        </a:p>
                        <a:p>
                          <a:pPr algn="ctr"/>
                          <a:endParaRPr lang="fr-FR" sz="1000" b="1"/>
                        </a:p>
                        <a:p>
                          <a:pPr algn="ctr"/>
                          <a:r>
                            <a:rPr lang="fr-FR" sz="1000" b="1" i="1"/>
                            <a:t>Fixe un taux d’intérêt</a:t>
                          </a:r>
                        </a:p>
                        <a:p>
                          <a:pPr algn="ctr"/>
                          <a:endParaRPr lang="fr-FR" sz="1000" b="1" i="1"/>
                        </a:p>
                      </a:txBody>
                      <a:useSpRect/>
                    </a:txSp>
                  </a:sp>
                  <a:sp>
                    <a:nvSpPr>
                      <a:cNvPr id="96287" name="Text Box 31"/>
                      <a:cNvSpPr txBox="1">
                        <a:spLocks noChangeArrowheads="1"/>
                      </a:cNvSpPr>
                    </a:nvSpPr>
                    <a:spPr bwMode="auto">
                      <a:xfrm>
                        <a:off x="6640513" y="4576763"/>
                        <a:ext cx="2108200" cy="723900"/>
                      </a:xfrm>
                      <a:prstGeom prst="rect">
                        <a:avLst/>
                      </a:prstGeom>
                      <a:solidFill>
                        <a:srgbClr val="CC99FF"/>
                      </a:solidFill>
                      <a:ln w="22225">
                        <a:solidFill>
                          <a:schemeClr val="tx1"/>
                        </a:solidFill>
                        <a:miter lim="800000"/>
                        <a:headEnd/>
                        <a:tailEnd/>
                      </a:ln>
                    </a:spPr>
                    <a:txSp>
                      <a:txBody>
                        <a:bodyPr lIns="0" rIns="0">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r>
                            <a:rPr lang="fr-FR" sz="1000" b="1"/>
                            <a:t>BANQUE 2 Rang Z</a:t>
                          </a:r>
                        </a:p>
                        <a:p>
                          <a:pPr algn="ctr"/>
                          <a:endParaRPr lang="fr-FR" sz="1000" b="1"/>
                        </a:p>
                        <a:p>
                          <a:pPr algn="ctr"/>
                          <a:r>
                            <a:rPr lang="fr-FR" sz="1000" b="1" i="1"/>
                            <a:t>Fixe un taux d’intérêt</a:t>
                          </a:r>
                        </a:p>
                        <a:p>
                          <a:pPr algn="ctr"/>
                          <a:r>
                            <a:rPr lang="fr-FR" sz="1000" b="1" i="1"/>
                            <a:t> </a:t>
                          </a:r>
                        </a:p>
                      </a:txBody>
                      <a:useSpRect/>
                    </a:txSp>
                  </a:sp>
                  <a:sp>
                    <a:nvSpPr>
                      <a:cNvPr id="96288" name="Line 32"/>
                      <a:cNvSpPr>
                        <a:spLocks noChangeShapeType="1"/>
                      </a:cNvSpPr>
                    </a:nvSpPr>
                    <a:spPr bwMode="auto">
                      <a:xfrm flipV="1">
                        <a:off x="1476375" y="3644900"/>
                        <a:ext cx="792163" cy="936625"/>
                      </a:xfrm>
                      <a:prstGeom prst="line">
                        <a:avLst/>
                      </a:prstGeom>
                      <a:noFill/>
                      <a:ln w="50800">
                        <a:solidFill>
                          <a:srgbClr val="008080"/>
                        </a:solidFill>
                        <a:round/>
                        <a:headEnd type="oval" w="med" len="med"/>
                        <a:tailEnd type="oval" w="med" len="me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fr-FR"/>
                        </a:p>
                      </a:txBody>
                      <a:useSpRect/>
                    </a:txSp>
                  </a:sp>
                  <a:sp>
                    <a:nvSpPr>
                      <a:cNvPr id="96289" name="Line 33"/>
                      <a:cNvSpPr>
                        <a:spLocks noChangeShapeType="1"/>
                      </a:cNvSpPr>
                    </a:nvSpPr>
                    <a:spPr bwMode="auto">
                      <a:xfrm flipV="1">
                        <a:off x="4716463" y="3644900"/>
                        <a:ext cx="0" cy="936625"/>
                      </a:xfrm>
                      <a:prstGeom prst="line">
                        <a:avLst/>
                      </a:prstGeom>
                      <a:noFill/>
                      <a:ln w="50800">
                        <a:solidFill>
                          <a:srgbClr val="33CCCC"/>
                        </a:solidFill>
                        <a:round/>
                        <a:headEnd type="oval" w="med" len="med"/>
                        <a:tailEnd type="oval" w="med" len="me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fr-FR"/>
                        </a:p>
                      </a:txBody>
                      <a:useSpRect/>
                    </a:txSp>
                  </a:sp>
                  <a:sp>
                    <a:nvSpPr>
                      <a:cNvPr id="96290" name="Line 34"/>
                      <a:cNvSpPr>
                        <a:spLocks noChangeShapeType="1"/>
                      </a:cNvSpPr>
                    </a:nvSpPr>
                    <a:spPr bwMode="auto">
                      <a:xfrm flipH="1" flipV="1">
                        <a:off x="7092950" y="3644900"/>
                        <a:ext cx="574675" cy="936625"/>
                      </a:xfrm>
                      <a:prstGeom prst="line">
                        <a:avLst/>
                      </a:prstGeom>
                      <a:noFill/>
                      <a:ln w="50800">
                        <a:solidFill>
                          <a:srgbClr val="CC99FF"/>
                        </a:solidFill>
                        <a:round/>
                        <a:headEnd type="oval" w="med" len="med"/>
                        <a:tailEnd type="oval" w="med" len="me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fr-FR"/>
                        </a:p>
                      </a:txBody>
                      <a:useSpRect/>
                    </a:txSp>
                  </a:sp>
                  <a:sp>
                    <a:nvSpPr>
                      <a:cNvPr id="96291" name="Text Box 35"/>
                      <a:cNvSpPr txBox="1">
                        <a:spLocks noChangeArrowheads="1"/>
                      </a:cNvSpPr>
                    </a:nvSpPr>
                    <a:spPr bwMode="auto">
                      <a:xfrm>
                        <a:off x="3852863" y="3933825"/>
                        <a:ext cx="1871662" cy="488950"/>
                      </a:xfrm>
                      <a:prstGeom prst="rect">
                        <a:avLst/>
                      </a:prstGeom>
                      <a:solidFill>
                        <a:schemeClr val="bg1"/>
                      </a:solidFill>
                      <a:ln w="31750">
                        <a:solidFill>
                          <a:schemeClr val="accent2"/>
                        </a:solidFill>
                        <a:miter lim="800000"/>
                        <a:headEnd/>
                        <a:tailEnd/>
                      </a:ln>
                    </a:spPr>
                    <a:txSp>
                      <a:txBody>
                        <a:bodyPr>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r>
                            <a:rPr lang="fr-FR" sz="1200" b="1" i="1">
                              <a:solidFill>
                                <a:schemeClr val="accent2"/>
                              </a:solidFill>
                            </a:rPr>
                            <a:t>Compensation en monnaie centrale</a:t>
                          </a:r>
                        </a:p>
                      </a:txBody>
                      <a:useSpRect/>
                    </a:txSp>
                  </a:sp>
                  <a:sp>
                    <a:nvSpPr>
                      <a:cNvPr id="96292" name="Line 36"/>
                      <a:cNvSpPr>
                        <a:spLocks noChangeShapeType="1"/>
                      </a:cNvSpPr>
                    </a:nvSpPr>
                    <a:spPr bwMode="auto">
                      <a:xfrm flipH="1" flipV="1">
                        <a:off x="3492500" y="3429000"/>
                        <a:ext cx="358775" cy="504825"/>
                      </a:xfrm>
                      <a:prstGeom prst="line">
                        <a:avLst/>
                      </a:prstGeom>
                      <a:noFill/>
                      <a:ln w="31750">
                        <a:solidFill>
                          <a:schemeClr val="accent2"/>
                        </a:solidFill>
                        <a:prstDash val="sysDot"/>
                        <a:round/>
                        <a:headEnd type="oval" w="med" len="med"/>
                        <a:tailEnd type="oval" w="med" len="me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fr-FR"/>
                        </a:p>
                      </a:txBody>
                      <a:useSpRect/>
                    </a:txSp>
                  </a:sp>
                  <a:sp>
                    <a:nvSpPr>
                      <a:cNvPr id="96293" name="Line 37"/>
                      <a:cNvSpPr>
                        <a:spLocks noChangeShapeType="1"/>
                      </a:cNvSpPr>
                    </a:nvSpPr>
                    <a:spPr bwMode="auto">
                      <a:xfrm flipV="1">
                        <a:off x="5724525" y="3429000"/>
                        <a:ext cx="215900" cy="504825"/>
                      </a:xfrm>
                      <a:prstGeom prst="line">
                        <a:avLst/>
                      </a:prstGeom>
                      <a:noFill/>
                      <a:ln w="31750">
                        <a:solidFill>
                          <a:schemeClr val="accent2"/>
                        </a:solidFill>
                        <a:prstDash val="sysDot"/>
                        <a:round/>
                        <a:headEnd type="oval" w="med" len="med"/>
                        <a:tailEnd type="oval" w="med" len="me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fr-FR"/>
                        </a:p>
                      </a:txBody>
                      <a:useSpRect/>
                    </a:txSp>
                  </a:sp>
                  <a:sp>
                    <a:nvSpPr>
                      <a:cNvPr id="96295" name="Line 39"/>
                      <a:cNvSpPr>
                        <a:spLocks noChangeShapeType="1"/>
                      </a:cNvSpPr>
                    </a:nvSpPr>
                    <a:spPr bwMode="auto">
                      <a:xfrm>
                        <a:off x="1476375" y="5229225"/>
                        <a:ext cx="0" cy="792163"/>
                      </a:xfrm>
                      <a:prstGeom prst="line">
                        <a:avLst/>
                      </a:prstGeom>
                      <a:noFill/>
                      <a:ln w="44450">
                        <a:solidFill>
                          <a:srgbClr val="008080"/>
                        </a:solidFill>
                        <a:round/>
                        <a:headEnd/>
                        <a:tailEnd type="stealth" w="lg" len="me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fr-FR"/>
                        </a:p>
                      </a:txBody>
                      <a:useSpRect/>
                    </a:txSp>
                  </a:sp>
                  <a:sp>
                    <a:nvSpPr>
                      <a:cNvPr id="96296" name="Text Box 40"/>
                      <a:cNvSpPr txBox="1">
                        <a:spLocks noChangeArrowheads="1"/>
                      </a:cNvSpPr>
                    </a:nvSpPr>
                    <a:spPr bwMode="auto">
                      <a:xfrm>
                        <a:off x="1116013" y="5516563"/>
                        <a:ext cx="720725" cy="296862"/>
                      </a:xfrm>
                      <a:prstGeom prst="rect">
                        <a:avLst/>
                      </a:prstGeom>
                      <a:solidFill>
                        <a:schemeClr val="bg1"/>
                      </a:solidFill>
                      <a:ln w="22225">
                        <a:solidFill>
                          <a:srgbClr val="008080"/>
                        </a:solidFill>
                        <a:miter lim="800000"/>
                        <a:headEnd/>
                        <a:tailEnd/>
                      </a:ln>
                    </a:spPr>
                    <a:txSp>
                      <a:txBody>
                        <a:bodyPr lIns="0" rIns="0">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r>
                            <a:rPr lang="fr-FR" sz="1200" b="1" i="1">
                              <a:solidFill>
                                <a:srgbClr val="008080"/>
                              </a:solidFill>
                            </a:rPr>
                            <a:t>Crédits</a:t>
                          </a:r>
                        </a:p>
                      </a:txBody>
                      <a:useSpRect/>
                    </a:txSp>
                  </a:sp>
                  <a:sp>
                    <a:nvSpPr>
                      <a:cNvPr id="96298" name="Line 42"/>
                      <a:cNvSpPr>
                        <a:spLocks noChangeShapeType="1"/>
                      </a:cNvSpPr>
                    </a:nvSpPr>
                    <a:spPr bwMode="auto">
                      <a:xfrm>
                        <a:off x="4716463" y="5229225"/>
                        <a:ext cx="0" cy="792163"/>
                      </a:xfrm>
                      <a:prstGeom prst="line">
                        <a:avLst/>
                      </a:prstGeom>
                      <a:noFill/>
                      <a:ln w="44450">
                        <a:solidFill>
                          <a:srgbClr val="33CCCC"/>
                        </a:solidFill>
                        <a:round/>
                        <a:headEnd/>
                        <a:tailEnd type="stealth" w="lg" len="me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fr-FR"/>
                        </a:p>
                      </a:txBody>
                      <a:useSpRect/>
                    </a:txSp>
                  </a:sp>
                  <a:sp>
                    <a:nvSpPr>
                      <a:cNvPr id="96299" name="Line 43"/>
                      <a:cNvSpPr>
                        <a:spLocks noChangeShapeType="1"/>
                      </a:cNvSpPr>
                    </a:nvSpPr>
                    <a:spPr bwMode="auto">
                      <a:xfrm>
                        <a:off x="7740650" y="5229225"/>
                        <a:ext cx="0" cy="792163"/>
                      </a:xfrm>
                      <a:prstGeom prst="line">
                        <a:avLst/>
                      </a:prstGeom>
                      <a:noFill/>
                      <a:ln w="44450">
                        <a:solidFill>
                          <a:srgbClr val="CC99FF"/>
                        </a:solidFill>
                        <a:round/>
                        <a:headEnd/>
                        <a:tailEnd type="stealth" w="lg" len="me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fr-FR"/>
                        </a:p>
                      </a:txBody>
                      <a:useSpRect/>
                    </a:txSp>
                  </a:sp>
                  <a:sp>
                    <a:nvSpPr>
                      <a:cNvPr id="96301" name="Text Box 45"/>
                      <a:cNvSpPr txBox="1">
                        <a:spLocks noChangeArrowheads="1"/>
                      </a:cNvSpPr>
                    </a:nvSpPr>
                    <a:spPr bwMode="auto">
                      <a:xfrm>
                        <a:off x="4356100" y="5530850"/>
                        <a:ext cx="720725" cy="296863"/>
                      </a:xfrm>
                      <a:prstGeom prst="rect">
                        <a:avLst/>
                      </a:prstGeom>
                      <a:solidFill>
                        <a:schemeClr val="bg1"/>
                      </a:solidFill>
                      <a:ln w="22225">
                        <a:solidFill>
                          <a:srgbClr val="33CCCC"/>
                        </a:solidFill>
                        <a:miter lim="800000"/>
                        <a:headEnd/>
                        <a:tailEnd/>
                      </a:ln>
                    </a:spPr>
                    <a:txSp>
                      <a:txBody>
                        <a:bodyPr lIns="0" rIns="0">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r>
                            <a:rPr lang="fr-FR" sz="1200" b="1" i="1">
                              <a:solidFill>
                                <a:srgbClr val="33CCCC"/>
                              </a:solidFill>
                            </a:rPr>
                            <a:t>Crédits</a:t>
                          </a:r>
                        </a:p>
                      </a:txBody>
                      <a:useSpRect/>
                    </a:txSp>
                  </a:sp>
                  <a:sp>
                    <a:nvSpPr>
                      <a:cNvPr id="96302" name="Text Box 46"/>
                      <a:cNvSpPr txBox="1">
                        <a:spLocks noChangeArrowheads="1"/>
                      </a:cNvSpPr>
                    </a:nvSpPr>
                    <a:spPr bwMode="auto">
                      <a:xfrm>
                        <a:off x="7380288" y="5530850"/>
                        <a:ext cx="720725" cy="296863"/>
                      </a:xfrm>
                      <a:prstGeom prst="rect">
                        <a:avLst/>
                      </a:prstGeom>
                      <a:solidFill>
                        <a:schemeClr val="bg1"/>
                      </a:solidFill>
                      <a:ln w="22225">
                        <a:solidFill>
                          <a:srgbClr val="CC99FF"/>
                        </a:solidFill>
                        <a:miter lim="800000"/>
                        <a:headEnd/>
                        <a:tailEnd/>
                      </a:ln>
                    </a:spPr>
                    <a:txSp>
                      <a:txBody>
                        <a:bodyPr lIns="0" rIns="0">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r>
                            <a:rPr lang="fr-FR" sz="1200" b="1" i="1" dirty="0">
                              <a:solidFill>
                                <a:srgbClr val="CC99FF"/>
                              </a:solidFill>
                            </a:rPr>
                            <a:t>Crédits</a:t>
                          </a:r>
                        </a:p>
                      </a:txBody>
                      <a:useSpRect/>
                    </a:txSp>
                  </a:sp>
                  <a:sp>
                    <a:nvSpPr>
                      <a:cNvPr id="52" name="Line 27"/>
                      <a:cNvSpPr>
                        <a:spLocks noChangeShapeType="1"/>
                      </a:cNvSpPr>
                    </a:nvSpPr>
                    <a:spPr bwMode="auto">
                      <a:xfrm flipH="1">
                        <a:off x="2489200" y="2827338"/>
                        <a:ext cx="736600" cy="157162"/>
                      </a:xfrm>
                      <a:prstGeom prst="line">
                        <a:avLst/>
                      </a:prstGeom>
                      <a:noFill/>
                      <a:ln w="25400">
                        <a:solidFill>
                          <a:schemeClr val="accent2"/>
                        </a:solidFill>
                        <a:round/>
                        <a:headEnd/>
                        <a:tailEnd type="triangle" w="med" len="me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fr-FR"/>
                        </a:p>
                      </a:txBody>
                      <a:useSpRect/>
                    </a:txSp>
                  </a:sp>
                  <a:sp>
                    <a:nvSpPr>
                      <a:cNvPr id="53" name="Line 28"/>
                      <a:cNvSpPr>
                        <a:spLocks noChangeShapeType="1"/>
                      </a:cNvSpPr>
                    </a:nvSpPr>
                    <a:spPr bwMode="auto">
                      <a:xfrm>
                        <a:off x="6202363" y="2840038"/>
                        <a:ext cx="706437" cy="207962"/>
                      </a:xfrm>
                      <a:prstGeom prst="line">
                        <a:avLst/>
                      </a:prstGeom>
                      <a:noFill/>
                      <a:ln w="25400">
                        <a:solidFill>
                          <a:schemeClr val="accent2"/>
                        </a:solidFill>
                        <a:round/>
                        <a:headEnd/>
                        <a:tailEnd type="triangle" w="med" len="me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fr-FR"/>
                        </a:p>
                      </a:txBody>
                      <a:useSpRect/>
                    </a:txSp>
                  </a:sp>
                </lc:lockedCanvas>
              </a:graphicData>
            </a:graphic>
          </wp:inline>
        </w:drawing>
      </w:r>
    </w:p>
    <w:p w:rsidR="00117769" w:rsidRPr="00FA4826" w:rsidRDefault="00117769" w:rsidP="00123CAF">
      <w:pPr>
        <w:spacing w:after="0"/>
        <w:rPr>
          <w:rFonts w:ascii="Arial" w:hAnsi="Arial" w:cs="Arial"/>
          <w:i w:val="0"/>
        </w:rPr>
      </w:pPr>
      <w:r w:rsidRPr="00FA4826">
        <w:rPr>
          <w:rFonts w:ascii="Arial" w:hAnsi="Arial" w:cs="Arial"/>
          <w:i w:val="0"/>
        </w:rPr>
        <w:lastRenderedPageBreak/>
        <w:t xml:space="preserve">En fonctions des taux directeurs, les banques de second rang cherche à faire du bénéfice et offre ou non du crédit. Enchaînement en cascade. </w:t>
      </w:r>
    </w:p>
    <w:p w:rsidR="00117769" w:rsidRPr="00FA4826" w:rsidRDefault="00117769" w:rsidP="00123CAF">
      <w:pPr>
        <w:spacing w:after="0"/>
        <w:rPr>
          <w:rFonts w:ascii="Arial" w:hAnsi="Arial" w:cs="Arial"/>
          <w:i w:val="0"/>
        </w:rPr>
      </w:pPr>
      <w:r w:rsidRPr="00FA4826">
        <w:rPr>
          <w:rFonts w:ascii="Arial" w:hAnsi="Arial" w:cs="Arial"/>
          <w:i w:val="0"/>
        </w:rPr>
        <w:t xml:space="preserve">Pourquoi les taux directeurs </w:t>
      </w:r>
      <w:proofErr w:type="spellStart"/>
      <w:r w:rsidRPr="00FA4826">
        <w:rPr>
          <w:rFonts w:ascii="Arial" w:hAnsi="Arial" w:cs="Arial"/>
          <w:i w:val="0"/>
        </w:rPr>
        <w:t>ont ils</w:t>
      </w:r>
      <w:proofErr w:type="spellEnd"/>
      <w:r w:rsidRPr="00FA4826">
        <w:rPr>
          <w:rFonts w:ascii="Arial" w:hAnsi="Arial" w:cs="Arial"/>
          <w:i w:val="0"/>
        </w:rPr>
        <w:t xml:space="preserve"> augmentés ces </w:t>
      </w:r>
      <w:proofErr w:type="spellStart"/>
      <w:r w:rsidRPr="00FA4826">
        <w:rPr>
          <w:rFonts w:ascii="Arial" w:hAnsi="Arial" w:cs="Arial"/>
          <w:i w:val="0"/>
        </w:rPr>
        <w:t>temps ci</w:t>
      </w:r>
      <w:proofErr w:type="spellEnd"/>
      <w:r w:rsidRPr="00FA4826">
        <w:rPr>
          <w:rFonts w:ascii="Arial" w:hAnsi="Arial" w:cs="Arial"/>
          <w:i w:val="0"/>
        </w:rPr>
        <w:t xml:space="preserve"> en Europe ? Car l’inflation reprend un peu, l’objectif étant 2% d’inflation pour la BCE. Le crédit va être plus cher à la consommation, alors les agents feront moins de crédit. Si on réduit le crédit, on diminue la masse monétaire donc </w:t>
      </w:r>
      <w:proofErr w:type="gramStart"/>
      <w:r w:rsidRPr="00FA4826">
        <w:rPr>
          <w:rFonts w:ascii="Arial" w:hAnsi="Arial" w:cs="Arial"/>
          <w:i w:val="0"/>
        </w:rPr>
        <w:t>diminuer</w:t>
      </w:r>
      <w:proofErr w:type="gramEnd"/>
      <w:r w:rsidRPr="00FA4826">
        <w:rPr>
          <w:rFonts w:ascii="Arial" w:hAnsi="Arial" w:cs="Arial"/>
          <w:i w:val="0"/>
        </w:rPr>
        <w:t xml:space="preserve"> l’inflation.</w:t>
      </w:r>
    </w:p>
    <w:p w:rsidR="00117769" w:rsidRPr="00FA4826" w:rsidRDefault="002C4D8C" w:rsidP="00123CAF">
      <w:pPr>
        <w:spacing w:after="0"/>
        <w:rPr>
          <w:rFonts w:ascii="Arial" w:hAnsi="Arial" w:cs="Arial"/>
          <w:i w:val="0"/>
        </w:rPr>
      </w:pPr>
      <w:r w:rsidRPr="00FA4826">
        <w:rPr>
          <w:rFonts w:ascii="Arial" w:hAnsi="Arial" w:cs="Arial"/>
          <w:i w:val="0"/>
        </w:rPr>
        <w:t>Le</w:t>
      </w:r>
      <w:r w:rsidR="00117769" w:rsidRPr="00FA4826">
        <w:rPr>
          <w:rFonts w:ascii="Arial" w:hAnsi="Arial" w:cs="Arial"/>
          <w:i w:val="0"/>
        </w:rPr>
        <w:t xml:space="preserve"> niveau du taux directeur va impacter fortement la création monétaire. La BC assure la cohérence du système monétaire et bancaire car :</w:t>
      </w:r>
    </w:p>
    <w:p w:rsidR="00117769" w:rsidRPr="00FA4826" w:rsidRDefault="00117769" w:rsidP="00123CAF">
      <w:pPr>
        <w:spacing w:after="0"/>
        <w:rPr>
          <w:rFonts w:ascii="Arial" w:hAnsi="Arial" w:cs="Arial"/>
          <w:i w:val="0"/>
        </w:rPr>
      </w:pPr>
      <w:r w:rsidRPr="00FA4826">
        <w:rPr>
          <w:rFonts w:ascii="Arial" w:hAnsi="Arial" w:cs="Arial"/>
          <w:i w:val="0"/>
        </w:rPr>
        <w:t xml:space="preserve">Elle assure le fonctionnement du système de paiement. Elle garantit les transferts d’argent </w:t>
      </w:r>
    </w:p>
    <w:p w:rsidR="00117769" w:rsidRPr="00FA4826" w:rsidRDefault="00117769" w:rsidP="00123CAF">
      <w:pPr>
        <w:spacing w:after="0"/>
        <w:rPr>
          <w:rFonts w:ascii="Arial" w:hAnsi="Arial" w:cs="Arial"/>
          <w:i w:val="0"/>
        </w:rPr>
      </w:pPr>
      <w:r w:rsidRPr="00FA4826">
        <w:rPr>
          <w:rFonts w:ascii="Arial" w:hAnsi="Arial" w:cs="Arial"/>
          <w:i w:val="0"/>
        </w:rPr>
        <w:t xml:space="preserve">Elle va réguler l’offre de monnaie. </w:t>
      </w:r>
    </w:p>
    <w:p w:rsidR="00117769" w:rsidRPr="00FA4826" w:rsidRDefault="00117769" w:rsidP="00123CAF">
      <w:pPr>
        <w:spacing w:after="0"/>
        <w:rPr>
          <w:rFonts w:ascii="Arial" w:hAnsi="Arial" w:cs="Arial"/>
          <w:i w:val="0"/>
        </w:rPr>
      </w:pPr>
      <w:r w:rsidRPr="00FA4826">
        <w:rPr>
          <w:rFonts w:ascii="Arial" w:hAnsi="Arial" w:cs="Arial"/>
          <w:i w:val="0"/>
        </w:rPr>
        <w:t xml:space="preserve">Elle assure la convertibilité des monnaies émises par chaque banques (monnaie de la </w:t>
      </w:r>
      <w:proofErr w:type="spellStart"/>
      <w:r w:rsidRPr="00FA4826">
        <w:rPr>
          <w:rFonts w:ascii="Arial" w:hAnsi="Arial" w:cs="Arial"/>
          <w:i w:val="0"/>
        </w:rPr>
        <w:t>bnp</w:t>
      </w:r>
      <w:proofErr w:type="spellEnd"/>
      <w:r w:rsidRPr="00FA4826">
        <w:rPr>
          <w:rFonts w:ascii="Arial" w:hAnsi="Arial" w:cs="Arial"/>
          <w:i w:val="0"/>
        </w:rPr>
        <w:t xml:space="preserve">, du crédit mutuel </w:t>
      </w:r>
      <w:proofErr w:type="spellStart"/>
      <w:r w:rsidRPr="00FA4826">
        <w:rPr>
          <w:rFonts w:ascii="Arial" w:hAnsi="Arial" w:cs="Arial"/>
          <w:i w:val="0"/>
        </w:rPr>
        <w:t>etc</w:t>
      </w:r>
      <w:proofErr w:type="spellEnd"/>
      <w:r w:rsidRPr="00FA4826">
        <w:rPr>
          <w:rFonts w:ascii="Arial" w:hAnsi="Arial" w:cs="Arial"/>
          <w:i w:val="0"/>
        </w:rPr>
        <w:t xml:space="preserve"> mais les euros sont convertibles d’une banque à l’autre grâce à la BC).</w:t>
      </w:r>
    </w:p>
    <w:p w:rsidR="00117769" w:rsidRPr="00FA4826" w:rsidRDefault="00117769" w:rsidP="00123CAF">
      <w:pPr>
        <w:spacing w:after="0"/>
        <w:rPr>
          <w:rFonts w:ascii="Arial" w:hAnsi="Arial" w:cs="Arial"/>
          <w:i w:val="0"/>
        </w:rPr>
      </w:pPr>
    </w:p>
    <w:p w:rsidR="00117769" w:rsidRPr="00FA4826" w:rsidRDefault="00117769" w:rsidP="00123CAF">
      <w:pPr>
        <w:spacing w:after="0"/>
        <w:rPr>
          <w:rFonts w:ascii="Arial" w:hAnsi="Arial" w:cs="Arial"/>
          <w:i w:val="0"/>
        </w:rPr>
      </w:pPr>
      <w:r w:rsidRPr="00FA4826">
        <w:rPr>
          <w:rFonts w:ascii="Arial" w:hAnsi="Arial" w:cs="Arial"/>
          <w:i w:val="0"/>
        </w:rPr>
        <w:t xml:space="preserve">La variation de monnaie centrale conditionne la création monétaire.  </w:t>
      </w:r>
    </w:p>
    <w:p w:rsidR="00117769" w:rsidRPr="00FA4826" w:rsidRDefault="00117769" w:rsidP="00123CAF">
      <w:pPr>
        <w:spacing w:after="0"/>
        <w:rPr>
          <w:rFonts w:ascii="Arial" w:hAnsi="Arial" w:cs="Arial"/>
          <w:i w:val="0"/>
        </w:rPr>
      </w:pPr>
      <w:r w:rsidRPr="00FA4826">
        <w:rPr>
          <w:rFonts w:ascii="Arial" w:hAnsi="Arial" w:cs="Arial"/>
          <w:i w:val="0"/>
        </w:rPr>
        <w:t xml:space="preserve">Elle rend un service public. Elle n’est pas un élément du marché, elle est une institution qui permet à l’économie de fonctionner. Ce constat semble infirmer les propositions de certains économistes qui soutiennent que le marché régulerait mieux la création monétaire. Si on supprime la BC, l’économie monétaire perd son sens. </w:t>
      </w:r>
    </w:p>
    <w:p w:rsidR="00117769" w:rsidRPr="00FA4826" w:rsidRDefault="00117769" w:rsidP="00123CAF">
      <w:pPr>
        <w:spacing w:after="0"/>
        <w:rPr>
          <w:rFonts w:ascii="Arial" w:hAnsi="Arial" w:cs="Arial"/>
          <w:i w:val="0"/>
        </w:rPr>
      </w:pPr>
    </w:p>
    <w:p w:rsidR="002C4D8C" w:rsidRPr="00FA4826" w:rsidRDefault="00117769" w:rsidP="00123CAF">
      <w:pPr>
        <w:pStyle w:val="Titre2"/>
        <w:rPr>
          <w:rFonts w:ascii="Arial" w:hAnsi="Arial" w:cs="Arial"/>
          <w:i w:val="0"/>
        </w:rPr>
      </w:pPr>
      <w:bookmarkStart w:id="13" w:name="_Toc379227128"/>
      <w:r w:rsidRPr="00FA4826">
        <w:rPr>
          <w:rFonts w:ascii="Arial" w:hAnsi="Arial" w:cs="Arial"/>
          <w:i w:val="0"/>
        </w:rPr>
        <w:t>6. Conclusion</w:t>
      </w:r>
      <w:r w:rsidR="002C4D8C" w:rsidRPr="00FA4826">
        <w:rPr>
          <w:rFonts w:ascii="Arial" w:hAnsi="Arial" w:cs="Arial"/>
          <w:i w:val="0"/>
        </w:rPr>
        <w:t> :</w:t>
      </w:r>
      <w:bookmarkEnd w:id="13"/>
    </w:p>
    <w:p w:rsidR="00117769" w:rsidRPr="00FA4826" w:rsidRDefault="00117769" w:rsidP="00123CAF">
      <w:pPr>
        <w:spacing w:after="0"/>
        <w:rPr>
          <w:rFonts w:ascii="Arial" w:hAnsi="Arial" w:cs="Arial"/>
          <w:i w:val="0"/>
        </w:rPr>
      </w:pPr>
    </w:p>
    <w:tbl>
      <w:tblPr>
        <w:tblStyle w:val="Grilledutableau"/>
        <w:tblW w:w="0" w:type="auto"/>
        <w:tblLook w:val="00A0" w:firstRow="1" w:lastRow="0" w:firstColumn="1" w:lastColumn="0" w:noHBand="0" w:noVBand="0"/>
      </w:tblPr>
      <w:tblGrid>
        <w:gridCol w:w="4603"/>
        <w:gridCol w:w="4603"/>
      </w:tblGrid>
      <w:tr w:rsidR="00117769" w:rsidRPr="00FA4826">
        <w:tc>
          <w:tcPr>
            <w:tcW w:w="4603" w:type="dxa"/>
          </w:tcPr>
          <w:p w:rsidR="00117769" w:rsidRPr="00FA4826" w:rsidRDefault="00117769" w:rsidP="00123CAF">
            <w:pPr>
              <w:rPr>
                <w:rFonts w:ascii="Arial" w:hAnsi="Arial" w:cs="Arial"/>
                <w:i w:val="0"/>
              </w:rPr>
            </w:pPr>
            <w:r w:rsidRPr="00FA4826">
              <w:rPr>
                <w:rFonts w:ascii="Arial" w:hAnsi="Arial" w:cs="Arial"/>
                <w:i w:val="0"/>
              </w:rPr>
              <w:t>Création</w:t>
            </w:r>
          </w:p>
        </w:tc>
        <w:tc>
          <w:tcPr>
            <w:tcW w:w="4603" w:type="dxa"/>
          </w:tcPr>
          <w:p w:rsidR="00117769" w:rsidRPr="00FA4826" w:rsidRDefault="00117769" w:rsidP="00123CAF">
            <w:pPr>
              <w:rPr>
                <w:rFonts w:ascii="Arial" w:hAnsi="Arial" w:cs="Arial"/>
                <w:i w:val="0"/>
              </w:rPr>
            </w:pPr>
            <w:r w:rsidRPr="00FA4826">
              <w:rPr>
                <w:rFonts w:ascii="Arial" w:hAnsi="Arial" w:cs="Arial"/>
                <w:i w:val="0"/>
              </w:rPr>
              <w:t>Forme de monnaie</w:t>
            </w:r>
          </w:p>
        </w:tc>
      </w:tr>
      <w:tr w:rsidR="00117769" w:rsidRPr="00FA4826">
        <w:tc>
          <w:tcPr>
            <w:tcW w:w="4603" w:type="dxa"/>
          </w:tcPr>
          <w:p w:rsidR="00117769" w:rsidRPr="00FA4826" w:rsidRDefault="00117769" w:rsidP="00123CAF">
            <w:pPr>
              <w:rPr>
                <w:rFonts w:ascii="Arial" w:hAnsi="Arial" w:cs="Arial"/>
                <w:i w:val="0"/>
              </w:rPr>
            </w:pPr>
            <w:r w:rsidRPr="00FA4826">
              <w:rPr>
                <w:rFonts w:ascii="Arial" w:hAnsi="Arial" w:cs="Arial"/>
                <w:i w:val="0"/>
              </w:rPr>
              <w:t>Trésor public = banque de l’Etat</w:t>
            </w:r>
          </w:p>
        </w:tc>
        <w:tc>
          <w:tcPr>
            <w:tcW w:w="4603" w:type="dxa"/>
          </w:tcPr>
          <w:p w:rsidR="00117769" w:rsidRPr="00FA4826" w:rsidRDefault="00117769" w:rsidP="00123CAF">
            <w:pPr>
              <w:rPr>
                <w:rFonts w:ascii="Arial" w:hAnsi="Arial" w:cs="Arial"/>
                <w:i w:val="0"/>
              </w:rPr>
            </w:pPr>
            <w:r w:rsidRPr="00FA4826">
              <w:rPr>
                <w:rFonts w:ascii="Arial" w:hAnsi="Arial" w:cs="Arial"/>
                <w:i w:val="0"/>
              </w:rPr>
              <w:t>Monnaie divisionnaire = pièces</w:t>
            </w:r>
          </w:p>
        </w:tc>
      </w:tr>
      <w:tr w:rsidR="00117769" w:rsidRPr="00FA4826">
        <w:tc>
          <w:tcPr>
            <w:tcW w:w="4603" w:type="dxa"/>
          </w:tcPr>
          <w:p w:rsidR="00117769" w:rsidRPr="00FA4826" w:rsidRDefault="00117769" w:rsidP="00123CAF">
            <w:pPr>
              <w:rPr>
                <w:rFonts w:ascii="Arial" w:hAnsi="Arial" w:cs="Arial"/>
                <w:i w:val="0"/>
              </w:rPr>
            </w:pPr>
            <w:r w:rsidRPr="00FA4826">
              <w:rPr>
                <w:rFonts w:ascii="Arial" w:hAnsi="Arial" w:cs="Arial"/>
                <w:i w:val="0"/>
              </w:rPr>
              <w:t>Banque Centrale :</w:t>
            </w:r>
          </w:p>
          <w:p w:rsidR="00117769" w:rsidRPr="00FA4826" w:rsidRDefault="00117769" w:rsidP="00123CAF">
            <w:pPr>
              <w:rPr>
                <w:rFonts w:ascii="Arial" w:hAnsi="Arial" w:cs="Arial"/>
                <w:i w:val="0"/>
              </w:rPr>
            </w:pPr>
            <w:r w:rsidRPr="00FA4826">
              <w:rPr>
                <w:rFonts w:ascii="Arial" w:hAnsi="Arial" w:cs="Arial"/>
                <w:i w:val="0"/>
              </w:rPr>
              <w:t xml:space="preserve">- politique monétaire </w:t>
            </w:r>
          </w:p>
          <w:p w:rsidR="00117769" w:rsidRPr="00FA4826" w:rsidRDefault="00117769" w:rsidP="00123CAF">
            <w:pPr>
              <w:rPr>
                <w:rFonts w:ascii="Arial" w:hAnsi="Arial" w:cs="Arial"/>
                <w:i w:val="0"/>
              </w:rPr>
            </w:pPr>
            <w:r w:rsidRPr="00FA4826">
              <w:rPr>
                <w:rFonts w:ascii="Arial" w:hAnsi="Arial" w:cs="Arial"/>
                <w:i w:val="0"/>
              </w:rPr>
              <w:t>- fixe les taux directeurs</w:t>
            </w:r>
          </w:p>
          <w:p w:rsidR="00117769" w:rsidRPr="00FA4826" w:rsidRDefault="00117769" w:rsidP="00123CAF">
            <w:pPr>
              <w:rPr>
                <w:rFonts w:ascii="Arial" w:hAnsi="Arial" w:cs="Arial"/>
                <w:i w:val="0"/>
              </w:rPr>
            </w:pPr>
            <w:r w:rsidRPr="00FA4826">
              <w:rPr>
                <w:rFonts w:ascii="Arial" w:hAnsi="Arial" w:cs="Arial"/>
                <w:i w:val="0"/>
              </w:rPr>
              <w:t>- préteurs en dernier ressort</w:t>
            </w:r>
          </w:p>
          <w:p w:rsidR="00117769" w:rsidRPr="00FA4826" w:rsidRDefault="00117769" w:rsidP="00123CAF">
            <w:pPr>
              <w:rPr>
                <w:rFonts w:ascii="Arial" w:hAnsi="Arial" w:cs="Arial"/>
                <w:i w:val="0"/>
              </w:rPr>
            </w:pPr>
            <w:r w:rsidRPr="00FA4826">
              <w:rPr>
                <w:rFonts w:ascii="Arial" w:hAnsi="Arial" w:cs="Arial"/>
                <w:i w:val="0"/>
              </w:rPr>
              <w:t>- assure la cohérence du système de paiements</w:t>
            </w:r>
          </w:p>
        </w:tc>
        <w:tc>
          <w:tcPr>
            <w:tcW w:w="4603" w:type="dxa"/>
          </w:tcPr>
          <w:p w:rsidR="00117769" w:rsidRPr="00FA4826" w:rsidRDefault="00117769" w:rsidP="00123CAF">
            <w:pPr>
              <w:rPr>
                <w:rFonts w:ascii="Arial" w:hAnsi="Arial" w:cs="Arial"/>
                <w:i w:val="0"/>
              </w:rPr>
            </w:pPr>
            <w:r w:rsidRPr="00FA4826">
              <w:rPr>
                <w:rFonts w:ascii="Arial" w:hAnsi="Arial" w:cs="Arial"/>
                <w:i w:val="0"/>
              </w:rPr>
              <w:t xml:space="preserve">Monnaie centrale : </w:t>
            </w:r>
          </w:p>
          <w:p w:rsidR="00117769" w:rsidRPr="00FA4826" w:rsidRDefault="00117769" w:rsidP="00C64C89">
            <w:pPr>
              <w:pStyle w:val="Paragraphedeliste"/>
              <w:numPr>
                <w:ilvl w:val="0"/>
                <w:numId w:val="29"/>
              </w:numPr>
              <w:rPr>
                <w:rFonts w:ascii="Arial" w:hAnsi="Arial" w:cs="Arial"/>
                <w:i w:val="0"/>
              </w:rPr>
            </w:pPr>
            <w:r w:rsidRPr="00FA4826">
              <w:rPr>
                <w:rFonts w:ascii="Arial" w:hAnsi="Arial" w:cs="Arial"/>
                <w:i w:val="0"/>
              </w:rPr>
              <w:t>billets</w:t>
            </w:r>
          </w:p>
          <w:p w:rsidR="00117769" w:rsidRPr="00FA4826" w:rsidRDefault="00117769" w:rsidP="00C64C89">
            <w:pPr>
              <w:pStyle w:val="Paragraphedeliste"/>
              <w:numPr>
                <w:ilvl w:val="0"/>
                <w:numId w:val="29"/>
              </w:numPr>
              <w:rPr>
                <w:rFonts w:ascii="Arial" w:hAnsi="Arial" w:cs="Arial"/>
                <w:i w:val="0"/>
              </w:rPr>
            </w:pPr>
            <w:r w:rsidRPr="00FA4826">
              <w:rPr>
                <w:rFonts w:ascii="Arial" w:hAnsi="Arial" w:cs="Arial"/>
                <w:i w:val="0"/>
              </w:rPr>
              <w:t>monnaie scripturale</w:t>
            </w:r>
          </w:p>
        </w:tc>
      </w:tr>
      <w:tr w:rsidR="00117769" w:rsidRPr="00FA4826">
        <w:tc>
          <w:tcPr>
            <w:tcW w:w="4603" w:type="dxa"/>
          </w:tcPr>
          <w:p w:rsidR="00117769" w:rsidRPr="00FA4826" w:rsidRDefault="00117769" w:rsidP="00123CAF">
            <w:pPr>
              <w:rPr>
                <w:rFonts w:ascii="Arial" w:hAnsi="Arial" w:cs="Arial"/>
                <w:i w:val="0"/>
              </w:rPr>
            </w:pPr>
            <w:proofErr w:type="gramStart"/>
            <w:r w:rsidRPr="00FA4826">
              <w:rPr>
                <w:rFonts w:ascii="Arial" w:hAnsi="Arial" w:cs="Arial"/>
                <w:i w:val="0"/>
              </w:rPr>
              <w:t>Banques</w:t>
            </w:r>
            <w:proofErr w:type="gramEnd"/>
            <w:r w:rsidRPr="00FA4826">
              <w:rPr>
                <w:rFonts w:ascii="Arial" w:hAnsi="Arial" w:cs="Arial"/>
                <w:i w:val="0"/>
              </w:rPr>
              <w:t> :</w:t>
            </w:r>
          </w:p>
          <w:p w:rsidR="00117769" w:rsidRPr="00FA4826" w:rsidRDefault="00117769" w:rsidP="00C64C89">
            <w:pPr>
              <w:pStyle w:val="Paragraphedeliste"/>
              <w:numPr>
                <w:ilvl w:val="0"/>
                <w:numId w:val="28"/>
              </w:numPr>
              <w:rPr>
                <w:rFonts w:ascii="Arial" w:hAnsi="Arial" w:cs="Arial"/>
                <w:i w:val="0"/>
              </w:rPr>
            </w:pPr>
            <w:r w:rsidRPr="00FA4826">
              <w:rPr>
                <w:rFonts w:ascii="Arial" w:hAnsi="Arial" w:cs="Arial"/>
                <w:i w:val="0"/>
              </w:rPr>
              <w:t>Cherche le profit</w:t>
            </w:r>
          </w:p>
          <w:p w:rsidR="00117769" w:rsidRPr="00FA4826" w:rsidRDefault="00117769" w:rsidP="00C64C89">
            <w:pPr>
              <w:pStyle w:val="Paragraphedeliste"/>
              <w:numPr>
                <w:ilvl w:val="0"/>
                <w:numId w:val="28"/>
              </w:numPr>
              <w:rPr>
                <w:rFonts w:ascii="Arial" w:hAnsi="Arial" w:cs="Arial"/>
                <w:i w:val="0"/>
              </w:rPr>
            </w:pPr>
            <w:r w:rsidRPr="00FA4826">
              <w:rPr>
                <w:rFonts w:ascii="Arial" w:hAnsi="Arial" w:cs="Arial"/>
                <w:i w:val="0"/>
              </w:rPr>
              <w:t>Attribuer les crédits</w:t>
            </w:r>
          </w:p>
          <w:p w:rsidR="00117769" w:rsidRPr="00FA4826" w:rsidRDefault="00117769" w:rsidP="00C64C89">
            <w:pPr>
              <w:pStyle w:val="Paragraphedeliste"/>
              <w:numPr>
                <w:ilvl w:val="0"/>
                <w:numId w:val="28"/>
              </w:numPr>
              <w:rPr>
                <w:rFonts w:ascii="Arial" w:hAnsi="Arial" w:cs="Arial"/>
                <w:i w:val="0"/>
              </w:rPr>
            </w:pPr>
            <w:r w:rsidRPr="00FA4826">
              <w:rPr>
                <w:rFonts w:ascii="Arial" w:hAnsi="Arial" w:cs="Arial"/>
                <w:i w:val="0"/>
              </w:rPr>
              <w:t>Gérer les dépôts</w:t>
            </w:r>
          </w:p>
          <w:p w:rsidR="00117769" w:rsidRPr="00FA4826" w:rsidRDefault="00117769" w:rsidP="00C64C89">
            <w:pPr>
              <w:pStyle w:val="Paragraphedeliste"/>
              <w:numPr>
                <w:ilvl w:val="0"/>
                <w:numId w:val="28"/>
              </w:numPr>
              <w:rPr>
                <w:rFonts w:ascii="Arial" w:hAnsi="Arial" w:cs="Arial"/>
                <w:i w:val="0"/>
              </w:rPr>
            </w:pPr>
            <w:r w:rsidRPr="00FA4826">
              <w:rPr>
                <w:rFonts w:ascii="Arial" w:hAnsi="Arial" w:cs="Arial"/>
                <w:i w:val="0"/>
              </w:rPr>
              <w:t>Faire fonctionner le système de paiements</w:t>
            </w:r>
          </w:p>
        </w:tc>
        <w:tc>
          <w:tcPr>
            <w:tcW w:w="4603" w:type="dxa"/>
          </w:tcPr>
          <w:p w:rsidR="00117769" w:rsidRPr="00FA4826" w:rsidRDefault="00117769" w:rsidP="00123CAF">
            <w:pPr>
              <w:rPr>
                <w:rFonts w:ascii="Arial" w:hAnsi="Arial" w:cs="Arial"/>
                <w:i w:val="0"/>
              </w:rPr>
            </w:pPr>
            <w:r w:rsidRPr="00FA4826">
              <w:rPr>
                <w:rFonts w:ascii="Arial" w:hAnsi="Arial" w:cs="Arial"/>
                <w:i w:val="0"/>
              </w:rPr>
              <w:t>Monnaie de crédit = monnaie scripturale</w:t>
            </w:r>
          </w:p>
        </w:tc>
      </w:tr>
    </w:tbl>
    <w:p w:rsidR="00117769" w:rsidRPr="00FA4826" w:rsidRDefault="00117769" w:rsidP="00123CAF">
      <w:pPr>
        <w:spacing w:after="0"/>
        <w:rPr>
          <w:rFonts w:ascii="Arial" w:hAnsi="Arial" w:cs="Arial"/>
          <w:i w:val="0"/>
        </w:rPr>
      </w:pPr>
    </w:p>
    <w:p w:rsidR="002C4D8C" w:rsidRPr="00FA4826" w:rsidRDefault="00117769" w:rsidP="00123CAF">
      <w:pPr>
        <w:spacing w:after="0"/>
        <w:rPr>
          <w:rFonts w:ascii="Arial" w:hAnsi="Arial" w:cs="Arial"/>
          <w:i w:val="0"/>
        </w:rPr>
      </w:pPr>
      <w:r w:rsidRPr="00FA4826">
        <w:rPr>
          <w:rFonts w:ascii="Arial" w:hAnsi="Arial" w:cs="Arial"/>
          <w:i w:val="0"/>
        </w:rPr>
        <w:t>Les banques de second rang font en même temps une activité publique non marchande et une activité privée marchande.</w:t>
      </w:r>
    </w:p>
    <w:p w:rsidR="00117769" w:rsidRPr="00FA4826" w:rsidRDefault="00117769" w:rsidP="00123CAF">
      <w:pPr>
        <w:spacing w:after="0"/>
        <w:rPr>
          <w:rFonts w:ascii="Arial" w:hAnsi="Arial" w:cs="Arial"/>
          <w:i w:val="0"/>
        </w:rPr>
      </w:pPr>
    </w:p>
    <w:p w:rsidR="006D2C47" w:rsidRPr="00FA4826" w:rsidRDefault="006D2C47" w:rsidP="00123CAF">
      <w:pPr>
        <w:pStyle w:val="Titre1"/>
        <w:rPr>
          <w:rFonts w:ascii="Arial" w:hAnsi="Arial" w:cs="Arial"/>
          <w:i w:val="0"/>
        </w:rPr>
      </w:pPr>
      <w:bookmarkStart w:id="14" w:name="_Toc379227129"/>
      <w:r w:rsidRPr="00FA4826">
        <w:rPr>
          <w:rFonts w:ascii="Arial" w:hAnsi="Arial" w:cs="Arial"/>
          <w:i w:val="0"/>
        </w:rPr>
        <w:t xml:space="preserve">III - </w:t>
      </w:r>
      <w:r w:rsidR="002C4D8C" w:rsidRPr="00FA4826">
        <w:rPr>
          <w:rFonts w:ascii="Arial" w:hAnsi="Arial" w:cs="Arial"/>
          <w:i w:val="0"/>
        </w:rPr>
        <w:t>Inflation, déflation offre de monnaie :</w:t>
      </w:r>
      <w:bookmarkEnd w:id="14"/>
    </w:p>
    <w:p w:rsidR="002C4D8C" w:rsidRPr="00FA4826" w:rsidRDefault="002C4D8C" w:rsidP="00123CAF">
      <w:pPr>
        <w:spacing w:after="0"/>
        <w:rPr>
          <w:rFonts w:ascii="Arial" w:hAnsi="Arial" w:cs="Arial"/>
          <w:i w:val="0"/>
        </w:rPr>
      </w:pPr>
    </w:p>
    <w:p w:rsidR="002C4D8C" w:rsidRPr="00FA4826" w:rsidRDefault="002C4D8C" w:rsidP="00123CAF">
      <w:pPr>
        <w:pStyle w:val="Titre2"/>
        <w:rPr>
          <w:rFonts w:ascii="Arial" w:hAnsi="Arial" w:cs="Arial"/>
          <w:i w:val="0"/>
        </w:rPr>
      </w:pPr>
      <w:bookmarkStart w:id="15" w:name="_Toc379227130"/>
      <w:r w:rsidRPr="00FA4826">
        <w:rPr>
          <w:rFonts w:ascii="Arial" w:hAnsi="Arial" w:cs="Arial"/>
          <w:i w:val="0"/>
        </w:rPr>
        <w:t>1) Inflation et déflation :</w:t>
      </w:r>
      <w:bookmarkEnd w:id="15"/>
      <w:r w:rsidRPr="00FA4826">
        <w:rPr>
          <w:rFonts w:ascii="Arial" w:hAnsi="Arial" w:cs="Arial"/>
          <w:i w:val="0"/>
        </w:rPr>
        <w:t xml:space="preserve"> </w:t>
      </w:r>
    </w:p>
    <w:p w:rsidR="002C4D8C" w:rsidRPr="00FA4826" w:rsidRDefault="002C4D8C" w:rsidP="00123CAF">
      <w:pPr>
        <w:spacing w:after="0"/>
        <w:rPr>
          <w:rFonts w:ascii="Arial" w:hAnsi="Arial" w:cs="Arial"/>
          <w:i w:val="0"/>
        </w:rPr>
      </w:pPr>
    </w:p>
    <w:p w:rsidR="00117769" w:rsidRPr="00FA4826" w:rsidRDefault="002C4D8C" w:rsidP="00123CAF">
      <w:pPr>
        <w:pStyle w:val="Titre3"/>
        <w:rPr>
          <w:rFonts w:ascii="Arial" w:hAnsi="Arial" w:cs="Arial"/>
          <w:i w:val="0"/>
        </w:rPr>
      </w:pPr>
      <w:bookmarkStart w:id="16" w:name="_Toc379227131"/>
      <w:r w:rsidRPr="00FA4826">
        <w:rPr>
          <w:rFonts w:ascii="Arial" w:hAnsi="Arial" w:cs="Arial"/>
          <w:i w:val="0"/>
        </w:rPr>
        <w:t xml:space="preserve">a. </w:t>
      </w:r>
      <w:r w:rsidR="00117769" w:rsidRPr="00FA4826">
        <w:rPr>
          <w:rFonts w:ascii="Arial" w:hAnsi="Arial" w:cs="Arial"/>
          <w:i w:val="0"/>
        </w:rPr>
        <w:t>Définition, mode de calcul</w:t>
      </w:r>
      <w:bookmarkEnd w:id="16"/>
    </w:p>
    <w:p w:rsidR="00117769" w:rsidRPr="00FA4826" w:rsidRDefault="00117769" w:rsidP="00123CAF">
      <w:pPr>
        <w:spacing w:after="0"/>
        <w:rPr>
          <w:rFonts w:ascii="Arial" w:hAnsi="Arial" w:cs="Arial"/>
          <w:i w:val="0"/>
        </w:rPr>
      </w:pPr>
      <w:r w:rsidRPr="00FA4826">
        <w:rPr>
          <w:rFonts w:ascii="Arial" w:hAnsi="Arial" w:cs="Arial"/>
          <w:i w:val="0"/>
        </w:rPr>
        <w:t xml:space="preserve">L’inflation traduit une hausse du niveau générale des prix, c’est-à-dire une baisse du pouvoir d’achat de la monnaie (ne pas confondre avec le pouvoir d’achat des ménages). La même quantité de monnaie permet dans le </w:t>
      </w:r>
      <w:r w:rsidR="002C4D8C" w:rsidRPr="00FA4826">
        <w:rPr>
          <w:rFonts w:ascii="Arial" w:hAnsi="Arial" w:cs="Arial"/>
          <w:i w:val="0"/>
        </w:rPr>
        <w:t>temps, d’acheter moins de bien.</w:t>
      </w:r>
    </w:p>
    <w:p w:rsidR="00117769" w:rsidRPr="00FA4826" w:rsidRDefault="00117769" w:rsidP="00123CAF">
      <w:pPr>
        <w:spacing w:after="0"/>
        <w:rPr>
          <w:rFonts w:ascii="Arial" w:hAnsi="Arial" w:cs="Arial"/>
          <w:i w:val="0"/>
        </w:rPr>
      </w:pPr>
      <w:r w:rsidRPr="00FA4826">
        <w:rPr>
          <w:rFonts w:ascii="Arial" w:hAnsi="Arial" w:cs="Arial"/>
          <w:i w:val="0"/>
        </w:rPr>
        <w:t>La déflation est une baisse du niveau général des prix. Elle entraine une hausse du pouvoir d’achat de la monnaie.</w:t>
      </w:r>
    </w:p>
    <w:p w:rsidR="00117769" w:rsidRPr="00FA4826" w:rsidRDefault="00117769" w:rsidP="00123CAF">
      <w:pPr>
        <w:spacing w:after="0"/>
        <w:rPr>
          <w:rFonts w:ascii="Arial" w:hAnsi="Arial" w:cs="Arial"/>
          <w:i w:val="0"/>
        </w:rPr>
      </w:pPr>
      <w:r w:rsidRPr="00FA4826">
        <w:rPr>
          <w:rFonts w:ascii="Arial" w:hAnsi="Arial" w:cs="Arial"/>
          <w:i w:val="0"/>
        </w:rPr>
        <w:t>L’inflation est évaluée au moyen de l’indice des prix à la consommation (IPC)</w:t>
      </w:r>
    </w:p>
    <w:p w:rsidR="00117769" w:rsidRPr="00FA4826" w:rsidRDefault="00117769" w:rsidP="00123CAF">
      <w:pPr>
        <w:spacing w:after="0"/>
        <w:rPr>
          <w:rFonts w:ascii="Arial" w:hAnsi="Arial" w:cs="Arial"/>
          <w:i w:val="0"/>
        </w:rPr>
      </w:pPr>
      <w:r w:rsidRPr="00FA4826">
        <w:rPr>
          <w:rFonts w:ascii="Arial" w:hAnsi="Arial" w:cs="Arial"/>
          <w:i w:val="0"/>
        </w:rPr>
        <w:t xml:space="preserve">IPC mesure le niveau moyen des prix des biens et services consommés par les ménages, pondérés par leur part dans la consommation des ménages. </w:t>
      </w:r>
    </w:p>
    <w:p w:rsidR="00117769" w:rsidRPr="00FA4826" w:rsidRDefault="00117769" w:rsidP="00123CAF">
      <w:pPr>
        <w:spacing w:after="0"/>
        <w:rPr>
          <w:rFonts w:ascii="Arial" w:hAnsi="Arial" w:cs="Arial"/>
          <w:i w:val="0"/>
        </w:rPr>
      </w:pPr>
      <w:r w:rsidRPr="00FA4826">
        <w:rPr>
          <w:rFonts w:ascii="Arial" w:hAnsi="Arial" w:cs="Arial"/>
          <w:i w:val="0"/>
        </w:rPr>
        <w:t>Le taux d’inflation est la variation en pourcentage de cet indice sur une période donnée. Si le prix du « panier » passe de 100 à 105, le taux d’inflation est de (105/100)/100=5/100=5%</w:t>
      </w:r>
      <w:bookmarkStart w:id="17" w:name="_GoBack"/>
      <w:bookmarkEnd w:id="17"/>
    </w:p>
    <w:p w:rsidR="00117769" w:rsidRPr="00FA4826" w:rsidRDefault="00117769" w:rsidP="00123CAF">
      <w:pPr>
        <w:spacing w:after="0"/>
        <w:rPr>
          <w:rFonts w:ascii="Arial" w:hAnsi="Arial" w:cs="Arial"/>
          <w:i w:val="0"/>
        </w:rPr>
      </w:pPr>
    </w:p>
    <w:tbl>
      <w:tblPr>
        <w:tblStyle w:val="Grilledutableau"/>
        <w:tblW w:w="0" w:type="auto"/>
        <w:tblLook w:val="00A0" w:firstRow="1" w:lastRow="0" w:firstColumn="1" w:lastColumn="0" w:noHBand="0" w:noVBand="0"/>
      </w:tblPr>
      <w:tblGrid>
        <w:gridCol w:w="1841"/>
        <w:gridCol w:w="1841"/>
        <w:gridCol w:w="1841"/>
        <w:gridCol w:w="1841"/>
        <w:gridCol w:w="1842"/>
      </w:tblGrid>
      <w:tr w:rsidR="00117769" w:rsidRPr="00FA4826">
        <w:tc>
          <w:tcPr>
            <w:tcW w:w="1841" w:type="dxa"/>
          </w:tcPr>
          <w:p w:rsidR="00117769" w:rsidRPr="00FA4826" w:rsidRDefault="00117769" w:rsidP="00123CAF">
            <w:pPr>
              <w:rPr>
                <w:rFonts w:ascii="Arial" w:hAnsi="Arial" w:cs="Arial"/>
                <w:i w:val="0"/>
              </w:rPr>
            </w:pPr>
          </w:p>
        </w:tc>
        <w:tc>
          <w:tcPr>
            <w:tcW w:w="1841" w:type="dxa"/>
          </w:tcPr>
          <w:p w:rsidR="00117769" w:rsidRPr="00FA4826" w:rsidRDefault="00117769" w:rsidP="00123CAF">
            <w:pPr>
              <w:rPr>
                <w:rFonts w:ascii="Arial" w:hAnsi="Arial" w:cs="Arial"/>
                <w:i w:val="0"/>
              </w:rPr>
            </w:pPr>
            <w:r w:rsidRPr="00FA4826">
              <w:rPr>
                <w:rFonts w:ascii="Arial" w:hAnsi="Arial" w:cs="Arial"/>
                <w:i w:val="0"/>
              </w:rPr>
              <w:t>t</w:t>
            </w:r>
          </w:p>
        </w:tc>
        <w:tc>
          <w:tcPr>
            <w:tcW w:w="1841" w:type="dxa"/>
          </w:tcPr>
          <w:p w:rsidR="00117769" w:rsidRPr="00FA4826" w:rsidRDefault="00117769" w:rsidP="00123CAF">
            <w:pPr>
              <w:rPr>
                <w:rFonts w:ascii="Arial" w:hAnsi="Arial" w:cs="Arial"/>
                <w:i w:val="0"/>
              </w:rPr>
            </w:pPr>
            <w:r w:rsidRPr="00FA4826">
              <w:rPr>
                <w:rFonts w:ascii="Arial" w:hAnsi="Arial" w:cs="Arial"/>
                <w:i w:val="0"/>
              </w:rPr>
              <w:t>T1</w:t>
            </w:r>
          </w:p>
        </w:tc>
        <w:tc>
          <w:tcPr>
            <w:tcW w:w="1841" w:type="dxa"/>
          </w:tcPr>
          <w:p w:rsidR="00117769" w:rsidRPr="00FA4826" w:rsidRDefault="00117769" w:rsidP="00123CAF">
            <w:pPr>
              <w:rPr>
                <w:rFonts w:ascii="Arial" w:hAnsi="Arial" w:cs="Arial"/>
                <w:i w:val="0"/>
              </w:rPr>
            </w:pPr>
            <w:r w:rsidRPr="00FA4826">
              <w:rPr>
                <w:rFonts w:ascii="Arial" w:hAnsi="Arial" w:cs="Arial"/>
                <w:i w:val="0"/>
              </w:rPr>
              <w:t>T2</w:t>
            </w:r>
          </w:p>
        </w:tc>
        <w:tc>
          <w:tcPr>
            <w:tcW w:w="1842" w:type="dxa"/>
          </w:tcPr>
          <w:p w:rsidR="00117769" w:rsidRPr="00FA4826" w:rsidRDefault="00117769" w:rsidP="00123CAF">
            <w:pPr>
              <w:rPr>
                <w:rFonts w:ascii="Arial" w:hAnsi="Arial" w:cs="Arial"/>
                <w:i w:val="0"/>
              </w:rPr>
            </w:pPr>
            <w:r w:rsidRPr="00FA4826">
              <w:rPr>
                <w:rFonts w:ascii="Arial" w:hAnsi="Arial" w:cs="Arial"/>
                <w:i w:val="0"/>
              </w:rPr>
              <w:t>T3</w:t>
            </w:r>
          </w:p>
        </w:tc>
      </w:tr>
      <w:tr w:rsidR="00117769" w:rsidRPr="00FA4826">
        <w:tc>
          <w:tcPr>
            <w:tcW w:w="1841" w:type="dxa"/>
          </w:tcPr>
          <w:p w:rsidR="00117769" w:rsidRPr="00FA4826" w:rsidRDefault="00117769" w:rsidP="00123CAF">
            <w:pPr>
              <w:rPr>
                <w:rFonts w:ascii="Arial" w:hAnsi="Arial" w:cs="Arial"/>
                <w:i w:val="0"/>
              </w:rPr>
            </w:pPr>
            <w:r w:rsidRPr="00FA4826">
              <w:rPr>
                <w:rFonts w:ascii="Arial" w:hAnsi="Arial" w:cs="Arial"/>
                <w:i w:val="0"/>
              </w:rPr>
              <w:t>IPC (Prix nominaux pondérés des biens du panier)</w:t>
            </w:r>
          </w:p>
        </w:tc>
        <w:tc>
          <w:tcPr>
            <w:tcW w:w="1841" w:type="dxa"/>
          </w:tcPr>
          <w:p w:rsidR="00117769" w:rsidRPr="00FA4826" w:rsidRDefault="00117769" w:rsidP="00123CAF">
            <w:pPr>
              <w:jc w:val="center"/>
              <w:rPr>
                <w:rFonts w:ascii="Arial" w:hAnsi="Arial" w:cs="Arial"/>
                <w:i w:val="0"/>
              </w:rPr>
            </w:pPr>
            <w:r w:rsidRPr="00FA4826">
              <w:rPr>
                <w:rFonts w:ascii="Arial" w:hAnsi="Arial" w:cs="Arial"/>
                <w:i w:val="0"/>
              </w:rPr>
              <w:t>10</w:t>
            </w:r>
          </w:p>
        </w:tc>
        <w:tc>
          <w:tcPr>
            <w:tcW w:w="1841" w:type="dxa"/>
          </w:tcPr>
          <w:p w:rsidR="00117769" w:rsidRPr="00FA4826" w:rsidRDefault="00117769" w:rsidP="00123CAF">
            <w:pPr>
              <w:rPr>
                <w:rFonts w:ascii="Arial" w:hAnsi="Arial" w:cs="Arial"/>
                <w:i w:val="0"/>
              </w:rPr>
            </w:pPr>
            <w:r w:rsidRPr="00FA4826">
              <w:rPr>
                <w:rFonts w:ascii="Arial" w:hAnsi="Arial" w:cs="Arial"/>
                <w:i w:val="0"/>
              </w:rPr>
              <w:t>12</w:t>
            </w:r>
          </w:p>
        </w:tc>
        <w:tc>
          <w:tcPr>
            <w:tcW w:w="1841" w:type="dxa"/>
          </w:tcPr>
          <w:p w:rsidR="00117769" w:rsidRPr="00FA4826" w:rsidRDefault="00117769" w:rsidP="00123CAF">
            <w:pPr>
              <w:rPr>
                <w:rFonts w:ascii="Arial" w:hAnsi="Arial" w:cs="Arial"/>
                <w:i w:val="0"/>
              </w:rPr>
            </w:pPr>
            <w:r w:rsidRPr="00FA4826">
              <w:rPr>
                <w:rFonts w:ascii="Arial" w:hAnsi="Arial" w:cs="Arial"/>
                <w:i w:val="0"/>
              </w:rPr>
              <w:t>16</w:t>
            </w:r>
          </w:p>
        </w:tc>
        <w:tc>
          <w:tcPr>
            <w:tcW w:w="1842" w:type="dxa"/>
          </w:tcPr>
          <w:p w:rsidR="00117769" w:rsidRPr="00FA4826" w:rsidRDefault="00117769" w:rsidP="00123CAF">
            <w:pPr>
              <w:rPr>
                <w:rFonts w:ascii="Arial" w:hAnsi="Arial" w:cs="Arial"/>
                <w:i w:val="0"/>
              </w:rPr>
            </w:pPr>
            <w:r w:rsidRPr="00FA4826">
              <w:rPr>
                <w:rFonts w:ascii="Arial" w:hAnsi="Arial" w:cs="Arial"/>
                <w:i w:val="0"/>
              </w:rPr>
              <w:t>17</w:t>
            </w:r>
          </w:p>
        </w:tc>
      </w:tr>
      <w:tr w:rsidR="00117769" w:rsidRPr="00FA4826">
        <w:tc>
          <w:tcPr>
            <w:tcW w:w="1841" w:type="dxa"/>
          </w:tcPr>
          <w:p w:rsidR="00117769" w:rsidRPr="00FA4826" w:rsidRDefault="00117769" w:rsidP="00123CAF">
            <w:pPr>
              <w:rPr>
                <w:rFonts w:ascii="Arial" w:hAnsi="Arial" w:cs="Arial"/>
                <w:i w:val="0"/>
              </w:rPr>
            </w:pPr>
            <w:r w:rsidRPr="00FA4826">
              <w:rPr>
                <w:rFonts w:ascii="Arial" w:hAnsi="Arial" w:cs="Arial"/>
                <w:i w:val="0"/>
              </w:rPr>
              <w:t>Variation de l’indice = taux d’inflation</w:t>
            </w:r>
          </w:p>
        </w:tc>
        <w:tc>
          <w:tcPr>
            <w:tcW w:w="1841" w:type="dxa"/>
          </w:tcPr>
          <w:p w:rsidR="00117769" w:rsidRPr="00FA4826" w:rsidRDefault="00117769" w:rsidP="00123CAF">
            <w:pPr>
              <w:rPr>
                <w:rFonts w:ascii="Arial" w:hAnsi="Arial" w:cs="Arial"/>
                <w:i w:val="0"/>
              </w:rPr>
            </w:pPr>
          </w:p>
        </w:tc>
        <w:tc>
          <w:tcPr>
            <w:tcW w:w="1841" w:type="dxa"/>
          </w:tcPr>
          <w:p w:rsidR="00117769" w:rsidRPr="00FA4826" w:rsidRDefault="00117769" w:rsidP="00123CAF">
            <w:pPr>
              <w:rPr>
                <w:rFonts w:ascii="Arial" w:hAnsi="Arial" w:cs="Arial"/>
                <w:i w:val="0"/>
              </w:rPr>
            </w:pPr>
            <w:r w:rsidRPr="00FA4826">
              <w:rPr>
                <w:rFonts w:ascii="Arial" w:hAnsi="Arial" w:cs="Arial"/>
                <w:i w:val="0"/>
              </w:rPr>
              <w:t>20%</w:t>
            </w:r>
          </w:p>
        </w:tc>
        <w:tc>
          <w:tcPr>
            <w:tcW w:w="1841" w:type="dxa"/>
          </w:tcPr>
          <w:p w:rsidR="00117769" w:rsidRPr="00FA4826" w:rsidRDefault="00117769" w:rsidP="00123CAF">
            <w:pPr>
              <w:rPr>
                <w:rFonts w:ascii="Arial" w:hAnsi="Arial" w:cs="Arial"/>
                <w:i w:val="0"/>
              </w:rPr>
            </w:pPr>
            <w:r w:rsidRPr="00FA4826">
              <w:rPr>
                <w:rFonts w:ascii="Arial" w:hAnsi="Arial" w:cs="Arial"/>
                <w:i w:val="0"/>
              </w:rPr>
              <w:t>33%</w:t>
            </w:r>
          </w:p>
        </w:tc>
        <w:tc>
          <w:tcPr>
            <w:tcW w:w="1842" w:type="dxa"/>
          </w:tcPr>
          <w:p w:rsidR="00117769" w:rsidRPr="00FA4826" w:rsidRDefault="00117769" w:rsidP="00123CAF">
            <w:pPr>
              <w:rPr>
                <w:rFonts w:ascii="Arial" w:hAnsi="Arial" w:cs="Arial"/>
                <w:i w:val="0"/>
              </w:rPr>
            </w:pPr>
            <w:r w:rsidRPr="00FA4826">
              <w:rPr>
                <w:rFonts w:ascii="Arial" w:hAnsi="Arial" w:cs="Arial"/>
                <w:i w:val="0"/>
              </w:rPr>
              <w:t>7%</w:t>
            </w:r>
          </w:p>
        </w:tc>
      </w:tr>
    </w:tbl>
    <w:p w:rsidR="00117769" w:rsidRPr="00FA4826" w:rsidRDefault="00117769" w:rsidP="00123CAF">
      <w:pPr>
        <w:spacing w:after="0"/>
        <w:rPr>
          <w:rFonts w:ascii="Arial" w:hAnsi="Arial" w:cs="Arial"/>
          <w:i w:val="0"/>
        </w:rPr>
      </w:pPr>
    </w:p>
    <w:p w:rsidR="00117769" w:rsidRPr="00FA4826" w:rsidRDefault="00117769" w:rsidP="00123CAF">
      <w:pPr>
        <w:spacing w:after="0"/>
        <w:rPr>
          <w:rFonts w:ascii="Arial" w:hAnsi="Arial" w:cs="Arial"/>
          <w:i w:val="0"/>
        </w:rPr>
      </w:pPr>
      <w:r w:rsidRPr="00FA4826">
        <w:rPr>
          <w:rFonts w:ascii="Arial" w:hAnsi="Arial" w:cs="Arial"/>
          <w:i w:val="0"/>
        </w:rPr>
        <w:t>Il faut bien distinguer inflation, IPC et taux d’inflation.</w:t>
      </w:r>
    </w:p>
    <w:p w:rsidR="00117769" w:rsidRPr="00FA4826" w:rsidRDefault="00117769" w:rsidP="00123CAF">
      <w:pPr>
        <w:spacing w:after="0"/>
        <w:rPr>
          <w:rFonts w:ascii="Arial" w:hAnsi="Arial" w:cs="Arial"/>
          <w:i w:val="0"/>
        </w:rPr>
      </w:pPr>
    </w:p>
    <w:p w:rsidR="00117769" w:rsidRPr="00FA4826" w:rsidRDefault="00117769" w:rsidP="00123CAF">
      <w:pPr>
        <w:spacing w:after="0"/>
        <w:rPr>
          <w:rFonts w:ascii="Arial" w:hAnsi="Arial" w:cs="Arial"/>
          <w:i w:val="0"/>
          <w:u w:val="single"/>
        </w:rPr>
      </w:pPr>
      <w:r w:rsidRPr="00FA4826">
        <w:rPr>
          <w:rFonts w:ascii="Arial" w:hAnsi="Arial" w:cs="Arial"/>
          <w:i w:val="0"/>
          <w:u w:val="single"/>
        </w:rPr>
        <w:t>La constitution du panier :</w:t>
      </w:r>
    </w:p>
    <w:p w:rsidR="00117769" w:rsidRPr="00FA4826" w:rsidRDefault="00117769" w:rsidP="00C64C89">
      <w:pPr>
        <w:pStyle w:val="Paragraphedeliste"/>
        <w:numPr>
          <w:ilvl w:val="0"/>
          <w:numId w:val="31"/>
        </w:numPr>
        <w:spacing w:after="0"/>
        <w:rPr>
          <w:rFonts w:ascii="Arial" w:hAnsi="Arial" w:cs="Arial"/>
          <w:i w:val="0"/>
        </w:rPr>
      </w:pPr>
      <w:r w:rsidRPr="00FA4826">
        <w:rPr>
          <w:rFonts w:ascii="Arial" w:hAnsi="Arial" w:cs="Arial"/>
          <w:i w:val="0"/>
        </w:rPr>
        <w:t>Echantillon composé de 21 000 indices pondérés</w:t>
      </w:r>
    </w:p>
    <w:p w:rsidR="00117769" w:rsidRPr="00FA4826" w:rsidRDefault="00117769" w:rsidP="00C64C89">
      <w:pPr>
        <w:pStyle w:val="Paragraphedeliste"/>
        <w:numPr>
          <w:ilvl w:val="0"/>
          <w:numId w:val="31"/>
        </w:numPr>
        <w:spacing w:after="0"/>
        <w:rPr>
          <w:rFonts w:ascii="Arial" w:hAnsi="Arial" w:cs="Arial"/>
          <w:i w:val="0"/>
        </w:rPr>
      </w:pPr>
      <w:r w:rsidRPr="00FA4826">
        <w:rPr>
          <w:rFonts w:ascii="Arial" w:hAnsi="Arial" w:cs="Arial"/>
          <w:i w:val="0"/>
        </w:rPr>
        <w:t>Les biens et services sont classés en 12 fonctions, 86 regroupements et 161 groupes</w:t>
      </w:r>
    </w:p>
    <w:p w:rsidR="00117769" w:rsidRPr="00FA4826" w:rsidRDefault="00117769" w:rsidP="00C64C89">
      <w:pPr>
        <w:pStyle w:val="Paragraphedeliste"/>
        <w:numPr>
          <w:ilvl w:val="0"/>
          <w:numId w:val="31"/>
        </w:numPr>
        <w:spacing w:after="0"/>
        <w:rPr>
          <w:rFonts w:ascii="Arial" w:hAnsi="Arial" w:cs="Arial"/>
          <w:i w:val="0"/>
        </w:rPr>
      </w:pPr>
      <w:r w:rsidRPr="00FA4826">
        <w:rPr>
          <w:rFonts w:ascii="Arial" w:hAnsi="Arial" w:cs="Arial"/>
          <w:i w:val="0"/>
        </w:rPr>
        <w:t>Sondage mensuel sur un échantillon de biens  parmi les 161 groupes, selon des critères géographiques, type de point de vente, etc.</w:t>
      </w:r>
    </w:p>
    <w:p w:rsidR="00117769" w:rsidRPr="00FA4826" w:rsidRDefault="00117769" w:rsidP="00123CAF">
      <w:pPr>
        <w:spacing w:after="0"/>
        <w:rPr>
          <w:rFonts w:ascii="Arial" w:hAnsi="Arial" w:cs="Arial"/>
          <w:i w:val="0"/>
        </w:rPr>
      </w:pPr>
    </w:p>
    <w:p w:rsidR="00117769" w:rsidRPr="00FA4826" w:rsidRDefault="00117769" w:rsidP="00123CAF">
      <w:pPr>
        <w:spacing w:after="0"/>
        <w:rPr>
          <w:rFonts w:ascii="Arial" w:hAnsi="Arial" w:cs="Arial"/>
          <w:i w:val="0"/>
        </w:rPr>
      </w:pPr>
      <w:r w:rsidRPr="00FA4826">
        <w:rPr>
          <w:rFonts w:ascii="Arial" w:hAnsi="Arial" w:cs="Arial"/>
          <w:i w:val="0"/>
        </w:rPr>
        <w:t>Qu’appelle-t-on : euros constants ?</w:t>
      </w:r>
    </w:p>
    <w:p w:rsidR="00117769" w:rsidRPr="00FA4826" w:rsidRDefault="00117769" w:rsidP="00123CAF">
      <w:pPr>
        <w:spacing w:after="0"/>
        <w:rPr>
          <w:rFonts w:ascii="Arial" w:hAnsi="Arial" w:cs="Arial"/>
          <w:i w:val="0"/>
        </w:rPr>
      </w:pPr>
      <w:r w:rsidRPr="00FA4826">
        <w:rPr>
          <w:rFonts w:ascii="Arial" w:hAnsi="Arial" w:cs="Arial"/>
          <w:i w:val="0"/>
        </w:rPr>
        <w:t>Ils permettent de comparer temporellement les prix.</w:t>
      </w:r>
    </w:p>
    <w:p w:rsidR="00117769" w:rsidRPr="00FA4826" w:rsidRDefault="00117769" w:rsidP="00123CAF">
      <w:pPr>
        <w:spacing w:after="0"/>
        <w:rPr>
          <w:rFonts w:ascii="Arial" w:hAnsi="Arial" w:cs="Arial"/>
          <w:i w:val="0"/>
        </w:rPr>
      </w:pPr>
      <w:r w:rsidRPr="00FA4826">
        <w:rPr>
          <w:rFonts w:ascii="Arial" w:hAnsi="Arial" w:cs="Arial"/>
          <w:i w:val="0"/>
        </w:rPr>
        <w:t>C’est l’euro auquel on enlève l’inflation.</w:t>
      </w:r>
    </w:p>
    <w:p w:rsidR="00117769" w:rsidRPr="00FA4826" w:rsidRDefault="00117769" w:rsidP="00123CAF">
      <w:pPr>
        <w:pStyle w:val="Titre3"/>
        <w:rPr>
          <w:rFonts w:ascii="Arial" w:hAnsi="Arial" w:cs="Arial"/>
          <w:i w:val="0"/>
        </w:rPr>
      </w:pPr>
    </w:p>
    <w:p w:rsidR="002C4D8C" w:rsidRPr="00FA4826" w:rsidRDefault="00117769" w:rsidP="00C64C89">
      <w:pPr>
        <w:pStyle w:val="Titre3"/>
        <w:numPr>
          <w:ilvl w:val="0"/>
          <w:numId w:val="30"/>
        </w:numPr>
        <w:rPr>
          <w:rFonts w:ascii="Arial" w:hAnsi="Arial" w:cs="Arial"/>
          <w:i w:val="0"/>
        </w:rPr>
      </w:pPr>
      <w:bookmarkStart w:id="18" w:name="_Toc379227132"/>
      <w:r w:rsidRPr="00FA4826">
        <w:rPr>
          <w:rFonts w:ascii="Arial" w:hAnsi="Arial" w:cs="Arial"/>
          <w:i w:val="0"/>
        </w:rPr>
        <w:t>Les causes de l’inflation</w:t>
      </w:r>
      <w:r w:rsidR="002C4D8C" w:rsidRPr="00FA4826">
        <w:rPr>
          <w:rFonts w:ascii="Arial" w:hAnsi="Arial" w:cs="Arial"/>
          <w:i w:val="0"/>
        </w:rPr>
        <w:t> :</w:t>
      </w:r>
      <w:bookmarkEnd w:id="18"/>
    </w:p>
    <w:p w:rsidR="00117769" w:rsidRPr="00FA4826" w:rsidRDefault="00117769" w:rsidP="00123CAF">
      <w:pPr>
        <w:pStyle w:val="Paragraphedeliste"/>
        <w:spacing w:after="0"/>
        <w:ind w:left="1440"/>
        <w:rPr>
          <w:rFonts w:ascii="Arial" w:hAnsi="Arial" w:cs="Arial"/>
          <w:i w:val="0"/>
        </w:rPr>
      </w:pPr>
    </w:p>
    <w:p w:rsidR="002C4D8C" w:rsidRPr="00FA4826" w:rsidRDefault="00117769" w:rsidP="00123CAF">
      <w:pPr>
        <w:spacing w:after="0"/>
        <w:rPr>
          <w:rFonts w:ascii="Arial" w:hAnsi="Arial" w:cs="Arial"/>
          <w:b/>
          <w:i w:val="0"/>
        </w:rPr>
      </w:pPr>
      <w:r w:rsidRPr="00FA4826">
        <w:rPr>
          <w:rFonts w:ascii="Arial" w:hAnsi="Arial" w:cs="Arial"/>
          <w:b/>
          <w:i w:val="0"/>
        </w:rPr>
        <w:t>L’inflation par la monnaie :</w:t>
      </w:r>
    </w:p>
    <w:p w:rsidR="002C4D8C" w:rsidRPr="00FA4826" w:rsidRDefault="00117769" w:rsidP="00C64C89">
      <w:pPr>
        <w:pStyle w:val="Paragraphedeliste"/>
        <w:numPr>
          <w:ilvl w:val="0"/>
          <w:numId w:val="32"/>
        </w:numPr>
        <w:spacing w:after="0"/>
        <w:rPr>
          <w:rFonts w:ascii="Arial" w:hAnsi="Arial" w:cs="Arial"/>
          <w:b/>
          <w:i w:val="0"/>
        </w:rPr>
      </w:pPr>
      <w:r w:rsidRPr="00FA4826">
        <w:rPr>
          <w:rFonts w:ascii="Arial" w:hAnsi="Arial" w:cs="Arial"/>
          <w:i w:val="0"/>
        </w:rPr>
        <w:t>quantité de monnaie créée inadaptée aux besoins de l’économie</w:t>
      </w:r>
    </w:p>
    <w:p w:rsidR="002C4D8C" w:rsidRPr="00FA4826" w:rsidRDefault="00117769" w:rsidP="00C64C89">
      <w:pPr>
        <w:pStyle w:val="Paragraphedeliste"/>
        <w:numPr>
          <w:ilvl w:val="0"/>
          <w:numId w:val="32"/>
        </w:numPr>
        <w:spacing w:after="0"/>
        <w:rPr>
          <w:rFonts w:ascii="Arial" w:hAnsi="Arial" w:cs="Arial"/>
          <w:b/>
          <w:i w:val="0"/>
        </w:rPr>
      </w:pPr>
      <w:r w:rsidRPr="00FA4826">
        <w:rPr>
          <w:rFonts w:ascii="Arial" w:hAnsi="Arial" w:cs="Arial"/>
          <w:i w:val="0"/>
        </w:rPr>
        <w:t>vitesse de circulation de la monnaie</w:t>
      </w:r>
    </w:p>
    <w:p w:rsidR="00117769" w:rsidRPr="00FA4826" w:rsidRDefault="00117769" w:rsidP="00123CAF">
      <w:pPr>
        <w:pStyle w:val="Paragraphedeliste"/>
        <w:spacing w:after="0"/>
        <w:rPr>
          <w:rFonts w:ascii="Arial" w:hAnsi="Arial" w:cs="Arial"/>
          <w:b/>
          <w:i w:val="0"/>
        </w:rPr>
      </w:pPr>
    </w:p>
    <w:p w:rsidR="00117769" w:rsidRPr="00FA4826" w:rsidRDefault="00117769" w:rsidP="00123CAF">
      <w:pPr>
        <w:spacing w:after="0"/>
        <w:rPr>
          <w:rFonts w:ascii="Arial" w:hAnsi="Arial" w:cs="Arial"/>
          <w:b/>
          <w:i w:val="0"/>
        </w:rPr>
      </w:pPr>
      <w:r w:rsidRPr="00FA4826">
        <w:rPr>
          <w:rFonts w:ascii="Arial" w:hAnsi="Arial" w:cs="Arial"/>
          <w:b/>
          <w:i w:val="0"/>
        </w:rPr>
        <w:t>L’inflation par la demande :</w:t>
      </w:r>
    </w:p>
    <w:p w:rsidR="00117769" w:rsidRPr="00FA4826" w:rsidRDefault="00117769" w:rsidP="00C64C89">
      <w:pPr>
        <w:pStyle w:val="Paragraphedeliste"/>
        <w:numPr>
          <w:ilvl w:val="0"/>
          <w:numId w:val="33"/>
        </w:numPr>
        <w:spacing w:after="0" w:line="240" w:lineRule="auto"/>
        <w:rPr>
          <w:rFonts w:ascii="Arial" w:hAnsi="Arial" w:cs="Arial"/>
          <w:i w:val="0"/>
        </w:rPr>
      </w:pPr>
      <w:r w:rsidRPr="00FA4826">
        <w:rPr>
          <w:rFonts w:ascii="Arial" w:hAnsi="Arial" w:cs="Arial"/>
          <w:i w:val="0"/>
        </w:rPr>
        <w:t>lié à un excès de demande</w:t>
      </w:r>
    </w:p>
    <w:p w:rsidR="00117769" w:rsidRPr="00FA4826" w:rsidRDefault="00117769" w:rsidP="00123CAF">
      <w:pPr>
        <w:spacing w:after="0"/>
        <w:rPr>
          <w:rFonts w:ascii="Arial" w:hAnsi="Arial" w:cs="Arial"/>
          <w:i w:val="0"/>
        </w:rPr>
      </w:pPr>
      <w:r w:rsidRPr="00FA4826">
        <w:rPr>
          <w:rFonts w:ascii="Arial" w:hAnsi="Arial" w:cs="Arial"/>
          <w:i w:val="0"/>
        </w:rPr>
        <w:t>L’inflation par les coûts :</w:t>
      </w:r>
    </w:p>
    <w:p w:rsidR="00117769" w:rsidRPr="00FA4826" w:rsidRDefault="00117769" w:rsidP="00C64C89">
      <w:pPr>
        <w:pStyle w:val="Paragraphedeliste"/>
        <w:numPr>
          <w:ilvl w:val="0"/>
          <w:numId w:val="33"/>
        </w:numPr>
        <w:spacing w:after="0" w:line="240" w:lineRule="auto"/>
        <w:rPr>
          <w:rFonts w:ascii="Arial" w:hAnsi="Arial" w:cs="Arial"/>
          <w:i w:val="0"/>
        </w:rPr>
      </w:pPr>
      <w:r w:rsidRPr="00FA4826">
        <w:rPr>
          <w:rFonts w:ascii="Arial" w:hAnsi="Arial" w:cs="Arial"/>
          <w:i w:val="0"/>
        </w:rPr>
        <w:t xml:space="preserve">augmentation des coûts de production (matières premières, coût du travail, </w:t>
      </w:r>
      <w:proofErr w:type="spellStart"/>
      <w:r w:rsidRPr="00FA4826">
        <w:rPr>
          <w:rFonts w:ascii="Arial" w:hAnsi="Arial" w:cs="Arial"/>
          <w:i w:val="0"/>
        </w:rPr>
        <w:t>etc</w:t>
      </w:r>
      <w:proofErr w:type="spellEnd"/>
      <w:r w:rsidRPr="00FA4826">
        <w:rPr>
          <w:rFonts w:ascii="Arial" w:hAnsi="Arial" w:cs="Arial"/>
          <w:i w:val="0"/>
        </w:rPr>
        <w:t>)</w:t>
      </w:r>
    </w:p>
    <w:p w:rsidR="002C4D8C" w:rsidRPr="00FA4826" w:rsidRDefault="002C4D8C" w:rsidP="00123CAF">
      <w:pPr>
        <w:spacing w:after="0"/>
        <w:rPr>
          <w:rFonts w:ascii="Arial" w:hAnsi="Arial" w:cs="Arial"/>
          <w:i w:val="0"/>
        </w:rPr>
      </w:pPr>
    </w:p>
    <w:p w:rsidR="00117769" w:rsidRPr="00FA4826" w:rsidRDefault="00117769" w:rsidP="00123CAF">
      <w:pPr>
        <w:spacing w:after="0"/>
        <w:rPr>
          <w:rFonts w:ascii="Arial" w:hAnsi="Arial" w:cs="Arial"/>
          <w:b/>
          <w:i w:val="0"/>
        </w:rPr>
      </w:pPr>
      <w:r w:rsidRPr="00FA4826">
        <w:rPr>
          <w:rFonts w:ascii="Arial" w:hAnsi="Arial" w:cs="Arial"/>
          <w:b/>
          <w:i w:val="0"/>
        </w:rPr>
        <w:t>L’inflation par les structures :</w:t>
      </w:r>
    </w:p>
    <w:p w:rsidR="002C4D8C" w:rsidRPr="00FA4826" w:rsidRDefault="00117769" w:rsidP="00C64C89">
      <w:pPr>
        <w:pStyle w:val="Paragraphedeliste"/>
        <w:numPr>
          <w:ilvl w:val="0"/>
          <w:numId w:val="33"/>
        </w:numPr>
        <w:spacing w:after="0" w:line="240" w:lineRule="auto"/>
        <w:rPr>
          <w:rFonts w:ascii="Arial" w:hAnsi="Arial" w:cs="Arial"/>
          <w:i w:val="0"/>
        </w:rPr>
      </w:pPr>
      <w:r w:rsidRPr="00FA4826">
        <w:rPr>
          <w:rFonts w:ascii="Arial" w:hAnsi="Arial" w:cs="Arial"/>
          <w:i w:val="0"/>
        </w:rPr>
        <w:t xml:space="preserve">spirale inflationniste </w:t>
      </w:r>
    </w:p>
    <w:p w:rsidR="002C4D8C" w:rsidRPr="00FA4826" w:rsidRDefault="00117769" w:rsidP="00C64C89">
      <w:pPr>
        <w:pStyle w:val="Paragraphedeliste"/>
        <w:numPr>
          <w:ilvl w:val="0"/>
          <w:numId w:val="33"/>
        </w:numPr>
        <w:spacing w:after="0" w:line="240" w:lineRule="auto"/>
        <w:rPr>
          <w:rFonts w:ascii="Arial" w:hAnsi="Arial" w:cs="Arial"/>
          <w:i w:val="0"/>
        </w:rPr>
      </w:pPr>
      <w:r w:rsidRPr="00FA4826">
        <w:rPr>
          <w:rFonts w:ascii="Arial" w:hAnsi="Arial" w:cs="Arial"/>
          <w:i w:val="0"/>
        </w:rPr>
        <w:t xml:space="preserve">indexation des </w:t>
      </w:r>
    </w:p>
    <w:p w:rsidR="002C4D8C" w:rsidRPr="00FA4826" w:rsidRDefault="00117769" w:rsidP="00C64C89">
      <w:pPr>
        <w:pStyle w:val="Paragraphedeliste"/>
        <w:numPr>
          <w:ilvl w:val="0"/>
          <w:numId w:val="33"/>
        </w:numPr>
        <w:spacing w:after="0" w:line="240" w:lineRule="auto"/>
        <w:rPr>
          <w:rFonts w:ascii="Arial" w:hAnsi="Arial" w:cs="Arial"/>
          <w:i w:val="0"/>
        </w:rPr>
      </w:pPr>
      <w:r w:rsidRPr="00FA4826">
        <w:rPr>
          <w:rFonts w:ascii="Arial" w:hAnsi="Arial" w:cs="Arial"/>
          <w:i w:val="0"/>
        </w:rPr>
        <w:t>salaires</w:t>
      </w:r>
    </w:p>
    <w:p w:rsidR="002C4D8C" w:rsidRPr="00FA4826" w:rsidRDefault="00117769" w:rsidP="00C64C89">
      <w:pPr>
        <w:pStyle w:val="Paragraphedeliste"/>
        <w:numPr>
          <w:ilvl w:val="0"/>
          <w:numId w:val="33"/>
        </w:numPr>
        <w:spacing w:after="0" w:line="240" w:lineRule="auto"/>
        <w:rPr>
          <w:rFonts w:ascii="Arial" w:hAnsi="Arial" w:cs="Arial"/>
          <w:i w:val="0"/>
        </w:rPr>
      </w:pPr>
      <w:r w:rsidRPr="00FA4826">
        <w:rPr>
          <w:rFonts w:ascii="Arial" w:hAnsi="Arial" w:cs="Arial"/>
          <w:i w:val="0"/>
        </w:rPr>
        <w:t>déficit public</w:t>
      </w:r>
    </w:p>
    <w:p w:rsidR="00117769" w:rsidRPr="00FA4826" w:rsidRDefault="00117769" w:rsidP="00C64C89">
      <w:pPr>
        <w:pStyle w:val="Paragraphedeliste"/>
        <w:numPr>
          <w:ilvl w:val="0"/>
          <w:numId w:val="33"/>
        </w:numPr>
        <w:spacing w:after="0" w:line="240" w:lineRule="auto"/>
        <w:rPr>
          <w:rFonts w:ascii="Arial" w:hAnsi="Arial" w:cs="Arial"/>
          <w:i w:val="0"/>
        </w:rPr>
      </w:pPr>
      <w:r w:rsidRPr="00FA4826">
        <w:rPr>
          <w:rFonts w:ascii="Arial" w:hAnsi="Arial" w:cs="Arial"/>
          <w:i w:val="0"/>
        </w:rPr>
        <w:t>panique monétaire</w:t>
      </w:r>
    </w:p>
    <w:p w:rsidR="00BF5699" w:rsidRPr="00FA4826" w:rsidRDefault="00BF5699" w:rsidP="00123CAF">
      <w:pPr>
        <w:spacing w:after="0"/>
        <w:rPr>
          <w:rFonts w:ascii="Arial" w:hAnsi="Arial" w:cs="Arial"/>
          <w:i w:val="0"/>
        </w:rPr>
      </w:pPr>
    </w:p>
    <w:p w:rsidR="00117769" w:rsidRPr="00FA4826" w:rsidRDefault="00BF5699" w:rsidP="00123CAF">
      <w:pPr>
        <w:spacing w:after="0"/>
        <w:rPr>
          <w:rFonts w:ascii="Arial" w:hAnsi="Arial" w:cs="Arial"/>
          <w:i w:val="0"/>
        </w:rPr>
      </w:pPr>
      <w:r w:rsidRPr="00FA4826">
        <w:rPr>
          <w:rFonts w:ascii="Arial" w:hAnsi="Arial" w:cs="Arial"/>
          <w:i w:val="0"/>
        </w:rPr>
        <w:t>On parle d’inflation car les prix dans l’agriculture augmentent, le prix du blé engendre des poussées inflationnistes sur tous les produits. Dès lors que le prix du pétrole augmente, entraine de l’inflation : inflation par les coûts. Il y a aussi une inflation par les déficits. On se rend compte dans la pratique suite aux crises la Banque centrale finance une</w:t>
      </w:r>
      <w:r w:rsidR="00C74ED5" w:rsidRPr="00FA4826">
        <w:rPr>
          <w:rFonts w:ascii="Arial" w:hAnsi="Arial" w:cs="Arial"/>
          <w:i w:val="0"/>
        </w:rPr>
        <w:t xml:space="preserve"> </w:t>
      </w:r>
      <w:r w:rsidRPr="00FA4826">
        <w:rPr>
          <w:rFonts w:ascii="Arial" w:hAnsi="Arial" w:cs="Arial"/>
          <w:i w:val="0"/>
        </w:rPr>
        <w:t xml:space="preserve">partie des déficits publics : donc elle crée de la monnaie, et il y a donc inflation. La banque centrale augmente les taux pour diminuer ou faire diminuer les crédits. </w:t>
      </w:r>
    </w:p>
    <w:p w:rsidR="00117769" w:rsidRPr="00FA4826" w:rsidRDefault="002C4D8C" w:rsidP="00123CAF">
      <w:pPr>
        <w:pStyle w:val="Titre3"/>
        <w:rPr>
          <w:rFonts w:ascii="Arial" w:hAnsi="Arial" w:cs="Arial"/>
          <w:i w:val="0"/>
        </w:rPr>
      </w:pPr>
      <w:bookmarkStart w:id="19" w:name="_Toc379227133"/>
      <w:r w:rsidRPr="00FA4826">
        <w:rPr>
          <w:rFonts w:ascii="Arial" w:hAnsi="Arial" w:cs="Arial"/>
          <w:i w:val="0"/>
        </w:rPr>
        <w:t xml:space="preserve">c. </w:t>
      </w:r>
      <w:r w:rsidR="00117769" w:rsidRPr="00FA4826">
        <w:rPr>
          <w:rFonts w:ascii="Arial" w:hAnsi="Arial" w:cs="Arial"/>
          <w:i w:val="0"/>
        </w:rPr>
        <w:t>Les conséquences de l’inflation</w:t>
      </w:r>
      <w:bookmarkEnd w:id="19"/>
    </w:p>
    <w:p w:rsidR="00117769" w:rsidRPr="00FA4826" w:rsidRDefault="00117769" w:rsidP="00123CAF">
      <w:pPr>
        <w:spacing w:after="0"/>
        <w:rPr>
          <w:rFonts w:ascii="Arial" w:hAnsi="Arial" w:cs="Arial"/>
          <w:i w:val="0"/>
        </w:rPr>
      </w:pPr>
      <w:r w:rsidRPr="00FA4826">
        <w:rPr>
          <w:rFonts w:ascii="Arial" w:hAnsi="Arial" w:cs="Arial"/>
          <w:i w:val="0"/>
        </w:rPr>
        <w:t>L’inflation facilite le remboursement de la dette, avec un taux d’intérêt fixe :</w:t>
      </w:r>
    </w:p>
    <w:p w:rsidR="00117769" w:rsidRPr="00FA4826" w:rsidRDefault="00117769" w:rsidP="00123CAF">
      <w:pPr>
        <w:spacing w:after="0"/>
        <w:rPr>
          <w:rFonts w:ascii="Arial" w:hAnsi="Arial" w:cs="Arial"/>
          <w:i w:val="0"/>
        </w:rPr>
      </w:pPr>
      <w:r w:rsidRPr="00FA4826">
        <w:rPr>
          <w:rFonts w:ascii="Arial" w:hAnsi="Arial" w:cs="Arial"/>
          <w:i w:val="0"/>
        </w:rPr>
        <w:t>- Elle favorise donc l’investissement (effets de levier sur la rentabilité)</w:t>
      </w:r>
    </w:p>
    <w:p w:rsidR="00117769" w:rsidRPr="00FA4826" w:rsidRDefault="00117769" w:rsidP="00123CAF">
      <w:pPr>
        <w:spacing w:after="0"/>
        <w:rPr>
          <w:rFonts w:ascii="Arial" w:hAnsi="Arial" w:cs="Arial"/>
          <w:i w:val="0"/>
        </w:rPr>
      </w:pPr>
      <w:r w:rsidRPr="00FA4826">
        <w:rPr>
          <w:rFonts w:ascii="Arial" w:hAnsi="Arial" w:cs="Arial"/>
          <w:i w:val="0"/>
        </w:rPr>
        <w:t>- Elle favorise la consommation, puisqu’il n’est pas préférable d’épargner car l’argent se déprécie.</w:t>
      </w:r>
    </w:p>
    <w:p w:rsidR="002819FD" w:rsidRPr="00FA4826" w:rsidRDefault="00117769" w:rsidP="00123CAF">
      <w:pPr>
        <w:spacing w:after="0"/>
        <w:rPr>
          <w:rFonts w:ascii="Arial" w:hAnsi="Arial" w:cs="Arial"/>
          <w:i w:val="0"/>
        </w:rPr>
      </w:pPr>
      <w:r w:rsidRPr="00FA4826">
        <w:rPr>
          <w:rFonts w:ascii="Arial" w:hAnsi="Arial" w:cs="Arial"/>
          <w:i w:val="0"/>
        </w:rPr>
        <w:t>- Elle favorise le remboursement de la dette publique.</w:t>
      </w:r>
    </w:p>
    <w:p w:rsidR="002819FD" w:rsidRPr="00FA4826" w:rsidRDefault="002819FD" w:rsidP="00123CAF">
      <w:pPr>
        <w:spacing w:after="0"/>
        <w:rPr>
          <w:rFonts w:ascii="Arial" w:hAnsi="Arial" w:cs="Arial"/>
          <w:i w:val="0"/>
        </w:rPr>
      </w:pPr>
    </w:p>
    <w:p w:rsidR="00117769" w:rsidRPr="00FA4826" w:rsidRDefault="002819FD" w:rsidP="00123CAF">
      <w:pPr>
        <w:spacing w:after="0"/>
        <w:rPr>
          <w:rFonts w:ascii="Arial" w:hAnsi="Arial" w:cs="Arial"/>
          <w:i w:val="0"/>
        </w:rPr>
      </w:pPr>
      <w:r w:rsidRPr="00FA4826">
        <w:rPr>
          <w:rFonts w:ascii="Arial" w:hAnsi="Arial" w:cs="Arial"/>
          <w:i w:val="0"/>
        </w:rPr>
        <w:t>Elle transforme les rapports d’échange :</w:t>
      </w:r>
    </w:p>
    <w:p w:rsidR="00117769" w:rsidRPr="00FA4826" w:rsidRDefault="002819FD" w:rsidP="00123CAF">
      <w:pPr>
        <w:spacing w:after="0"/>
        <w:rPr>
          <w:rFonts w:ascii="Arial" w:hAnsi="Arial" w:cs="Arial"/>
          <w:i w:val="0"/>
        </w:rPr>
      </w:pPr>
      <w:r w:rsidRPr="00FA4826">
        <w:rPr>
          <w:rFonts w:ascii="Arial" w:hAnsi="Arial" w:cs="Arial"/>
          <w:i w:val="0"/>
          <w:noProof/>
          <w:lang w:eastAsia="fr-FR"/>
        </w:rPr>
        <w:lastRenderedPageBreak/>
        <w:drawing>
          <wp:inline distT="0" distB="0" distL="0" distR="0" wp14:anchorId="3E8A0AFE" wp14:editId="50D484C5">
            <wp:extent cx="5760720" cy="1731645"/>
            <wp:effectExtent l="25400" t="0" r="5080" b="0"/>
            <wp:docPr id="3" name="Image 2" descr="Capture d’écran 2011-04-05 à 10.07.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1-04-05 à 10.07.33.png"/>
                    <pic:cNvPicPr/>
                  </pic:nvPicPr>
                  <pic:blipFill>
                    <a:blip r:embed="rId25"/>
                    <a:stretch>
                      <a:fillRect/>
                    </a:stretch>
                  </pic:blipFill>
                  <pic:spPr>
                    <a:xfrm>
                      <a:off x="0" y="0"/>
                      <a:ext cx="5760720" cy="1731645"/>
                    </a:xfrm>
                    <a:prstGeom prst="rect">
                      <a:avLst/>
                    </a:prstGeom>
                  </pic:spPr>
                </pic:pic>
              </a:graphicData>
            </a:graphic>
          </wp:inline>
        </w:drawing>
      </w:r>
    </w:p>
    <w:p w:rsidR="002819FD" w:rsidRPr="00FA4826" w:rsidRDefault="002819FD" w:rsidP="00123CAF">
      <w:pPr>
        <w:spacing w:after="0"/>
        <w:rPr>
          <w:rFonts w:ascii="Arial" w:hAnsi="Arial" w:cs="Arial"/>
          <w:i w:val="0"/>
        </w:rPr>
      </w:pPr>
      <w:r w:rsidRPr="00FA4826">
        <w:rPr>
          <w:rFonts w:ascii="Arial" w:hAnsi="Arial" w:cs="Arial"/>
          <w:i w:val="0"/>
        </w:rPr>
        <w:t xml:space="preserve">Soit le taux de change reste constant, pour que le bien reste compétitif à l’étranger il faudra que son prix diminue. Dans le pays X, comme il y a de l’inflation le prix augmente si l’entreprise veut continuer à exporter et que le taux de change reste le même alors l’entreprise va devoir baisser son prix. </w:t>
      </w:r>
      <w:r w:rsidR="002122E1" w:rsidRPr="00FA4826">
        <w:rPr>
          <w:rFonts w:ascii="Arial" w:hAnsi="Arial" w:cs="Arial"/>
          <w:i w:val="0"/>
        </w:rPr>
        <w:t>Soit sinon on joue sur les</w:t>
      </w:r>
      <w:r w:rsidR="00CA6ECC" w:rsidRPr="00FA4826">
        <w:rPr>
          <w:rFonts w:ascii="Arial" w:hAnsi="Arial" w:cs="Arial"/>
          <w:i w:val="0"/>
        </w:rPr>
        <w:t xml:space="preserve"> taux de change, avant 1€ = 1$ et on passe à un taux de change de rapport 1,1. </w:t>
      </w:r>
    </w:p>
    <w:p w:rsidR="00117769" w:rsidRPr="00FA4826" w:rsidRDefault="00117769" w:rsidP="00123CAF">
      <w:pPr>
        <w:spacing w:after="0"/>
        <w:rPr>
          <w:rFonts w:ascii="Arial" w:hAnsi="Arial" w:cs="Arial"/>
          <w:i w:val="0"/>
        </w:rPr>
      </w:pPr>
      <w:r w:rsidRPr="00FA4826">
        <w:rPr>
          <w:rFonts w:ascii="Arial" w:hAnsi="Arial" w:cs="Arial"/>
          <w:i w:val="0"/>
        </w:rPr>
        <w:t>L’inflation érode l’épargne : les intérêts réels (indexation) deviennent faibles.</w:t>
      </w:r>
    </w:p>
    <w:p w:rsidR="00117769" w:rsidRPr="00FA4826" w:rsidRDefault="00117769" w:rsidP="00123CAF">
      <w:pPr>
        <w:spacing w:after="0"/>
        <w:rPr>
          <w:rFonts w:ascii="Arial" w:hAnsi="Arial" w:cs="Arial"/>
          <w:i w:val="0"/>
        </w:rPr>
      </w:pPr>
      <w:r w:rsidRPr="00FA4826">
        <w:rPr>
          <w:rFonts w:ascii="Arial" w:hAnsi="Arial" w:cs="Arial"/>
          <w:i w:val="0"/>
        </w:rPr>
        <w:t>L’inflation biaise certains calculs économiques comme le taux de change. Elle transforme les rapports d’échanges internationaux.</w:t>
      </w:r>
    </w:p>
    <w:p w:rsidR="00117769" w:rsidRPr="00FA4826" w:rsidRDefault="00117769" w:rsidP="00123CAF">
      <w:pPr>
        <w:spacing w:after="0"/>
        <w:rPr>
          <w:rFonts w:ascii="Arial" w:hAnsi="Arial" w:cs="Arial"/>
          <w:i w:val="0"/>
        </w:rPr>
      </w:pPr>
      <w:r w:rsidRPr="00FA4826">
        <w:rPr>
          <w:rFonts w:ascii="Arial" w:hAnsi="Arial" w:cs="Arial"/>
          <w:i w:val="0"/>
        </w:rPr>
        <w:t>Quand un pays connaît de l’inflation, les prix de ses biens vont augmenter et le pays en question sera moins compétitif à l’étranger. Pour redevenir compétitif, il faudra soit baisser ses coûts de production, soit transformer le taux de change (dévaluer sa monnaie) pour diminuer ses prix à l’exportation.</w:t>
      </w:r>
    </w:p>
    <w:p w:rsidR="00117769" w:rsidRPr="00FA4826" w:rsidRDefault="00117769" w:rsidP="00123CAF">
      <w:pPr>
        <w:spacing w:after="0"/>
        <w:rPr>
          <w:rFonts w:ascii="Arial" w:hAnsi="Arial" w:cs="Arial"/>
          <w:i w:val="0"/>
        </w:rPr>
      </w:pPr>
      <w:r w:rsidRPr="00FA4826">
        <w:rPr>
          <w:rFonts w:ascii="Arial" w:hAnsi="Arial" w:cs="Arial"/>
          <w:i w:val="0"/>
        </w:rPr>
        <w:t>Ex : la chine dévalue constamment sa monnaie pour être plus compétitif à l’étranger</w:t>
      </w:r>
    </w:p>
    <w:p w:rsidR="00152836" w:rsidRPr="00FA4826" w:rsidRDefault="00117769" w:rsidP="00123CAF">
      <w:pPr>
        <w:spacing w:after="0"/>
        <w:rPr>
          <w:rFonts w:ascii="Arial" w:hAnsi="Arial" w:cs="Arial"/>
          <w:i w:val="0"/>
        </w:rPr>
      </w:pPr>
      <w:r w:rsidRPr="00FA4826">
        <w:rPr>
          <w:rFonts w:ascii="Arial" w:hAnsi="Arial" w:cs="Arial"/>
          <w:i w:val="0"/>
        </w:rPr>
        <w:t>Le taux de change est donc un élément de politique monétaire.</w:t>
      </w:r>
    </w:p>
    <w:p w:rsidR="00825929" w:rsidRPr="00FA4826" w:rsidRDefault="00825929" w:rsidP="00123CAF">
      <w:pPr>
        <w:spacing w:after="0"/>
        <w:rPr>
          <w:rFonts w:ascii="Arial" w:hAnsi="Arial" w:cs="Arial"/>
          <w:i w:val="0"/>
        </w:rPr>
      </w:pPr>
      <w:r w:rsidRPr="00FA4826">
        <w:rPr>
          <w:rFonts w:ascii="Arial" w:hAnsi="Arial" w:cs="Arial"/>
          <w:i w:val="0"/>
        </w:rPr>
        <w:t xml:space="preserve">On peut aussi actualiser : les exportations en Allemagne, certains pays se plaignent que l’Allemagne est trop compétitive. L’Allemagne exporte énormément car : </w:t>
      </w:r>
    </w:p>
    <w:p w:rsidR="00F306EC" w:rsidRPr="00FA4826" w:rsidRDefault="00825929" w:rsidP="00C64C89">
      <w:pPr>
        <w:pStyle w:val="Paragraphedeliste"/>
        <w:numPr>
          <w:ilvl w:val="0"/>
          <w:numId w:val="34"/>
        </w:numPr>
        <w:spacing w:after="0"/>
        <w:rPr>
          <w:rFonts w:ascii="Arial" w:hAnsi="Arial" w:cs="Arial"/>
          <w:i w:val="0"/>
        </w:rPr>
      </w:pPr>
      <w:r w:rsidRPr="00FA4826">
        <w:rPr>
          <w:rFonts w:ascii="Arial" w:hAnsi="Arial" w:cs="Arial"/>
          <w:i w:val="0"/>
        </w:rPr>
        <w:t xml:space="preserve">L’euro car avant l’essentiel des exportations en Allemagne très importantes dans sa monnaie donc le mark augmentait (système inverse au tableau </w:t>
      </w:r>
      <w:proofErr w:type="spellStart"/>
      <w:r w:rsidRPr="00FA4826">
        <w:rPr>
          <w:rFonts w:ascii="Arial" w:hAnsi="Arial" w:cs="Arial"/>
          <w:i w:val="0"/>
        </w:rPr>
        <w:t>ci dessus</w:t>
      </w:r>
      <w:proofErr w:type="spellEnd"/>
      <w:r w:rsidRPr="00FA4826">
        <w:rPr>
          <w:rFonts w:ascii="Arial" w:hAnsi="Arial" w:cs="Arial"/>
          <w:i w:val="0"/>
        </w:rPr>
        <w:t xml:space="preserve">) tout le monde cherchait de la monnaie allemande. Les prix des biens allemand augmentaient à l’étranger : on en achetait moins. Suite à chaque réévaluation les exportations tendaient à diminuer. Avant la stabilité des taux de change entre pays européens : exportations – réévaluation – diminution exportations. L’euro empêche ce mécanisme : stabilité de la monnaie. </w:t>
      </w:r>
    </w:p>
    <w:p w:rsidR="00833E62" w:rsidRPr="00FA4826" w:rsidRDefault="00F306EC" w:rsidP="00123CAF">
      <w:pPr>
        <w:spacing w:after="0"/>
        <w:rPr>
          <w:rFonts w:ascii="Arial" w:hAnsi="Arial" w:cs="Arial"/>
          <w:i w:val="0"/>
        </w:rPr>
      </w:pPr>
      <w:r w:rsidRPr="00FA4826">
        <w:rPr>
          <w:rFonts w:ascii="Arial" w:hAnsi="Arial" w:cs="Arial"/>
          <w:b/>
          <w:i w:val="0"/>
          <w:u w:val="single"/>
        </w:rPr>
        <w:t>L’inflation et les salaires </w:t>
      </w:r>
      <w:r w:rsidRPr="00FA4826">
        <w:rPr>
          <w:rFonts w:ascii="Arial" w:hAnsi="Arial" w:cs="Arial"/>
          <w:i w:val="0"/>
        </w:rPr>
        <w:t>: si on a une inflation de 10% et que les salaires n’augmentent pas cela entraine une baisse du PA en valeur nominale. La valeur nominale c’est la valeur des prix comme on l’observe si le pain augmente de 10% : début année sa valeur nominale = 1€ et à la fin de l’année 1,1€. La valeur réelle c’est la valeur déflatée</w:t>
      </w:r>
      <w:r w:rsidR="00276A41" w:rsidRPr="00FA4826">
        <w:rPr>
          <w:rFonts w:ascii="Arial" w:hAnsi="Arial" w:cs="Arial"/>
          <w:i w:val="0"/>
        </w:rPr>
        <w:t xml:space="preserve">. Si le salaire est de 100, et qu’il est constant, mais si l’inflation est de 10%, à valeur nominale le salaire est constant mais en valeur réelle il va diminuer. Le salaire nous permet d’acheter moins. </w:t>
      </w:r>
      <w:r w:rsidR="00833E62" w:rsidRPr="00FA4826">
        <w:rPr>
          <w:rFonts w:ascii="Arial" w:hAnsi="Arial" w:cs="Arial"/>
          <w:i w:val="0"/>
        </w:rPr>
        <w:t xml:space="preserve">Donc sur les salaires on choisit d’indexer ou pas indexer sur les salaires : </w:t>
      </w:r>
    </w:p>
    <w:p w:rsidR="00833E62" w:rsidRPr="00FA4826" w:rsidRDefault="00833E62" w:rsidP="00C64C89">
      <w:pPr>
        <w:pStyle w:val="Paragraphedeliste"/>
        <w:numPr>
          <w:ilvl w:val="0"/>
          <w:numId w:val="34"/>
        </w:numPr>
        <w:spacing w:after="0"/>
        <w:rPr>
          <w:rFonts w:ascii="Arial" w:hAnsi="Arial" w:cs="Arial"/>
          <w:i w:val="0"/>
        </w:rPr>
      </w:pPr>
      <w:r w:rsidRPr="00FA4826">
        <w:rPr>
          <w:rFonts w:ascii="Arial" w:hAnsi="Arial" w:cs="Arial"/>
          <w:i w:val="0"/>
        </w:rPr>
        <w:t xml:space="preserve">Indexation et pouvoir d’achat </w:t>
      </w:r>
    </w:p>
    <w:p w:rsidR="00F14F0D" w:rsidRPr="00FA4826" w:rsidRDefault="00833E62" w:rsidP="00C64C89">
      <w:pPr>
        <w:pStyle w:val="Paragraphedeliste"/>
        <w:numPr>
          <w:ilvl w:val="0"/>
          <w:numId w:val="34"/>
        </w:numPr>
        <w:spacing w:after="0"/>
        <w:rPr>
          <w:rFonts w:ascii="Arial" w:hAnsi="Arial" w:cs="Arial"/>
          <w:i w:val="0"/>
        </w:rPr>
      </w:pPr>
      <w:r w:rsidRPr="00FA4826">
        <w:rPr>
          <w:rFonts w:ascii="Arial" w:hAnsi="Arial" w:cs="Arial"/>
          <w:i w:val="0"/>
        </w:rPr>
        <w:t>Indexation et remboursement d’emprunts bancaires</w:t>
      </w:r>
    </w:p>
    <w:p w:rsidR="002367CA" w:rsidRPr="00FA4826" w:rsidRDefault="00F14F0D" w:rsidP="00123CAF">
      <w:pPr>
        <w:spacing w:after="0"/>
        <w:rPr>
          <w:rFonts w:ascii="Arial" w:hAnsi="Arial" w:cs="Arial"/>
          <w:i w:val="0"/>
        </w:rPr>
      </w:pPr>
      <w:r w:rsidRPr="00FA4826">
        <w:rPr>
          <w:rFonts w:ascii="Arial" w:hAnsi="Arial" w:cs="Arial"/>
          <w:b/>
          <w:i w:val="0"/>
          <w:u w:val="single"/>
        </w:rPr>
        <w:t>L’inflation et le chômage :</w:t>
      </w:r>
      <w:r w:rsidRPr="00FA4826">
        <w:rPr>
          <w:rFonts w:ascii="Arial" w:hAnsi="Arial" w:cs="Arial"/>
          <w:i w:val="0"/>
        </w:rPr>
        <w:t xml:space="preserve"> </w:t>
      </w:r>
      <w:r w:rsidRPr="00FA4826">
        <w:rPr>
          <w:rFonts w:ascii="Arial" w:hAnsi="Arial" w:cs="Arial"/>
          <w:b/>
          <w:i w:val="0"/>
        </w:rPr>
        <w:t xml:space="preserve">Philips </w:t>
      </w:r>
      <w:r w:rsidRPr="00FA4826">
        <w:rPr>
          <w:rFonts w:ascii="Arial" w:hAnsi="Arial" w:cs="Arial"/>
          <w:i w:val="0"/>
        </w:rPr>
        <w:t xml:space="preserve">La courbe de Philips, était un économicien regardait les longues séries dans différents pays et a comparé les taux de chômage et l’inflation et de son étude macro sur le long terme. Mais il n’a pas pris en compte la stagflation, stagnation du chômage avec inflation : peu de croissance donc beaucoup de chômage et en même temps de l’inflation c’est l’exemple de la fin des années 70 et le début des années 80 où on avait des taux de croissance de moins en moins important, le chômage augmentait et l’inflation était important. </w:t>
      </w:r>
    </w:p>
    <w:p w:rsidR="002367CA" w:rsidRPr="00FA4826" w:rsidRDefault="002367CA" w:rsidP="00123CAF">
      <w:pPr>
        <w:spacing w:after="0"/>
        <w:rPr>
          <w:rFonts w:ascii="Arial" w:hAnsi="Arial" w:cs="Arial"/>
          <w:i w:val="0"/>
        </w:rPr>
      </w:pPr>
    </w:p>
    <w:p w:rsidR="002367CA" w:rsidRPr="00FA4826" w:rsidRDefault="002367CA" w:rsidP="00123CAF">
      <w:pPr>
        <w:spacing w:after="0"/>
        <w:rPr>
          <w:rFonts w:ascii="Arial" w:hAnsi="Arial" w:cs="Arial"/>
          <w:i w:val="0"/>
        </w:rPr>
      </w:pPr>
      <w:r w:rsidRPr="00FA4826">
        <w:rPr>
          <w:rFonts w:ascii="Arial" w:hAnsi="Arial" w:cs="Arial"/>
          <w:b/>
          <w:i w:val="0"/>
          <w:u w:val="single"/>
        </w:rPr>
        <w:t xml:space="preserve">L’inflation et le pouvoir d’achat : </w:t>
      </w:r>
      <w:r w:rsidRPr="00FA4826">
        <w:rPr>
          <w:rFonts w:ascii="Arial" w:hAnsi="Arial" w:cs="Arial"/>
          <w:i w:val="0"/>
        </w:rPr>
        <w:t xml:space="preserve">On calculait l’indice de l’inflation en fonction d’un panel d’un ménage standard, l’indice </w:t>
      </w:r>
      <w:proofErr w:type="spellStart"/>
      <w:r w:rsidRPr="00FA4826">
        <w:rPr>
          <w:rFonts w:ascii="Arial" w:hAnsi="Arial" w:cs="Arial"/>
          <w:i w:val="0"/>
        </w:rPr>
        <w:t>es</w:t>
      </w:r>
      <w:proofErr w:type="spellEnd"/>
      <w:r w:rsidRPr="00FA4826">
        <w:rPr>
          <w:rFonts w:ascii="Arial" w:hAnsi="Arial" w:cs="Arial"/>
          <w:i w:val="0"/>
        </w:rPr>
        <w:t xml:space="preserve"> prix est sensé refléter un ménage standard, moyen. Ce que l’on remarque dans la pratique c’est que les ménages ne sont pas affectés de la même façon par l’inflation. Tout dépend de ma consommation par produit : on préfère soit manger du pain soit acheter des télés (exemple bien </w:t>
      </w:r>
      <w:proofErr w:type="spellStart"/>
      <w:r w:rsidRPr="00FA4826">
        <w:rPr>
          <w:rFonts w:ascii="Arial" w:hAnsi="Arial" w:cs="Arial"/>
          <w:i w:val="0"/>
        </w:rPr>
        <w:t>sur</w:t>
      </w:r>
      <w:proofErr w:type="spellEnd"/>
      <w:r w:rsidRPr="00FA4826">
        <w:rPr>
          <w:rFonts w:ascii="Arial" w:hAnsi="Arial" w:cs="Arial"/>
          <w:i w:val="0"/>
        </w:rPr>
        <w:t xml:space="preserve">). </w:t>
      </w:r>
    </w:p>
    <w:p w:rsidR="002367CA" w:rsidRPr="00FA4826" w:rsidRDefault="002367CA" w:rsidP="00123CAF">
      <w:pPr>
        <w:spacing w:after="0"/>
        <w:rPr>
          <w:rFonts w:ascii="Arial" w:hAnsi="Arial" w:cs="Arial"/>
          <w:i w:val="0"/>
        </w:rPr>
      </w:pPr>
      <w:r w:rsidRPr="00FA4826">
        <w:rPr>
          <w:rFonts w:ascii="Arial" w:hAnsi="Arial" w:cs="Arial"/>
          <w:i w:val="0"/>
          <w:noProof/>
          <w:lang w:eastAsia="fr-FR"/>
        </w:rPr>
        <w:lastRenderedPageBreak/>
        <w:drawing>
          <wp:inline distT="0" distB="0" distL="0" distR="0" wp14:anchorId="03F652E3" wp14:editId="1BD66F5C">
            <wp:extent cx="5113655" cy="1565275"/>
            <wp:effectExtent l="25400" t="0" r="0" b="0"/>
            <wp:docPr id="6" name="I 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srcRect/>
                    <a:stretch>
                      <a:fillRect/>
                    </a:stretch>
                  </pic:blipFill>
                  <pic:spPr bwMode="auto">
                    <a:xfrm>
                      <a:off x="0" y="0"/>
                      <a:ext cx="5113655" cy="1565275"/>
                    </a:xfrm>
                    <a:prstGeom prst="rect">
                      <a:avLst/>
                    </a:prstGeom>
                    <a:noFill/>
                    <a:ln w="9525">
                      <a:noFill/>
                      <a:miter lim="800000"/>
                      <a:headEnd/>
                      <a:tailEnd/>
                    </a:ln>
                  </pic:spPr>
                </pic:pic>
              </a:graphicData>
            </a:graphic>
          </wp:inline>
        </w:drawing>
      </w:r>
    </w:p>
    <w:p w:rsidR="009C5F80" w:rsidRPr="00FA4826" w:rsidRDefault="002367CA" w:rsidP="00123CAF">
      <w:pPr>
        <w:spacing w:after="0"/>
        <w:rPr>
          <w:rFonts w:ascii="Arial" w:hAnsi="Arial" w:cs="Arial"/>
          <w:i w:val="0"/>
        </w:rPr>
      </w:pPr>
      <w:r w:rsidRPr="00FA4826">
        <w:rPr>
          <w:rFonts w:ascii="Arial" w:hAnsi="Arial" w:cs="Arial"/>
          <w:i w:val="0"/>
        </w:rPr>
        <w:t xml:space="preserve">L’inflation sur l’électroménager pendant une période et le prix de l’alimentation augmente. </w:t>
      </w:r>
      <w:r w:rsidR="002B4843" w:rsidRPr="00FA4826">
        <w:rPr>
          <w:rFonts w:ascii="Arial" w:hAnsi="Arial" w:cs="Arial"/>
          <w:i w:val="0"/>
        </w:rPr>
        <w:t xml:space="preserve">Selon l’INSEE depuis 1996 40% des ménages français subiraient une inflation plus forte que l’indice moyen qui est de 2% par an. </w:t>
      </w:r>
    </w:p>
    <w:p w:rsidR="009C5F80" w:rsidRPr="00FA4826" w:rsidRDefault="009C5F80" w:rsidP="00123CAF">
      <w:pPr>
        <w:spacing w:after="0"/>
        <w:rPr>
          <w:rFonts w:ascii="Arial" w:hAnsi="Arial" w:cs="Arial"/>
          <w:i w:val="0"/>
        </w:rPr>
      </w:pPr>
    </w:p>
    <w:p w:rsidR="009C5F80" w:rsidRPr="00FA4826" w:rsidRDefault="009C5F80" w:rsidP="00123CAF">
      <w:pPr>
        <w:spacing w:after="0"/>
        <w:rPr>
          <w:rFonts w:ascii="Arial" w:hAnsi="Arial" w:cs="Arial"/>
          <w:b/>
          <w:i w:val="0"/>
        </w:rPr>
      </w:pPr>
      <w:r w:rsidRPr="00FA4826">
        <w:rPr>
          <w:rFonts w:ascii="Arial" w:hAnsi="Arial" w:cs="Arial"/>
          <w:b/>
          <w:i w:val="0"/>
        </w:rPr>
        <w:t xml:space="preserve">L’inflation mesurée et ressentie : </w:t>
      </w:r>
    </w:p>
    <w:p w:rsidR="00117769" w:rsidRPr="00FA4826" w:rsidRDefault="009C5F80" w:rsidP="00123CAF">
      <w:pPr>
        <w:spacing w:after="0"/>
        <w:rPr>
          <w:rFonts w:ascii="Arial" w:hAnsi="Arial" w:cs="Arial"/>
          <w:b/>
          <w:i w:val="0"/>
        </w:rPr>
      </w:pPr>
      <w:r w:rsidRPr="00FA4826">
        <w:rPr>
          <w:rFonts w:ascii="Arial" w:hAnsi="Arial" w:cs="Arial"/>
          <w:b/>
          <w:i w:val="0"/>
          <w:noProof/>
          <w:lang w:eastAsia="fr-FR"/>
        </w:rPr>
        <w:drawing>
          <wp:anchor distT="0" distB="0" distL="114300" distR="114300" simplePos="0" relativeHeight="251668480" behindDoc="0" locked="0" layoutInCell="1" allowOverlap="1" wp14:anchorId="0C7AEC4D" wp14:editId="62C7EB36">
            <wp:simplePos x="0" y="0"/>
            <wp:positionH relativeFrom="column">
              <wp:posOffset>3200400</wp:posOffset>
            </wp:positionH>
            <wp:positionV relativeFrom="paragraph">
              <wp:posOffset>67944</wp:posOffset>
            </wp:positionV>
            <wp:extent cx="3164205" cy="1946275"/>
            <wp:effectExtent l="25400" t="0" r="10795" b="0"/>
            <wp:wrapNone/>
            <wp:docPr id="12" name="I 3"/>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srcRect/>
                    <a:stretch>
                      <a:fillRect/>
                    </a:stretch>
                  </pic:blipFill>
                  <pic:spPr bwMode="auto">
                    <a:xfrm>
                      <a:off x="0" y="0"/>
                      <a:ext cx="3164205" cy="1946275"/>
                    </a:xfrm>
                    <a:prstGeom prst="rect">
                      <a:avLst/>
                    </a:prstGeom>
                    <a:noFill/>
                    <a:ln w="9525">
                      <a:noFill/>
                      <a:miter lim="800000"/>
                      <a:headEnd/>
                      <a:tailEnd/>
                    </a:ln>
                  </pic:spPr>
                </pic:pic>
              </a:graphicData>
            </a:graphic>
          </wp:anchor>
        </w:drawing>
      </w:r>
      <w:r w:rsidRPr="00FA4826">
        <w:rPr>
          <w:rFonts w:ascii="Arial" w:hAnsi="Arial" w:cs="Arial"/>
          <w:b/>
          <w:i w:val="0"/>
          <w:noProof/>
          <w:lang w:eastAsia="fr-FR"/>
        </w:rPr>
        <w:drawing>
          <wp:inline distT="0" distB="0" distL="0" distR="0" wp14:anchorId="2A975B06" wp14:editId="0B8BB7F2">
            <wp:extent cx="2941955" cy="2100146"/>
            <wp:effectExtent l="25400" t="0" r="4445" b="0"/>
            <wp:docPr id="9" name="I 2"/>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srcRect/>
                    <a:stretch>
                      <a:fillRect/>
                    </a:stretch>
                  </pic:blipFill>
                  <pic:spPr bwMode="auto">
                    <a:xfrm>
                      <a:off x="0" y="0"/>
                      <a:ext cx="2941742" cy="2099994"/>
                    </a:xfrm>
                    <a:prstGeom prst="rect">
                      <a:avLst/>
                    </a:prstGeom>
                    <a:noFill/>
                    <a:ln w="9525">
                      <a:noFill/>
                      <a:miter lim="800000"/>
                      <a:headEnd/>
                      <a:tailEnd/>
                    </a:ln>
                  </pic:spPr>
                </pic:pic>
              </a:graphicData>
            </a:graphic>
          </wp:inline>
        </w:drawing>
      </w:r>
    </w:p>
    <w:p w:rsidR="00117769" w:rsidRPr="00FA4826" w:rsidRDefault="009C5F80" w:rsidP="00123CAF">
      <w:pPr>
        <w:spacing w:after="0"/>
        <w:rPr>
          <w:rFonts w:ascii="Arial" w:hAnsi="Arial" w:cs="Arial"/>
          <w:i w:val="0"/>
        </w:rPr>
      </w:pPr>
      <w:r w:rsidRPr="00FA4826">
        <w:rPr>
          <w:rFonts w:ascii="Arial" w:hAnsi="Arial" w:cs="Arial"/>
          <w:i w:val="0"/>
        </w:rPr>
        <w:t xml:space="preserve">Beaucoup de gens en France estiment que les prix augmentent : c’est l’inflation perçue qui est supérieur à l’inflation réelle car les prix qui augmentent le plus ce sont les prix de l’alimentaire, mais cette perception ne traduit pas l’indice moyen. Mais elle traduit que certain produit subissent une inflation plus forte sur certains produits. </w:t>
      </w:r>
    </w:p>
    <w:p w:rsidR="00965996" w:rsidRPr="00FA4826" w:rsidRDefault="00965996" w:rsidP="00123CAF">
      <w:pPr>
        <w:spacing w:after="0"/>
        <w:rPr>
          <w:rFonts w:ascii="Arial" w:hAnsi="Arial" w:cs="Arial"/>
          <w:i w:val="0"/>
        </w:rPr>
      </w:pPr>
      <w:r w:rsidRPr="00FA4826">
        <w:rPr>
          <w:rFonts w:ascii="Arial" w:hAnsi="Arial" w:cs="Arial"/>
          <w:i w:val="0"/>
        </w:rPr>
        <w:t xml:space="preserve">Les consommations sont surtout sensibles aux prix des produits qu’ils achètent souvent (aliments, carburants, etc…) Ces biens ont plus augmenté que l’électroménager par exemple. </w:t>
      </w:r>
    </w:p>
    <w:p w:rsidR="00965996" w:rsidRPr="00FA4826" w:rsidRDefault="00CE7155" w:rsidP="00123CAF">
      <w:pPr>
        <w:pStyle w:val="Titre3"/>
        <w:ind w:left="1440"/>
        <w:rPr>
          <w:rFonts w:ascii="Arial" w:hAnsi="Arial" w:cs="Arial"/>
          <w:i w:val="0"/>
        </w:rPr>
      </w:pPr>
      <w:bookmarkStart w:id="20" w:name="_Toc379227134"/>
      <w:proofErr w:type="spellStart"/>
      <w:r w:rsidRPr="00FA4826">
        <w:rPr>
          <w:rFonts w:ascii="Arial" w:hAnsi="Arial" w:cs="Arial"/>
          <w:i w:val="0"/>
        </w:rPr>
        <w:t>d.</w:t>
      </w:r>
      <w:r w:rsidR="00965996" w:rsidRPr="00FA4826">
        <w:rPr>
          <w:rFonts w:ascii="Arial" w:hAnsi="Arial" w:cs="Arial"/>
          <w:i w:val="0"/>
        </w:rPr>
        <w:t>L’inflation</w:t>
      </w:r>
      <w:proofErr w:type="spellEnd"/>
      <w:r w:rsidR="00965996" w:rsidRPr="00FA4826">
        <w:rPr>
          <w:rFonts w:ascii="Arial" w:hAnsi="Arial" w:cs="Arial"/>
          <w:i w:val="0"/>
        </w:rPr>
        <w:t xml:space="preserve"> dans une perspective historique :</w:t>
      </w:r>
      <w:bookmarkEnd w:id="20"/>
      <w:r w:rsidR="00965996" w:rsidRPr="00FA4826">
        <w:rPr>
          <w:rFonts w:ascii="Arial" w:hAnsi="Arial" w:cs="Arial"/>
          <w:i w:val="0"/>
        </w:rPr>
        <w:t xml:space="preserve"> </w:t>
      </w:r>
    </w:p>
    <w:p w:rsidR="00846878" w:rsidRPr="00FA4826" w:rsidRDefault="00965996" w:rsidP="00123CAF">
      <w:pPr>
        <w:spacing w:after="0"/>
        <w:rPr>
          <w:rFonts w:ascii="Arial" w:hAnsi="Arial" w:cs="Arial"/>
          <w:i w:val="0"/>
        </w:rPr>
      </w:pPr>
      <w:r w:rsidRPr="00FA4826">
        <w:rPr>
          <w:rFonts w:ascii="Arial" w:hAnsi="Arial" w:cs="Arial"/>
          <w:i w:val="0"/>
        </w:rPr>
        <w:t xml:space="preserve">Historiquement on se rend compte que la stabilité des prix ne se remarque pas ; on voit de fortes évolutions des prix. </w:t>
      </w:r>
      <w:r w:rsidRPr="00FA4826">
        <w:rPr>
          <w:rFonts w:ascii="Arial" w:hAnsi="Arial" w:cs="Arial"/>
          <w:b/>
          <w:i w:val="0"/>
        </w:rPr>
        <w:t xml:space="preserve">Lebon </w:t>
      </w:r>
      <w:r w:rsidRPr="00FA4826">
        <w:rPr>
          <w:rFonts w:ascii="Arial" w:hAnsi="Arial" w:cs="Arial"/>
          <w:i w:val="0"/>
        </w:rPr>
        <w:t xml:space="preserve">La monnaie au moyen âge : en fonction des guerres des périodes d’abondances, il y a différentes niveau de monnaie. </w:t>
      </w:r>
      <w:r w:rsidR="006B4728" w:rsidRPr="00FA4826">
        <w:rPr>
          <w:rFonts w:ascii="Arial" w:hAnsi="Arial" w:cs="Arial"/>
          <w:i w:val="0"/>
        </w:rPr>
        <w:t>Ces var</w:t>
      </w:r>
      <w:r w:rsidR="007F207B" w:rsidRPr="00FA4826">
        <w:rPr>
          <w:rFonts w:ascii="Arial" w:hAnsi="Arial" w:cs="Arial"/>
          <w:i w:val="0"/>
        </w:rPr>
        <w:t xml:space="preserve">iations ne sont pas brutales et il n’y avait pas de variations erratiques car souvent les prix étaient encadrés : le roi ou le monarque prélevait de l’impôt en blé : stockait ce blé dans des réserves puis redistribué ou revendu à des prix constants. Les marchés au sens contemporains ou le prix ajuste la demande n’existait pas. </w:t>
      </w:r>
    </w:p>
    <w:p w:rsidR="00846878" w:rsidRPr="00FA4826" w:rsidRDefault="00846878" w:rsidP="00123CAF">
      <w:pPr>
        <w:spacing w:after="0"/>
        <w:rPr>
          <w:rFonts w:ascii="Arial" w:hAnsi="Arial" w:cs="Arial"/>
          <w:i w:val="0"/>
        </w:rPr>
      </w:pPr>
      <w:r w:rsidRPr="00FA4826">
        <w:rPr>
          <w:rFonts w:ascii="Arial" w:hAnsi="Arial" w:cs="Arial"/>
          <w:i w:val="0"/>
        </w:rPr>
        <w:t xml:space="preserve">Il est difficile de comparer l’inflation d’aujourd’hui avec l’inflation du moyen âge, dans une perspective historique et générale. L’inflation se mesure sur les prix de marché. </w:t>
      </w:r>
    </w:p>
    <w:p w:rsidR="00846878" w:rsidRPr="00FA4826" w:rsidRDefault="00846878" w:rsidP="00123CAF">
      <w:pPr>
        <w:spacing w:after="0"/>
        <w:rPr>
          <w:rFonts w:ascii="Arial" w:hAnsi="Arial" w:cs="Arial"/>
          <w:i w:val="0"/>
        </w:rPr>
      </w:pPr>
      <w:r w:rsidRPr="00FA4826">
        <w:rPr>
          <w:rFonts w:ascii="Arial" w:hAnsi="Arial" w:cs="Arial"/>
          <w:i w:val="0"/>
        </w:rPr>
        <w:t xml:space="preserve">Les fortes fluctuations de prix nominaux apparaissent avec les échanges marchands au XIXème siècle, à partir de la révolution industrielle. Il y a une multitude de variation de prix en Europe, on ne va pas toutes les traiter mais globalement avec la création des marchés on va avoir des processus d’échange, et des mécanismes d’inflation. Cependant même si l’inflation va être très </w:t>
      </w:r>
      <w:proofErr w:type="gramStart"/>
      <w:r w:rsidRPr="00FA4826">
        <w:rPr>
          <w:rFonts w:ascii="Arial" w:hAnsi="Arial" w:cs="Arial"/>
          <w:i w:val="0"/>
        </w:rPr>
        <w:t>varié</w:t>
      </w:r>
      <w:proofErr w:type="gramEnd"/>
      <w:r w:rsidRPr="00FA4826">
        <w:rPr>
          <w:rFonts w:ascii="Arial" w:hAnsi="Arial" w:cs="Arial"/>
          <w:i w:val="0"/>
        </w:rPr>
        <w:t xml:space="preserve"> à partir de la révolution industrielle, on remarque que tout au long du siècle globalement il y a eu des pressions déflationnistes dans le sens où le pouvoir de la monnaie a augmenté tout au long du XIXème, deux raisons permettent d’expliquer cela : </w:t>
      </w:r>
    </w:p>
    <w:p w:rsidR="00846878" w:rsidRPr="00FA4826" w:rsidRDefault="00846878" w:rsidP="00C64C89">
      <w:pPr>
        <w:pStyle w:val="Paragraphedeliste"/>
        <w:numPr>
          <w:ilvl w:val="0"/>
          <w:numId w:val="35"/>
        </w:numPr>
        <w:spacing w:after="0"/>
        <w:rPr>
          <w:rFonts w:ascii="Arial" w:hAnsi="Arial" w:cs="Arial"/>
          <w:i w:val="0"/>
        </w:rPr>
      </w:pPr>
      <w:r w:rsidRPr="00FA4826">
        <w:rPr>
          <w:rFonts w:ascii="Arial" w:hAnsi="Arial" w:cs="Arial"/>
          <w:i w:val="0"/>
        </w:rPr>
        <w:t xml:space="preserve">Le XIXème siècle a eu son lot d’innovation très important : énergies, … Quand on innove on a des gains de productivité et donc on peut baisser les prix </w:t>
      </w:r>
    </w:p>
    <w:p w:rsidR="00846878" w:rsidRPr="00FA4826" w:rsidRDefault="00846878" w:rsidP="00C64C89">
      <w:pPr>
        <w:pStyle w:val="Paragraphedeliste"/>
        <w:numPr>
          <w:ilvl w:val="0"/>
          <w:numId w:val="35"/>
        </w:numPr>
        <w:spacing w:after="0"/>
        <w:rPr>
          <w:rFonts w:ascii="Arial" w:hAnsi="Arial" w:cs="Arial"/>
          <w:i w:val="0"/>
        </w:rPr>
      </w:pPr>
      <w:r w:rsidRPr="00FA4826">
        <w:rPr>
          <w:rFonts w:ascii="Arial" w:hAnsi="Arial" w:cs="Arial"/>
          <w:i w:val="0"/>
        </w:rPr>
        <w:t xml:space="preserve">Le salaire des ouvriers. Le XIXème se caractérise par une forte augmentation du salariat et tout au long les salaires ont été extrêmement faibles ce qu’il fait que les salaires étant faibles, le pouvoir d’achat aussi donc les ouvriers n’achetaient pas beaucoup : mécanisme de surproduction. Quand il y a surproduction : baisse des prix ce qui se traduit par de la déflation. </w:t>
      </w:r>
    </w:p>
    <w:p w:rsidR="00117769" w:rsidRPr="00FA4826" w:rsidRDefault="00846878" w:rsidP="00123CAF">
      <w:pPr>
        <w:spacing w:after="0"/>
        <w:rPr>
          <w:rFonts w:ascii="Arial" w:hAnsi="Arial" w:cs="Arial"/>
          <w:i w:val="0"/>
        </w:rPr>
      </w:pPr>
      <w:r w:rsidRPr="00FA4826">
        <w:rPr>
          <w:rFonts w:ascii="Arial" w:hAnsi="Arial" w:cs="Arial"/>
          <w:i w:val="0"/>
          <w:noProof/>
          <w:lang w:eastAsia="fr-FR"/>
        </w:rPr>
        <w:lastRenderedPageBreak/>
        <w:drawing>
          <wp:inline distT="0" distB="0" distL="0" distR="0" wp14:anchorId="0A1C6C53" wp14:editId="7F746279">
            <wp:extent cx="3856355" cy="2117725"/>
            <wp:effectExtent l="25400" t="0" r="4445" b="0"/>
            <wp:docPr id="18" name="I 4" descr="D:\Professionnel\Enseignement\2009-2010\Lille\MonnaieFinance\TD\TextesSources\graph\TDMo-0001.jpeg"/>
            <wp:cNvGraphicFramePr/>
            <a:graphic xmlns:a="http://schemas.openxmlformats.org/drawingml/2006/main">
              <a:graphicData uri="http://schemas.openxmlformats.org/drawingml/2006/picture">
                <pic:pic xmlns:pic="http://schemas.openxmlformats.org/drawingml/2006/picture">
                  <pic:nvPicPr>
                    <pic:cNvPr id="0" name="Picture 2" descr="D:\Professionnel\Enseignement\2009-2010\Lille\MonnaieFinance\TD\TextesSources\graph\TDMo-0001.jpeg"/>
                    <pic:cNvPicPr>
                      <a:picLocks noChangeAspect="1" noChangeArrowheads="1"/>
                    </pic:cNvPicPr>
                  </pic:nvPicPr>
                  <pic:blipFill>
                    <a:blip r:embed="rId29"/>
                    <a:srcRect/>
                    <a:stretch>
                      <a:fillRect/>
                    </a:stretch>
                  </pic:blipFill>
                  <pic:spPr bwMode="auto">
                    <a:xfrm>
                      <a:off x="0" y="0"/>
                      <a:ext cx="3862551" cy="2121128"/>
                    </a:xfrm>
                    <a:prstGeom prst="rect">
                      <a:avLst/>
                    </a:prstGeom>
                    <a:noFill/>
                    <a:ln w="9525">
                      <a:noFill/>
                      <a:miter lim="800000"/>
                      <a:headEnd/>
                      <a:tailEnd/>
                    </a:ln>
                  </pic:spPr>
                </pic:pic>
              </a:graphicData>
            </a:graphic>
          </wp:inline>
        </w:drawing>
      </w:r>
    </w:p>
    <w:p w:rsidR="00A4361E" w:rsidRPr="00FA4826" w:rsidRDefault="00846878" w:rsidP="00123CAF">
      <w:pPr>
        <w:spacing w:after="0"/>
        <w:rPr>
          <w:rFonts w:ascii="Arial" w:hAnsi="Arial" w:cs="Arial"/>
          <w:i w:val="0"/>
        </w:rPr>
      </w:pPr>
      <w:r w:rsidRPr="00FA4826">
        <w:rPr>
          <w:rFonts w:ascii="Arial" w:hAnsi="Arial" w:cs="Arial"/>
          <w:i w:val="0"/>
        </w:rPr>
        <w:t xml:space="preserve">En France si on dérive la fonction de 1800 à 1900 on verra que la dérivée est négative mais moins accentuée qu’en Angleterre car plus industrialisé, qui produisait le plus et donc qui avait le plus de surproduction. Tension déflationniste : forte rupture au début du XXème et va se caractériser au moment de la crise des années 20 : une crise de surproduction. </w:t>
      </w:r>
      <w:r w:rsidR="00A4361E" w:rsidRPr="00FA4826">
        <w:rPr>
          <w:rFonts w:ascii="Arial" w:hAnsi="Arial" w:cs="Arial"/>
          <w:i w:val="0"/>
        </w:rPr>
        <w:t xml:space="preserve">A la place d’avoir de la déflation on a eu une bulle inflationniste. </w:t>
      </w:r>
    </w:p>
    <w:p w:rsidR="00D86746" w:rsidRPr="00FA4826" w:rsidRDefault="008A40BA" w:rsidP="00123CAF">
      <w:pPr>
        <w:spacing w:after="0"/>
        <w:rPr>
          <w:rFonts w:ascii="Arial" w:hAnsi="Arial" w:cs="Arial"/>
          <w:i w:val="0"/>
        </w:rPr>
      </w:pPr>
      <w:r w:rsidRPr="00FA4826">
        <w:rPr>
          <w:rFonts w:ascii="Arial" w:hAnsi="Arial" w:cs="Arial"/>
          <w:b/>
          <w:i w:val="0"/>
        </w:rPr>
        <w:t>Au niveau du XXème siècle :</w:t>
      </w:r>
      <w:r w:rsidRPr="00FA4826">
        <w:rPr>
          <w:rFonts w:ascii="Arial" w:hAnsi="Arial" w:cs="Arial"/>
          <w:i w:val="0"/>
        </w:rPr>
        <w:t xml:space="preserve"> L’inflation et déflation entre deux guerres : au début du XX avant la crise des années 2à on a accentué le progrès technique, et la productivité du travail sans augmenter les salaires cela a entrainé une sur production et donc la crise qui va exploser en 1929. A parti de 1929 jusque la guerre il va y avoir un mouvement de déflation car on se rend compte que la surproduction pose problème, dans les pays il y a de fortes revendications salariales. </w:t>
      </w:r>
      <w:r w:rsidR="006E37E0" w:rsidRPr="00FA4826">
        <w:rPr>
          <w:rFonts w:ascii="Arial" w:hAnsi="Arial" w:cs="Arial"/>
          <w:i w:val="0"/>
        </w:rPr>
        <w:t xml:space="preserve">Le New deal. </w:t>
      </w:r>
    </w:p>
    <w:p w:rsidR="00DA434D" w:rsidRPr="00FA4826" w:rsidRDefault="00D86746" w:rsidP="00123CAF">
      <w:pPr>
        <w:spacing w:after="0"/>
        <w:rPr>
          <w:rFonts w:ascii="Arial" w:hAnsi="Arial" w:cs="Arial"/>
          <w:i w:val="0"/>
        </w:rPr>
      </w:pPr>
      <w:r w:rsidRPr="00FA4826">
        <w:rPr>
          <w:rFonts w:ascii="Arial" w:hAnsi="Arial" w:cs="Arial"/>
          <w:b/>
          <w:i w:val="0"/>
        </w:rPr>
        <w:t xml:space="preserve">L’hyperinflation Allemande : </w:t>
      </w:r>
      <w:r w:rsidRPr="00FA4826">
        <w:rPr>
          <w:rFonts w:ascii="Arial" w:hAnsi="Arial" w:cs="Arial"/>
          <w:i w:val="0"/>
        </w:rPr>
        <w:t xml:space="preserve">suite au traité de Versailles les pays européens vainqueurs « il faut les faire payer des frais de guerre » L’Allemagne est criblé de dette, une dette énorme de frais de réparation de guerre. </w:t>
      </w:r>
      <w:r w:rsidR="00D60337" w:rsidRPr="00FA4826">
        <w:rPr>
          <w:rFonts w:ascii="Arial" w:hAnsi="Arial" w:cs="Arial"/>
          <w:i w:val="0"/>
        </w:rPr>
        <w:t>Elle s’est donc mise à émettre des billets et le fait de faire des billets a entrainé de l’inflation, le pouvoir d’achat de la monnaie baissait et donc on faisait de plus marcher la planche à billet … cela a entrainé un cercle inflationniste jusqu’à une hyperinflation : de 200 à 300%. Arrivée de Hitler :</w:t>
      </w:r>
      <w:r w:rsidR="0078220F" w:rsidRPr="00FA4826">
        <w:rPr>
          <w:rFonts w:ascii="Arial" w:hAnsi="Arial" w:cs="Arial"/>
          <w:i w:val="0"/>
        </w:rPr>
        <w:t xml:space="preserve"> qui a stabilisé</w:t>
      </w:r>
      <w:r w:rsidR="00D60337" w:rsidRPr="00FA4826">
        <w:rPr>
          <w:rFonts w:ascii="Arial" w:hAnsi="Arial" w:cs="Arial"/>
          <w:i w:val="0"/>
        </w:rPr>
        <w:t xml:space="preserve"> une monnaie et a redonné de l’emploi, en quelques sorte il était Keynésien ; l’Etat a investi en fabricant des armes pour faire baisser le chôm</w:t>
      </w:r>
      <w:r w:rsidR="00DA434D" w:rsidRPr="00FA4826">
        <w:rPr>
          <w:rFonts w:ascii="Arial" w:hAnsi="Arial" w:cs="Arial"/>
          <w:i w:val="0"/>
        </w:rPr>
        <w:t>age et de plus on pourra envahi</w:t>
      </w:r>
      <w:r w:rsidR="00D60337" w:rsidRPr="00FA4826">
        <w:rPr>
          <w:rFonts w:ascii="Arial" w:hAnsi="Arial" w:cs="Arial"/>
          <w:i w:val="0"/>
        </w:rPr>
        <w:t xml:space="preserve">r d’autres pays. Il se rapproche de Keynes dans le sens où il investit pour le plein emploi. </w:t>
      </w:r>
    </w:p>
    <w:p w:rsidR="00DA434D" w:rsidRPr="00FA4826" w:rsidRDefault="00DA434D" w:rsidP="00123CAF">
      <w:pPr>
        <w:spacing w:after="0"/>
        <w:rPr>
          <w:rFonts w:ascii="Arial" w:hAnsi="Arial" w:cs="Arial"/>
          <w:i w:val="0"/>
        </w:rPr>
      </w:pPr>
    </w:p>
    <w:p w:rsidR="00DA434D" w:rsidRPr="00FA4826" w:rsidRDefault="00DA434D" w:rsidP="00123CAF">
      <w:pPr>
        <w:spacing w:after="0"/>
        <w:rPr>
          <w:rFonts w:ascii="Arial" w:hAnsi="Arial" w:cs="Arial"/>
          <w:b/>
          <w:i w:val="0"/>
        </w:rPr>
      </w:pPr>
      <w:r w:rsidRPr="00FA4826">
        <w:rPr>
          <w:rFonts w:ascii="Arial" w:hAnsi="Arial" w:cs="Arial"/>
          <w:b/>
          <w:i w:val="0"/>
        </w:rPr>
        <w:t xml:space="preserve">L’inflation des années 50 – 80 : </w:t>
      </w:r>
    </w:p>
    <w:p w:rsidR="00117769" w:rsidRPr="00FA4826" w:rsidRDefault="00DA434D" w:rsidP="00123CAF">
      <w:pPr>
        <w:spacing w:after="0"/>
        <w:rPr>
          <w:rFonts w:ascii="Arial" w:hAnsi="Arial" w:cs="Arial"/>
          <w:i w:val="0"/>
        </w:rPr>
      </w:pPr>
      <w:r w:rsidRPr="00FA4826">
        <w:rPr>
          <w:rFonts w:ascii="Arial" w:hAnsi="Arial" w:cs="Arial"/>
          <w:i w:val="0"/>
          <w:noProof/>
          <w:lang w:eastAsia="fr-FR"/>
        </w:rPr>
        <w:drawing>
          <wp:inline distT="0" distB="0" distL="0" distR="0" wp14:anchorId="2EF2B03F" wp14:editId="2F603721">
            <wp:extent cx="3856355" cy="2623185"/>
            <wp:effectExtent l="25400" t="0" r="4445" b="0"/>
            <wp:docPr id="19" name="I 5" descr="D:\Professionnel\Enseignement\2009-2010\Lille\MonnaieFinance\TD\TextesSources\graph\TDMo-0002.jpeg"/>
            <wp:cNvGraphicFramePr/>
            <a:graphic xmlns:a="http://schemas.openxmlformats.org/drawingml/2006/main">
              <a:graphicData uri="http://schemas.openxmlformats.org/drawingml/2006/picture">
                <pic:pic xmlns:pic="http://schemas.openxmlformats.org/drawingml/2006/picture">
                  <pic:nvPicPr>
                    <pic:cNvPr id="0" name="Picture 4" descr="D:\Professionnel\Enseignement\2009-2010\Lille\MonnaieFinance\TD\TextesSources\graph\TDMo-0002.jpeg"/>
                    <pic:cNvPicPr>
                      <a:picLocks noChangeAspect="1" noChangeArrowheads="1"/>
                    </pic:cNvPicPr>
                  </pic:nvPicPr>
                  <pic:blipFill>
                    <a:blip r:embed="rId30"/>
                    <a:srcRect/>
                    <a:stretch>
                      <a:fillRect/>
                    </a:stretch>
                  </pic:blipFill>
                  <pic:spPr bwMode="auto">
                    <a:xfrm>
                      <a:off x="0" y="0"/>
                      <a:ext cx="3857123" cy="2623707"/>
                    </a:xfrm>
                    <a:prstGeom prst="rect">
                      <a:avLst/>
                    </a:prstGeom>
                    <a:noFill/>
                    <a:ln w="9525">
                      <a:noFill/>
                      <a:miter lim="800000"/>
                      <a:headEnd/>
                      <a:tailEnd/>
                    </a:ln>
                  </pic:spPr>
                </pic:pic>
              </a:graphicData>
            </a:graphic>
          </wp:inline>
        </w:drawing>
      </w:r>
    </w:p>
    <w:p w:rsidR="00117769" w:rsidRPr="00FA4826" w:rsidRDefault="00117769" w:rsidP="00123CAF">
      <w:pPr>
        <w:spacing w:after="0"/>
        <w:rPr>
          <w:rFonts w:ascii="Arial" w:hAnsi="Arial" w:cs="Arial"/>
          <w:i w:val="0"/>
        </w:rPr>
      </w:pPr>
    </w:p>
    <w:p w:rsidR="0078220F" w:rsidRPr="00FA4826" w:rsidRDefault="0078220F" w:rsidP="00123CAF">
      <w:pPr>
        <w:tabs>
          <w:tab w:val="left" w:pos="990"/>
        </w:tabs>
        <w:spacing w:after="0"/>
        <w:rPr>
          <w:rFonts w:ascii="Arial" w:hAnsi="Arial" w:cs="Arial"/>
          <w:i w:val="0"/>
        </w:rPr>
      </w:pPr>
      <w:r w:rsidRPr="00FA4826">
        <w:rPr>
          <w:rFonts w:ascii="Arial" w:hAnsi="Arial" w:cs="Arial"/>
          <w:i w:val="0"/>
        </w:rPr>
        <w:t>En France l’inflation a suiv</w:t>
      </w:r>
      <w:r w:rsidR="00247627" w:rsidRPr="00FA4826">
        <w:rPr>
          <w:rFonts w:ascii="Arial" w:hAnsi="Arial" w:cs="Arial"/>
          <w:i w:val="0"/>
        </w:rPr>
        <w:t xml:space="preserve">i ce cours, par rapport </w:t>
      </w:r>
      <w:proofErr w:type="spellStart"/>
      <w:r w:rsidR="00247627" w:rsidRPr="00FA4826">
        <w:rPr>
          <w:rFonts w:ascii="Arial" w:hAnsi="Arial" w:cs="Arial"/>
          <w:i w:val="0"/>
        </w:rPr>
        <w:t>a</w:t>
      </w:r>
      <w:proofErr w:type="spellEnd"/>
      <w:r w:rsidR="00247627" w:rsidRPr="00FA4826">
        <w:rPr>
          <w:rFonts w:ascii="Arial" w:hAnsi="Arial" w:cs="Arial"/>
          <w:i w:val="0"/>
        </w:rPr>
        <w:t xml:space="preserve"> la </w:t>
      </w:r>
      <w:r w:rsidRPr="00FA4826">
        <w:rPr>
          <w:rFonts w:ascii="Arial" w:hAnsi="Arial" w:cs="Arial"/>
          <w:i w:val="0"/>
        </w:rPr>
        <w:t xml:space="preserve">guerre il y a eu deux périodes </w:t>
      </w:r>
      <w:proofErr w:type="gramStart"/>
      <w:r w:rsidRPr="00FA4826">
        <w:rPr>
          <w:rFonts w:ascii="Arial" w:hAnsi="Arial" w:cs="Arial"/>
          <w:i w:val="0"/>
        </w:rPr>
        <w:t>inflationniste</w:t>
      </w:r>
      <w:proofErr w:type="gramEnd"/>
      <w:r w:rsidRPr="00FA4826">
        <w:rPr>
          <w:rFonts w:ascii="Arial" w:hAnsi="Arial" w:cs="Arial"/>
          <w:i w:val="0"/>
        </w:rPr>
        <w:t xml:space="preserve"> : </w:t>
      </w:r>
    </w:p>
    <w:p w:rsidR="00247627" w:rsidRPr="00FA4826" w:rsidRDefault="0078220F" w:rsidP="00C64C89">
      <w:pPr>
        <w:pStyle w:val="Paragraphedeliste"/>
        <w:numPr>
          <w:ilvl w:val="0"/>
          <w:numId w:val="36"/>
        </w:numPr>
        <w:tabs>
          <w:tab w:val="left" w:pos="990"/>
        </w:tabs>
        <w:spacing w:after="0"/>
        <w:rPr>
          <w:rFonts w:ascii="Arial" w:hAnsi="Arial" w:cs="Arial"/>
          <w:i w:val="0"/>
        </w:rPr>
      </w:pPr>
      <w:r w:rsidRPr="00FA4826">
        <w:rPr>
          <w:rFonts w:ascii="Arial" w:hAnsi="Arial" w:cs="Arial"/>
          <w:i w:val="0"/>
        </w:rPr>
        <w:t>68 – 73 : hausse des salaires, accords de Grenelle, le gouvernement a accepté d’augmenter les salaires. De plus dans les années 50 le PA augmentait, forte demande</w:t>
      </w:r>
      <w:r w:rsidR="00247627" w:rsidRPr="00FA4826">
        <w:rPr>
          <w:rFonts w:ascii="Arial" w:hAnsi="Arial" w:cs="Arial"/>
          <w:i w:val="0"/>
        </w:rPr>
        <w:t xml:space="preserve"> et donc inflation. L’offre de biens a été moins importante. C’est ce que l’on appelé la poussée inflationniste. </w:t>
      </w:r>
    </w:p>
    <w:p w:rsidR="00247627" w:rsidRPr="00FA4826" w:rsidRDefault="00247627" w:rsidP="00C64C89">
      <w:pPr>
        <w:pStyle w:val="Paragraphedeliste"/>
        <w:numPr>
          <w:ilvl w:val="0"/>
          <w:numId w:val="36"/>
        </w:numPr>
        <w:tabs>
          <w:tab w:val="left" w:pos="990"/>
        </w:tabs>
        <w:spacing w:after="0"/>
        <w:rPr>
          <w:rFonts w:ascii="Arial" w:hAnsi="Arial" w:cs="Arial"/>
          <w:i w:val="0"/>
        </w:rPr>
      </w:pPr>
      <w:r w:rsidRPr="00FA4826">
        <w:rPr>
          <w:rFonts w:ascii="Arial" w:hAnsi="Arial" w:cs="Arial"/>
          <w:i w:val="0"/>
        </w:rPr>
        <w:t xml:space="preserve">74 – 00 : seconde poussée inflationniste elle était liée énormément à l’augmentation des coûts, le pétrole augmentait donc les coûts augmentait, comme les salaires étaient indexés : poussée inflationniste. </w:t>
      </w:r>
    </w:p>
    <w:p w:rsidR="00247627" w:rsidRPr="00FA4826" w:rsidRDefault="00247627" w:rsidP="00123CAF">
      <w:pPr>
        <w:tabs>
          <w:tab w:val="left" w:pos="990"/>
        </w:tabs>
        <w:spacing w:after="0"/>
        <w:rPr>
          <w:rFonts w:ascii="Arial" w:hAnsi="Arial" w:cs="Arial"/>
          <w:i w:val="0"/>
        </w:rPr>
      </w:pPr>
      <w:r w:rsidRPr="00FA4826">
        <w:rPr>
          <w:rFonts w:ascii="Arial" w:hAnsi="Arial" w:cs="Arial"/>
          <w:i w:val="0"/>
        </w:rPr>
        <w:lastRenderedPageBreak/>
        <w:t>Si on fait un parallèle entre inflation et taux de croissance, les périodes où il y avait beaucoup d’inflation il y avait des taux de croissance importants. Les taux de croissance avant les chocs pétroliers : on voit qu’il y avait une inflation relativement importante mais des taux de croissances importants. Après le choc pétrolier on parle de stagflation : diminution de la croissance mais l’inflation va continuer. Il y a donc deux périodes, si on regarde l’inflation</w:t>
      </w:r>
    </w:p>
    <w:p w:rsidR="00247627" w:rsidRPr="00FA4826" w:rsidRDefault="00247627" w:rsidP="00123CAF">
      <w:pPr>
        <w:tabs>
          <w:tab w:val="left" w:pos="990"/>
        </w:tabs>
        <w:spacing w:after="0"/>
        <w:rPr>
          <w:rFonts w:ascii="Arial" w:hAnsi="Arial" w:cs="Arial"/>
          <w:i w:val="0"/>
        </w:rPr>
      </w:pPr>
      <w:r w:rsidRPr="00FA4826">
        <w:rPr>
          <w:rFonts w:ascii="Arial" w:hAnsi="Arial" w:cs="Arial"/>
          <w:i w:val="0"/>
          <w:noProof/>
          <w:lang w:eastAsia="fr-FR"/>
        </w:rPr>
        <w:drawing>
          <wp:anchor distT="0" distB="0" distL="114300" distR="114300" simplePos="0" relativeHeight="251669504" behindDoc="0" locked="0" layoutInCell="1" allowOverlap="1" wp14:anchorId="192FC974" wp14:editId="59502029">
            <wp:simplePos x="0" y="0"/>
            <wp:positionH relativeFrom="column">
              <wp:posOffset>3200400</wp:posOffset>
            </wp:positionH>
            <wp:positionV relativeFrom="paragraph">
              <wp:posOffset>92710</wp:posOffset>
            </wp:positionV>
            <wp:extent cx="2947035" cy="1835785"/>
            <wp:effectExtent l="25400" t="0" r="0" b="0"/>
            <wp:wrapSquare wrapText="bothSides"/>
            <wp:docPr id="21" name="I 7" descr="D:\Professionnel\Enseignement\2009-2010\Lille\MonnaieFinance\TD\TextesSources\graph\TDMo-0002.jpeg"/>
            <wp:cNvGraphicFramePr/>
            <a:graphic xmlns:a="http://schemas.openxmlformats.org/drawingml/2006/main">
              <a:graphicData uri="http://schemas.openxmlformats.org/drawingml/2006/picture">
                <pic:pic xmlns:pic="http://schemas.openxmlformats.org/drawingml/2006/picture">
                  <pic:nvPicPr>
                    <pic:cNvPr id="0" name="Picture 3" descr="D:\Professionnel\Enseignement\2009-2010\Lille\MonnaieFinance\TD\TextesSources\graph\TDMo-0002.jpeg"/>
                    <pic:cNvPicPr>
                      <a:picLocks noChangeAspect="1" noChangeArrowheads="1"/>
                    </pic:cNvPicPr>
                  </pic:nvPicPr>
                  <pic:blipFill>
                    <a:blip r:embed="rId31"/>
                    <a:srcRect/>
                    <a:stretch>
                      <a:fillRect/>
                    </a:stretch>
                  </pic:blipFill>
                  <pic:spPr bwMode="auto">
                    <a:xfrm>
                      <a:off x="0" y="0"/>
                      <a:ext cx="2947035" cy="1835785"/>
                    </a:xfrm>
                    <a:prstGeom prst="rect">
                      <a:avLst/>
                    </a:prstGeom>
                    <a:noFill/>
                    <a:ln w="9525">
                      <a:noFill/>
                      <a:miter lim="800000"/>
                      <a:headEnd/>
                      <a:tailEnd/>
                    </a:ln>
                  </pic:spPr>
                </pic:pic>
              </a:graphicData>
            </a:graphic>
          </wp:anchor>
        </w:drawing>
      </w:r>
      <w:r w:rsidRPr="00FA4826">
        <w:rPr>
          <w:rFonts w:ascii="Arial" w:hAnsi="Arial" w:cs="Arial"/>
          <w:i w:val="0"/>
          <w:noProof/>
          <w:lang w:eastAsia="fr-FR"/>
        </w:rPr>
        <w:drawing>
          <wp:anchor distT="0" distB="0" distL="114300" distR="114300" simplePos="0" relativeHeight="251670528" behindDoc="0" locked="0" layoutInCell="1" allowOverlap="1" wp14:anchorId="71EEA77F" wp14:editId="6B9CB4D6">
            <wp:simplePos x="0" y="0"/>
            <wp:positionH relativeFrom="column">
              <wp:posOffset>-419100</wp:posOffset>
            </wp:positionH>
            <wp:positionV relativeFrom="paragraph">
              <wp:posOffset>167640</wp:posOffset>
            </wp:positionV>
            <wp:extent cx="3333750" cy="1774825"/>
            <wp:effectExtent l="76200" t="76200" r="44450" b="53975"/>
            <wp:wrapTight wrapText="bothSides">
              <wp:wrapPolygon edited="0">
                <wp:start x="18545" y="-274"/>
                <wp:lineTo x="-234" y="-341"/>
                <wp:lineTo x="-432" y="21303"/>
                <wp:lineTo x="2527" y="21558"/>
                <wp:lineTo x="12227" y="22392"/>
                <wp:lineTo x="21635" y="21653"/>
                <wp:lineTo x="21801" y="14859"/>
                <wp:lineTo x="21749" y="10213"/>
                <wp:lineTo x="21877" y="4964"/>
                <wp:lineTo x="21825" y="318"/>
                <wp:lineTo x="21833" y="9"/>
                <wp:lineTo x="18545" y="-274"/>
              </wp:wrapPolygon>
            </wp:wrapTight>
            <wp:docPr id="24" name="I 6" descr="D:\Professionnel\Enseignement\2009-2010\Lille\MonnaieFinance\TD\TextesSources\graph\TDMo-0002.jpeg"/>
            <wp:cNvGraphicFramePr/>
            <a:graphic xmlns:a="http://schemas.openxmlformats.org/drawingml/2006/main">
              <a:graphicData uri="http://schemas.openxmlformats.org/drawingml/2006/picture">
                <pic:pic xmlns:pic="http://schemas.openxmlformats.org/drawingml/2006/picture">
                  <pic:nvPicPr>
                    <pic:cNvPr id="0" name="Picture 2" descr="D:\Professionnel\Enseignement\2009-2010\Lille\MonnaieFinance\TD\TextesSources\graph\TDMo-0002.jpeg"/>
                    <pic:cNvPicPr>
                      <a:picLocks noChangeAspect="1" noChangeArrowheads="1"/>
                    </pic:cNvPicPr>
                  </pic:nvPicPr>
                  <pic:blipFill>
                    <a:blip r:embed="rId32"/>
                    <a:srcRect/>
                    <a:stretch>
                      <a:fillRect/>
                    </a:stretch>
                  </pic:blipFill>
                  <pic:spPr bwMode="auto">
                    <a:xfrm rot="21442794">
                      <a:off x="0" y="0"/>
                      <a:ext cx="3333750" cy="1774825"/>
                    </a:xfrm>
                    <a:prstGeom prst="rect">
                      <a:avLst/>
                    </a:prstGeom>
                    <a:noFill/>
                    <a:ln w="9525">
                      <a:noFill/>
                      <a:miter lim="800000"/>
                      <a:headEnd/>
                      <a:tailEnd/>
                    </a:ln>
                  </pic:spPr>
                </pic:pic>
              </a:graphicData>
            </a:graphic>
          </wp:anchor>
        </w:drawing>
      </w:r>
    </w:p>
    <w:p w:rsidR="00247627" w:rsidRPr="00FA4826" w:rsidRDefault="00247627" w:rsidP="00123CAF">
      <w:pPr>
        <w:spacing w:after="0"/>
        <w:rPr>
          <w:rFonts w:ascii="Arial" w:hAnsi="Arial" w:cs="Arial"/>
          <w:i w:val="0"/>
        </w:rPr>
      </w:pPr>
    </w:p>
    <w:p w:rsidR="006C4603" w:rsidRPr="00FA4826" w:rsidRDefault="00247627" w:rsidP="00123CAF">
      <w:pPr>
        <w:spacing w:after="0"/>
        <w:rPr>
          <w:rFonts w:ascii="Arial" w:hAnsi="Arial" w:cs="Arial"/>
          <w:i w:val="0"/>
        </w:rPr>
      </w:pPr>
      <w:r w:rsidRPr="00FA4826">
        <w:rPr>
          <w:rFonts w:ascii="Arial" w:hAnsi="Arial" w:cs="Arial"/>
          <w:i w:val="0"/>
        </w:rPr>
        <w:t xml:space="preserve">On note une désinflation dans les années 80 et une inflation stable et réduite dans les années 90. </w:t>
      </w:r>
      <w:r w:rsidR="006C4603" w:rsidRPr="00FA4826">
        <w:rPr>
          <w:rFonts w:ascii="Arial" w:hAnsi="Arial" w:cs="Arial"/>
          <w:i w:val="0"/>
        </w:rPr>
        <w:t xml:space="preserve">A partir des années 90 on a commençait à mettre les bases de la politique monétaire commune, on a limité l’inflation, dans les </w:t>
      </w:r>
      <w:r w:rsidR="00912DB3" w:rsidRPr="00FA4826">
        <w:rPr>
          <w:rFonts w:ascii="Arial" w:hAnsi="Arial" w:cs="Arial"/>
          <w:i w:val="0"/>
        </w:rPr>
        <w:t>années 90 l’inflation commence à</w:t>
      </w:r>
      <w:r w:rsidR="006C4603" w:rsidRPr="00FA4826">
        <w:rPr>
          <w:rFonts w:ascii="Arial" w:hAnsi="Arial" w:cs="Arial"/>
          <w:i w:val="0"/>
        </w:rPr>
        <w:t xml:space="preserve"> se stabiliser. </w:t>
      </w:r>
    </w:p>
    <w:p w:rsidR="00912DB3" w:rsidRPr="00FA4826" w:rsidRDefault="00912DB3" w:rsidP="00123CAF">
      <w:pPr>
        <w:spacing w:after="0"/>
        <w:rPr>
          <w:rFonts w:ascii="Arial" w:hAnsi="Arial" w:cs="Arial"/>
          <w:i w:val="0"/>
        </w:rPr>
      </w:pPr>
      <w:r w:rsidRPr="00FA4826">
        <w:rPr>
          <w:rFonts w:ascii="Arial" w:hAnsi="Arial" w:cs="Arial"/>
          <w:i w:val="0"/>
        </w:rPr>
        <w:t xml:space="preserve">Comment déterminer la masse monétaire : on a expliqué le lien direct, mais on va voir ce qu’est la masse monétaire ? </w:t>
      </w:r>
      <w:r w:rsidR="006437E8" w:rsidRPr="00FA4826">
        <w:rPr>
          <w:rFonts w:ascii="Arial" w:hAnsi="Arial" w:cs="Arial"/>
          <w:i w:val="0"/>
        </w:rPr>
        <w:t>L</w:t>
      </w:r>
      <w:r w:rsidRPr="00FA4826">
        <w:rPr>
          <w:rFonts w:ascii="Arial" w:hAnsi="Arial" w:cs="Arial"/>
          <w:i w:val="0"/>
        </w:rPr>
        <w:t xml:space="preserve">a monnaie se sont des chiffres sur des différents comptes : c’est multiples, la comptabilité nationale va se charger de savoir ce qu’est la monnaie (un compte courant oui mais des SICAV peut être pas). </w:t>
      </w:r>
    </w:p>
    <w:p w:rsidR="00912DB3" w:rsidRPr="00FA4826" w:rsidRDefault="00912DB3" w:rsidP="00123CAF">
      <w:pPr>
        <w:spacing w:after="0"/>
        <w:rPr>
          <w:rFonts w:ascii="Arial" w:hAnsi="Arial" w:cs="Arial"/>
          <w:i w:val="0"/>
        </w:rPr>
      </w:pPr>
      <w:r w:rsidRPr="00FA4826">
        <w:rPr>
          <w:rFonts w:ascii="Arial" w:hAnsi="Arial" w:cs="Arial"/>
          <w:i w:val="0"/>
        </w:rPr>
        <w:t xml:space="preserve">La monnaie est divisée en trois agrégats, la banque centrale donne aux services statistiques les codes des différentes banques et on les trie dans les différents agrégats M1, M2, M3. Cela va leur permettre de définir les taux d’intérêts : </w:t>
      </w:r>
    </w:p>
    <w:p w:rsidR="006437E8" w:rsidRPr="00FA4826" w:rsidRDefault="00912DB3" w:rsidP="00C64C89">
      <w:pPr>
        <w:pStyle w:val="Paragraphedeliste"/>
        <w:numPr>
          <w:ilvl w:val="0"/>
          <w:numId w:val="37"/>
        </w:numPr>
        <w:spacing w:after="0"/>
        <w:rPr>
          <w:rFonts w:ascii="Arial" w:hAnsi="Arial" w:cs="Arial"/>
          <w:i w:val="0"/>
        </w:rPr>
      </w:pPr>
      <w:r w:rsidRPr="00FA4826">
        <w:rPr>
          <w:rFonts w:ascii="Arial" w:hAnsi="Arial" w:cs="Arial"/>
          <w:i w:val="0"/>
        </w:rPr>
        <w:t xml:space="preserve">M1 : argent liquide, pièces, billets, et tous les chiffres sur les comptes courants. Agrégat qui permet de voir l’argent qui circule rapidement.  On pourra définir des préférences. </w:t>
      </w:r>
    </w:p>
    <w:p w:rsidR="006437E8" w:rsidRPr="00FA4826" w:rsidRDefault="006437E8" w:rsidP="00C64C89">
      <w:pPr>
        <w:pStyle w:val="Paragraphedeliste"/>
        <w:numPr>
          <w:ilvl w:val="0"/>
          <w:numId w:val="37"/>
        </w:numPr>
        <w:spacing w:after="0"/>
        <w:rPr>
          <w:rFonts w:ascii="Arial" w:hAnsi="Arial" w:cs="Arial"/>
          <w:i w:val="0"/>
        </w:rPr>
      </w:pPr>
      <w:r w:rsidRPr="00FA4826">
        <w:rPr>
          <w:rFonts w:ascii="Arial" w:hAnsi="Arial" w:cs="Arial"/>
          <w:i w:val="0"/>
        </w:rPr>
        <w:t>M2 : correspond à M1 + les comptes sur livret et les crédits à court terme</w:t>
      </w:r>
    </w:p>
    <w:p w:rsidR="006437E8" w:rsidRPr="00FA4826" w:rsidRDefault="006437E8" w:rsidP="00C64C89">
      <w:pPr>
        <w:pStyle w:val="Paragraphedeliste"/>
        <w:numPr>
          <w:ilvl w:val="0"/>
          <w:numId w:val="37"/>
        </w:numPr>
        <w:spacing w:after="0"/>
        <w:rPr>
          <w:rFonts w:ascii="Arial" w:hAnsi="Arial" w:cs="Arial"/>
          <w:i w:val="0"/>
        </w:rPr>
      </w:pPr>
      <w:r w:rsidRPr="00FA4826">
        <w:rPr>
          <w:rFonts w:ascii="Arial" w:hAnsi="Arial" w:cs="Arial"/>
          <w:i w:val="0"/>
        </w:rPr>
        <w:t xml:space="preserve">M3 : voir schéma. </w:t>
      </w:r>
    </w:p>
    <w:p w:rsidR="006437E8" w:rsidRPr="00FA4826" w:rsidRDefault="006437E8" w:rsidP="00123CAF">
      <w:pPr>
        <w:spacing w:after="0"/>
        <w:rPr>
          <w:rFonts w:ascii="Arial" w:hAnsi="Arial" w:cs="Arial"/>
          <w:i w:val="0"/>
        </w:rPr>
      </w:pPr>
      <w:r w:rsidRPr="00FA4826">
        <w:rPr>
          <w:rFonts w:ascii="Arial" w:hAnsi="Arial" w:cs="Arial"/>
          <w:i w:val="0"/>
          <w:noProof/>
          <w:lang w:eastAsia="fr-FR"/>
        </w:rPr>
        <w:drawing>
          <wp:inline distT="0" distB="0" distL="0" distR="0" wp14:anchorId="75D25FC3" wp14:editId="22B0BCF2">
            <wp:extent cx="1430337" cy="1190625"/>
            <wp:effectExtent l="25400" t="0" r="0" b="0"/>
            <wp:docPr id="30" name="I 12" descr="m1"/>
            <wp:cNvGraphicFramePr/>
            <a:graphic xmlns:a="http://schemas.openxmlformats.org/drawingml/2006/main">
              <a:graphicData uri="http://schemas.openxmlformats.org/drawingml/2006/picture">
                <pic:pic xmlns:pic="http://schemas.openxmlformats.org/drawingml/2006/picture">
                  <pic:nvPicPr>
                    <pic:cNvPr id="0" name="Image 7" descr="m1"/>
                    <pic:cNvPicPr>
                      <a:picLocks noChangeAspect="1" noChangeArrowheads="1"/>
                    </pic:cNvPicPr>
                  </pic:nvPicPr>
                  <pic:blipFill>
                    <a:blip r:embed="rId33"/>
                    <a:srcRect/>
                    <a:stretch>
                      <a:fillRect/>
                    </a:stretch>
                  </pic:blipFill>
                  <pic:spPr bwMode="auto">
                    <a:xfrm>
                      <a:off x="0" y="0"/>
                      <a:ext cx="1430337" cy="1190625"/>
                    </a:xfrm>
                    <a:prstGeom prst="rect">
                      <a:avLst/>
                    </a:prstGeom>
                    <a:noFill/>
                    <a:ln w="9525">
                      <a:noFill/>
                      <a:miter lim="800000"/>
                      <a:headEnd/>
                      <a:tailEnd/>
                    </a:ln>
                  </pic:spPr>
                </pic:pic>
              </a:graphicData>
            </a:graphic>
          </wp:inline>
        </w:drawing>
      </w:r>
      <w:r w:rsidRPr="00FA4826">
        <w:rPr>
          <w:rFonts w:ascii="Arial" w:hAnsi="Arial" w:cs="Arial"/>
          <w:i w:val="0"/>
          <w:noProof/>
          <w:lang w:eastAsia="fr-FR"/>
        </w:rPr>
        <w:drawing>
          <wp:inline distT="0" distB="0" distL="0" distR="0" wp14:anchorId="714D4230" wp14:editId="3BF12712">
            <wp:extent cx="1619250" cy="1676400"/>
            <wp:effectExtent l="25400" t="0" r="6350" b="0"/>
            <wp:docPr id="27" name="I 10" descr="m2"/>
            <wp:cNvGraphicFramePr/>
            <a:graphic xmlns:a="http://schemas.openxmlformats.org/drawingml/2006/main">
              <a:graphicData uri="http://schemas.openxmlformats.org/drawingml/2006/picture">
                <pic:pic xmlns:pic="http://schemas.openxmlformats.org/drawingml/2006/picture">
                  <pic:nvPicPr>
                    <pic:cNvPr id="0" name="Image 5" descr="m2"/>
                    <pic:cNvPicPr>
                      <a:picLocks noChangeAspect="1" noChangeArrowheads="1"/>
                    </pic:cNvPicPr>
                  </pic:nvPicPr>
                  <pic:blipFill>
                    <a:blip r:embed="rId34"/>
                    <a:srcRect/>
                    <a:stretch>
                      <a:fillRect/>
                    </a:stretch>
                  </pic:blipFill>
                  <pic:spPr bwMode="auto">
                    <a:xfrm>
                      <a:off x="0" y="0"/>
                      <a:ext cx="1619250" cy="1676400"/>
                    </a:xfrm>
                    <a:prstGeom prst="rect">
                      <a:avLst/>
                    </a:prstGeom>
                    <a:noFill/>
                    <a:ln w="9525">
                      <a:noFill/>
                      <a:miter lim="800000"/>
                      <a:headEnd/>
                      <a:tailEnd/>
                    </a:ln>
                  </pic:spPr>
                </pic:pic>
              </a:graphicData>
            </a:graphic>
          </wp:inline>
        </w:drawing>
      </w:r>
      <w:r w:rsidRPr="00FA4826">
        <w:rPr>
          <w:rFonts w:ascii="Arial" w:hAnsi="Arial" w:cs="Arial"/>
          <w:i w:val="0"/>
          <w:noProof/>
          <w:lang w:eastAsia="fr-FR"/>
        </w:rPr>
        <w:drawing>
          <wp:inline distT="0" distB="0" distL="0" distR="0" wp14:anchorId="2D74AC4A" wp14:editId="7002690C">
            <wp:extent cx="2066925" cy="2371725"/>
            <wp:effectExtent l="25400" t="0" r="0" b="0"/>
            <wp:docPr id="28" name="I 11" descr="masses"/>
            <wp:cNvGraphicFramePr/>
            <a:graphic xmlns:a="http://schemas.openxmlformats.org/drawingml/2006/main">
              <a:graphicData uri="http://schemas.openxmlformats.org/drawingml/2006/picture">
                <pic:pic xmlns:pic="http://schemas.openxmlformats.org/drawingml/2006/picture">
                  <pic:nvPicPr>
                    <pic:cNvPr id="0" name="Image 6" descr="masses"/>
                    <pic:cNvPicPr>
                      <a:picLocks noChangeAspect="1" noChangeArrowheads="1"/>
                    </pic:cNvPicPr>
                  </pic:nvPicPr>
                  <pic:blipFill>
                    <a:blip r:embed="rId35"/>
                    <a:srcRect/>
                    <a:stretch>
                      <a:fillRect/>
                    </a:stretch>
                  </pic:blipFill>
                  <pic:spPr bwMode="auto">
                    <a:xfrm>
                      <a:off x="0" y="0"/>
                      <a:ext cx="2066925" cy="2371725"/>
                    </a:xfrm>
                    <a:prstGeom prst="rect">
                      <a:avLst/>
                    </a:prstGeom>
                    <a:noFill/>
                    <a:ln w="9525">
                      <a:noFill/>
                      <a:miter lim="800000"/>
                      <a:headEnd/>
                      <a:tailEnd/>
                    </a:ln>
                  </pic:spPr>
                </pic:pic>
              </a:graphicData>
            </a:graphic>
          </wp:inline>
        </w:drawing>
      </w:r>
    </w:p>
    <w:p w:rsidR="00F656B9" w:rsidRPr="00FA4826" w:rsidRDefault="00F656B9" w:rsidP="00123CAF">
      <w:pPr>
        <w:spacing w:after="0"/>
        <w:rPr>
          <w:rFonts w:ascii="Arial" w:hAnsi="Arial" w:cs="Arial"/>
          <w:i w:val="0"/>
        </w:rPr>
      </w:pPr>
      <w:r w:rsidRPr="00FA4826">
        <w:rPr>
          <w:rFonts w:ascii="Arial" w:hAnsi="Arial" w:cs="Arial"/>
          <w:i w:val="0"/>
        </w:rPr>
        <w:t xml:space="preserve">Ne pas confondre agrégats monétaires et agrégats de placements. </w:t>
      </w:r>
    </w:p>
    <w:p w:rsidR="00F656B9" w:rsidRPr="00FA4826" w:rsidRDefault="00F656B9" w:rsidP="00123CAF">
      <w:pPr>
        <w:spacing w:after="0"/>
        <w:rPr>
          <w:rFonts w:ascii="Arial" w:hAnsi="Arial" w:cs="Arial"/>
          <w:i w:val="0"/>
        </w:rPr>
      </w:pPr>
      <w:r w:rsidRPr="00FA4826">
        <w:rPr>
          <w:rFonts w:ascii="Arial" w:hAnsi="Arial" w:cs="Arial"/>
          <w:i w:val="0"/>
        </w:rPr>
        <w:t xml:space="preserve">De 1997 à 2006 : </w:t>
      </w:r>
    </w:p>
    <w:p w:rsidR="008B12E2" w:rsidRPr="00FA4826" w:rsidRDefault="00F656B9" w:rsidP="00123CAF">
      <w:pPr>
        <w:spacing w:after="0"/>
        <w:rPr>
          <w:rFonts w:ascii="Arial" w:hAnsi="Arial" w:cs="Arial"/>
          <w:i w:val="0"/>
        </w:rPr>
      </w:pPr>
      <w:r w:rsidRPr="00FA4826">
        <w:rPr>
          <w:rFonts w:ascii="Arial" w:hAnsi="Arial" w:cs="Arial"/>
          <w:i w:val="0"/>
          <w:noProof/>
          <w:lang w:eastAsia="fr-FR"/>
        </w:rPr>
        <w:drawing>
          <wp:anchor distT="0" distB="0" distL="114300" distR="114300" simplePos="0" relativeHeight="251671552" behindDoc="0" locked="0" layoutInCell="1" allowOverlap="1" wp14:anchorId="2784ED38" wp14:editId="318D3A90">
            <wp:simplePos x="0" y="0"/>
            <wp:positionH relativeFrom="column">
              <wp:posOffset>29845</wp:posOffset>
            </wp:positionH>
            <wp:positionV relativeFrom="paragraph">
              <wp:posOffset>-4445</wp:posOffset>
            </wp:positionV>
            <wp:extent cx="3134360" cy="2702560"/>
            <wp:effectExtent l="25400" t="0" r="0" b="0"/>
            <wp:wrapTight wrapText="bothSides">
              <wp:wrapPolygon edited="0">
                <wp:start x="-175" y="0"/>
                <wp:lineTo x="-175" y="21519"/>
                <wp:lineTo x="21530" y="21519"/>
                <wp:lineTo x="21530" y="0"/>
                <wp:lineTo x="-175" y="0"/>
              </wp:wrapPolygon>
            </wp:wrapTight>
            <wp:docPr id="31" name="I 13" descr="evolmasseseurope"/>
            <wp:cNvGraphicFramePr/>
            <a:graphic xmlns:a="http://schemas.openxmlformats.org/drawingml/2006/main">
              <a:graphicData uri="http://schemas.openxmlformats.org/drawingml/2006/picture">
                <pic:pic xmlns:pic="http://schemas.openxmlformats.org/drawingml/2006/picture">
                  <pic:nvPicPr>
                    <pic:cNvPr id="0" name="Picture 2" descr="evolmasseseurope"/>
                    <pic:cNvPicPr>
                      <a:picLocks noChangeAspect="1" noChangeArrowheads="1"/>
                    </pic:cNvPicPr>
                  </pic:nvPicPr>
                  <pic:blipFill>
                    <a:blip r:embed="rId36"/>
                    <a:srcRect/>
                    <a:stretch>
                      <a:fillRect/>
                    </a:stretch>
                  </pic:blipFill>
                  <pic:spPr bwMode="auto">
                    <a:xfrm>
                      <a:off x="0" y="0"/>
                      <a:ext cx="3134360" cy="2702560"/>
                    </a:xfrm>
                    <a:prstGeom prst="rect">
                      <a:avLst/>
                    </a:prstGeom>
                    <a:noFill/>
                    <a:ln w="9525">
                      <a:noFill/>
                      <a:miter lim="800000"/>
                      <a:headEnd/>
                      <a:tailEnd/>
                    </a:ln>
                  </pic:spPr>
                </pic:pic>
              </a:graphicData>
            </a:graphic>
          </wp:anchor>
        </w:drawing>
      </w:r>
      <w:r w:rsidRPr="00FA4826">
        <w:rPr>
          <w:rFonts w:ascii="Arial" w:hAnsi="Arial" w:cs="Arial"/>
          <w:i w:val="0"/>
        </w:rPr>
        <w:t xml:space="preserve">Les agents ont placés de plus en plus de monnaie, </w:t>
      </w:r>
      <w:proofErr w:type="spellStart"/>
      <w:r w:rsidRPr="00FA4826">
        <w:rPr>
          <w:rFonts w:ascii="Arial" w:hAnsi="Arial" w:cs="Arial"/>
          <w:i w:val="0"/>
        </w:rPr>
        <w:t>on</w:t>
      </w:r>
      <w:proofErr w:type="spellEnd"/>
      <w:r w:rsidRPr="00FA4826">
        <w:rPr>
          <w:rFonts w:ascii="Arial" w:hAnsi="Arial" w:cs="Arial"/>
          <w:i w:val="0"/>
        </w:rPr>
        <w:t xml:space="preserve"> gardé de moins en moins de monnaie liquide : la ligne bleue traduit la monnaie liquide. La pente est la plus importante en fin </w:t>
      </w:r>
      <w:r w:rsidR="008B12E2" w:rsidRPr="00FA4826">
        <w:rPr>
          <w:rFonts w:ascii="Arial" w:hAnsi="Arial" w:cs="Arial"/>
          <w:i w:val="0"/>
        </w:rPr>
        <w:t xml:space="preserve">de période : des bonds </w:t>
      </w:r>
      <w:proofErr w:type="gramStart"/>
      <w:r w:rsidR="008B12E2" w:rsidRPr="00FA4826">
        <w:rPr>
          <w:rFonts w:ascii="Arial" w:hAnsi="Arial" w:cs="Arial"/>
          <w:i w:val="0"/>
        </w:rPr>
        <w:t>du trésors</w:t>
      </w:r>
      <w:proofErr w:type="gramEnd"/>
      <w:r w:rsidR="008B12E2" w:rsidRPr="00FA4826">
        <w:rPr>
          <w:rFonts w:ascii="Arial" w:hAnsi="Arial" w:cs="Arial"/>
          <w:i w:val="0"/>
        </w:rPr>
        <w:t xml:space="preserve">, des SICAV ; on va de plus en plus capitaliser en bourse. La masse monétaire augmente, la masse monétaire augmente plus que proportionnellement les gens se mettent à épargner. </w:t>
      </w:r>
    </w:p>
    <w:p w:rsidR="00F656B9" w:rsidRPr="00FA4826" w:rsidRDefault="00F656B9" w:rsidP="00123CAF">
      <w:pPr>
        <w:spacing w:after="0"/>
        <w:rPr>
          <w:rFonts w:ascii="Arial" w:hAnsi="Arial" w:cs="Arial"/>
          <w:i w:val="0"/>
        </w:rPr>
      </w:pPr>
    </w:p>
    <w:p w:rsidR="00F656B9" w:rsidRPr="00FA4826" w:rsidRDefault="00F656B9" w:rsidP="00123CAF">
      <w:pPr>
        <w:spacing w:after="0"/>
        <w:rPr>
          <w:rFonts w:ascii="Arial" w:hAnsi="Arial" w:cs="Arial"/>
          <w:i w:val="0"/>
        </w:rPr>
      </w:pPr>
      <w:r w:rsidRPr="00FA4826">
        <w:rPr>
          <w:rFonts w:ascii="Arial" w:hAnsi="Arial" w:cs="Arial"/>
          <w:i w:val="0"/>
        </w:rPr>
        <w:lastRenderedPageBreak/>
        <w:t xml:space="preserve">Après 2006 : </w:t>
      </w:r>
      <w:r w:rsidR="008B12E2" w:rsidRPr="00FA4826">
        <w:rPr>
          <w:rFonts w:ascii="Arial" w:hAnsi="Arial" w:cs="Arial"/>
          <w:i w:val="0"/>
        </w:rPr>
        <w:t xml:space="preserve">on voit M1, la masse monétaire continue </w:t>
      </w:r>
      <w:proofErr w:type="spellStart"/>
      <w:proofErr w:type="gramStart"/>
      <w:r w:rsidR="008B12E2" w:rsidRPr="00FA4826">
        <w:rPr>
          <w:rFonts w:ascii="Arial" w:hAnsi="Arial" w:cs="Arial"/>
          <w:i w:val="0"/>
        </w:rPr>
        <w:t>a</w:t>
      </w:r>
      <w:proofErr w:type="spellEnd"/>
      <w:proofErr w:type="gramEnd"/>
      <w:r w:rsidR="008B12E2" w:rsidRPr="00FA4826">
        <w:rPr>
          <w:rFonts w:ascii="Arial" w:hAnsi="Arial" w:cs="Arial"/>
          <w:i w:val="0"/>
        </w:rPr>
        <w:t xml:space="preserve"> augmenter car le crédit diminue. La masse monétaire M2, la partie capitalisée dans M2 va diminuer drastiquement, de moins en moins d’épargne et </w:t>
      </w:r>
      <w:proofErr w:type="spellStart"/>
      <w:r w:rsidR="008B12E2" w:rsidRPr="00FA4826">
        <w:rPr>
          <w:rFonts w:ascii="Arial" w:hAnsi="Arial" w:cs="Arial"/>
          <w:i w:val="0"/>
        </w:rPr>
        <w:t>ca</w:t>
      </w:r>
      <w:proofErr w:type="spellEnd"/>
      <w:r w:rsidR="008B12E2" w:rsidRPr="00FA4826">
        <w:rPr>
          <w:rFonts w:ascii="Arial" w:hAnsi="Arial" w:cs="Arial"/>
          <w:i w:val="0"/>
        </w:rPr>
        <w:t xml:space="preserve"> va se traduire par une augmentation de la liquidité. Pour M3 on va avoir une fonte de l’épargne globale c’est énormément </w:t>
      </w:r>
      <w:proofErr w:type="spellStart"/>
      <w:r w:rsidR="008B12E2" w:rsidRPr="00FA4826">
        <w:rPr>
          <w:rFonts w:ascii="Arial" w:hAnsi="Arial" w:cs="Arial"/>
          <w:i w:val="0"/>
        </w:rPr>
        <w:t>du</w:t>
      </w:r>
      <w:proofErr w:type="spellEnd"/>
      <w:r w:rsidR="008B12E2" w:rsidRPr="00FA4826">
        <w:rPr>
          <w:rFonts w:ascii="Arial" w:hAnsi="Arial" w:cs="Arial"/>
          <w:i w:val="0"/>
        </w:rPr>
        <w:t xml:space="preserve"> à la baisse de la monnaie de tout ce qui était épargné. Moins d’épargne = plus de monnaie. Après la crise on voit une forte baisse du crédit. </w:t>
      </w:r>
      <w:r w:rsidR="0086049E" w:rsidRPr="00FA4826">
        <w:rPr>
          <w:rFonts w:ascii="Arial" w:hAnsi="Arial" w:cs="Arial"/>
          <w:i w:val="0"/>
        </w:rPr>
        <w:t xml:space="preserve">Les banques ne veulent plus faire de crédit. </w:t>
      </w:r>
    </w:p>
    <w:p w:rsidR="0086049E" w:rsidRPr="00FA4826" w:rsidRDefault="00F656B9" w:rsidP="00123CAF">
      <w:pPr>
        <w:spacing w:after="0"/>
        <w:rPr>
          <w:rFonts w:ascii="Arial" w:hAnsi="Arial" w:cs="Arial"/>
          <w:b/>
          <w:i w:val="0"/>
        </w:rPr>
      </w:pPr>
      <w:r w:rsidRPr="00FA4826">
        <w:rPr>
          <w:rFonts w:ascii="Arial" w:hAnsi="Arial" w:cs="Arial"/>
          <w:i w:val="0"/>
          <w:noProof/>
          <w:lang w:eastAsia="fr-FR"/>
        </w:rPr>
        <w:drawing>
          <wp:anchor distT="0" distB="0" distL="114300" distR="114300" simplePos="0" relativeHeight="251672576" behindDoc="0" locked="0" layoutInCell="1" allowOverlap="1" wp14:anchorId="120C6927" wp14:editId="012AB18C">
            <wp:simplePos x="0" y="0"/>
            <wp:positionH relativeFrom="column">
              <wp:posOffset>29845</wp:posOffset>
            </wp:positionH>
            <wp:positionV relativeFrom="paragraph">
              <wp:posOffset>5715</wp:posOffset>
            </wp:positionV>
            <wp:extent cx="4199255" cy="3355975"/>
            <wp:effectExtent l="25400" t="0" r="0" b="0"/>
            <wp:wrapTight wrapText="bothSides">
              <wp:wrapPolygon edited="0">
                <wp:start x="-131" y="0"/>
                <wp:lineTo x="-131" y="21580"/>
                <wp:lineTo x="21558" y="21580"/>
                <wp:lineTo x="21558" y="0"/>
                <wp:lineTo x="-131" y="0"/>
              </wp:wrapPolygon>
            </wp:wrapTight>
            <wp:docPr id="32" name="I 14" descr="F:\Table0001.jpeg"/>
            <wp:cNvGraphicFramePr/>
            <a:graphic xmlns:a="http://schemas.openxmlformats.org/drawingml/2006/main">
              <a:graphicData uri="http://schemas.openxmlformats.org/drawingml/2006/picture">
                <pic:pic xmlns:pic="http://schemas.openxmlformats.org/drawingml/2006/picture">
                  <pic:nvPicPr>
                    <pic:cNvPr id="0" name="Picture 1" descr="F:\Table0001.jpeg"/>
                    <pic:cNvPicPr>
                      <a:picLocks noChangeAspect="1" noChangeArrowheads="1"/>
                    </pic:cNvPicPr>
                  </pic:nvPicPr>
                  <pic:blipFill>
                    <a:blip r:embed="rId37"/>
                    <a:srcRect/>
                    <a:stretch>
                      <a:fillRect/>
                    </a:stretch>
                  </pic:blipFill>
                  <pic:spPr bwMode="auto">
                    <a:xfrm>
                      <a:off x="0" y="0"/>
                      <a:ext cx="4199255" cy="3355975"/>
                    </a:xfrm>
                    <a:prstGeom prst="rect">
                      <a:avLst/>
                    </a:prstGeom>
                    <a:noFill/>
                    <a:ln w="9525">
                      <a:noFill/>
                      <a:miter lim="800000"/>
                      <a:headEnd/>
                      <a:tailEnd/>
                    </a:ln>
                  </pic:spPr>
                </pic:pic>
              </a:graphicData>
            </a:graphic>
          </wp:anchor>
        </w:drawing>
      </w:r>
    </w:p>
    <w:p w:rsidR="0086049E" w:rsidRPr="00FA4826" w:rsidRDefault="0086049E" w:rsidP="00123CAF">
      <w:pPr>
        <w:spacing w:after="0"/>
        <w:rPr>
          <w:rFonts w:ascii="Arial" w:hAnsi="Arial" w:cs="Arial"/>
          <w:b/>
          <w:i w:val="0"/>
        </w:rPr>
      </w:pPr>
    </w:p>
    <w:p w:rsidR="006C4603" w:rsidRPr="00FA4826" w:rsidRDefault="006C4603" w:rsidP="00123CAF">
      <w:pPr>
        <w:pStyle w:val="Titre3"/>
        <w:rPr>
          <w:rFonts w:ascii="Arial" w:hAnsi="Arial" w:cs="Arial"/>
          <w:i w:val="0"/>
        </w:rPr>
      </w:pPr>
      <w:bookmarkStart w:id="21" w:name="_Toc379227135"/>
      <w:r w:rsidRPr="00FA4826">
        <w:rPr>
          <w:rFonts w:ascii="Arial" w:hAnsi="Arial" w:cs="Arial"/>
          <w:i w:val="0"/>
        </w:rPr>
        <w:t>Conclusion :</w:t>
      </w:r>
      <w:bookmarkEnd w:id="21"/>
      <w:r w:rsidRPr="00FA4826">
        <w:rPr>
          <w:rFonts w:ascii="Arial" w:hAnsi="Arial" w:cs="Arial"/>
          <w:i w:val="0"/>
        </w:rPr>
        <w:t xml:space="preserve"> </w:t>
      </w:r>
    </w:p>
    <w:p w:rsidR="0086049E" w:rsidRPr="00FA4826" w:rsidRDefault="001D746C" w:rsidP="00123CAF">
      <w:pPr>
        <w:spacing w:after="0"/>
        <w:rPr>
          <w:rFonts w:ascii="Arial" w:hAnsi="Arial" w:cs="Arial"/>
          <w:i w:val="0"/>
        </w:rPr>
      </w:pPr>
      <w:r w:rsidRPr="00FA4826">
        <w:rPr>
          <w:rFonts w:ascii="Arial" w:hAnsi="Arial" w:cs="Arial"/>
          <w:i w:val="0"/>
        </w:rPr>
        <w:t xml:space="preserve">Globalement on attribue l’inflation soit à une demande trop importante, l’offre ne suit pas, fort dynamisme économique : inflation (exemple de la fin des années 60). Ensuite un autre élément peut créer de l’inflation : le déficit public, tenter de laisser faire, laisser un fort taux d’inflation comme </w:t>
      </w:r>
      <w:proofErr w:type="spellStart"/>
      <w:r w:rsidRPr="00FA4826">
        <w:rPr>
          <w:rFonts w:ascii="Arial" w:hAnsi="Arial" w:cs="Arial"/>
          <w:i w:val="0"/>
        </w:rPr>
        <w:t>ca</w:t>
      </w:r>
      <w:proofErr w:type="spellEnd"/>
      <w:r w:rsidRPr="00FA4826">
        <w:rPr>
          <w:rFonts w:ascii="Arial" w:hAnsi="Arial" w:cs="Arial"/>
          <w:i w:val="0"/>
        </w:rPr>
        <w:t xml:space="preserve"> leurs dettes sont éliminés, les dettes vont être gommées par le temps. </w:t>
      </w:r>
      <w:r w:rsidR="00DD77EC" w:rsidRPr="00FA4826">
        <w:rPr>
          <w:rFonts w:ascii="Arial" w:hAnsi="Arial" w:cs="Arial"/>
          <w:i w:val="0"/>
        </w:rPr>
        <w:t xml:space="preserve">Ensuite il peut y avoir une autre raison de l’inflation : les périodes de crises : perte de confiance en la monnaie donc entraine </w:t>
      </w:r>
      <w:proofErr w:type="gramStart"/>
      <w:r w:rsidR="00DD77EC" w:rsidRPr="00FA4826">
        <w:rPr>
          <w:rFonts w:ascii="Arial" w:hAnsi="Arial" w:cs="Arial"/>
          <w:i w:val="0"/>
        </w:rPr>
        <w:t>de inflation</w:t>
      </w:r>
      <w:proofErr w:type="gramEnd"/>
      <w:r w:rsidR="00DD77EC" w:rsidRPr="00FA4826">
        <w:rPr>
          <w:rFonts w:ascii="Arial" w:hAnsi="Arial" w:cs="Arial"/>
          <w:i w:val="0"/>
        </w:rPr>
        <w:t xml:space="preserve">. L’inflation c’est un </w:t>
      </w:r>
      <w:proofErr w:type="spellStart"/>
      <w:r w:rsidR="00DD77EC" w:rsidRPr="00FA4826">
        <w:rPr>
          <w:rFonts w:ascii="Arial" w:hAnsi="Arial" w:cs="Arial"/>
          <w:i w:val="0"/>
        </w:rPr>
        <w:t>casse tête</w:t>
      </w:r>
      <w:proofErr w:type="spellEnd"/>
      <w:r w:rsidR="00DD77EC" w:rsidRPr="00FA4826">
        <w:rPr>
          <w:rFonts w:ascii="Arial" w:hAnsi="Arial" w:cs="Arial"/>
          <w:i w:val="0"/>
        </w:rPr>
        <w:t xml:space="preserve"> dans le sens où </w:t>
      </w:r>
      <w:proofErr w:type="gramStart"/>
      <w:r w:rsidR="00DD77EC" w:rsidRPr="00FA4826">
        <w:rPr>
          <w:rFonts w:ascii="Arial" w:hAnsi="Arial" w:cs="Arial"/>
          <w:i w:val="0"/>
        </w:rPr>
        <w:t>on arrive</w:t>
      </w:r>
      <w:proofErr w:type="gramEnd"/>
      <w:r w:rsidR="00DD77EC" w:rsidRPr="00FA4826">
        <w:rPr>
          <w:rFonts w:ascii="Arial" w:hAnsi="Arial" w:cs="Arial"/>
          <w:i w:val="0"/>
        </w:rPr>
        <w:t xml:space="preserve"> pas à savoir si c’est bien ou si ça ne l’est pas : pour les keynésiens c’est bien permet de ne pas rembourser les dettes, et les dettes permettent d’enclencher le processus de production, mais on est dans une économie fermée : pose des problèmes au niveau des taux de change. </w:t>
      </w:r>
      <w:r w:rsidR="00777925" w:rsidRPr="00FA4826">
        <w:rPr>
          <w:rFonts w:ascii="Arial" w:hAnsi="Arial" w:cs="Arial"/>
          <w:i w:val="0"/>
        </w:rPr>
        <w:t xml:space="preserve">Si </w:t>
      </w:r>
      <w:proofErr w:type="spellStart"/>
      <w:r w:rsidR="00777925" w:rsidRPr="00FA4826">
        <w:rPr>
          <w:rFonts w:ascii="Arial" w:hAnsi="Arial" w:cs="Arial"/>
          <w:i w:val="0"/>
        </w:rPr>
        <w:t>ca</w:t>
      </w:r>
      <w:proofErr w:type="spellEnd"/>
      <w:r w:rsidR="00777925" w:rsidRPr="00FA4826">
        <w:rPr>
          <w:rFonts w:ascii="Arial" w:hAnsi="Arial" w:cs="Arial"/>
          <w:i w:val="0"/>
        </w:rPr>
        <w:t xml:space="preserve"> pose des problèmes au niveau des taux de change, </w:t>
      </w:r>
      <w:proofErr w:type="spellStart"/>
      <w:r w:rsidR="00777925" w:rsidRPr="00FA4826">
        <w:rPr>
          <w:rFonts w:ascii="Arial" w:hAnsi="Arial" w:cs="Arial"/>
          <w:i w:val="0"/>
        </w:rPr>
        <w:t>ca</w:t>
      </w:r>
      <w:proofErr w:type="spellEnd"/>
      <w:r w:rsidR="00777925" w:rsidRPr="00FA4826">
        <w:rPr>
          <w:rFonts w:ascii="Arial" w:hAnsi="Arial" w:cs="Arial"/>
          <w:i w:val="0"/>
        </w:rPr>
        <w:t xml:space="preserve"> va perturber les échanges, les exportations. </w:t>
      </w:r>
      <w:r w:rsidR="00912DB3" w:rsidRPr="00FA4826">
        <w:rPr>
          <w:rFonts w:ascii="Arial" w:hAnsi="Arial" w:cs="Arial"/>
          <w:i w:val="0"/>
        </w:rPr>
        <w:t>En économie ouverte l’inflation fait peur, dans les pays où il y a peu d’inflation il y a de fort taux de chômage, confère la courbe de Philips</w:t>
      </w:r>
      <w:r w:rsidR="0086049E" w:rsidRPr="00FA4826">
        <w:rPr>
          <w:rFonts w:ascii="Arial" w:hAnsi="Arial" w:cs="Arial"/>
          <w:i w:val="0"/>
        </w:rPr>
        <w:t xml:space="preserve">. </w:t>
      </w:r>
    </w:p>
    <w:p w:rsidR="0086049E" w:rsidRPr="00FA4826" w:rsidRDefault="0086049E" w:rsidP="00123CAF">
      <w:pPr>
        <w:spacing w:after="0"/>
        <w:rPr>
          <w:rFonts w:ascii="Arial" w:hAnsi="Arial" w:cs="Arial"/>
          <w:i w:val="0"/>
        </w:rPr>
      </w:pPr>
    </w:p>
    <w:p w:rsidR="0086049E" w:rsidRPr="00FA4826" w:rsidRDefault="0086049E" w:rsidP="00123CAF">
      <w:pPr>
        <w:spacing w:after="0"/>
        <w:rPr>
          <w:rFonts w:ascii="Arial" w:hAnsi="Arial" w:cs="Arial"/>
          <w:i w:val="0"/>
        </w:rPr>
      </w:pPr>
    </w:p>
    <w:p w:rsidR="0086049E" w:rsidRPr="00FA4826" w:rsidRDefault="0086049E" w:rsidP="00123CAF">
      <w:pPr>
        <w:pStyle w:val="Titre2"/>
        <w:rPr>
          <w:rFonts w:ascii="Arial" w:hAnsi="Arial" w:cs="Arial"/>
          <w:i w:val="0"/>
        </w:rPr>
      </w:pPr>
      <w:bookmarkStart w:id="22" w:name="_Toc379227136"/>
      <w:r w:rsidRPr="00FA4826">
        <w:rPr>
          <w:rFonts w:ascii="Arial" w:hAnsi="Arial" w:cs="Arial"/>
          <w:i w:val="0"/>
        </w:rPr>
        <w:t>2) L’offre de monnaie :</w:t>
      </w:r>
      <w:bookmarkEnd w:id="22"/>
      <w:r w:rsidRPr="00FA4826">
        <w:rPr>
          <w:rFonts w:ascii="Arial" w:hAnsi="Arial" w:cs="Arial"/>
          <w:i w:val="0"/>
        </w:rPr>
        <w:t xml:space="preserve"> </w:t>
      </w:r>
    </w:p>
    <w:p w:rsidR="0086049E" w:rsidRPr="00FA4826" w:rsidRDefault="0086049E" w:rsidP="00123CAF">
      <w:pPr>
        <w:spacing w:after="0"/>
        <w:rPr>
          <w:rFonts w:ascii="Arial" w:hAnsi="Arial" w:cs="Arial"/>
          <w:i w:val="0"/>
        </w:rPr>
      </w:pPr>
      <w:r w:rsidRPr="00FA4826">
        <w:rPr>
          <w:rFonts w:ascii="Arial" w:hAnsi="Arial" w:cs="Arial"/>
          <w:i w:val="0"/>
        </w:rPr>
        <w:t xml:space="preserve">On va essayer de voir théoriquement ce que nous disent les théories sur la monnaie. Les questions qui se posent entre les liens entre masse monétaire et impact sur l’inflation, il y a des questions qui se posent sur la quantité optimale de monnaie, faut-il de l’inflation ou de la déflation pour engendrer des processus de croissance. Sur quelle base </w:t>
      </w:r>
      <w:proofErr w:type="spellStart"/>
      <w:r w:rsidRPr="00FA4826">
        <w:rPr>
          <w:rFonts w:ascii="Arial" w:hAnsi="Arial" w:cs="Arial"/>
          <w:i w:val="0"/>
        </w:rPr>
        <w:t>va t</w:t>
      </w:r>
      <w:proofErr w:type="spellEnd"/>
      <w:r w:rsidRPr="00FA4826">
        <w:rPr>
          <w:rFonts w:ascii="Arial" w:hAnsi="Arial" w:cs="Arial"/>
          <w:i w:val="0"/>
        </w:rPr>
        <w:t xml:space="preserve">-on créer la monnaie ? Doit-on créer de la monnaie de façon extensive ou intensive ? </w:t>
      </w:r>
    </w:p>
    <w:p w:rsidR="0086049E" w:rsidRPr="00FA4826" w:rsidRDefault="0086049E" w:rsidP="00123CAF">
      <w:pPr>
        <w:spacing w:after="0"/>
        <w:rPr>
          <w:rFonts w:ascii="Arial" w:hAnsi="Arial" w:cs="Arial"/>
          <w:i w:val="0"/>
        </w:rPr>
      </w:pPr>
      <w:r w:rsidRPr="00FA4826">
        <w:rPr>
          <w:rFonts w:ascii="Arial" w:hAnsi="Arial" w:cs="Arial"/>
          <w:i w:val="0"/>
        </w:rPr>
        <w:t xml:space="preserve">Il y a deux cadres analytiques : </w:t>
      </w:r>
    </w:p>
    <w:p w:rsidR="0086049E" w:rsidRPr="00FA4826" w:rsidRDefault="001663A2" w:rsidP="00C64C89">
      <w:pPr>
        <w:pStyle w:val="Paragraphedeliste"/>
        <w:numPr>
          <w:ilvl w:val="0"/>
          <w:numId w:val="38"/>
        </w:numPr>
        <w:spacing w:after="0"/>
        <w:rPr>
          <w:rFonts w:ascii="Arial" w:hAnsi="Arial" w:cs="Arial"/>
          <w:i w:val="0"/>
        </w:rPr>
      </w:pPr>
      <w:r w:rsidRPr="00FA4826">
        <w:rPr>
          <w:rFonts w:ascii="Arial" w:hAnsi="Arial" w:cs="Arial"/>
          <w:b/>
          <w:i w:val="0"/>
        </w:rPr>
        <w:t>Approche n</w:t>
      </w:r>
      <w:r w:rsidR="00806AF5" w:rsidRPr="00FA4826">
        <w:rPr>
          <w:rFonts w:ascii="Arial" w:hAnsi="Arial" w:cs="Arial"/>
          <w:b/>
          <w:i w:val="0"/>
        </w:rPr>
        <w:t>o</w:t>
      </w:r>
      <w:r w:rsidR="0086049E" w:rsidRPr="00FA4826">
        <w:rPr>
          <w:rFonts w:ascii="Arial" w:hAnsi="Arial" w:cs="Arial"/>
          <w:b/>
          <w:i w:val="0"/>
        </w:rPr>
        <w:t>rmative :</w:t>
      </w:r>
      <w:r w:rsidR="0086049E" w:rsidRPr="00FA4826">
        <w:rPr>
          <w:rFonts w:ascii="Arial" w:hAnsi="Arial" w:cs="Arial"/>
          <w:i w:val="0"/>
        </w:rPr>
        <w:t xml:space="preserve"> présence d’une norme idéale c’est l’autorégulation par les marchés, et on va étudier comment atteint-on la norme idéale. </w:t>
      </w:r>
    </w:p>
    <w:p w:rsidR="0086049E" w:rsidRPr="00FA4826" w:rsidRDefault="0086049E" w:rsidP="00123CAF">
      <w:pPr>
        <w:pStyle w:val="Paragraphedeliste"/>
        <w:spacing w:after="0"/>
        <w:rPr>
          <w:rFonts w:ascii="Arial" w:hAnsi="Arial" w:cs="Arial"/>
          <w:i w:val="0"/>
        </w:rPr>
      </w:pPr>
      <w:r w:rsidRPr="00FA4826">
        <w:rPr>
          <w:rFonts w:ascii="Arial" w:hAnsi="Arial" w:cs="Arial"/>
          <w:i w:val="0"/>
        </w:rPr>
        <w:t>La monnaie est un instrument qui facilite les échanges de biens et de services marchands. La quantité de monnaie (masse monétaire) est donc définie par rapport au volume d’échanges.</w:t>
      </w:r>
    </w:p>
    <w:p w:rsidR="005637C8" w:rsidRPr="00FA4826" w:rsidRDefault="0086049E" w:rsidP="00C64C89">
      <w:pPr>
        <w:pStyle w:val="Paragraphedeliste"/>
        <w:numPr>
          <w:ilvl w:val="0"/>
          <w:numId w:val="38"/>
        </w:numPr>
        <w:spacing w:after="0"/>
        <w:rPr>
          <w:rFonts w:ascii="Arial" w:hAnsi="Arial" w:cs="Arial"/>
          <w:i w:val="0"/>
        </w:rPr>
      </w:pPr>
      <w:r w:rsidRPr="00FA4826">
        <w:rPr>
          <w:rFonts w:ascii="Arial" w:hAnsi="Arial" w:cs="Arial"/>
          <w:b/>
          <w:i w:val="0"/>
        </w:rPr>
        <w:t>Approche institutionnelle :</w:t>
      </w:r>
      <w:r w:rsidRPr="00FA4826">
        <w:rPr>
          <w:rFonts w:ascii="Arial" w:hAnsi="Arial" w:cs="Arial"/>
          <w:i w:val="0"/>
        </w:rPr>
        <w:t xml:space="preserve"> basée sur l’observation pour analyser et on va théoriser sur des observations, c’est l’approche institutionnelle : la monnaie La monnaie est une institution nécessaire au « fonctionnement des sociétés ». La quantité de monnaie est définie pour permettre  un niveau d’échange espéré (entre autre). </w:t>
      </w:r>
    </w:p>
    <w:p w:rsidR="005637C8" w:rsidRPr="00FA4826" w:rsidRDefault="005637C8" w:rsidP="00123CAF">
      <w:pPr>
        <w:spacing w:after="0"/>
        <w:rPr>
          <w:rFonts w:ascii="Arial" w:hAnsi="Arial" w:cs="Arial"/>
          <w:i w:val="0"/>
        </w:rPr>
      </w:pPr>
    </w:p>
    <w:p w:rsidR="005637C8" w:rsidRPr="00FA4826" w:rsidRDefault="00200878" w:rsidP="00123CAF">
      <w:pPr>
        <w:pStyle w:val="Titre3"/>
        <w:rPr>
          <w:rFonts w:ascii="Arial" w:hAnsi="Arial" w:cs="Arial"/>
          <w:i w:val="0"/>
        </w:rPr>
      </w:pPr>
      <w:bookmarkStart w:id="23" w:name="_Toc379227137"/>
      <w:r w:rsidRPr="00FA4826">
        <w:rPr>
          <w:rFonts w:ascii="Arial" w:hAnsi="Arial" w:cs="Arial"/>
          <w:i w:val="0"/>
        </w:rPr>
        <w:t xml:space="preserve">a. </w:t>
      </w:r>
      <w:r w:rsidR="005637C8" w:rsidRPr="00FA4826">
        <w:rPr>
          <w:rFonts w:ascii="Arial" w:hAnsi="Arial" w:cs="Arial"/>
          <w:i w:val="0"/>
        </w:rPr>
        <w:t>Le principe essentiel à l’analyse instrumentale :</w:t>
      </w:r>
      <w:bookmarkEnd w:id="23"/>
      <w:r w:rsidR="005637C8" w:rsidRPr="00FA4826">
        <w:rPr>
          <w:rFonts w:ascii="Arial" w:hAnsi="Arial" w:cs="Arial"/>
          <w:i w:val="0"/>
        </w:rPr>
        <w:t xml:space="preserve"> </w:t>
      </w:r>
    </w:p>
    <w:p w:rsidR="001663A2" w:rsidRPr="00FA4826" w:rsidRDefault="005637C8" w:rsidP="00123CAF">
      <w:pPr>
        <w:spacing w:after="0"/>
        <w:rPr>
          <w:rFonts w:ascii="Arial" w:hAnsi="Arial" w:cs="Arial"/>
          <w:i w:val="0"/>
        </w:rPr>
      </w:pPr>
      <w:r w:rsidRPr="00FA4826">
        <w:rPr>
          <w:rFonts w:ascii="Arial" w:hAnsi="Arial" w:cs="Arial"/>
          <w:i w:val="0"/>
        </w:rPr>
        <w:lastRenderedPageBreak/>
        <w:t xml:space="preserve">Dans cette économie il y a des marchés pour tous les éléments mais il y a aussi un marché pour la monnaie : il va y avoir un marché par rapport à l’offre et la demande de monnaie. </w:t>
      </w:r>
      <w:r w:rsidRPr="00FA4826">
        <w:rPr>
          <w:rFonts w:ascii="Arial" w:hAnsi="Arial" w:cs="Arial"/>
          <w:i w:val="0"/>
          <w:noProof/>
          <w:lang w:eastAsia="fr-FR"/>
        </w:rPr>
        <w:drawing>
          <wp:anchor distT="0" distB="0" distL="114300" distR="114300" simplePos="0" relativeHeight="251673600" behindDoc="0" locked="0" layoutInCell="1" allowOverlap="1" wp14:anchorId="5DE9FA0F" wp14:editId="742B061C">
            <wp:simplePos x="0" y="0"/>
            <wp:positionH relativeFrom="column">
              <wp:posOffset>29845</wp:posOffset>
            </wp:positionH>
            <wp:positionV relativeFrom="paragraph">
              <wp:posOffset>1905</wp:posOffset>
            </wp:positionV>
            <wp:extent cx="5760720" cy="1920240"/>
            <wp:effectExtent l="25400" t="0" r="5080" b="0"/>
            <wp:wrapSquare wrapText="bothSides"/>
            <wp:docPr id="34" name="Image 33" descr="Capture d’écran 2011-04-05 à 12.16.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1-04-05 à 12.16.10.png"/>
                    <pic:cNvPicPr/>
                  </pic:nvPicPr>
                  <pic:blipFill>
                    <a:blip r:embed="rId38"/>
                    <a:stretch>
                      <a:fillRect/>
                    </a:stretch>
                  </pic:blipFill>
                  <pic:spPr>
                    <a:xfrm>
                      <a:off x="0" y="0"/>
                      <a:ext cx="5760720" cy="1920240"/>
                    </a:xfrm>
                    <a:prstGeom prst="rect">
                      <a:avLst/>
                    </a:prstGeom>
                  </pic:spPr>
                </pic:pic>
              </a:graphicData>
            </a:graphic>
          </wp:anchor>
        </w:drawing>
      </w:r>
      <w:r w:rsidR="001663A2" w:rsidRPr="00FA4826">
        <w:rPr>
          <w:rFonts w:ascii="Arial" w:hAnsi="Arial" w:cs="Arial"/>
          <w:i w:val="0"/>
        </w:rPr>
        <w:t>I</w:t>
      </w:r>
      <w:r w:rsidRPr="00FA4826">
        <w:rPr>
          <w:rFonts w:ascii="Arial" w:hAnsi="Arial" w:cs="Arial"/>
          <w:i w:val="0"/>
        </w:rPr>
        <w:t xml:space="preserve">l va y avoir un taux d’intérêt qui va être le prix de la monnaie, une O et une D de monnaie. La mise en relation entre 0 et D va se faire grâce aux taux d’intérêt. </w:t>
      </w:r>
      <w:r w:rsidR="00AF604F" w:rsidRPr="00FA4826">
        <w:rPr>
          <w:rFonts w:ascii="Arial" w:hAnsi="Arial" w:cs="Arial"/>
          <w:i w:val="0"/>
        </w:rPr>
        <w:t>Si l’offre</w:t>
      </w:r>
      <w:r w:rsidR="00081033" w:rsidRPr="00FA4826">
        <w:rPr>
          <w:rFonts w:ascii="Arial" w:hAnsi="Arial" w:cs="Arial"/>
          <w:i w:val="0"/>
        </w:rPr>
        <w:t xml:space="preserve"> est forte et que la D est faible alors il faudra que le taux d’intérêt diminue. </w:t>
      </w:r>
    </w:p>
    <w:p w:rsidR="001663A2" w:rsidRPr="00FA4826" w:rsidRDefault="00AF604F" w:rsidP="00123CAF">
      <w:pPr>
        <w:spacing w:after="0"/>
        <w:rPr>
          <w:rFonts w:ascii="Arial" w:hAnsi="Arial" w:cs="Arial"/>
          <w:i w:val="0"/>
        </w:rPr>
      </w:pPr>
      <w:r w:rsidRPr="00FA4826">
        <w:rPr>
          <w:rFonts w:ascii="Arial" w:hAnsi="Arial" w:cs="Arial"/>
          <w:i w:val="0"/>
        </w:rPr>
        <w:t xml:space="preserve">Il y a des demandeurs qui veulent de la monnaie pour échanger pour se faire de l’épargne. </w:t>
      </w:r>
      <w:r w:rsidR="001663A2" w:rsidRPr="00FA4826">
        <w:rPr>
          <w:rFonts w:ascii="Arial" w:hAnsi="Arial" w:cs="Arial"/>
          <w:i w:val="0"/>
        </w:rPr>
        <w:t xml:space="preserve">Il va y avoir ceux qui ont déjà de la monnaie car ils l’ont thésaurisé et qu’ils vont offrir et de l’autre </w:t>
      </w:r>
      <w:proofErr w:type="spellStart"/>
      <w:r w:rsidR="001663A2" w:rsidRPr="00FA4826">
        <w:rPr>
          <w:rFonts w:ascii="Arial" w:hAnsi="Arial" w:cs="Arial"/>
          <w:i w:val="0"/>
        </w:rPr>
        <w:t>coté</w:t>
      </w:r>
      <w:proofErr w:type="spellEnd"/>
      <w:r w:rsidR="001663A2" w:rsidRPr="00FA4826">
        <w:rPr>
          <w:rFonts w:ascii="Arial" w:hAnsi="Arial" w:cs="Arial"/>
          <w:i w:val="0"/>
        </w:rPr>
        <w:t xml:space="preserve"> il va y avoir des créateurs de monnaie, c’est parce qu’elle a été </w:t>
      </w:r>
      <w:proofErr w:type="spellStart"/>
      <w:r w:rsidR="001663A2" w:rsidRPr="00FA4826">
        <w:rPr>
          <w:rFonts w:ascii="Arial" w:hAnsi="Arial" w:cs="Arial"/>
          <w:i w:val="0"/>
        </w:rPr>
        <w:t>crée</w:t>
      </w:r>
      <w:proofErr w:type="spellEnd"/>
      <w:r w:rsidR="001663A2" w:rsidRPr="00FA4826">
        <w:rPr>
          <w:rFonts w:ascii="Arial" w:hAnsi="Arial" w:cs="Arial"/>
          <w:i w:val="0"/>
        </w:rPr>
        <w:t xml:space="preserve"> qu’il va </w:t>
      </w:r>
      <w:proofErr w:type="spellStart"/>
      <w:r w:rsidR="001663A2" w:rsidRPr="00FA4826">
        <w:rPr>
          <w:rFonts w:ascii="Arial" w:hAnsi="Arial" w:cs="Arial"/>
          <w:i w:val="0"/>
        </w:rPr>
        <w:t>ya</w:t>
      </w:r>
      <w:proofErr w:type="spellEnd"/>
      <w:r w:rsidR="001663A2" w:rsidRPr="00FA4826">
        <w:rPr>
          <w:rFonts w:ascii="Arial" w:hAnsi="Arial" w:cs="Arial"/>
          <w:i w:val="0"/>
        </w:rPr>
        <w:t xml:space="preserve"> voir une offre, dans cette théorie on distingue l’offre en deux. Problème car : </w:t>
      </w:r>
    </w:p>
    <w:p w:rsidR="00AF604F" w:rsidRPr="00FA4826" w:rsidRDefault="001663A2" w:rsidP="00C64C89">
      <w:pPr>
        <w:pStyle w:val="Paragraphedeliste"/>
        <w:numPr>
          <w:ilvl w:val="0"/>
          <w:numId w:val="38"/>
        </w:numPr>
        <w:spacing w:after="0"/>
        <w:rPr>
          <w:rFonts w:ascii="Arial" w:hAnsi="Arial" w:cs="Arial"/>
          <w:i w:val="0"/>
        </w:rPr>
      </w:pPr>
      <w:r w:rsidRPr="00FA4826">
        <w:rPr>
          <w:rFonts w:ascii="Arial" w:hAnsi="Arial" w:cs="Arial"/>
          <w:i w:val="0"/>
        </w:rPr>
        <w:t>1</w:t>
      </w:r>
      <w:r w:rsidRPr="00FA4826">
        <w:rPr>
          <w:rFonts w:ascii="Arial" w:hAnsi="Arial" w:cs="Arial"/>
          <w:i w:val="0"/>
          <w:vertAlign w:val="superscript"/>
        </w:rPr>
        <w:t>er</w:t>
      </w:r>
      <w:r w:rsidRPr="00FA4826">
        <w:rPr>
          <w:rFonts w:ascii="Arial" w:hAnsi="Arial" w:cs="Arial"/>
          <w:i w:val="0"/>
        </w:rPr>
        <w:t xml:space="preserve"> cas : les offreurs qui possèdent de la monnaie vont avoir le choix, soit détenir de la monnaie et se priver d’un taux d’intérêt ou soit bénéficier d’un taux d’intérêt sans monnaie</w:t>
      </w:r>
      <w:r w:rsidR="00AF604F" w:rsidRPr="00FA4826">
        <w:rPr>
          <w:rFonts w:ascii="Arial" w:hAnsi="Arial" w:cs="Arial"/>
          <w:i w:val="0"/>
        </w:rPr>
        <w:t>.</w:t>
      </w:r>
    </w:p>
    <w:p w:rsidR="00AF604F" w:rsidRPr="00FA4826" w:rsidRDefault="00AF604F" w:rsidP="00C64C89">
      <w:pPr>
        <w:pStyle w:val="Paragraphedeliste"/>
        <w:numPr>
          <w:ilvl w:val="0"/>
          <w:numId w:val="38"/>
        </w:numPr>
        <w:spacing w:after="0"/>
        <w:rPr>
          <w:rFonts w:ascii="Arial" w:hAnsi="Arial" w:cs="Arial"/>
          <w:i w:val="0"/>
        </w:rPr>
      </w:pPr>
      <w:r w:rsidRPr="00FA4826">
        <w:rPr>
          <w:rFonts w:ascii="Arial" w:hAnsi="Arial" w:cs="Arial"/>
          <w:i w:val="0"/>
        </w:rPr>
        <w:t>2</w:t>
      </w:r>
      <w:r w:rsidRPr="00FA4826">
        <w:rPr>
          <w:rFonts w:ascii="Arial" w:hAnsi="Arial" w:cs="Arial"/>
          <w:i w:val="0"/>
          <w:vertAlign w:val="superscript"/>
        </w:rPr>
        <w:t>ème</w:t>
      </w:r>
      <w:r w:rsidRPr="00FA4826">
        <w:rPr>
          <w:rFonts w:ascii="Arial" w:hAnsi="Arial" w:cs="Arial"/>
          <w:i w:val="0"/>
        </w:rPr>
        <w:t xml:space="preserve"> cas : un marché de la monnaie existe : Hayek (qui se résume à un échange), le marché, l’offre de la monnaie au niveau de la création n’est pas un marché. La banque centrale ne crée pas de la monnaie en échange d’un taux d’intérêt, elle crée de la monnaie en fonction de logiques complètement décalée de la logique de marché : c’est donc un quasi marché. C’est à dire que pour l’offre de monnaie, les logiques fonctionnent pour la monnaie déjà créée. La banque centrale ne chercher pas à maximiser son profit. Quels principes théoriques guident-ils l’offre de monnaie ? </w:t>
      </w:r>
    </w:p>
    <w:p w:rsidR="007313BE" w:rsidRPr="00FA4826" w:rsidRDefault="007313BE" w:rsidP="00123CAF">
      <w:pPr>
        <w:spacing w:after="0"/>
        <w:rPr>
          <w:rFonts w:ascii="Arial" w:hAnsi="Arial" w:cs="Arial"/>
          <w:b/>
          <w:i w:val="0"/>
        </w:rPr>
      </w:pPr>
    </w:p>
    <w:p w:rsidR="00200878" w:rsidRPr="00FA4826" w:rsidRDefault="00200878" w:rsidP="00123CAF">
      <w:pPr>
        <w:spacing w:after="0"/>
        <w:rPr>
          <w:rFonts w:ascii="Arial" w:hAnsi="Arial" w:cs="Arial"/>
          <w:b/>
          <w:i w:val="0"/>
        </w:rPr>
      </w:pPr>
      <w:r w:rsidRPr="00FA4826">
        <w:rPr>
          <w:rFonts w:ascii="Arial" w:hAnsi="Arial" w:cs="Arial"/>
          <w:b/>
          <w:i w:val="0"/>
        </w:rPr>
        <w:t xml:space="preserve">La théorie quantitative de la monnaie de Fisher : </w:t>
      </w:r>
    </w:p>
    <w:p w:rsidR="00200878" w:rsidRPr="00FA4826" w:rsidRDefault="00200878" w:rsidP="00123CAF">
      <w:pPr>
        <w:spacing w:after="0"/>
        <w:rPr>
          <w:rFonts w:ascii="Arial" w:hAnsi="Arial" w:cs="Arial"/>
          <w:i w:val="0"/>
        </w:rPr>
      </w:pPr>
      <w:r w:rsidRPr="00FA4826">
        <w:rPr>
          <w:rFonts w:ascii="Arial" w:hAnsi="Arial" w:cs="Arial"/>
          <w:i w:val="0"/>
        </w:rPr>
        <w:t xml:space="preserve">MV = PT </w:t>
      </w:r>
    </w:p>
    <w:p w:rsidR="00200878" w:rsidRPr="00FA4826" w:rsidRDefault="00200878" w:rsidP="00123CAF">
      <w:pPr>
        <w:spacing w:after="0"/>
        <w:rPr>
          <w:rFonts w:ascii="Arial" w:hAnsi="Arial" w:cs="Arial"/>
          <w:i w:val="0"/>
        </w:rPr>
      </w:pPr>
      <w:r w:rsidRPr="00FA4826">
        <w:rPr>
          <w:rFonts w:ascii="Arial" w:hAnsi="Arial" w:cs="Arial"/>
          <w:i w:val="0"/>
        </w:rPr>
        <w:t>M : masse monétaire </w:t>
      </w:r>
    </w:p>
    <w:p w:rsidR="00200878" w:rsidRPr="00FA4826" w:rsidRDefault="00200878" w:rsidP="00123CAF">
      <w:pPr>
        <w:spacing w:after="0"/>
        <w:rPr>
          <w:rFonts w:ascii="Arial" w:hAnsi="Arial" w:cs="Arial"/>
          <w:i w:val="0"/>
        </w:rPr>
      </w:pPr>
      <w:r w:rsidRPr="00FA4826">
        <w:rPr>
          <w:rFonts w:ascii="Arial" w:hAnsi="Arial" w:cs="Arial"/>
          <w:i w:val="0"/>
        </w:rPr>
        <w:t>P : niveau de prix, inflation</w:t>
      </w:r>
    </w:p>
    <w:p w:rsidR="00200878" w:rsidRPr="00FA4826" w:rsidRDefault="00200878" w:rsidP="00123CAF">
      <w:pPr>
        <w:spacing w:after="0"/>
        <w:rPr>
          <w:rFonts w:ascii="Arial" w:hAnsi="Arial" w:cs="Arial"/>
          <w:i w:val="0"/>
        </w:rPr>
      </w:pPr>
      <w:r w:rsidRPr="00FA4826">
        <w:rPr>
          <w:rFonts w:ascii="Arial" w:hAnsi="Arial" w:cs="Arial"/>
          <w:i w:val="0"/>
        </w:rPr>
        <w:t>T : volume des transactions, PIB</w:t>
      </w:r>
    </w:p>
    <w:p w:rsidR="00ED235D" w:rsidRPr="00FA4826" w:rsidRDefault="00200878" w:rsidP="00123CAF">
      <w:pPr>
        <w:spacing w:after="0"/>
        <w:rPr>
          <w:rFonts w:ascii="Arial" w:hAnsi="Arial" w:cs="Arial"/>
          <w:i w:val="0"/>
        </w:rPr>
      </w:pPr>
      <w:r w:rsidRPr="00FA4826">
        <w:rPr>
          <w:rFonts w:ascii="Arial" w:hAnsi="Arial" w:cs="Arial"/>
          <w:i w:val="0"/>
        </w:rPr>
        <w:t xml:space="preserve">V : vitesse de circulation de la monnaie, combien de temps met la monnaie pour passer d’une main à l’autre. </w:t>
      </w:r>
    </w:p>
    <w:p w:rsidR="00200878" w:rsidRPr="00FA4826" w:rsidRDefault="00ED235D" w:rsidP="00123CAF">
      <w:pPr>
        <w:spacing w:after="0"/>
        <w:jc w:val="center"/>
        <w:rPr>
          <w:rFonts w:ascii="Arial" w:hAnsi="Arial" w:cs="Arial"/>
          <w:b/>
          <w:i w:val="0"/>
        </w:rPr>
      </w:pPr>
      <w:r w:rsidRPr="00FA4826">
        <w:rPr>
          <w:rFonts w:ascii="Arial" w:hAnsi="Arial" w:cs="Arial"/>
          <w:b/>
          <w:i w:val="0"/>
        </w:rPr>
        <w:t xml:space="preserve">MV = PT </w:t>
      </w:r>
    </w:p>
    <w:p w:rsidR="007313BE" w:rsidRPr="00FA4826" w:rsidRDefault="00200878" w:rsidP="00123CAF">
      <w:pPr>
        <w:spacing w:after="0"/>
        <w:rPr>
          <w:rFonts w:ascii="Arial" w:hAnsi="Arial" w:cs="Arial"/>
          <w:i w:val="0"/>
        </w:rPr>
      </w:pPr>
      <w:r w:rsidRPr="00FA4826">
        <w:rPr>
          <w:rFonts w:ascii="Arial" w:hAnsi="Arial" w:cs="Arial"/>
          <w:i w:val="0"/>
        </w:rPr>
        <w:t xml:space="preserve">Quand M1 est faible par rapport à M3, ça veut beaucoup de monnaie épargnée : elle ne va donc pas circuler facilement. La vitesse de circulation est faible. </w:t>
      </w:r>
    </w:p>
    <w:p w:rsidR="00ED235D" w:rsidRPr="00FA4826" w:rsidRDefault="007313BE" w:rsidP="00123CAF">
      <w:pPr>
        <w:spacing w:after="0"/>
        <w:rPr>
          <w:rFonts w:ascii="Arial" w:hAnsi="Arial" w:cs="Arial"/>
          <w:i w:val="0"/>
        </w:rPr>
      </w:pPr>
      <w:r w:rsidRPr="00FA4826">
        <w:rPr>
          <w:rFonts w:ascii="Arial" w:hAnsi="Arial" w:cs="Arial"/>
          <w:i w:val="0"/>
        </w:rPr>
        <w:t xml:space="preserve">Fisher : dans une économie la monnaie est neutre, la quantité de monnaies n’est pas importante car M la masse monétaire multipliée par V c’est égale à l’inflation multipliée par le volume d’échange. Si on échange beaucoup on a besoin de beaucoup de monnaie. T a cours terme est relativement constant, la quantité de marchandises ne peut changer de semaines en semaines ; elle évolue doucement. V constant (relativement) les proportions ne changent pas drastiquement. Si T et V constants il n’y a que deux variables qui vont pouvoir s’ajuster c’est M et P. Selon Fisher si on crée trop de M ne va pas avoir d’impact sur T mais sur P. Dans la théorie c’est pour </w:t>
      </w:r>
      <w:proofErr w:type="spellStart"/>
      <w:r w:rsidRPr="00FA4826">
        <w:rPr>
          <w:rFonts w:ascii="Arial" w:hAnsi="Arial" w:cs="Arial"/>
          <w:i w:val="0"/>
        </w:rPr>
        <w:t>ca</w:t>
      </w:r>
      <w:proofErr w:type="spellEnd"/>
      <w:r w:rsidRPr="00FA4826">
        <w:rPr>
          <w:rFonts w:ascii="Arial" w:hAnsi="Arial" w:cs="Arial"/>
          <w:i w:val="0"/>
        </w:rPr>
        <w:t xml:space="preserve"> que la monnaie est instrumentale M même si on en fait trop ça fera de l’inflation mais ne va pas influencer le volume des échanges, si on l’</w:t>
      </w:r>
      <w:proofErr w:type="spellStart"/>
      <w:r w:rsidRPr="00FA4826">
        <w:rPr>
          <w:rFonts w:ascii="Arial" w:hAnsi="Arial" w:cs="Arial"/>
          <w:i w:val="0"/>
        </w:rPr>
        <w:t>ajuste</w:t>
      </w:r>
      <w:proofErr w:type="spellEnd"/>
      <w:r w:rsidRPr="00FA4826">
        <w:rPr>
          <w:rFonts w:ascii="Arial" w:hAnsi="Arial" w:cs="Arial"/>
          <w:i w:val="0"/>
        </w:rPr>
        <w:t xml:space="preserve"> mal ça fera inflation ou déflation. </w:t>
      </w:r>
    </w:p>
    <w:p w:rsidR="00200878" w:rsidRPr="00FA4826" w:rsidRDefault="00ED235D" w:rsidP="00123CAF">
      <w:pPr>
        <w:spacing w:after="0"/>
        <w:jc w:val="center"/>
        <w:rPr>
          <w:rFonts w:ascii="Arial" w:hAnsi="Arial" w:cs="Arial"/>
          <w:b/>
          <w:i w:val="0"/>
        </w:rPr>
      </w:pPr>
      <w:r w:rsidRPr="00FA4826">
        <w:rPr>
          <w:rFonts w:ascii="Arial" w:hAnsi="Arial" w:cs="Arial"/>
          <w:b/>
          <w:i w:val="0"/>
        </w:rPr>
        <w:t xml:space="preserve">M x V (constant) = P x T (constant) </w:t>
      </w:r>
    </w:p>
    <w:p w:rsidR="00DD0EA6" w:rsidRPr="00FA4826" w:rsidRDefault="00DD0EA6" w:rsidP="00123CAF">
      <w:pPr>
        <w:spacing w:after="0"/>
        <w:rPr>
          <w:rFonts w:ascii="Arial" w:hAnsi="Arial" w:cs="Arial"/>
          <w:i w:val="0"/>
        </w:rPr>
      </w:pPr>
      <w:r w:rsidRPr="00FA4826">
        <w:rPr>
          <w:rFonts w:ascii="Arial" w:hAnsi="Arial" w:cs="Arial"/>
          <w:i w:val="0"/>
        </w:rPr>
        <w:t xml:space="preserve">L’offre de monnaie (la création monétaire) doit évoluer en fonction de l’évolution de T. </w:t>
      </w:r>
    </w:p>
    <w:p w:rsidR="002C61C2" w:rsidRPr="00FA4826" w:rsidRDefault="00AF2810" w:rsidP="00123CAF">
      <w:pPr>
        <w:spacing w:after="0"/>
        <w:rPr>
          <w:rFonts w:ascii="Arial" w:hAnsi="Arial" w:cs="Arial"/>
          <w:i w:val="0"/>
        </w:rPr>
      </w:pPr>
      <w:r w:rsidRPr="00FA4826">
        <w:rPr>
          <w:rFonts w:ascii="Arial" w:hAnsi="Arial" w:cs="Arial"/>
          <w:i w:val="0"/>
        </w:rPr>
        <w:t xml:space="preserve">Le marché de la monnaie est efficient, un marché efficient est un marché où l’offre et la demande s’autorégule, le prix va encourager ou décourager la production ou la consommation, l’ajustement se fait bien. </w:t>
      </w:r>
      <w:r w:rsidR="000B2F34" w:rsidRPr="00FA4826">
        <w:rPr>
          <w:rFonts w:ascii="Arial" w:hAnsi="Arial" w:cs="Arial"/>
          <w:i w:val="0"/>
        </w:rPr>
        <w:t xml:space="preserve">Si le prix augmente l’offre potentielle va augmenter, mais la demande va diminuer. </w:t>
      </w:r>
    </w:p>
    <w:p w:rsidR="002C61C2" w:rsidRPr="00FA4826" w:rsidRDefault="002C61C2" w:rsidP="00C64C89">
      <w:pPr>
        <w:pStyle w:val="Paragraphedeliste"/>
        <w:numPr>
          <w:ilvl w:val="0"/>
          <w:numId w:val="8"/>
        </w:numPr>
        <w:spacing w:after="0"/>
        <w:rPr>
          <w:rFonts w:ascii="Arial" w:hAnsi="Arial" w:cs="Arial"/>
          <w:i w:val="0"/>
        </w:rPr>
      </w:pPr>
      <w:r w:rsidRPr="00FA4826">
        <w:rPr>
          <w:rFonts w:ascii="Arial" w:hAnsi="Arial" w:cs="Arial"/>
          <w:i w:val="0"/>
        </w:rPr>
        <w:t xml:space="preserve">Il faudrait déjà prouver que cette théorie fonctionne pour tous types de biens. </w:t>
      </w:r>
    </w:p>
    <w:p w:rsidR="00025465" w:rsidRPr="00FA4826" w:rsidRDefault="002C61C2" w:rsidP="00123CAF">
      <w:pPr>
        <w:spacing w:after="0"/>
        <w:rPr>
          <w:rFonts w:ascii="Arial" w:hAnsi="Arial" w:cs="Arial"/>
          <w:i w:val="0"/>
        </w:rPr>
      </w:pPr>
      <w:r w:rsidRPr="00FA4826">
        <w:rPr>
          <w:rFonts w:ascii="Arial" w:hAnsi="Arial" w:cs="Arial"/>
          <w:i w:val="0"/>
        </w:rPr>
        <w:t xml:space="preserve">Exemple : quand il y a trop de tomates sur le marché on va en acheter moins. </w:t>
      </w:r>
      <w:r w:rsidR="007B07F9" w:rsidRPr="00FA4826">
        <w:rPr>
          <w:rFonts w:ascii="Arial" w:hAnsi="Arial" w:cs="Arial"/>
          <w:i w:val="0"/>
        </w:rPr>
        <w:t xml:space="preserve">Si le prix de l’action baisse selon la théorie il faudrait acheter plus mais dans la réalité si une action baisse on a moins envie de l’acheter : limites de la </w:t>
      </w:r>
      <w:r w:rsidR="004A3113" w:rsidRPr="00FA4826">
        <w:rPr>
          <w:rFonts w:ascii="Arial" w:hAnsi="Arial" w:cs="Arial"/>
          <w:i w:val="0"/>
        </w:rPr>
        <w:t xml:space="preserve">théorie. </w:t>
      </w:r>
    </w:p>
    <w:p w:rsidR="00025465" w:rsidRPr="00FA4826" w:rsidRDefault="00025465" w:rsidP="00123CAF">
      <w:pPr>
        <w:pStyle w:val="Titre3"/>
        <w:ind w:left="0"/>
        <w:rPr>
          <w:rFonts w:ascii="Arial" w:eastAsiaTheme="minorHAnsi" w:hAnsi="Arial" w:cs="Arial"/>
          <w:b w:val="0"/>
          <w:bCs w:val="0"/>
          <w:i w:val="0"/>
          <w:color w:val="auto"/>
        </w:rPr>
      </w:pPr>
    </w:p>
    <w:p w:rsidR="00025465" w:rsidRPr="00FA4826" w:rsidRDefault="00025465" w:rsidP="00123CAF">
      <w:pPr>
        <w:pStyle w:val="Titre3"/>
        <w:rPr>
          <w:rFonts w:ascii="Arial" w:hAnsi="Arial" w:cs="Arial"/>
          <w:i w:val="0"/>
        </w:rPr>
      </w:pPr>
      <w:bookmarkStart w:id="24" w:name="_Toc379227138"/>
      <w:r w:rsidRPr="00FA4826">
        <w:rPr>
          <w:rFonts w:ascii="Arial" w:hAnsi="Arial" w:cs="Arial"/>
          <w:i w:val="0"/>
        </w:rPr>
        <w:lastRenderedPageBreak/>
        <w:t>b. La théorie institutionnelle :</w:t>
      </w:r>
      <w:bookmarkEnd w:id="24"/>
    </w:p>
    <w:p w:rsidR="001035E7" w:rsidRPr="00FA4826" w:rsidRDefault="000E306F" w:rsidP="00123CAF">
      <w:pPr>
        <w:spacing w:after="0"/>
        <w:rPr>
          <w:rFonts w:ascii="Arial" w:hAnsi="Arial" w:cs="Arial"/>
          <w:i w:val="0"/>
        </w:rPr>
      </w:pPr>
      <w:r w:rsidRPr="00FA4826">
        <w:rPr>
          <w:rFonts w:ascii="Arial" w:hAnsi="Arial" w:cs="Arial"/>
          <w:i w:val="0"/>
        </w:rPr>
        <w:t xml:space="preserve">Le marché de la monnaie n’est pas un marché : </w:t>
      </w:r>
      <w:r w:rsidR="00025465" w:rsidRPr="00FA4826">
        <w:rPr>
          <w:rFonts w:ascii="Arial" w:hAnsi="Arial" w:cs="Arial"/>
          <w:i w:val="0"/>
        </w:rPr>
        <w:t xml:space="preserve">La monnaie n’est pas un marché car l’offre de monnaie ne dépend pas du taux d’intérêt mais de la politique monétaire de la banque centrale. </w:t>
      </w:r>
      <w:r w:rsidRPr="00FA4826">
        <w:rPr>
          <w:rFonts w:ascii="Arial" w:hAnsi="Arial" w:cs="Arial"/>
          <w:i w:val="0"/>
        </w:rPr>
        <w:t xml:space="preserve">La demande ne dépend pas du taux d’intérêt, elle dépend du choix entre liquidité et non liquidité. Un agent va dire « je veux de la liquidité ou pas ». L’offre et la demande de monnaie ne s’équilibre pas sur le prix de la monnaie. </w:t>
      </w:r>
    </w:p>
    <w:p w:rsidR="00945EBE" w:rsidRPr="00FA4826" w:rsidRDefault="001035E7" w:rsidP="00123CAF">
      <w:pPr>
        <w:spacing w:after="0"/>
        <w:rPr>
          <w:rFonts w:ascii="Arial" w:hAnsi="Arial" w:cs="Arial"/>
          <w:i w:val="0"/>
        </w:rPr>
      </w:pPr>
      <w:r w:rsidRPr="00FA4826">
        <w:rPr>
          <w:rFonts w:ascii="Arial" w:hAnsi="Arial" w:cs="Arial"/>
          <w:i w:val="0"/>
        </w:rPr>
        <w:t>La monnaie influence l’activité économique. Keynes cherchait à déterminer le rô</w:t>
      </w:r>
      <w:r w:rsidR="00D55C58" w:rsidRPr="00FA4826">
        <w:rPr>
          <w:rFonts w:ascii="Arial" w:hAnsi="Arial" w:cs="Arial"/>
          <w:i w:val="0"/>
        </w:rPr>
        <w:t>le joué par la monnaie</w:t>
      </w:r>
      <w:r w:rsidRPr="00FA4826">
        <w:rPr>
          <w:rFonts w:ascii="Arial" w:hAnsi="Arial" w:cs="Arial"/>
          <w:i w:val="0"/>
        </w:rPr>
        <w:t>.</w:t>
      </w:r>
      <w:r w:rsidR="00D74C13" w:rsidRPr="00FA4826">
        <w:rPr>
          <w:rFonts w:ascii="Arial" w:hAnsi="Arial" w:cs="Arial"/>
          <w:i w:val="0"/>
        </w:rPr>
        <w:t xml:space="preserve"> La monnaie n’est pas neutre, il faut donc chercher la quantité de monnaie pour le plein emploi. Dans cette théorie la monnaie est importante et il faut chercher M qui permette un P de plein emploi. </w:t>
      </w:r>
      <w:r w:rsidRPr="00FA4826">
        <w:rPr>
          <w:rFonts w:ascii="Arial" w:hAnsi="Arial" w:cs="Arial"/>
          <w:i w:val="0"/>
        </w:rPr>
        <w:t xml:space="preserve"> </w:t>
      </w:r>
    </w:p>
    <w:p w:rsidR="005D1CBA" w:rsidRPr="00FA4826" w:rsidRDefault="00945EBE" w:rsidP="00123CAF">
      <w:pPr>
        <w:spacing w:after="0"/>
        <w:rPr>
          <w:rFonts w:ascii="Arial" w:hAnsi="Arial" w:cs="Arial"/>
          <w:i w:val="0"/>
        </w:rPr>
      </w:pPr>
      <w:r w:rsidRPr="00FA4826">
        <w:rPr>
          <w:rFonts w:ascii="Arial" w:hAnsi="Arial" w:cs="Arial"/>
          <w:i w:val="0"/>
        </w:rPr>
        <w:t>La banque centrale ne s’inscrit pas dans une offre de monnaie : la monnaie n’est pas un marché, elle ne peut donc pas être régulée par les mécanismes de marché, l’offre de monnaie ne dépend pas des taux d’intérêts</w:t>
      </w:r>
      <w:r w:rsidR="005D1CBA" w:rsidRPr="00FA4826">
        <w:rPr>
          <w:rFonts w:ascii="Arial" w:hAnsi="Arial" w:cs="Arial"/>
          <w:i w:val="0"/>
        </w:rPr>
        <w:t xml:space="preserve"> (prix)</w:t>
      </w:r>
      <w:r w:rsidRPr="00FA4826">
        <w:rPr>
          <w:rFonts w:ascii="Arial" w:hAnsi="Arial" w:cs="Arial"/>
          <w:i w:val="0"/>
        </w:rPr>
        <w:t xml:space="preserve"> elle dépend de la politique monétaire. </w:t>
      </w:r>
      <w:r w:rsidR="005D1CBA" w:rsidRPr="00FA4826">
        <w:rPr>
          <w:rFonts w:ascii="Arial" w:hAnsi="Arial" w:cs="Arial"/>
          <w:i w:val="0"/>
        </w:rPr>
        <w:t xml:space="preserve">L’équilibre ne repose pas sur le prix de la monnaie. </w:t>
      </w:r>
    </w:p>
    <w:p w:rsidR="005D1CBA" w:rsidRPr="00FA4826" w:rsidRDefault="005D1CBA" w:rsidP="00123CAF">
      <w:pPr>
        <w:spacing w:after="0"/>
        <w:rPr>
          <w:rFonts w:ascii="Arial" w:hAnsi="Arial" w:cs="Arial"/>
          <w:i w:val="0"/>
        </w:rPr>
      </w:pPr>
    </w:p>
    <w:p w:rsidR="005D1CBA" w:rsidRPr="00FA4826" w:rsidRDefault="005D1CBA" w:rsidP="00123CAF">
      <w:pPr>
        <w:spacing w:after="0"/>
        <w:rPr>
          <w:rFonts w:ascii="Arial" w:hAnsi="Arial" w:cs="Arial"/>
          <w:b/>
          <w:i w:val="0"/>
        </w:rPr>
      </w:pPr>
      <w:r w:rsidRPr="00FA4826">
        <w:rPr>
          <w:rFonts w:ascii="Arial" w:hAnsi="Arial" w:cs="Arial"/>
          <w:b/>
          <w:i w:val="0"/>
        </w:rPr>
        <w:t xml:space="preserve">L’offre de monnaie : </w:t>
      </w:r>
    </w:p>
    <w:p w:rsidR="003D7A73" w:rsidRPr="00FA4826" w:rsidRDefault="005D1CBA" w:rsidP="00C64C89">
      <w:pPr>
        <w:pStyle w:val="Paragraphedeliste"/>
        <w:numPr>
          <w:ilvl w:val="0"/>
          <w:numId w:val="39"/>
        </w:numPr>
        <w:spacing w:after="0"/>
        <w:rPr>
          <w:rFonts w:ascii="Arial" w:hAnsi="Arial" w:cs="Arial"/>
          <w:i w:val="0"/>
        </w:rPr>
      </w:pPr>
      <w:r w:rsidRPr="00FA4826">
        <w:rPr>
          <w:rFonts w:ascii="Arial" w:hAnsi="Arial" w:cs="Arial"/>
          <w:i w:val="0"/>
        </w:rPr>
        <w:t xml:space="preserve">Dépend de la politique monétaire, parce qu’on a une politique monétaire expansionniste on va créer beaucoup de monnaie. La banque centrale européenne est en train de remonter ses taux pour une raison simple : on remarque qu’actuellement il y a un peu plus d’inflation que 2%, pour éviter une augmentation supérieure : la banque centrale augmente les taux directeurs (le taux de refinancement, lorry bord). On fait moins de crédits à la consommation, on crée donc moins de monnaie = M diminue = moins d’inflation. </w:t>
      </w:r>
      <w:r w:rsidR="00EF0706" w:rsidRPr="00FA4826">
        <w:rPr>
          <w:rFonts w:ascii="Arial" w:hAnsi="Arial" w:cs="Arial"/>
          <w:i w:val="0"/>
        </w:rPr>
        <w:t xml:space="preserve">Actuellement on fait une politique monétaire monétariste, avec un P en dessous de 2% on joue sur M. </w:t>
      </w:r>
      <w:r w:rsidR="007617BC" w:rsidRPr="00FA4826">
        <w:rPr>
          <w:rFonts w:ascii="Arial" w:hAnsi="Arial" w:cs="Arial"/>
          <w:i w:val="0"/>
        </w:rPr>
        <w:t>C’est la banque centrale qui détermine l’</w:t>
      </w:r>
      <w:r w:rsidR="003D7A73" w:rsidRPr="00FA4826">
        <w:rPr>
          <w:rFonts w:ascii="Arial" w:hAnsi="Arial" w:cs="Arial"/>
          <w:i w:val="0"/>
        </w:rPr>
        <w:t>offre de monnaie.</w:t>
      </w:r>
    </w:p>
    <w:p w:rsidR="007617BC" w:rsidRPr="00FA4826" w:rsidRDefault="007617BC" w:rsidP="00123CAF">
      <w:pPr>
        <w:pStyle w:val="Paragraphedeliste"/>
        <w:spacing w:after="0"/>
        <w:rPr>
          <w:rFonts w:ascii="Arial" w:hAnsi="Arial" w:cs="Arial"/>
          <w:i w:val="0"/>
        </w:rPr>
      </w:pPr>
    </w:p>
    <w:p w:rsidR="003D7A73" w:rsidRPr="00FA4826" w:rsidRDefault="007617BC" w:rsidP="00C64C89">
      <w:pPr>
        <w:pStyle w:val="Paragraphedeliste"/>
        <w:numPr>
          <w:ilvl w:val="0"/>
          <w:numId w:val="39"/>
        </w:numPr>
        <w:spacing w:after="0"/>
        <w:rPr>
          <w:rFonts w:ascii="Arial" w:hAnsi="Arial" w:cs="Arial"/>
          <w:i w:val="0"/>
        </w:rPr>
      </w:pPr>
      <w:r w:rsidRPr="00FA4826">
        <w:rPr>
          <w:rFonts w:ascii="Arial" w:hAnsi="Arial" w:cs="Arial"/>
          <w:i w:val="0"/>
        </w:rPr>
        <w:t>Une politique monétaire en fonction d’ »avance à la production », avant la monnai</w:t>
      </w:r>
      <w:r w:rsidR="003D7A73" w:rsidRPr="00FA4826">
        <w:rPr>
          <w:rFonts w:ascii="Arial" w:hAnsi="Arial" w:cs="Arial"/>
          <w:i w:val="0"/>
        </w:rPr>
        <w:t>e</w:t>
      </w:r>
      <w:r w:rsidRPr="00FA4826">
        <w:rPr>
          <w:rFonts w:ascii="Arial" w:hAnsi="Arial" w:cs="Arial"/>
          <w:i w:val="0"/>
        </w:rPr>
        <w:t xml:space="preserve"> était appuyée sur l’or (on augmentait l’or pour augmenter la monnaie), maintenant pour augmenter la quantité de monnaie, il faut augmenter la quantité de crédit : impact sur l’activité économique. </w:t>
      </w:r>
      <w:r w:rsidR="003D7A73" w:rsidRPr="00FA4826">
        <w:rPr>
          <w:rFonts w:ascii="Arial" w:hAnsi="Arial" w:cs="Arial"/>
          <w:i w:val="0"/>
        </w:rPr>
        <w:t xml:space="preserve">Si on veut que la production soit importante il faut donner de la monnaie sous forme de crédit. Donc la production est appuyée sur la monnaie, la politique européenne actuelle est restrictive : elle limite le crédit donc elle limite l’activité économique. C’est pour </w:t>
      </w:r>
      <w:proofErr w:type="spellStart"/>
      <w:r w:rsidR="003D7A73" w:rsidRPr="00FA4826">
        <w:rPr>
          <w:rFonts w:ascii="Arial" w:hAnsi="Arial" w:cs="Arial"/>
          <w:i w:val="0"/>
        </w:rPr>
        <w:t>ca</w:t>
      </w:r>
      <w:proofErr w:type="spellEnd"/>
      <w:r w:rsidR="003D7A73" w:rsidRPr="00FA4826">
        <w:rPr>
          <w:rFonts w:ascii="Arial" w:hAnsi="Arial" w:cs="Arial"/>
          <w:i w:val="0"/>
        </w:rPr>
        <w:t xml:space="preserve"> que de nombreux économistes parlent d’une limite : nous allons droit au mur : on limite les dépenses de l’Etat, oins d’activité économique et de l’autre </w:t>
      </w:r>
      <w:proofErr w:type="spellStart"/>
      <w:r w:rsidR="003D7A73" w:rsidRPr="00FA4826">
        <w:rPr>
          <w:rFonts w:ascii="Arial" w:hAnsi="Arial" w:cs="Arial"/>
          <w:i w:val="0"/>
        </w:rPr>
        <w:t>coté</w:t>
      </w:r>
      <w:proofErr w:type="spellEnd"/>
      <w:r w:rsidR="003D7A73" w:rsidRPr="00FA4826">
        <w:rPr>
          <w:rFonts w:ascii="Arial" w:hAnsi="Arial" w:cs="Arial"/>
          <w:i w:val="0"/>
        </w:rPr>
        <w:t xml:space="preserve"> on limite le crédit, encore moins d’activité économique cela mène a du chômage et a une croissance très faible.  </w:t>
      </w:r>
    </w:p>
    <w:p w:rsidR="003D7A73" w:rsidRPr="00FA4826" w:rsidRDefault="003D7A73" w:rsidP="00123CAF">
      <w:pPr>
        <w:spacing w:after="0"/>
        <w:rPr>
          <w:rFonts w:ascii="Arial" w:hAnsi="Arial" w:cs="Arial"/>
          <w:b/>
          <w:i w:val="0"/>
        </w:rPr>
      </w:pPr>
    </w:p>
    <w:p w:rsidR="003D7A73" w:rsidRPr="00FA4826" w:rsidRDefault="003D7A73" w:rsidP="00123CAF">
      <w:pPr>
        <w:spacing w:after="0"/>
        <w:rPr>
          <w:rFonts w:ascii="Arial" w:hAnsi="Arial" w:cs="Arial"/>
          <w:b/>
          <w:i w:val="0"/>
        </w:rPr>
      </w:pPr>
      <w:r w:rsidRPr="00FA4826">
        <w:rPr>
          <w:rFonts w:ascii="Arial" w:hAnsi="Arial" w:cs="Arial"/>
          <w:b/>
          <w:i w:val="0"/>
        </w:rPr>
        <w:t xml:space="preserve">La demande de monnaie : </w:t>
      </w:r>
    </w:p>
    <w:p w:rsidR="003D7A73" w:rsidRPr="00FA4826" w:rsidRDefault="003D7A73" w:rsidP="00123CAF">
      <w:pPr>
        <w:spacing w:after="0"/>
        <w:rPr>
          <w:rFonts w:ascii="Arial" w:hAnsi="Arial" w:cs="Arial"/>
          <w:i w:val="0"/>
        </w:rPr>
      </w:pPr>
      <w:r w:rsidRPr="00FA4826">
        <w:rPr>
          <w:rFonts w:ascii="Arial" w:hAnsi="Arial" w:cs="Arial"/>
          <w:i w:val="0"/>
        </w:rPr>
        <w:t xml:space="preserve">Pour les institutionnalistes l’arbitrage ne se fait pas en fonction du taux d’intérêt mais en fonction du désir de liquidité. </w:t>
      </w:r>
      <w:proofErr w:type="spellStart"/>
      <w:r w:rsidRPr="00FA4826">
        <w:rPr>
          <w:rFonts w:ascii="Arial" w:hAnsi="Arial" w:cs="Arial"/>
          <w:i w:val="0"/>
        </w:rPr>
        <w:t>Est ce</w:t>
      </w:r>
      <w:proofErr w:type="spellEnd"/>
      <w:r w:rsidRPr="00FA4826">
        <w:rPr>
          <w:rFonts w:ascii="Arial" w:hAnsi="Arial" w:cs="Arial"/>
          <w:i w:val="0"/>
        </w:rPr>
        <w:t xml:space="preserve"> que je préfère avoir de l’argent sur mon compte ou placé ? Liquidité ou non. Il y a différents paramètres : </w:t>
      </w:r>
    </w:p>
    <w:p w:rsidR="00964039" w:rsidRPr="00FA4826" w:rsidRDefault="003D7A73" w:rsidP="00C64C89">
      <w:pPr>
        <w:pStyle w:val="Paragraphedeliste"/>
        <w:numPr>
          <w:ilvl w:val="1"/>
          <w:numId w:val="28"/>
        </w:numPr>
        <w:spacing w:after="0"/>
        <w:rPr>
          <w:rFonts w:ascii="Arial" w:hAnsi="Arial" w:cs="Arial"/>
          <w:i w:val="0"/>
        </w:rPr>
      </w:pPr>
      <w:r w:rsidRPr="00FA4826">
        <w:rPr>
          <w:rFonts w:ascii="Arial" w:hAnsi="Arial" w:cs="Arial"/>
          <w:i w:val="0"/>
          <w:u w:val="single"/>
        </w:rPr>
        <w:t>Motif de revenus :</w:t>
      </w:r>
      <w:r w:rsidRPr="00FA4826">
        <w:rPr>
          <w:rFonts w:ascii="Arial" w:hAnsi="Arial" w:cs="Arial"/>
          <w:i w:val="0"/>
        </w:rPr>
        <w:t xml:space="preserve"> c’est avoir un revenus, ou de la trésorerie en attendant les prochaines ressources. J’ai mon salaire je sais que je vais avoir certaines dépenses, donc je garde de l’argent sur mon compte en attendant le prochain salaire, si j’ai des ressources quotidiennes je n’ai pas ce genre de préoccupations. </w:t>
      </w:r>
    </w:p>
    <w:p w:rsidR="009B0BDA" w:rsidRPr="00FA4826" w:rsidRDefault="00AC0784" w:rsidP="00C64C89">
      <w:pPr>
        <w:pStyle w:val="Paragraphedeliste"/>
        <w:numPr>
          <w:ilvl w:val="1"/>
          <w:numId w:val="28"/>
        </w:numPr>
        <w:spacing w:after="0"/>
        <w:rPr>
          <w:rFonts w:ascii="Arial" w:hAnsi="Arial" w:cs="Arial"/>
          <w:i w:val="0"/>
        </w:rPr>
      </w:pPr>
      <w:r w:rsidRPr="00FA4826">
        <w:rPr>
          <w:rFonts w:ascii="Arial" w:hAnsi="Arial" w:cs="Arial"/>
          <w:i w:val="0"/>
          <w:u w:val="single"/>
        </w:rPr>
        <w:t>Motif professionnel</w:t>
      </w:r>
      <w:r w:rsidR="00964039" w:rsidRPr="00FA4826">
        <w:rPr>
          <w:rFonts w:ascii="Arial" w:hAnsi="Arial" w:cs="Arial"/>
          <w:i w:val="0"/>
          <w:u w:val="single"/>
        </w:rPr>
        <w:t> :</w:t>
      </w:r>
      <w:r w:rsidR="00964039" w:rsidRPr="00FA4826">
        <w:rPr>
          <w:rFonts w:ascii="Arial" w:hAnsi="Arial" w:cs="Arial"/>
          <w:i w:val="0"/>
        </w:rPr>
        <w:t xml:space="preserve"> d’avantage pour tous les employeurs qui eux (Keynes appelait le motif de transaction) ont besoin de la monnaie pour payer les salariés avant d’avoir vendu la production. S’il n’y avait pas la monnaie, on ne pourrait pas payer les salariés : problème. </w:t>
      </w:r>
      <w:r w:rsidR="00D50FA5" w:rsidRPr="00FA4826">
        <w:rPr>
          <w:rFonts w:ascii="Arial" w:hAnsi="Arial" w:cs="Arial"/>
          <w:i w:val="0"/>
        </w:rPr>
        <w:t xml:space="preserve">La monnaie enclenche le processus. </w:t>
      </w:r>
      <w:r w:rsidR="009B0BDA" w:rsidRPr="00FA4826">
        <w:rPr>
          <w:rFonts w:ascii="Arial" w:hAnsi="Arial" w:cs="Arial"/>
          <w:i w:val="0"/>
        </w:rPr>
        <w:t xml:space="preserve">Grace à l’argent je peux payer mes dépenses et donc produire : c’est le motif de transaction. </w:t>
      </w:r>
    </w:p>
    <w:p w:rsidR="00AC0784" w:rsidRPr="00FA4826" w:rsidRDefault="009B0BDA" w:rsidP="00C64C89">
      <w:pPr>
        <w:pStyle w:val="Paragraphedeliste"/>
        <w:numPr>
          <w:ilvl w:val="1"/>
          <w:numId w:val="28"/>
        </w:numPr>
        <w:spacing w:after="0"/>
        <w:rPr>
          <w:rFonts w:ascii="Arial" w:hAnsi="Arial" w:cs="Arial"/>
          <w:i w:val="0"/>
        </w:rPr>
      </w:pPr>
      <w:r w:rsidRPr="00FA4826">
        <w:rPr>
          <w:rFonts w:ascii="Arial" w:hAnsi="Arial" w:cs="Arial"/>
          <w:i w:val="0"/>
          <w:u w:val="single"/>
        </w:rPr>
        <w:t>Motif de précaution </w:t>
      </w:r>
      <w:r w:rsidRPr="00FA4826">
        <w:rPr>
          <w:rFonts w:ascii="Arial" w:hAnsi="Arial" w:cs="Arial"/>
          <w:i w:val="0"/>
        </w:rPr>
        <w:t>: on garde de la liquidité au cas où il y aurait un problème</w:t>
      </w:r>
      <w:r w:rsidR="00EA70A7" w:rsidRPr="00FA4826">
        <w:rPr>
          <w:rFonts w:ascii="Arial" w:hAnsi="Arial" w:cs="Arial"/>
          <w:i w:val="0"/>
        </w:rPr>
        <w:t xml:space="preserve">, </w:t>
      </w:r>
      <w:r w:rsidRPr="00FA4826">
        <w:rPr>
          <w:rFonts w:ascii="Arial" w:hAnsi="Arial" w:cs="Arial"/>
          <w:i w:val="0"/>
        </w:rPr>
        <w:t xml:space="preserve">avoir une somme disponible. </w:t>
      </w:r>
    </w:p>
    <w:p w:rsidR="00912A43" w:rsidRPr="00FA4826" w:rsidRDefault="00AC0784" w:rsidP="00C64C89">
      <w:pPr>
        <w:pStyle w:val="Paragraphedeliste"/>
        <w:numPr>
          <w:ilvl w:val="1"/>
          <w:numId w:val="28"/>
        </w:numPr>
        <w:spacing w:after="0"/>
        <w:rPr>
          <w:rFonts w:ascii="Arial" w:hAnsi="Arial" w:cs="Arial"/>
          <w:i w:val="0"/>
        </w:rPr>
      </w:pPr>
      <w:r w:rsidRPr="00FA4826">
        <w:rPr>
          <w:rFonts w:ascii="Arial" w:hAnsi="Arial" w:cs="Arial"/>
          <w:i w:val="0"/>
          <w:u w:val="single"/>
        </w:rPr>
        <w:t>Motif de spéculation </w:t>
      </w:r>
      <w:r w:rsidRPr="00FA4826">
        <w:rPr>
          <w:rFonts w:ascii="Arial" w:hAnsi="Arial" w:cs="Arial"/>
          <w:i w:val="0"/>
        </w:rPr>
        <w:t>: grâce à la monnaie : achat réactif : acheter des actions pour pouvoir les revendre à un prix plus fort.</w:t>
      </w:r>
    </w:p>
    <w:p w:rsidR="00AC0784" w:rsidRPr="00FA4826" w:rsidRDefault="00AC0784" w:rsidP="00123CAF">
      <w:pPr>
        <w:spacing w:after="0"/>
        <w:rPr>
          <w:rFonts w:ascii="Arial" w:hAnsi="Arial" w:cs="Arial"/>
          <w:i w:val="0"/>
        </w:rPr>
      </w:pPr>
      <w:r w:rsidRPr="00FA4826">
        <w:rPr>
          <w:rFonts w:ascii="Arial" w:hAnsi="Arial" w:cs="Arial"/>
          <w:i w:val="0"/>
        </w:rPr>
        <w:t xml:space="preserve"> </w:t>
      </w:r>
    </w:p>
    <w:p w:rsidR="00912A43" w:rsidRPr="00FA4826" w:rsidRDefault="00912A43" w:rsidP="00C64C89">
      <w:pPr>
        <w:pStyle w:val="Paragraphedeliste"/>
        <w:numPr>
          <w:ilvl w:val="0"/>
          <w:numId w:val="40"/>
        </w:numPr>
        <w:spacing w:after="0"/>
        <w:rPr>
          <w:rFonts w:ascii="Arial" w:hAnsi="Arial" w:cs="Arial"/>
          <w:i w:val="0"/>
        </w:rPr>
      </w:pPr>
      <w:r w:rsidRPr="00FA4826">
        <w:rPr>
          <w:rFonts w:ascii="Arial" w:hAnsi="Arial" w:cs="Arial"/>
          <w:b/>
          <w:i w:val="0"/>
        </w:rPr>
        <w:t>Les liens entre variations de M, R et r </w:t>
      </w:r>
      <w:r w:rsidRPr="00FA4826">
        <w:rPr>
          <w:rFonts w:ascii="Arial" w:hAnsi="Arial" w:cs="Arial"/>
          <w:i w:val="0"/>
        </w:rPr>
        <w:t xml:space="preserve">: R est assimilé à T. Si M réduit alors le revenus diminue, et si le revenus diminue l’activité économique va diminuer et le taux d’intérêt va augmenter : c’est une relation inverser à celle des monétaristes. </w:t>
      </w:r>
    </w:p>
    <w:p w:rsidR="00912A43" w:rsidRPr="00FA4826" w:rsidRDefault="00912A43" w:rsidP="00123CAF">
      <w:pPr>
        <w:pStyle w:val="Paragraphedeliste"/>
        <w:spacing w:after="0"/>
        <w:rPr>
          <w:rFonts w:ascii="Arial" w:hAnsi="Arial" w:cs="Arial"/>
          <w:i w:val="0"/>
        </w:rPr>
      </w:pPr>
    </w:p>
    <w:p w:rsidR="003049B1" w:rsidRPr="00FA4826" w:rsidRDefault="00373B65" w:rsidP="00C64C89">
      <w:pPr>
        <w:pStyle w:val="Paragraphedeliste"/>
        <w:numPr>
          <w:ilvl w:val="0"/>
          <w:numId w:val="40"/>
        </w:numPr>
        <w:spacing w:after="0"/>
        <w:rPr>
          <w:rFonts w:ascii="Arial" w:hAnsi="Arial" w:cs="Arial"/>
          <w:i w:val="0"/>
        </w:rPr>
      </w:pPr>
      <w:r w:rsidRPr="00FA4826">
        <w:rPr>
          <w:rFonts w:ascii="Arial" w:hAnsi="Arial" w:cs="Arial"/>
          <w:b/>
          <w:i w:val="0"/>
        </w:rPr>
        <w:t>Liens avec vitesse de circulation </w:t>
      </w:r>
      <w:r w:rsidRPr="00FA4826">
        <w:rPr>
          <w:rFonts w:ascii="Arial" w:hAnsi="Arial" w:cs="Arial"/>
          <w:i w:val="0"/>
        </w:rPr>
        <w:t xml:space="preserve">: si la monnaie circule rapidement, passe rapidement d’une personne à l’autre la quantité de monnaie n’aura pas besoin d’être si importante. Dans un circuit pour faire tourner un </w:t>
      </w:r>
      <w:r w:rsidRPr="00FA4826">
        <w:rPr>
          <w:rFonts w:ascii="Arial" w:hAnsi="Arial" w:cs="Arial"/>
          <w:i w:val="0"/>
        </w:rPr>
        <w:lastRenderedPageBreak/>
        <w:t xml:space="preserve">moulin à une certaine vitesse il faut par exemple qu’il passe un litre d’eau par heure, si pour faire le tour l’eau met deux heures : il faut donc mettre des quantités d’eau de </w:t>
      </w:r>
      <w:r w:rsidR="00C40F85" w:rsidRPr="00FA4826">
        <w:rPr>
          <w:rFonts w:ascii="Arial" w:hAnsi="Arial" w:cs="Arial"/>
          <w:i w:val="0"/>
        </w:rPr>
        <w:t>réserve</w:t>
      </w:r>
      <w:r w:rsidRPr="00FA4826">
        <w:rPr>
          <w:rFonts w:ascii="Arial" w:hAnsi="Arial" w:cs="Arial"/>
          <w:i w:val="0"/>
        </w:rPr>
        <w:t xml:space="preserve">. </w:t>
      </w:r>
      <w:r w:rsidR="00B97D0F" w:rsidRPr="00FA4826">
        <w:rPr>
          <w:rFonts w:ascii="Arial" w:hAnsi="Arial" w:cs="Arial"/>
          <w:i w:val="0"/>
        </w:rPr>
        <w:t xml:space="preserve">Si la quantité circule vite on a besoin d’une quantité moindre. Le rôle du taux d’intérêt par rapport à la demande il va y avoir une relation inverse entre le taux d’intérêt et la demande de monnaie, on va avoir dans une économie regarder la liquidité par rapport à la demande mais si le taux d’intérêt  quand je veux emprunter est fort je vais hésiter. Si le taux est faible je vais être encouragé : la demande de monnaie va avoir un lien avec le taux d’intérêt (même s’il ne fait pas tout). </w:t>
      </w:r>
    </w:p>
    <w:p w:rsidR="00AC0784" w:rsidRPr="00FA4826" w:rsidRDefault="00AC0784" w:rsidP="00123CAF">
      <w:pPr>
        <w:spacing w:after="0"/>
        <w:ind w:left="360"/>
        <w:rPr>
          <w:rFonts w:ascii="Arial" w:hAnsi="Arial" w:cs="Arial"/>
          <w:i w:val="0"/>
        </w:rPr>
      </w:pPr>
    </w:p>
    <w:p w:rsidR="00713DAD" w:rsidRPr="00FA4826" w:rsidRDefault="00713DAD" w:rsidP="00123CAF">
      <w:pPr>
        <w:pStyle w:val="Titre2"/>
        <w:rPr>
          <w:rFonts w:ascii="Arial" w:hAnsi="Arial" w:cs="Arial"/>
          <w:i w:val="0"/>
        </w:rPr>
      </w:pPr>
      <w:bookmarkStart w:id="25" w:name="_Toc379227139"/>
      <w:r w:rsidRPr="00FA4826">
        <w:rPr>
          <w:rFonts w:ascii="Arial" w:hAnsi="Arial" w:cs="Arial"/>
          <w:i w:val="0"/>
        </w:rPr>
        <w:t>3) Conclusion :</w:t>
      </w:r>
      <w:bookmarkEnd w:id="25"/>
      <w:r w:rsidRPr="00FA4826">
        <w:rPr>
          <w:rFonts w:ascii="Arial" w:hAnsi="Arial" w:cs="Arial"/>
          <w:i w:val="0"/>
        </w:rPr>
        <w:t xml:space="preserve"> </w:t>
      </w:r>
    </w:p>
    <w:p w:rsidR="005E1C96" w:rsidRPr="00FA4826" w:rsidRDefault="00713DAD" w:rsidP="00123CAF">
      <w:pPr>
        <w:spacing w:after="0"/>
        <w:rPr>
          <w:rFonts w:ascii="Arial" w:hAnsi="Arial" w:cs="Arial"/>
          <w:i w:val="0"/>
        </w:rPr>
      </w:pPr>
      <w:r w:rsidRPr="00FA4826">
        <w:rPr>
          <w:rFonts w:ascii="Arial" w:hAnsi="Arial" w:cs="Arial"/>
          <w:b/>
          <w:i w:val="0"/>
        </w:rPr>
        <w:t>L’inflation et la déflation </w:t>
      </w:r>
      <w:r w:rsidRPr="00FA4826">
        <w:rPr>
          <w:rFonts w:ascii="Arial" w:hAnsi="Arial" w:cs="Arial"/>
          <w:i w:val="0"/>
        </w:rPr>
        <w:t xml:space="preserve">: l’inflation traduit la baisse du pouvoir d’achat de la monnaie, et la déflation traduit la hausse du pouvoir d’achat de la monnaie. Il ne faut pas confondre les termes d’inflation et de déflation avec la désinflation qui est une baisse du taux d’inflation. </w:t>
      </w:r>
    </w:p>
    <w:p w:rsidR="005356CD" w:rsidRPr="00FA4826" w:rsidRDefault="005E1C96" w:rsidP="00123CAF">
      <w:pPr>
        <w:spacing w:after="0"/>
        <w:rPr>
          <w:rFonts w:ascii="Arial" w:hAnsi="Arial" w:cs="Arial"/>
          <w:i w:val="0"/>
        </w:rPr>
      </w:pPr>
      <w:r w:rsidRPr="00FA4826">
        <w:rPr>
          <w:rFonts w:ascii="Arial" w:hAnsi="Arial" w:cs="Arial"/>
          <w:b/>
          <w:i w:val="0"/>
        </w:rPr>
        <w:t xml:space="preserve">Les origines de l’inflation et de la déflation : </w:t>
      </w:r>
      <w:r w:rsidRPr="00FA4826">
        <w:rPr>
          <w:rFonts w:ascii="Arial" w:hAnsi="Arial" w:cs="Arial"/>
          <w:i w:val="0"/>
        </w:rPr>
        <w:t>L’inflation va être liée à une quantité trop importante de monnaie, elle va ê</w:t>
      </w:r>
      <w:r w:rsidR="001E52AA" w:rsidRPr="00FA4826">
        <w:rPr>
          <w:rFonts w:ascii="Arial" w:hAnsi="Arial" w:cs="Arial"/>
          <w:i w:val="0"/>
        </w:rPr>
        <w:t xml:space="preserve">tre également liée à </w:t>
      </w:r>
      <w:r w:rsidRPr="00FA4826">
        <w:rPr>
          <w:rFonts w:ascii="Arial" w:hAnsi="Arial" w:cs="Arial"/>
          <w:i w:val="0"/>
        </w:rPr>
        <w:t xml:space="preserve">l’augmentation de certains produits : l’inflation par les coûts. Actuellement en Europe l’inflation est une inflation par les coûts : les matières premières augmentent et le pétrole augmente. Les matières premières sont importées pour beaucoup. </w:t>
      </w:r>
      <w:r w:rsidR="001E52AA" w:rsidRPr="00FA4826">
        <w:rPr>
          <w:rFonts w:ascii="Arial" w:hAnsi="Arial" w:cs="Arial"/>
          <w:i w:val="0"/>
        </w:rPr>
        <w:t xml:space="preserve">Elle peut être liée à la structure : c’est la façon dont l’économie est organisée qui va avoir un impact sur l’inflation. La déflation va être liée au mécanisme inverser c’est </w:t>
      </w:r>
      <w:proofErr w:type="spellStart"/>
      <w:proofErr w:type="gramStart"/>
      <w:r w:rsidR="001E52AA" w:rsidRPr="00FA4826">
        <w:rPr>
          <w:rFonts w:ascii="Arial" w:hAnsi="Arial" w:cs="Arial"/>
          <w:i w:val="0"/>
        </w:rPr>
        <w:t>a</w:t>
      </w:r>
      <w:proofErr w:type="spellEnd"/>
      <w:proofErr w:type="gramEnd"/>
      <w:r w:rsidR="001E52AA" w:rsidRPr="00FA4826">
        <w:rPr>
          <w:rFonts w:ascii="Arial" w:hAnsi="Arial" w:cs="Arial"/>
          <w:i w:val="0"/>
        </w:rPr>
        <w:t xml:space="preserve"> dire si les coûts des matières que l’on importe diminue cela engendre de la déflation, si on augmente la productivité du travail on produit moins cher cela peut entrainer de la déflation, exemple sur l’électronique il y a une forte déflation. </w:t>
      </w:r>
    </w:p>
    <w:p w:rsidR="009D5C95" w:rsidRPr="00FA4826" w:rsidRDefault="005356CD" w:rsidP="00123CAF">
      <w:pPr>
        <w:spacing w:after="0"/>
        <w:rPr>
          <w:rFonts w:ascii="Arial" w:hAnsi="Arial" w:cs="Arial"/>
          <w:i w:val="0"/>
        </w:rPr>
      </w:pPr>
      <w:r w:rsidRPr="00FA4826">
        <w:rPr>
          <w:rFonts w:ascii="Arial" w:hAnsi="Arial" w:cs="Arial"/>
          <w:b/>
          <w:i w:val="0"/>
        </w:rPr>
        <w:t xml:space="preserve">Les conséquences de l’inflation et de la déflation : </w:t>
      </w:r>
      <w:r w:rsidRPr="00FA4826">
        <w:rPr>
          <w:rFonts w:ascii="Arial" w:hAnsi="Arial" w:cs="Arial"/>
          <w:i w:val="0"/>
        </w:rPr>
        <w:t xml:space="preserve">L’inflation permet de rembourser facilement les dettes, l’inflation érode l’épargne et donc elle favorise celui qui investit ou profit de celui qui possède des capitaux, ce que Keynes appelait le rentier. </w:t>
      </w:r>
      <w:r w:rsidR="009D5C95" w:rsidRPr="00FA4826">
        <w:rPr>
          <w:rFonts w:ascii="Arial" w:hAnsi="Arial" w:cs="Arial"/>
          <w:i w:val="0"/>
        </w:rPr>
        <w:t xml:space="preserve">La déflation c’est le processus </w:t>
      </w:r>
      <w:proofErr w:type="gramStart"/>
      <w:r w:rsidR="009D5C95" w:rsidRPr="00FA4826">
        <w:rPr>
          <w:rFonts w:ascii="Arial" w:hAnsi="Arial" w:cs="Arial"/>
          <w:i w:val="0"/>
        </w:rPr>
        <w:t>inverser</w:t>
      </w:r>
      <w:proofErr w:type="gramEnd"/>
      <w:r w:rsidR="009D5C95" w:rsidRPr="00FA4826">
        <w:rPr>
          <w:rFonts w:ascii="Arial" w:hAnsi="Arial" w:cs="Arial"/>
          <w:i w:val="0"/>
        </w:rPr>
        <w:t xml:space="preserve">, en période de déflation l’investissement est difficile. </w:t>
      </w:r>
    </w:p>
    <w:p w:rsidR="006C7894" w:rsidRPr="00FA4826" w:rsidRDefault="009D5C95" w:rsidP="00123CAF">
      <w:pPr>
        <w:spacing w:after="0"/>
        <w:rPr>
          <w:rFonts w:ascii="Arial" w:hAnsi="Arial" w:cs="Arial"/>
          <w:i w:val="0"/>
        </w:rPr>
      </w:pPr>
      <w:r w:rsidRPr="00FA4826">
        <w:rPr>
          <w:rFonts w:ascii="Arial" w:hAnsi="Arial" w:cs="Arial"/>
          <w:b/>
          <w:i w:val="0"/>
        </w:rPr>
        <w:t xml:space="preserve">Les théories expliquant l’inflation : </w:t>
      </w:r>
      <w:r w:rsidRPr="00FA4826">
        <w:rPr>
          <w:rFonts w:ascii="Arial" w:hAnsi="Arial" w:cs="Arial"/>
          <w:i w:val="0"/>
        </w:rPr>
        <w:t>les théories instrumentales et institutionnelles, pour les instrumentaux l’inflation provient d’une offre de monnaie trop importante, c’est la théorie quantitative de la monnaie. Pour la théorie institutionnelle l’inflation est le résultat d’une création de monnaie importante pour favoriser l’</w:t>
      </w:r>
      <w:r w:rsidR="00EA1696" w:rsidRPr="00FA4826">
        <w:rPr>
          <w:rFonts w:ascii="Arial" w:hAnsi="Arial" w:cs="Arial"/>
          <w:i w:val="0"/>
        </w:rPr>
        <w:t xml:space="preserve">activité économique liée à un choix politique. </w:t>
      </w:r>
    </w:p>
    <w:p w:rsidR="006C7894" w:rsidRPr="00FA4826" w:rsidRDefault="006C7894" w:rsidP="00123CAF">
      <w:pPr>
        <w:spacing w:after="0"/>
        <w:rPr>
          <w:rFonts w:ascii="Arial" w:hAnsi="Arial" w:cs="Arial"/>
          <w:i w:val="0"/>
        </w:rPr>
      </w:pPr>
    </w:p>
    <w:p w:rsidR="006C7894" w:rsidRPr="00FA4826" w:rsidRDefault="006C7894" w:rsidP="00123CAF">
      <w:pPr>
        <w:pStyle w:val="Titre1"/>
        <w:rPr>
          <w:rFonts w:ascii="Arial" w:hAnsi="Arial" w:cs="Arial"/>
          <w:i w:val="0"/>
        </w:rPr>
      </w:pPr>
      <w:bookmarkStart w:id="26" w:name="_Toc379227140"/>
      <w:r w:rsidRPr="00FA4826">
        <w:rPr>
          <w:rFonts w:ascii="Arial" w:hAnsi="Arial" w:cs="Arial"/>
          <w:i w:val="0"/>
        </w:rPr>
        <w:t>IV. Conclusion générale :</w:t>
      </w:r>
      <w:bookmarkEnd w:id="26"/>
      <w:r w:rsidRPr="00FA4826">
        <w:rPr>
          <w:rFonts w:ascii="Arial" w:hAnsi="Arial" w:cs="Arial"/>
          <w:i w:val="0"/>
        </w:rPr>
        <w:t xml:space="preserve"> </w:t>
      </w:r>
    </w:p>
    <w:p w:rsidR="006C7894" w:rsidRPr="00FA4826" w:rsidRDefault="006C7894" w:rsidP="00123CAF">
      <w:pPr>
        <w:spacing w:after="0"/>
        <w:rPr>
          <w:rFonts w:ascii="Arial" w:hAnsi="Arial" w:cs="Arial"/>
          <w:i w:val="0"/>
        </w:rPr>
      </w:pPr>
      <w:r w:rsidRPr="00FA4826">
        <w:rPr>
          <w:rFonts w:ascii="Arial" w:hAnsi="Arial" w:cs="Arial"/>
          <w:i w:val="0"/>
        </w:rPr>
        <w:t xml:space="preserve">Nous nous sommes penchés dans ce chapitre sur la création monétaire : </w:t>
      </w:r>
    </w:p>
    <w:p w:rsidR="003D4B32" w:rsidRPr="00FA4826" w:rsidRDefault="006C7894" w:rsidP="00C64C89">
      <w:pPr>
        <w:pStyle w:val="Paragraphedeliste"/>
        <w:numPr>
          <w:ilvl w:val="0"/>
          <w:numId w:val="41"/>
        </w:numPr>
        <w:spacing w:after="0"/>
        <w:rPr>
          <w:rFonts w:ascii="Arial" w:hAnsi="Arial" w:cs="Arial"/>
          <w:i w:val="0"/>
        </w:rPr>
      </w:pPr>
      <w:r w:rsidRPr="00FA4826">
        <w:rPr>
          <w:rFonts w:ascii="Arial" w:hAnsi="Arial" w:cs="Arial"/>
          <w:i w:val="0"/>
        </w:rPr>
        <w:t xml:space="preserve">Les différents types de monnaie (monnaie divisionnaire, monnaie centrale, monnaie de crédit). La monnaie divisionnaire est </w:t>
      </w:r>
      <w:r w:rsidR="003D4B32" w:rsidRPr="00FA4826">
        <w:rPr>
          <w:rFonts w:ascii="Arial" w:hAnsi="Arial" w:cs="Arial"/>
          <w:i w:val="0"/>
        </w:rPr>
        <w:t>créée</w:t>
      </w:r>
      <w:r w:rsidRPr="00FA4826">
        <w:rPr>
          <w:rFonts w:ascii="Arial" w:hAnsi="Arial" w:cs="Arial"/>
          <w:i w:val="0"/>
        </w:rPr>
        <w:t xml:space="preserve"> par </w:t>
      </w:r>
      <w:proofErr w:type="gramStart"/>
      <w:r w:rsidRPr="00FA4826">
        <w:rPr>
          <w:rFonts w:ascii="Arial" w:hAnsi="Arial" w:cs="Arial"/>
          <w:i w:val="0"/>
        </w:rPr>
        <w:t>le trésor public nationaux</w:t>
      </w:r>
      <w:proofErr w:type="gramEnd"/>
      <w:r w:rsidRPr="00FA4826">
        <w:rPr>
          <w:rFonts w:ascii="Arial" w:hAnsi="Arial" w:cs="Arial"/>
          <w:i w:val="0"/>
        </w:rPr>
        <w:t xml:space="preserve"> en fonction des besoins (pièces). La monnaie centrale créée par la banque centrale : les billets mais aussi les euros que la banque centrale prête aux banques de second rangs pour se refinancer, elle est créée pour les billets en fonction des besoins (peu) et la monnaie centrale scripturale (pour les banque de second rangs) est créée en fonction de la politique monétaire, du taux d’intérêt et du taux directeur. La monnaie de crédit est la monnaie que nous avons sur nos comptes, et cette monnaie est créée </w:t>
      </w:r>
      <w:r w:rsidR="004E76E3" w:rsidRPr="00FA4826">
        <w:rPr>
          <w:rFonts w:ascii="Arial" w:hAnsi="Arial" w:cs="Arial"/>
          <w:i w:val="0"/>
        </w:rPr>
        <w:t xml:space="preserve">par les banques de seconds rangs en allouant des crédits aux agents. </w:t>
      </w:r>
      <w:r w:rsidR="003D4B32" w:rsidRPr="00FA4826">
        <w:rPr>
          <w:rFonts w:ascii="Arial" w:hAnsi="Arial" w:cs="Arial"/>
          <w:i w:val="0"/>
        </w:rPr>
        <w:t xml:space="preserve"> </w:t>
      </w:r>
    </w:p>
    <w:p w:rsidR="00AD3F83" w:rsidRPr="00FA4826" w:rsidRDefault="003D4B32" w:rsidP="00C64C89">
      <w:pPr>
        <w:pStyle w:val="Paragraphedeliste"/>
        <w:numPr>
          <w:ilvl w:val="0"/>
          <w:numId w:val="41"/>
        </w:numPr>
        <w:spacing w:after="0"/>
        <w:rPr>
          <w:rFonts w:ascii="Arial" w:hAnsi="Arial" w:cs="Arial"/>
          <w:i w:val="0"/>
        </w:rPr>
      </w:pPr>
      <w:r w:rsidRPr="00FA4826">
        <w:rPr>
          <w:rFonts w:ascii="Arial" w:hAnsi="Arial" w:cs="Arial"/>
          <w:i w:val="0"/>
        </w:rPr>
        <w:t xml:space="preserve">Le crédit crée la monnaie, la monnaie n’est pas créée en fonction des quantités d’offre mais en fonction des crédits. </w:t>
      </w:r>
    </w:p>
    <w:p w:rsidR="00AD3F83" w:rsidRPr="00FA4826" w:rsidRDefault="00AD3F83" w:rsidP="00C64C89">
      <w:pPr>
        <w:pStyle w:val="Paragraphedeliste"/>
        <w:numPr>
          <w:ilvl w:val="0"/>
          <w:numId w:val="41"/>
        </w:numPr>
        <w:spacing w:after="0"/>
        <w:rPr>
          <w:rFonts w:ascii="Arial" w:hAnsi="Arial" w:cs="Arial"/>
          <w:i w:val="0"/>
        </w:rPr>
      </w:pPr>
      <w:r w:rsidRPr="00FA4826">
        <w:rPr>
          <w:rFonts w:ascii="Arial" w:hAnsi="Arial" w:cs="Arial"/>
          <w:i w:val="0"/>
        </w:rPr>
        <w:t xml:space="preserve">Agrégats monétaires : pour essayer de distinguer les grandeurs de monnaie : M1, M2 et M3. M1 correspond aux comptes courants (essentiellement), M2 : placements qui peuvent être rompus facilement (moins liquide que M1) et M3 correspond à M2 plus des investissements à moyens termes. En fonction de ces grandeurs les politiques monétaires vont pouvoir se déterminer </w:t>
      </w:r>
    </w:p>
    <w:p w:rsidR="00F44CB6" w:rsidRPr="00FA4826" w:rsidRDefault="00AD3F83" w:rsidP="00123CAF">
      <w:pPr>
        <w:spacing w:after="0"/>
        <w:rPr>
          <w:rFonts w:ascii="Arial" w:hAnsi="Arial" w:cs="Arial"/>
          <w:i w:val="0"/>
        </w:rPr>
      </w:pPr>
      <w:r w:rsidRPr="00FA4826">
        <w:rPr>
          <w:rFonts w:ascii="Arial" w:hAnsi="Arial" w:cs="Arial"/>
          <w:i w:val="0"/>
        </w:rPr>
        <w:t xml:space="preserve">Le marché de la monnaie n’est pas un marché puisque le prix de la monnaie est une vue de l’esprit, on essaie de voir le taux d’intérêt comme le prix de la monnaie dans la mesure </w:t>
      </w:r>
      <w:proofErr w:type="gramStart"/>
      <w:r w:rsidRPr="00FA4826">
        <w:rPr>
          <w:rFonts w:ascii="Arial" w:hAnsi="Arial" w:cs="Arial"/>
          <w:i w:val="0"/>
        </w:rPr>
        <w:t>ou</w:t>
      </w:r>
      <w:proofErr w:type="gramEnd"/>
      <w:r w:rsidRPr="00FA4826">
        <w:rPr>
          <w:rFonts w:ascii="Arial" w:hAnsi="Arial" w:cs="Arial"/>
          <w:i w:val="0"/>
        </w:rPr>
        <w:t xml:space="preserve"> l’offre n’est pas dépendante  de ce taux d’intérêt et la demande est gérée par la préférence à la liquidité. </w:t>
      </w:r>
    </w:p>
    <w:p w:rsidR="00F44CB6" w:rsidRPr="00FA4826" w:rsidRDefault="00F44CB6" w:rsidP="00123CAF">
      <w:pPr>
        <w:spacing w:after="0"/>
        <w:rPr>
          <w:rFonts w:ascii="Arial" w:hAnsi="Arial" w:cs="Arial"/>
          <w:i w:val="0"/>
        </w:rPr>
      </w:pPr>
      <w:r w:rsidRPr="00FA4826">
        <w:rPr>
          <w:rFonts w:ascii="Arial" w:hAnsi="Arial" w:cs="Arial"/>
          <w:i w:val="0"/>
        </w:rPr>
        <w:t xml:space="preserve">La quantité de la monnaie – inflation – économie : les deux approches voir conclusion précédente. Dans l’approche normative on imagine que la monnaie est une marchandise comme les autres (prix). Dans l’approche institutionnelle, on pense que la monnaie dépend de tous pleins </w:t>
      </w:r>
      <w:proofErr w:type="gramStart"/>
      <w:r w:rsidRPr="00FA4826">
        <w:rPr>
          <w:rFonts w:ascii="Arial" w:hAnsi="Arial" w:cs="Arial"/>
          <w:i w:val="0"/>
        </w:rPr>
        <w:t>d(</w:t>
      </w:r>
      <w:proofErr w:type="gramEnd"/>
      <w:r w:rsidRPr="00FA4826">
        <w:rPr>
          <w:rFonts w:ascii="Arial" w:hAnsi="Arial" w:cs="Arial"/>
          <w:i w:val="0"/>
        </w:rPr>
        <w:t xml:space="preserve">‘autres éléments. </w:t>
      </w:r>
    </w:p>
    <w:p w:rsidR="007E6D33" w:rsidRPr="00FA4826" w:rsidRDefault="00F44CB6" w:rsidP="00123CAF">
      <w:pPr>
        <w:spacing w:after="0"/>
        <w:rPr>
          <w:rFonts w:ascii="Arial" w:hAnsi="Arial" w:cs="Arial"/>
          <w:i w:val="0"/>
        </w:rPr>
      </w:pPr>
      <w:r w:rsidRPr="00FA4826">
        <w:rPr>
          <w:rFonts w:ascii="Arial" w:hAnsi="Arial" w:cs="Arial"/>
          <w:i w:val="0"/>
        </w:rPr>
        <w:lastRenderedPageBreak/>
        <w:t xml:space="preserve">Impact de la théorie sur la création monétaire et le financement : la théorie a un impact fort sur l’économie actuellement basée sur la théorie normative: la banque centrale européenne n’a comme objectif la stabilité des prix : P. </w:t>
      </w:r>
    </w:p>
    <w:p w:rsidR="007E6D33" w:rsidRPr="00FA4826" w:rsidRDefault="007E6D33" w:rsidP="00123CAF">
      <w:pPr>
        <w:spacing w:after="0" w:line="276" w:lineRule="auto"/>
        <w:rPr>
          <w:rFonts w:ascii="Arial" w:hAnsi="Arial" w:cs="Arial"/>
          <w:i w:val="0"/>
        </w:rPr>
      </w:pPr>
      <w:r w:rsidRPr="00FA4826">
        <w:rPr>
          <w:rFonts w:ascii="Arial" w:hAnsi="Arial" w:cs="Arial"/>
          <w:i w:val="0"/>
        </w:rPr>
        <w:br w:type="page"/>
      </w:r>
    </w:p>
    <w:p w:rsidR="00AC0784" w:rsidRPr="00FA4826" w:rsidRDefault="007E6D33" w:rsidP="00123CAF">
      <w:pPr>
        <w:pStyle w:val="Titre"/>
        <w:rPr>
          <w:rFonts w:ascii="Arial" w:hAnsi="Arial" w:cs="Arial"/>
          <w:i w:val="0"/>
        </w:rPr>
      </w:pPr>
      <w:r w:rsidRPr="00FA4826">
        <w:rPr>
          <w:rFonts w:ascii="Arial" w:hAnsi="Arial" w:cs="Arial"/>
          <w:i w:val="0"/>
        </w:rPr>
        <w:lastRenderedPageBreak/>
        <w:t>La politique monétaire</w:t>
      </w:r>
    </w:p>
    <w:p w:rsidR="003D7A73" w:rsidRPr="00FA4826" w:rsidRDefault="00AC0784" w:rsidP="00123CAF">
      <w:pPr>
        <w:spacing w:after="0"/>
        <w:rPr>
          <w:rFonts w:ascii="Arial" w:hAnsi="Arial" w:cs="Arial"/>
          <w:i w:val="0"/>
        </w:rPr>
      </w:pPr>
      <w:r w:rsidRPr="00FA4826">
        <w:rPr>
          <w:rFonts w:ascii="Arial" w:hAnsi="Arial" w:cs="Arial"/>
          <w:i w:val="0"/>
        </w:rPr>
        <w:t xml:space="preserve"> </w:t>
      </w:r>
    </w:p>
    <w:p w:rsidR="007E6D33" w:rsidRPr="00FA4826" w:rsidRDefault="007E6D33" w:rsidP="00C64C89">
      <w:pPr>
        <w:pStyle w:val="Paragraphedeliste"/>
        <w:numPr>
          <w:ilvl w:val="0"/>
          <w:numId w:val="8"/>
        </w:numPr>
        <w:spacing w:after="0"/>
        <w:rPr>
          <w:rFonts w:ascii="Arial" w:hAnsi="Arial" w:cs="Arial"/>
          <w:b/>
          <w:i w:val="0"/>
        </w:rPr>
      </w:pPr>
      <w:r w:rsidRPr="00FA4826">
        <w:rPr>
          <w:rFonts w:ascii="Arial" w:hAnsi="Arial" w:cs="Arial"/>
          <w:b/>
          <w:i w:val="0"/>
        </w:rPr>
        <w:t xml:space="preserve">La politique monétaire : l’un des principaux instruments de la politique économique ? </w:t>
      </w:r>
    </w:p>
    <w:p w:rsidR="00C437AE" w:rsidRPr="00FA4826" w:rsidRDefault="007E6D33" w:rsidP="00123CAF">
      <w:pPr>
        <w:spacing w:after="0"/>
        <w:rPr>
          <w:rFonts w:ascii="Arial" w:hAnsi="Arial" w:cs="Arial"/>
          <w:i w:val="0"/>
        </w:rPr>
      </w:pPr>
      <w:r w:rsidRPr="00FA4826">
        <w:rPr>
          <w:rFonts w:ascii="Arial" w:hAnsi="Arial" w:cs="Arial"/>
          <w:i w:val="0"/>
        </w:rPr>
        <w:t>Avec la politique budgétaire et fiscale, elle contribue à la régulation macroéconomique</w:t>
      </w:r>
      <w:r w:rsidR="005A7700" w:rsidRPr="00FA4826">
        <w:rPr>
          <w:rFonts w:ascii="Arial" w:hAnsi="Arial" w:cs="Arial"/>
          <w:i w:val="0"/>
        </w:rPr>
        <w:t xml:space="preserve">. En France les impôts sur les entreprises sont de l’ordre de 30% mais dans les faits le taux de fiscalités (avec les </w:t>
      </w:r>
      <w:r w:rsidR="00C437AE" w:rsidRPr="00FA4826">
        <w:rPr>
          <w:rFonts w:ascii="Arial" w:hAnsi="Arial" w:cs="Arial"/>
          <w:i w:val="0"/>
        </w:rPr>
        <w:t>niches)</w:t>
      </w:r>
      <w:r w:rsidR="005A7700" w:rsidRPr="00FA4826">
        <w:rPr>
          <w:rFonts w:ascii="Arial" w:hAnsi="Arial" w:cs="Arial"/>
          <w:i w:val="0"/>
        </w:rPr>
        <w:t xml:space="preserve"> il est de 18%. </w:t>
      </w:r>
      <w:r w:rsidR="00C437AE" w:rsidRPr="00FA4826">
        <w:rPr>
          <w:rFonts w:ascii="Arial" w:hAnsi="Arial" w:cs="Arial"/>
          <w:i w:val="0"/>
        </w:rPr>
        <w:t xml:space="preserve">En France </w:t>
      </w:r>
      <w:proofErr w:type="gramStart"/>
      <w:r w:rsidR="00C437AE" w:rsidRPr="00FA4826">
        <w:rPr>
          <w:rFonts w:ascii="Arial" w:hAnsi="Arial" w:cs="Arial"/>
          <w:i w:val="0"/>
        </w:rPr>
        <w:t>l’impôts</w:t>
      </w:r>
      <w:proofErr w:type="gramEnd"/>
      <w:r w:rsidR="00C437AE" w:rsidRPr="00FA4826">
        <w:rPr>
          <w:rFonts w:ascii="Arial" w:hAnsi="Arial" w:cs="Arial"/>
          <w:i w:val="0"/>
        </w:rPr>
        <w:t xml:space="preserve"> sur les entreprises est de 18% mais il y a des très fortes inégalités : les grosses entreprises sont imposées très peu (Total), quand on fait des bénéfices on devrait payer beaucoup plus d’impôts. La politique monétaire doit s’accorder avec la politique fiscale car la politique fiscale </w:t>
      </w:r>
      <w:proofErr w:type="gramStart"/>
      <w:r w:rsidR="00C437AE" w:rsidRPr="00FA4826">
        <w:rPr>
          <w:rFonts w:ascii="Arial" w:hAnsi="Arial" w:cs="Arial"/>
          <w:i w:val="0"/>
        </w:rPr>
        <w:t>a</w:t>
      </w:r>
      <w:proofErr w:type="gramEnd"/>
      <w:r w:rsidR="00C437AE" w:rsidRPr="00FA4826">
        <w:rPr>
          <w:rFonts w:ascii="Arial" w:hAnsi="Arial" w:cs="Arial"/>
          <w:i w:val="0"/>
        </w:rPr>
        <w:t xml:space="preserve"> un impact sur l’Etat, lorsqu’il y a un déficit cela pose des problèmes ; on </w:t>
      </w:r>
      <w:proofErr w:type="spellStart"/>
      <w:r w:rsidR="00C437AE" w:rsidRPr="00FA4826">
        <w:rPr>
          <w:rFonts w:ascii="Arial" w:hAnsi="Arial" w:cs="Arial"/>
          <w:i w:val="0"/>
        </w:rPr>
        <w:t>chercher a</w:t>
      </w:r>
      <w:proofErr w:type="spellEnd"/>
      <w:r w:rsidR="00C437AE" w:rsidRPr="00FA4826">
        <w:rPr>
          <w:rFonts w:ascii="Arial" w:hAnsi="Arial" w:cs="Arial"/>
          <w:i w:val="0"/>
        </w:rPr>
        <w:t xml:space="preserve"> monétiser la dette : cela va entrainer des déséquilibres car la politique monétaire reste la même. </w:t>
      </w:r>
    </w:p>
    <w:p w:rsidR="00C437AE" w:rsidRPr="00FA4826" w:rsidRDefault="00C437AE" w:rsidP="00123CAF">
      <w:pPr>
        <w:spacing w:after="0"/>
        <w:rPr>
          <w:rFonts w:ascii="Arial" w:hAnsi="Arial" w:cs="Arial"/>
          <w:i w:val="0"/>
        </w:rPr>
      </w:pPr>
      <w:r w:rsidRPr="00FA4826">
        <w:rPr>
          <w:rFonts w:ascii="Arial" w:hAnsi="Arial" w:cs="Arial"/>
          <w:i w:val="0"/>
        </w:rPr>
        <w:t xml:space="preserve">La politique monétaire permet de définir le niveau de création monétaire et elle est indépendante du pouvoir politique : à ce titre conseil de lecture : La banque centrale doit-elle être indépendante ? </w:t>
      </w:r>
    </w:p>
    <w:p w:rsidR="00E27CFB" w:rsidRPr="00FA4826" w:rsidRDefault="00C437AE" w:rsidP="00123CAF">
      <w:pPr>
        <w:spacing w:after="0"/>
        <w:rPr>
          <w:rFonts w:ascii="Arial" w:hAnsi="Arial" w:cs="Arial"/>
          <w:b/>
          <w:i w:val="0"/>
        </w:rPr>
      </w:pPr>
      <w:r w:rsidRPr="00FA4826">
        <w:rPr>
          <w:rFonts w:ascii="Arial" w:hAnsi="Arial" w:cs="Arial"/>
          <w:b/>
          <w:i w:val="0"/>
        </w:rPr>
        <w:t xml:space="preserve">Quels sont les objectifs et les instruments de la politique monétaire ? </w:t>
      </w:r>
    </w:p>
    <w:p w:rsidR="00E27CFB" w:rsidRPr="00FA4826" w:rsidRDefault="00E27CFB" w:rsidP="00123CAF">
      <w:pPr>
        <w:spacing w:after="0"/>
        <w:rPr>
          <w:rFonts w:ascii="Arial" w:hAnsi="Arial" w:cs="Arial"/>
          <w:b/>
          <w:i w:val="0"/>
        </w:rPr>
      </w:pPr>
    </w:p>
    <w:p w:rsidR="00E27CFB" w:rsidRPr="00FA4826" w:rsidRDefault="008C3997" w:rsidP="00123CAF">
      <w:pPr>
        <w:pStyle w:val="Titre1"/>
        <w:rPr>
          <w:rFonts w:ascii="Arial" w:hAnsi="Arial" w:cs="Arial"/>
          <w:i w:val="0"/>
        </w:rPr>
      </w:pPr>
      <w:bookmarkStart w:id="27" w:name="_Toc379227141"/>
      <w:r w:rsidRPr="00FA4826">
        <w:rPr>
          <w:rFonts w:ascii="Arial" w:hAnsi="Arial" w:cs="Arial"/>
          <w:i w:val="0"/>
        </w:rPr>
        <w:t>I. Les</w:t>
      </w:r>
      <w:r w:rsidR="00E27CFB" w:rsidRPr="00FA4826">
        <w:rPr>
          <w:rFonts w:ascii="Arial" w:hAnsi="Arial" w:cs="Arial"/>
          <w:i w:val="0"/>
        </w:rPr>
        <w:t xml:space="preserve"> objectifs de la politique monétaire :</w:t>
      </w:r>
      <w:bookmarkEnd w:id="27"/>
      <w:r w:rsidR="00E27CFB" w:rsidRPr="00FA4826">
        <w:rPr>
          <w:rFonts w:ascii="Arial" w:hAnsi="Arial" w:cs="Arial"/>
          <w:i w:val="0"/>
        </w:rPr>
        <w:t xml:space="preserve"> </w:t>
      </w:r>
    </w:p>
    <w:p w:rsidR="00E27CFB" w:rsidRPr="00FA4826" w:rsidRDefault="00E27CFB" w:rsidP="00123CAF">
      <w:pPr>
        <w:spacing w:after="0"/>
        <w:rPr>
          <w:rFonts w:ascii="Arial" w:hAnsi="Arial" w:cs="Arial"/>
          <w:i w:val="0"/>
        </w:rPr>
      </w:pPr>
      <w:r w:rsidRPr="00FA4826">
        <w:rPr>
          <w:rFonts w:ascii="Arial" w:hAnsi="Arial" w:cs="Arial"/>
          <w:i w:val="0"/>
        </w:rPr>
        <w:t xml:space="preserve">La politique monétaire a des objectifs finaux, intermédiaire et opérationnels : </w:t>
      </w:r>
    </w:p>
    <w:p w:rsidR="00E27CFB" w:rsidRPr="00FA4826" w:rsidRDefault="00E27CFB" w:rsidP="00123CAF">
      <w:pPr>
        <w:spacing w:after="0"/>
        <w:rPr>
          <w:rFonts w:ascii="Arial" w:hAnsi="Arial" w:cs="Arial"/>
          <w:i w:val="0"/>
        </w:rPr>
      </w:pPr>
      <w:r w:rsidRPr="00FA4826">
        <w:rPr>
          <w:rFonts w:ascii="Arial" w:hAnsi="Arial" w:cs="Arial"/>
          <w:b/>
          <w:i w:val="0"/>
        </w:rPr>
        <w:t>Les objectifs finaux</w:t>
      </w:r>
      <w:r w:rsidRPr="00FA4826">
        <w:rPr>
          <w:rFonts w:ascii="Arial" w:hAnsi="Arial" w:cs="Arial"/>
          <w:i w:val="0"/>
        </w:rPr>
        <w:t xml:space="preserve"> sont définis par le carré magique de Kaldor (1971), pour lui la politique monétaire doit se fixer 4 objectifs finaux : </w:t>
      </w:r>
    </w:p>
    <w:p w:rsidR="00E27CFB" w:rsidRPr="00FA4826" w:rsidRDefault="00E27CFB" w:rsidP="00C64C89">
      <w:pPr>
        <w:pStyle w:val="Paragraphedeliste"/>
        <w:numPr>
          <w:ilvl w:val="0"/>
          <w:numId w:val="42"/>
        </w:numPr>
        <w:spacing w:after="0"/>
        <w:rPr>
          <w:rFonts w:ascii="Arial" w:hAnsi="Arial" w:cs="Arial"/>
          <w:i w:val="0"/>
        </w:rPr>
      </w:pPr>
      <w:r w:rsidRPr="00FA4826">
        <w:rPr>
          <w:rFonts w:ascii="Arial" w:hAnsi="Arial" w:cs="Arial"/>
          <w:i w:val="0"/>
        </w:rPr>
        <w:t xml:space="preserve">Taux de croissance important, dans une économie la politique monétaire doit être faite pour que le taux de croissance soit important. </w:t>
      </w:r>
    </w:p>
    <w:p w:rsidR="00E27CFB" w:rsidRPr="00FA4826" w:rsidRDefault="00E27CFB" w:rsidP="00C64C89">
      <w:pPr>
        <w:pStyle w:val="Paragraphedeliste"/>
        <w:numPr>
          <w:ilvl w:val="0"/>
          <w:numId w:val="42"/>
        </w:numPr>
        <w:spacing w:after="0"/>
        <w:rPr>
          <w:rFonts w:ascii="Arial" w:hAnsi="Arial" w:cs="Arial"/>
          <w:i w:val="0"/>
        </w:rPr>
      </w:pPr>
      <w:r w:rsidRPr="00FA4826">
        <w:rPr>
          <w:rFonts w:ascii="Arial" w:hAnsi="Arial" w:cs="Arial"/>
          <w:i w:val="0"/>
        </w:rPr>
        <w:t xml:space="preserve">Faible taux de chômage, il doit être le plus faible possible. </w:t>
      </w:r>
    </w:p>
    <w:p w:rsidR="00E27CFB" w:rsidRPr="00FA4826" w:rsidRDefault="00E27CFB" w:rsidP="00C64C89">
      <w:pPr>
        <w:pStyle w:val="Paragraphedeliste"/>
        <w:numPr>
          <w:ilvl w:val="0"/>
          <w:numId w:val="42"/>
        </w:numPr>
        <w:spacing w:after="0"/>
        <w:rPr>
          <w:rFonts w:ascii="Arial" w:hAnsi="Arial" w:cs="Arial"/>
          <w:i w:val="0"/>
        </w:rPr>
      </w:pPr>
      <w:r w:rsidRPr="00FA4826">
        <w:rPr>
          <w:rFonts w:ascii="Arial" w:hAnsi="Arial" w:cs="Arial"/>
          <w:i w:val="0"/>
        </w:rPr>
        <w:t>Equilibre extérieur, il doit y avoir un équilibre : la balance commerciale, échanges de biens et de services marchands avec l’extérieur et les échanges de capitaux (entrée et sortie) avec les autres pays</w:t>
      </w:r>
    </w:p>
    <w:p w:rsidR="00E27CFB" w:rsidRPr="00FA4826" w:rsidRDefault="00E27CFB" w:rsidP="00C64C89">
      <w:pPr>
        <w:pStyle w:val="Paragraphedeliste"/>
        <w:numPr>
          <w:ilvl w:val="0"/>
          <w:numId w:val="42"/>
        </w:numPr>
        <w:spacing w:after="0"/>
        <w:rPr>
          <w:rFonts w:ascii="Arial" w:hAnsi="Arial" w:cs="Arial"/>
          <w:i w:val="0"/>
        </w:rPr>
      </w:pPr>
      <w:r w:rsidRPr="00FA4826">
        <w:rPr>
          <w:rFonts w:ascii="Arial" w:hAnsi="Arial" w:cs="Arial"/>
          <w:i w:val="0"/>
        </w:rPr>
        <w:t xml:space="preserve">La stabilité des prix : concerne l’inflation et la déflation. </w:t>
      </w:r>
    </w:p>
    <w:p w:rsidR="00E27CFB" w:rsidRPr="00FA4826" w:rsidRDefault="00E27CFB" w:rsidP="00123CAF">
      <w:pPr>
        <w:spacing w:after="0"/>
        <w:rPr>
          <w:rFonts w:ascii="Arial" w:hAnsi="Arial" w:cs="Arial"/>
          <w:i w:val="0"/>
        </w:rPr>
      </w:pPr>
      <w:r w:rsidRPr="00FA4826">
        <w:rPr>
          <w:rFonts w:ascii="Arial" w:hAnsi="Arial" w:cs="Arial"/>
          <w:i w:val="0"/>
        </w:rPr>
        <w:t xml:space="preserve">C’est très difficile de suivre ces 4 objectifs en même temps, l’Europe a </w:t>
      </w:r>
      <w:proofErr w:type="spellStart"/>
      <w:r w:rsidRPr="00FA4826">
        <w:rPr>
          <w:rFonts w:ascii="Arial" w:hAnsi="Arial" w:cs="Arial"/>
          <w:i w:val="0"/>
        </w:rPr>
        <w:t>choisit</w:t>
      </w:r>
      <w:proofErr w:type="spellEnd"/>
      <w:r w:rsidRPr="00FA4826">
        <w:rPr>
          <w:rFonts w:ascii="Arial" w:hAnsi="Arial" w:cs="Arial"/>
          <w:i w:val="0"/>
        </w:rPr>
        <w:t xml:space="preserve"> de ne regarder que la stabilité des prix. Globalement la politique monétaire doit concerner doit se pencher sur cet ensemble d’éléments. </w:t>
      </w:r>
    </w:p>
    <w:p w:rsidR="00E27CFB" w:rsidRPr="00FA4826" w:rsidRDefault="00E27CFB" w:rsidP="00123CAF">
      <w:pPr>
        <w:spacing w:after="0"/>
        <w:rPr>
          <w:rFonts w:ascii="Arial" w:hAnsi="Arial" w:cs="Arial"/>
          <w:b/>
          <w:i w:val="0"/>
        </w:rPr>
      </w:pPr>
    </w:p>
    <w:p w:rsidR="00E27CFB" w:rsidRPr="00FA4826" w:rsidRDefault="00E27CFB" w:rsidP="00123CAF">
      <w:pPr>
        <w:spacing w:after="0"/>
        <w:rPr>
          <w:rFonts w:ascii="Arial" w:hAnsi="Arial" w:cs="Arial"/>
          <w:b/>
          <w:i w:val="0"/>
        </w:rPr>
      </w:pPr>
      <w:r w:rsidRPr="00FA4826">
        <w:rPr>
          <w:rFonts w:ascii="Arial" w:hAnsi="Arial" w:cs="Arial"/>
          <w:b/>
          <w:i w:val="0"/>
        </w:rPr>
        <w:t xml:space="preserve">Les objectifs intermédiaires : </w:t>
      </w:r>
    </w:p>
    <w:p w:rsidR="008C3997" w:rsidRPr="00FA4826" w:rsidRDefault="00E27CFB" w:rsidP="00C64C89">
      <w:pPr>
        <w:pStyle w:val="Paragraphedeliste"/>
        <w:numPr>
          <w:ilvl w:val="0"/>
          <w:numId w:val="43"/>
        </w:numPr>
        <w:spacing w:after="0"/>
        <w:rPr>
          <w:rFonts w:ascii="Arial" w:hAnsi="Arial" w:cs="Arial"/>
          <w:i w:val="0"/>
        </w:rPr>
      </w:pPr>
      <w:r w:rsidRPr="00FA4826">
        <w:rPr>
          <w:rFonts w:ascii="Arial" w:hAnsi="Arial" w:cs="Arial"/>
          <w:i w:val="0"/>
          <w:u w:val="single"/>
        </w:rPr>
        <w:t>Les objectifs intermédiaires</w:t>
      </w:r>
      <w:r w:rsidRPr="00FA4826">
        <w:rPr>
          <w:rFonts w:ascii="Arial" w:hAnsi="Arial" w:cs="Arial"/>
          <w:i w:val="0"/>
        </w:rPr>
        <w:t xml:space="preserve"> (variables monétaires) servent de cibles aux autorités monétaires : </w:t>
      </w:r>
    </w:p>
    <w:p w:rsidR="008C3997" w:rsidRPr="00FA4826" w:rsidRDefault="00E27CFB" w:rsidP="00C64C89">
      <w:pPr>
        <w:pStyle w:val="Paragraphedeliste"/>
        <w:numPr>
          <w:ilvl w:val="0"/>
          <w:numId w:val="43"/>
        </w:numPr>
        <w:spacing w:after="0"/>
        <w:rPr>
          <w:rFonts w:ascii="Arial" w:hAnsi="Arial" w:cs="Arial"/>
          <w:i w:val="0"/>
        </w:rPr>
      </w:pPr>
      <w:r w:rsidRPr="00FA4826">
        <w:rPr>
          <w:rFonts w:ascii="Arial" w:hAnsi="Arial" w:cs="Arial"/>
          <w:i w:val="0"/>
          <w:u w:val="single"/>
        </w:rPr>
        <w:t>ils doivent être mesurables</w:t>
      </w:r>
      <w:r w:rsidRPr="00FA4826">
        <w:rPr>
          <w:rFonts w:ascii="Arial" w:hAnsi="Arial" w:cs="Arial"/>
          <w:i w:val="0"/>
        </w:rPr>
        <w:t xml:space="preserve"> rapidement et contrôlables par les autorités monétaires, liés à des variables réelles (reliée à l’objectif final) : agrégats de crédits, les taux d’intérêts, et les taux de change qui vont traduire les déséquilibres extérieurs (ou les équilibres </w:t>
      </w:r>
      <w:r w:rsidR="00F67869" w:rsidRPr="00FA4826">
        <w:rPr>
          <w:rFonts w:ascii="Arial" w:hAnsi="Arial" w:cs="Arial"/>
          <w:i w:val="0"/>
        </w:rPr>
        <w:t>extérieurs</w:t>
      </w:r>
      <w:r w:rsidR="008C3997" w:rsidRPr="00FA4826">
        <w:rPr>
          <w:rFonts w:ascii="Arial" w:hAnsi="Arial" w:cs="Arial"/>
          <w:i w:val="0"/>
        </w:rPr>
        <w:t xml:space="preserve">). </w:t>
      </w:r>
    </w:p>
    <w:p w:rsidR="00E27CFB" w:rsidRPr="00FA4826" w:rsidRDefault="00E27CFB" w:rsidP="00123CAF">
      <w:pPr>
        <w:pStyle w:val="Paragraphedeliste"/>
        <w:spacing w:after="0"/>
        <w:rPr>
          <w:rFonts w:ascii="Arial" w:hAnsi="Arial" w:cs="Arial"/>
          <w:i w:val="0"/>
        </w:rPr>
      </w:pPr>
    </w:p>
    <w:p w:rsidR="00A61882" w:rsidRPr="00FA4826" w:rsidRDefault="00E27CFB" w:rsidP="00123CAF">
      <w:pPr>
        <w:spacing w:after="0"/>
        <w:rPr>
          <w:rFonts w:ascii="Arial" w:hAnsi="Arial" w:cs="Arial"/>
          <w:i w:val="0"/>
        </w:rPr>
      </w:pPr>
      <w:r w:rsidRPr="00FA4826">
        <w:rPr>
          <w:rFonts w:ascii="Arial" w:hAnsi="Arial" w:cs="Arial"/>
          <w:b/>
          <w:i w:val="0"/>
        </w:rPr>
        <w:t>Les objectifs opérationnels</w:t>
      </w:r>
      <w:r w:rsidRPr="00FA4826">
        <w:rPr>
          <w:rFonts w:ascii="Arial" w:hAnsi="Arial" w:cs="Arial"/>
          <w:i w:val="0"/>
        </w:rPr>
        <w:t xml:space="preserve"> </w:t>
      </w:r>
      <w:r w:rsidR="00744293" w:rsidRPr="00FA4826">
        <w:rPr>
          <w:rFonts w:ascii="Arial" w:hAnsi="Arial" w:cs="Arial"/>
          <w:i w:val="0"/>
        </w:rPr>
        <w:t xml:space="preserve">vont être les éléments qui vont impacter sur les objectifs intermédiaires, sur les agrégats sur les intérêts et sir les taux de changes. </w:t>
      </w:r>
      <w:r w:rsidR="00F67869" w:rsidRPr="00FA4826">
        <w:rPr>
          <w:rFonts w:ascii="Arial" w:hAnsi="Arial" w:cs="Arial"/>
          <w:i w:val="0"/>
        </w:rPr>
        <w:t xml:space="preserve">Ces objectifs permettent d’envoyer des signaux rapides aux opérateurs. </w:t>
      </w:r>
      <w:r w:rsidR="00744293" w:rsidRPr="00FA4826">
        <w:rPr>
          <w:rFonts w:ascii="Arial" w:hAnsi="Arial" w:cs="Arial"/>
          <w:i w:val="0"/>
        </w:rPr>
        <w:t xml:space="preserve">On chercher  donc les taux d’intérêt </w:t>
      </w:r>
      <w:proofErr w:type="spellStart"/>
      <w:r w:rsidR="00744293" w:rsidRPr="00FA4826">
        <w:rPr>
          <w:rFonts w:ascii="Arial" w:hAnsi="Arial" w:cs="Arial"/>
          <w:i w:val="0"/>
        </w:rPr>
        <w:t>a</w:t>
      </w:r>
      <w:proofErr w:type="spellEnd"/>
      <w:r w:rsidR="00744293" w:rsidRPr="00FA4826">
        <w:rPr>
          <w:rFonts w:ascii="Arial" w:hAnsi="Arial" w:cs="Arial"/>
          <w:i w:val="0"/>
        </w:rPr>
        <w:t xml:space="preserve"> court terme : les taux directeurs en général. Il va y avoir les taux directeurs, les taux de refinancement parce </w:t>
      </w:r>
      <w:proofErr w:type="gramStart"/>
      <w:r w:rsidR="00744293" w:rsidRPr="00FA4826">
        <w:rPr>
          <w:rFonts w:ascii="Arial" w:hAnsi="Arial" w:cs="Arial"/>
          <w:i w:val="0"/>
        </w:rPr>
        <w:t>qu’il vont</w:t>
      </w:r>
      <w:proofErr w:type="gramEnd"/>
      <w:r w:rsidR="00744293" w:rsidRPr="00FA4826">
        <w:rPr>
          <w:rFonts w:ascii="Arial" w:hAnsi="Arial" w:cs="Arial"/>
          <w:i w:val="0"/>
        </w:rPr>
        <w:t xml:space="preserve"> avoir un impact sur le taux d’intérêt et sur les agrégats et le taux directeur de rémunération des dépôts car il va avoir un impact sur attirer ou ne pas attirer les capitaux étrangers et cela va avoir un impact sur le taux de change. </w:t>
      </w:r>
    </w:p>
    <w:p w:rsidR="00A61882" w:rsidRPr="00FA4826" w:rsidRDefault="00A61882" w:rsidP="00123CAF">
      <w:pPr>
        <w:spacing w:after="0"/>
        <w:rPr>
          <w:rFonts w:ascii="Arial" w:hAnsi="Arial" w:cs="Arial"/>
          <w:i w:val="0"/>
        </w:rPr>
      </w:pPr>
    </w:p>
    <w:p w:rsidR="00A61882" w:rsidRPr="00FA4826" w:rsidRDefault="00D613AA" w:rsidP="00123CAF">
      <w:pPr>
        <w:pStyle w:val="Titre1"/>
        <w:rPr>
          <w:rFonts w:ascii="Arial" w:hAnsi="Arial" w:cs="Arial"/>
          <w:i w:val="0"/>
        </w:rPr>
      </w:pPr>
      <w:bookmarkStart w:id="28" w:name="_Toc379227142"/>
      <w:r w:rsidRPr="00FA4826">
        <w:rPr>
          <w:rFonts w:ascii="Arial" w:hAnsi="Arial" w:cs="Arial"/>
          <w:i w:val="0"/>
        </w:rPr>
        <w:t>II. Les</w:t>
      </w:r>
      <w:r w:rsidR="00A61882" w:rsidRPr="00FA4826">
        <w:rPr>
          <w:rFonts w:ascii="Arial" w:hAnsi="Arial" w:cs="Arial"/>
          <w:i w:val="0"/>
        </w:rPr>
        <w:t xml:space="preserve"> instruments de la politique monétaire :</w:t>
      </w:r>
      <w:bookmarkEnd w:id="28"/>
    </w:p>
    <w:p w:rsidR="00A61882" w:rsidRPr="00FA4826" w:rsidRDefault="00A61882" w:rsidP="00123CAF">
      <w:pPr>
        <w:spacing w:after="0"/>
        <w:rPr>
          <w:rFonts w:ascii="Arial" w:hAnsi="Arial" w:cs="Arial"/>
          <w:i w:val="0"/>
        </w:rPr>
      </w:pPr>
      <w:r w:rsidRPr="00FA4826">
        <w:rPr>
          <w:rFonts w:ascii="Arial" w:hAnsi="Arial" w:cs="Arial"/>
          <w:i w:val="0"/>
        </w:rPr>
        <w:t xml:space="preserve">Les instruments de la politique monétaire permettent d’atteindre les objectifs. Il est possible de classer les instruments en deux groupes : </w:t>
      </w:r>
    </w:p>
    <w:p w:rsidR="000C2924" w:rsidRPr="00FA4826" w:rsidRDefault="00A61882" w:rsidP="00C64C89">
      <w:pPr>
        <w:pStyle w:val="Paragraphedeliste"/>
        <w:numPr>
          <w:ilvl w:val="0"/>
          <w:numId w:val="44"/>
        </w:numPr>
        <w:spacing w:after="0"/>
        <w:rPr>
          <w:rFonts w:ascii="Arial" w:hAnsi="Arial" w:cs="Arial"/>
          <w:i w:val="0"/>
        </w:rPr>
      </w:pPr>
      <w:r w:rsidRPr="00FA4826">
        <w:rPr>
          <w:rFonts w:ascii="Arial" w:hAnsi="Arial" w:cs="Arial"/>
          <w:b/>
          <w:i w:val="0"/>
        </w:rPr>
        <w:t>Les techniques de contrôle administratifs</w:t>
      </w:r>
      <w:r w:rsidRPr="00FA4826">
        <w:rPr>
          <w:rFonts w:ascii="Arial" w:hAnsi="Arial" w:cs="Arial"/>
          <w:i w:val="0"/>
        </w:rPr>
        <w:t xml:space="preserve"> et quantitatif sont des mesures contraignantes et on va dire par exemple on doit donner tant de crédit à telle activité : en France dans les années 50 crédit à l’agriculture favorisé. </w:t>
      </w:r>
      <w:r w:rsidR="000C2924" w:rsidRPr="00FA4826">
        <w:rPr>
          <w:rFonts w:ascii="Arial" w:hAnsi="Arial" w:cs="Arial"/>
          <w:i w:val="0"/>
        </w:rPr>
        <w:t xml:space="preserve">On va inciter, encourager en diminuant et augmentant les taxes. </w:t>
      </w:r>
    </w:p>
    <w:p w:rsidR="000C2924" w:rsidRPr="00FA4826" w:rsidRDefault="000C2924" w:rsidP="00C64C89">
      <w:pPr>
        <w:pStyle w:val="Paragraphedeliste"/>
        <w:numPr>
          <w:ilvl w:val="0"/>
          <w:numId w:val="44"/>
        </w:numPr>
        <w:spacing w:after="0"/>
        <w:rPr>
          <w:rFonts w:ascii="Arial" w:hAnsi="Arial" w:cs="Arial"/>
          <w:i w:val="0"/>
        </w:rPr>
      </w:pPr>
      <w:r w:rsidRPr="00FA4826">
        <w:rPr>
          <w:rFonts w:ascii="Arial" w:hAnsi="Arial" w:cs="Arial"/>
          <w:i w:val="0"/>
        </w:rPr>
        <w:lastRenderedPageBreak/>
        <w:t xml:space="preserve">Actuellement on va avoir de l’influence par les incitations financières. En Europe même au niveau du monde en général (Chine particulièrement) on est dans des logiques de </w:t>
      </w:r>
      <w:r w:rsidRPr="00FA4826">
        <w:rPr>
          <w:rFonts w:ascii="Arial" w:hAnsi="Arial" w:cs="Arial"/>
          <w:b/>
          <w:i w:val="0"/>
        </w:rPr>
        <w:t xml:space="preserve">techniques de marchés incitatives. </w:t>
      </w:r>
    </w:p>
    <w:p w:rsidR="000C2924" w:rsidRPr="00FA4826" w:rsidRDefault="000C2924" w:rsidP="00123CAF">
      <w:pPr>
        <w:spacing w:after="0"/>
        <w:rPr>
          <w:rFonts w:ascii="Arial" w:hAnsi="Arial" w:cs="Arial"/>
          <w:i w:val="0"/>
        </w:rPr>
      </w:pPr>
      <w:r w:rsidRPr="00FA4826">
        <w:rPr>
          <w:rFonts w:ascii="Arial" w:hAnsi="Arial" w:cs="Arial"/>
          <w:i w:val="0"/>
        </w:rPr>
        <w:t xml:space="preserve">L’influence des types d’instruments dépend du cadre institutionnel et du régime financier. </w:t>
      </w:r>
    </w:p>
    <w:p w:rsidR="000C2924" w:rsidRPr="00FA4826" w:rsidRDefault="000C2924" w:rsidP="00123CAF">
      <w:pPr>
        <w:spacing w:after="0"/>
        <w:rPr>
          <w:rFonts w:ascii="Arial" w:hAnsi="Arial" w:cs="Arial"/>
          <w:i w:val="0"/>
        </w:rPr>
      </w:pPr>
      <w:r w:rsidRPr="00FA4826">
        <w:rPr>
          <w:rFonts w:ascii="Arial" w:hAnsi="Arial" w:cs="Arial"/>
          <w:i w:val="0"/>
        </w:rPr>
        <w:t xml:space="preserve">Cela s’inscrit à travers le passage à une autonomie de marché financiarisé : le prix à son rôle. Le second type d’instrument domine. Ce sont des incitations qui vont réguler les quantités, et non des mouvements de planifications. </w:t>
      </w:r>
    </w:p>
    <w:p w:rsidR="000C2924" w:rsidRPr="00FA4826" w:rsidRDefault="000C2924" w:rsidP="00123CAF">
      <w:pPr>
        <w:spacing w:after="0"/>
        <w:rPr>
          <w:rFonts w:ascii="Arial" w:hAnsi="Arial" w:cs="Arial"/>
          <w:i w:val="0"/>
        </w:rPr>
      </w:pPr>
      <w:r w:rsidRPr="00FA4826">
        <w:rPr>
          <w:rFonts w:ascii="Arial" w:hAnsi="Arial" w:cs="Arial"/>
          <w:b/>
          <w:i w:val="0"/>
        </w:rPr>
        <w:t>Les instruments agissent :</w:t>
      </w:r>
      <w:r w:rsidRPr="00FA4826">
        <w:rPr>
          <w:rFonts w:ascii="Arial" w:hAnsi="Arial" w:cs="Arial"/>
          <w:i w:val="0"/>
        </w:rPr>
        <w:t xml:space="preserve"> on est dans un </w:t>
      </w:r>
      <w:proofErr w:type="gramStart"/>
      <w:r w:rsidRPr="00FA4826">
        <w:rPr>
          <w:rFonts w:ascii="Arial" w:hAnsi="Arial" w:cs="Arial"/>
          <w:i w:val="0"/>
        </w:rPr>
        <w:t>systèmes</w:t>
      </w:r>
      <w:proofErr w:type="gramEnd"/>
      <w:r w:rsidRPr="00FA4826">
        <w:rPr>
          <w:rFonts w:ascii="Arial" w:hAnsi="Arial" w:cs="Arial"/>
          <w:i w:val="0"/>
        </w:rPr>
        <w:t xml:space="preserve"> où les incitations sont de plus en plus importantes, vers les objectifs opérationnels, ils vont agir :</w:t>
      </w:r>
    </w:p>
    <w:p w:rsidR="000C2924" w:rsidRPr="00FA4826" w:rsidRDefault="000C2924" w:rsidP="00C64C89">
      <w:pPr>
        <w:pStyle w:val="Paragraphedeliste"/>
        <w:numPr>
          <w:ilvl w:val="0"/>
          <w:numId w:val="45"/>
        </w:numPr>
        <w:spacing w:after="0"/>
        <w:rPr>
          <w:rFonts w:ascii="Arial" w:hAnsi="Arial" w:cs="Arial"/>
          <w:i w:val="0"/>
        </w:rPr>
      </w:pPr>
      <w:r w:rsidRPr="00FA4826">
        <w:rPr>
          <w:rFonts w:ascii="Arial" w:hAnsi="Arial" w:cs="Arial"/>
          <w:i w:val="0"/>
        </w:rPr>
        <w:t xml:space="preserve">Sur le crédit </w:t>
      </w:r>
    </w:p>
    <w:p w:rsidR="00154D49" w:rsidRPr="00FA4826" w:rsidRDefault="000C2924" w:rsidP="00C64C89">
      <w:pPr>
        <w:pStyle w:val="Paragraphedeliste"/>
        <w:numPr>
          <w:ilvl w:val="0"/>
          <w:numId w:val="45"/>
        </w:numPr>
        <w:spacing w:after="0"/>
        <w:rPr>
          <w:rFonts w:ascii="Arial" w:hAnsi="Arial" w:cs="Arial"/>
          <w:i w:val="0"/>
        </w:rPr>
      </w:pPr>
      <w:r w:rsidRPr="00FA4826">
        <w:rPr>
          <w:rFonts w:ascii="Arial" w:hAnsi="Arial" w:cs="Arial"/>
          <w:i w:val="0"/>
        </w:rPr>
        <w:t>Sur le taux de change</w:t>
      </w:r>
    </w:p>
    <w:p w:rsidR="00876BDD" w:rsidRPr="00FA4826" w:rsidRDefault="00876BDD" w:rsidP="00123CAF">
      <w:pPr>
        <w:spacing w:after="0"/>
        <w:rPr>
          <w:rFonts w:ascii="Arial" w:hAnsi="Arial" w:cs="Arial"/>
          <w:i w:val="0"/>
        </w:rPr>
      </w:pPr>
    </w:p>
    <w:p w:rsidR="00154D49" w:rsidRPr="00FA4826" w:rsidRDefault="00154D49" w:rsidP="00123CAF">
      <w:pPr>
        <w:spacing w:after="0"/>
        <w:rPr>
          <w:rFonts w:ascii="Arial" w:hAnsi="Arial" w:cs="Arial"/>
          <w:i w:val="0"/>
        </w:rPr>
      </w:pPr>
    </w:p>
    <w:p w:rsidR="00154D49" w:rsidRPr="00FA4826" w:rsidRDefault="00154D49" w:rsidP="00C64C89">
      <w:pPr>
        <w:pStyle w:val="Titre2"/>
        <w:numPr>
          <w:ilvl w:val="0"/>
          <w:numId w:val="46"/>
        </w:numPr>
        <w:rPr>
          <w:rFonts w:ascii="Arial" w:hAnsi="Arial" w:cs="Arial"/>
          <w:i w:val="0"/>
        </w:rPr>
      </w:pPr>
      <w:bookmarkStart w:id="29" w:name="_Toc379227143"/>
      <w:r w:rsidRPr="00FA4826">
        <w:rPr>
          <w:rFonts w:ascii="Arial" w:hAnsi="Arial" w:cs="Arial"/>
          <w:i w:val="0"/>
        </w:rPr>
        <w:t>Procédure de contrôle administratif :</w:t>
      </w:r>
      <w:bookmarkEnd w:id="29"/>
    </w:p>
    <w:p w:rsidR="00876BDD" w:rsidRPr="00FA4826" w:rsidRDefault="00876BDD" w:rsidP="00123CAF">
      <w:pPr>
        <w:spacing w:after="0"/>
        <w:rPr>
          <w:rFonts w:ascii="Arial" w:hAnsi="Arial" w:cs="Arial"/>
          <w:b/>
          <w:i w:val="0"/>
        </w:rPr>
      </w:pPr>
    </w:p>
    <w:p w:rsidR="00154D49" w:rsidRPr="00FA4826" w:rsidRDefault="00154D49" w:rsidP="00123CAF">
      <w:pPr>
        <w:spacing w:after="0"/>
        <w:rPr>
          <w:rFonts w:ascii="Arial" w:hAnsi="Arial" w:cs="Arial"/>
          <w:i w:val="0"/>
        </w:rPr>
      </w:pPr>
      <w:r w:rsidRPr="00FA4826">
        <w:rPr>
          <w:rFonts w:ascii="Arial" w:hAnsi="Arial" w:cs="Arial"/>
          <w:b/>
          <w:i w:val="0"/>
        </w:rPr>
        <w:t>Le contrôle du crédit :</w:t>
      </w:r>
      <w:r w:rsidRPr="00FA4826">
        <w:rPr>
          <w:rFonts w:ascii="Arial" w:hAnsi="Arial" w:cs="Arial"/>
          <w:i w:val="0"/>
        </w:rPr>
        <w:t xml:space="preserve"> pour avoir un impact sur le crédit la banque centrale disait aux banques « tu es destiné à l’agriculture il faut donc tel quantité de crédits pour l’agriculture. ». Chaque banque a une enveloppe de crédits à allouer. On fonctionnait avec des objectifs planifiés. Dans </w:t>
      </w:r>
      <w:proofErr w:type="gramStart"/>
      <w:r w:rsidRPr="00FA4826">
        <w:rPr>
          <w:rFonts w:ascii="Arial" w:hAnsi="Arial" w:cs="Arial"/>
          <w:i w:val="0"/>
        </w:rPr>
        <w:t>ce systèmes administré</w:t>
      </w:r>
      <w:proofErr w:type="gramEnd"/>
      <w:r w:rsidRPr="00FA4826">
        <w:rPr>
          <w:rFonts w:ascii="Arial" w:hAnsi="Arial" w:cs="Arial"/>
          <w:i w:val="0"/>
        </w:rPr>
        <w:t xml:space="preserve"> il était critiqué : les gens essaient de détourner la planification lorsqu’elle n’est pas optimale. Le contrôle de crédit se faisait aussi par des financements spécifiques à certains secteurs : secteurs en périls ; on va vous donner des crédits si vous faites telles activités. </w:t>
      </w:r>
      <w:r w:rsidR="007E1325" w:rsidRPr="00FA4826">
        <w:rPr>
          <w:rFonts w:ascii="Arial" w:hAnsi="Arial" w:cs="Arial"/>
          <w:i w:val="0"/>
        </w:rPr>
        <w:t xml:space="preserve">C’était les modes de systèmes administré : on contrôlait par les quantités. </w:t>
      </w:r>
    </w:p>
    <w:p w:rsidR="00876BDD" w:rsidRPr="00FA4826" w:rsidRDefault="007E1325" w:rsidP="00123CAF">
      <w:pPr>
        <w:spacing w:after="0"/>
        <w:rPr>
          <w:rFonts w:ascii="Arial" w:hAnsi="Arial" w:cs="Arial"/>
          <w:i w:val="0"/>
        </w:rPr>
      </w:pPr>
      <w:r w:rsidRPr="00FA4826">
        <w:rPr>
          <w:rFonts w:ascii="Arial" w:hAnsi="Arial" w:cs="Arial"/>
          <w:b/>
          <w:i w:val="0"/>
        </w:rPr>
        <w:t xml:space="preserve">Le contrôle des changes : </w:t>
      </w:r>
      <w:r w:rsidRPr="00FA4826">
        <w:rPr>
          <w:rFonts w:ascii="Arial" w:hAnsi="Arial" w:cs="Arial"/>
          <w:i w:val="0"/>
        </w:rPr>
        <w:t xml:space="preserve">se faisait par un </w:t>
      </w:r>
      <w:proofErr w:type="gramStart"/>
      <w:r w:rsidRPr="00FA4826">
        <w:rPr>
          <w:rFonts w:ascii="Arial" w:hAnsi="Arial" w:cs="Arial"/>
          <w:i w:val="0"/>
        </w:rPr>
        <w:t>systèmes</w:t>
      </w:r>
      <w:proofErr w:type="gramEnd"/>
      <w:r w:rsidRPr="00FA4826">
        <w:rPr>
          <w:rFonts w:ascii="Arial" w:hAnsi="Arial" w:cs="Arial"/>
          <w:i w:val="0"/>
        </w:rPr>
        <w:t xml:space="preserve"> qui s’appelait le </w:t>
      </w:r>
      <w:proofErr w:type="spellStart"/>
      <w:r w:rsidRPr="00FA4826">
        <w:rPr>
          <w:rFonts w:ascii="Arial" w:hAnsi="Arial" w:cs="Arial"/>
          <w:i w:val="0"/>
        </w:rPr>
        <w:t>tremaillage</w:t>
      </w:r>
      <w:proofErr w:type="spellEnd"/>
      <w:r w:rsidRPr="00FA4826">
        <w:rPr>
          <w:rFonts w:ascii="Arial" w:hAnsi="Arial" w:cs="Arial"/>
          <w:i w:val="0"/>
        </w:rPr>
        <w:t xml:space="preserve"> : soit acheter des devises soit en vendre pour influencer le taux de change. L’Etat allait influencer le taux de change soit en faisant des achats et des ventes anticipées de devises pour avoir un impact mais aussi en faisant des contrats où quand on vendait dans certains pays on payait rapidement : mais quand on vendait on avait des contrats à termes : (3 mois…). </w:t>
      </w:r>
      <w:r w:rsidR="00980B05" w:rsidRPr="00FA4826">
        <w:rPr>
          <w:rFonts w:ascii="Arial" w:hAnsi="Arial" w:cs="Arial"/>
          <w:i w:val="0"/>
        </w:rPr>
        <w:t xml:space="preserve">Pour contrôler le taux de change on avait </w:t>
      </w:r>
      <w:proofErr w:type="spellStart"/>
      <w:proofErr w:type="gramStart"/>
      <w:r w:rsidR="00980B05" w:rsidRPr="00FA4826">
        <w:rPr>
          <w:rFonts w:ascii="Arial" w:hAnsi="Arial" w:cs="Arial"/>
          <w:i w:val="0"/>
        </w:rPr>
        <w:t>imposer</w:t>
      </w:r>
      <w:proofErr w:type="spellEnd"/>
      <w:proofErr w:type="gramEnd"/>
      <w:r w:rsidR="00980B05" w:rsidRPr="00FA4826">
        <w:rPr>
          <w:rFonts w:ascii="Arial" w:hAnsi="Arial" w:cs="Arial"/>
          <w:i w:val="0"/>
        </w:rPr>
        <w:t xml:space="preserve"> aux banques des règles prudentielle, des banques qui faisaient des transferts à l’étranger avaient des règles spécifiques elles ne pouvaient pas avoir des dépenses trop fortes à l’étranger : impact sur le taux de changes en gérant les quantités. </w:t>
      </w:r>
    </w:p>
    <w:p w:rsidR="00876BDD" w:rsidRPr="00FA4826" w:rsidRDefault="00876BDD" w:rsidP="00123CAF">
      <w:pPr>
        <w:spacing w:after="0"/>
        <w:rPr>
          <w:rFonts w:ascii="Arial" w:hAnsi="Arial" w:cs="Arial"/>
          <w:i w:val="0"/>
        </w:rPr>
      </w:pPr>
    </w:p>
    <w:p w:rsidR="00876BDD" w:rsidRPr="00FA4826" w:rsidRDefault="00876BDD" w:rsidP="00C64C89">
      <w:pPr>
        <w:pStyle w:val="Titre2"/>
        <w:numPr>
          <w:ilvl w:val="0"/>
          <w:numId w:val="46"/>
        </w:numPr>
        <w:rPr>
          <w:rFonts w:ascii="Arial" w:hAnsi="Arial" w:cs="Arial"/>
          <w:i w:val="0"/>
        </w:rPr>
      </w:pPr>
      <w:bookmarkStart w:id="30" w:name="_Toc379227144"/>
      <w:r w:rsidRPr="00FA4826">
        <w:rPr>
          <w:rFonts w:ascii="Arial" w:hAnsi="Arial" w:cs="Arial"/>
          <w:i w:val="0"/>
        </w:rPr>
        <w:t>Par les opérations de marchés :</w:t>
      </w:r>
      <w:bookmarkEnd w:id="30"/>
    </w:p>
    <w:p w:rsidR="00876BDD" w:rsidRPr="00FA4826" w:rsidRDefault="00876BDD" w:rsidP="00123CAF">
      <w:pPr>
        <w:spacing w:after="0"/>
        <w:rPr>
          <w:rFonts w:ascii="Arial" w:hAnsi="Arial" w:cs="Arial"/>
          <w:i w:val="0"/>
        </w:rPr>
      </w:pPr>
      <w:r w:rsidRPr="00FA4826">
        <w:rPr>
          <w:rFonts w:ascii="Arial" w:hAnsi="Arial" w:cs="Arial"/>
          <w:i w:val="0"/>
        </w:rPr>
        <w:t xml:space="preserve">La banque centrale a eu une action sur la liquidité bancaire et sur les taux d’intérêt elle va encourager ou inciter le taux d’intérêt grâce </w:t>
      </w:r>
      <w:proofErr w:type="spellStart"/>
      <w:r w:rsidRPr="00FA4826">
        <w:rPr>
          <w:rFonts w:ascii="Arial" w:hAnsi="Arial" w:cs="Arial"/>
          <w:i w:val="0"/>
        </w:rPr>
        <w:t>a</w:t>
      </w:r>
      <w:proofErr w:type="spellEnd"/>
      <w:r w:rsidRPr="00FA4826">
        <w:rPr>
          <w:rFonts w:ascii="Arial" w:hAnsi="Arial" w:cs="Arial"/>
          <w:i w:val="0"/>
        </w:rPr>
        <w:t xml:space="preserve"> la création monétaire, également à travers la réserve obligatoire.  </w:t>
      </w:r>
    </w:p>
    <w:p w:rsidR="00832B94" w:rsidRPr="00FA4826" w:rsidRDefault="00876BDD" w:rsidP="00123CAF">
      <w:pPr>
        <w:spacing w:after="0"/>
        <w:rPr>
          <w:rFonts w:ascii="Arial" w:hAnsi="Arial" w:cs="Arial"/>
          <w:i w:val="0"/>
        </w:rPr>
      </w:pPr>
      <w:r w:rsidRPr="00FA4826">
        <w:rPr>
          <w:rFonts w:ascii="Arial" w:hAnsi="Arial" w:cs="Arial"/>
          <w:i w:val="0"/>
        </w:rPr>
        <w:t xml:space="preserve">Elle va avoir une action sur les taux de changes : est levé maintenant dans l’essentiel des pays. Mais là où la banque centrale va avoir de l’importance sur les taux de changes c’est qu’elle va intervenir sur les marchés : elle compare son taux de change avec les autres sur le marché : elle peut acheter avec sa monnaie des monnaies étrangères. La Chine a des taux de changes faibles pour pouvoir exporter : elle fait en sorte d’acheter énormément de devises étrangères ; elle fait entrer des devises étrangères, il y a donc beaucoup de Yuan sur le marché et le taux de changes baisse. Maniement des taux d‘intérêt : si le gouvernement chinois. Intervention sur le marché des changes. Cela va modifier les parités que ce soit à court moyen ou long terme. </w:t>
      </w:r>
    </w:p>
    <w:p w:rsidR="00832B94" w:rsidRPr="00FA4826" w:rsidRDefault="00832B94" w:rsidP="00123CAF">
      <w:pPr>
        <w:spacing w:after="0"/>
        <w:rPr>
          <w:rFonts w:ascii="Arial" w:hAnsi="Arial" w:cs="Arial"/>
          <w:i w:val="0"/>
        </w:rPr>
      </w:pPr>
      <w:r w:rsidRPr="00FA4826">
        <w:rPr>
          <w:rFonts w:ascii="Arial" w:hAnsi="Arial" w:cs="Arial"/>
          <w:i w:val="0"/>
        </w:rPr>
        <w:t xml:space="preserve">A court terme vendre ou acheter des monnaies étrangères : dévaluer la monnaie. A long terme on va avoir l’effet de départ qui va être gommé par le taux de change va ré augmenter. Cela est le cas de la Chine, l’Allemagne qui </w:t>
      </w:r>
      <w:proofErr w:type="gramStart"/>
      <w:r w:rsidRPr="00FA4826">
        <w:rPr>
          <w:rFonts w:ascii="Arial" w:hAnsi="Arial" w:cs="Arial"/>
          <w:i w:val="0"/>
        </w:rPr>
        <w:t>exportent</w:t>
      </w:r>
      <w:proofErr w:type="gramEnd"/>
      <w:r w:rsidRPr="00FA4826">
        <w:rPr>
          <w:rFonts w:ascii="Arial" w:hAnsi="Arial" w:cs="Arial"/>
          <w:i w:val="0"/>
        </w:rPr>
        <w:t xml:space="preserve"> beaucoup. La politique monétaire est conçue sur les équilibres extérieurs. </w:t>
      </w:r>
    </w:p>
    <w:p w:rsidR="00000A38" w:rsidRPr="00FA4826" w:rsidRDefault="00832B94" w:rsidP="00123CAF">
      <w:pPr>
        <w:spacing w:after="0"/>
        <w:rPr>
          <w:rFonts w:ascii="Arial" w:hAnsi="Arial" w:cs="Arial"/>
          <w:i w:val="0"/>
        </w:rPr>
      </w:pPr>
      <w:r w:rsidRPr="00FA4826">
        <w:rPr>
          <w:rFonts w:ascii="Arial" w:hAnsi="Arial" w:cs="Arial"/>
          <w:i w:val="0"/>
        </w:rPr>
        <w:t xml:space="preserve">Comme la monnaie s’apprécie, les exportations se renchérissent. Pour que les exportations se renchérissent </w:t>
      </w:r>
      <w:r w:rsidR="006561E2" w:rsidRPr="00FA4826">
        <w:rPr>
          <w:rFonts w:ascii="Arial" w:hAnsi="Arial" w:cs="Arial"/>
          <w:i w:val="0"/>
        </w:rPr>
        <w:t>pas, le pays va déverser sur le</w:t>
      </w:r>
      <w:r w:rsidRPr="00FA4826">
        <w:rPr>
          <w:rFonts w:ascii="Arial" w:hAnsi="Arial" w:cs="Arial"/>
          <w:i w:val="0"/>
        </w:rPr>
        <w:t>s</w:t>
      </w:r>
      <w:r w:rsidR="006561E2" w:rsidRPr="00FA4826">
        <w:rPr>
          <w:rFonts w:ascii="Arial" w:hAnsi="Arial" w:cs="Arial"/>
          <w:i w:val="0"/>
        </w:rPr>
        <w:t xml:space="preserve"> </w:t>
      </w:r>
      <w:r w:rsidRPr="00FA4826">
        <w:rPr>
          <w:rFonts w:ascii="Arial" w:hAnsi="Arial" w:cs="Arial"/>
          <w:i w:val="0"/>
        </w:rPr>
        <w:t>marchés leur monnaie en achetant des devises, on enlève les devises étrangères pour les remplacer par les notre : le taux de changes va baisser mais comme on</w:t>
      </w:r>
      <w:r w:rsidR="006561E2" w:rsidRPr="00FA4826">
        <w:rPr>
          <w:rFonts w:ascii="Arial" w:hAnsi="Arial" w:cs="Arial"/>
          <w:i w:val="0"/>
        </w:rPr>
        <w:t xml:space="preserve"> </w:t>
      </w:r>
      <w:r w:rsidRPr="00FA4826">
        <w:rPr>
          <w:rFonts w:ascii="Arial" w:hAnsi="Arial" w:cs="Arial"/>
          <w:i w:val="0"/>
        </w:rPr>
        <w:t>continue les exportations cela va s’apprécier à moyen terme puis on repren</w:t>
      </w:r>
      <w:r w:rsidR="006561E2" w:rsidRPr="00FA4826">
        <w:rPr>
          <w:rFonts w:ascii="Arial" w:hAnsi="Arial" w:cs="Arial"/>
          <w:i w:val="0"/>
        </w:rPr>
        <w:t>d</w:t>
      </w:r>
      <w:r w:rsidRPr="00FA4826">
        <w:rPr>
          <w:rFonts w:ascii="Arial" w:hAnsi="Arial" w:cs="Arial"/>
          <w:i w:val="0"/>
        </w:rPr>
        <w:t xml:space="preserve"> un cycle </w:t>
      </w:r>
      <w:proofErr w:type="spellStart"/>
      <w:r w:rsidRPr="00FA4826">
        <w:rPr>
          <w:rFonts w:ascii="Arial" w:hAnsi="Arial" w:cs="Arial"/>
          <w:i w:val="0"/>
        </w:rPr>
        <w:t>a</w:t>
      </w:r>
      <w:proofErr w:type="spellEnd"/>
      <w:r w:rsidRPr="00FA4826">
        <w:rPr>
          <w:rFonts w:ascii="Arial" w:hAnsi="Arial" w:cs="Arial"/>
          <w:i w:val="0"/>
        </w:rPr>
        <w:t xml:space="preserve"> long terme. </w:t>
      </w:r>
    </w:p>
    <w:p w:rsidR="00C80CCE" w:rsidRPr="00FA4826" w:rsidRDefault="00C80CCE" w:rsidP="00123CAF">
      <w:pPr>
        <w:spacing w:after="0"/>
        <w:rPr>
          <w:rFonts w:ascii="Arial" w:hAnsi="Arial" w:cs="Arial"/>
          <w:i w:val="0"/>
        </w:rPr>
      </w:pPr>
    </w:p>
    <w:p w:rsidR="00000A38" w:rsidRPr="00FA4826" w:rsidRDefault="00000A38" w:rsidP="00123CAF">
      <w:pPr>
        <w:pStyle w:val="Titre1"/>
        <w:rPr>
          <w:rFonts w:ascii="Arial" w:hAnsi="Arial" w:cs="Arial"/>
          <w:i w:val="0"/>
        </w:rPr>
      </w:pPr>
      <w:bookmarkStart w:id="31" w:name="_Toc379227145"/>
      <w:r w:rsidRPr="00FA4826">
        <w:rPr>
          <w:rFonts w:ascii="Arial" w:hAnsi="Arial" w:cs="Arial"/>
          <w:i w:val="0"/>
        </w:rPr>
        <w:t>III. Les différentes politiques monétaires :</w:t>
      </w:r>
      <w:bookmarkEnd w:id="31"/>
    </w:p>
    <w:p w:rsidR="0071392C" w:rsidRPr="00FA4826" w:rsidRDefault="0071392C" w:rsidP="00123CAF">
      <w:pPr>
        <w:spacing w:after="0"/>
        <w:rPr>
          <w:rFonts w:ascii="Arial" w:hAnsi="Arial" w:cs="Arial"/>
          <w:i w:val="0"/>
        </w:rPr>
      </w:pPr>
    </w:p>
    <w:p w:rsidR="0071392C" w:rsidRPr="00FA4826" w:rsidRDefault="00000A38" w:rsidP="00123CAF">
      <w:pPr>
        <w:spacing w:after="0"/>
        <w:rPr>
          <w:rFonts w:ascii="Arial" w:hAnsi="Arial" w:cs="Arial"/>
          <w:i w:val="0"/>
        </w:rPr>
      </w:pPr>
      <w:r w:rsidRPr="00FA4826">
        <w:rPr>
          <w:rFonts w:ascii="Arial" w:hAnsi="Arial" w:cs="Arial"/>
          <w:i w:val="0"/>
        </w:rPr>
        <w:t xml:space="preserve">Selon les banques centrales la politique monétaire n’a pas le même objectif. On va voir que les 4 objectifs finaux ne sont pas traités de la même façon en fonction des différentes banques centrales. </w:t>
      </w:r>
    </w:p>
    <w:p w:rsidR="00000A38" w:rsidRPr="00FA4826" w:rsidRDefault="00000A38" w:rsidP="00123CAF">
      <w:pPr>
        <w:spacing w:after="0"/>
        <w:rPr>
          <w:rFonts w:ascii="Arial" w:hAnsi="Arial" w:cs="Arial"/>
          <w:i w:val="0"/>
        </w:rPr>
      </w:pPr>
      <w:r w:rsidRPr="00FA4826">
        <w:rPr>
          <w:rFonts w:ascii="Arial" w:hAnsi="Arial" w:cs="Arial"/>
          <w:b/>
          <w:i w:val="0"/>
        </w:rPr>
        <w:lastRenderedPageBreak/>
        <w:t>Pour la BCE l’objectif</w:t>
      </w:r>
      <w:r w:rsidRPr="00FA4826">
        <w:rPr>
          <w:rFonts w:ascii="Arial" w:hAnsi="Arial" w:cs="Arial"/>
          <w:i w:val="0"/>
        </w:rPr>
        <w:t xml:space="preserve"> final c’est la stabilité des prix. </w:t>
      </w:r>
    </w:p>
    <w:p w:rsidR="00E27CFB" w:rsidRPr="00FA4826" w:rsidRDefault="00000A38" w:rsidP="00123CAF">
      <w:pPr>
        <w:spacing w:after="0"/>
        <w:rPr>
          <w:rFonts w:ascii="Arial" w:hAnsi="Arial" w:cs="Arial"/>
          <w:i w:val="0"/>
        </w:rPr>
      </w:pPr>
      <w:r w:rsidRPr="00FA4826">
        <w:rPr>
          <w:rFonts w:ascii="Arial" w:hAnsi="Arial" w:cs="Arial"/>
          <w:i w:val="0"/>
          <w:noProof/>
          <w:lang w:eastAsia="fr-FR"/>
        </w:rPr>
        <w:drawing>
          <wp:inline distT="0" distB="0" distL="0" distR="0" wp14:anchorId="319664B9" wp14:editId="71A2CD1E">
            <wp:extent cx="5760720" cy="2046813"/>
            <wp:effectExtent l="25400" t="0" r="5080" b="0"/>
            <wp:docPr id="14" name="O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12200" cy="3095625"/>
                      <a:chOff x="180975" y="2852738"/>
                      <a:chExt cx="8712200" cy="3095625"/>
                    </a:xfrm>
                  </a:grpSpPr>
                  <a:sp>
                    <a:nvSpPr>
                      <a:cNvPr id="91140" name="Text Box 4"/>
                      <a:cNvSpPr txBox="1">
                        <a:spLocks noChangeArrowheads="1"/>
                      </a:cNvSpPr>
                    </a:nvSpPr>
                    <a:spPr bwMode="auto">
                      <a:xfrm>
                        <a:off x="180975" y="4076700"/>
                        <a:ext cx="2519363" cy="1392238"/>
                      </a:xfrm>
                      <a:prstGeom prst="rect">
                        <a:avLst/>
                      </a:prstGeom>
                      <a:solidFill>
                        <a:srgbClr val="0000FF"/>
                      </a:solidFill>
                      <a:ln w="63500">
                        <a:solidFill>
                          <a:srgbClr val="FFFF00"/>
                        </a:solidFill>
                        <a:miter lim="800000"/>
                        <a:headEnd/>
                        <a:tailEnd/>
                      </a:ln>
                    </a:spPr>
                    <a:txSp>
                      <a:txBody>
                        <a:bodyPr>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spcBef>
                              <a:spcPct val="50000"/>
                            </a:spcBef>
                          </a:pPr>
                          <a:r>
                            <a:rPr lang="fr-FR" b="1" dirty="0">
                              <a:solidFill>
                                <a:srgbClr val="FFFF00"/>
                              </a:solidFill>
                            </a:rPr>
                            <a:t>BCE (Indépendante)</a:t>
                          </a:r>
                        </a:p>
                        <a:p>
                          <a:pPr algn="ctr">
                            <a:spcBef>
                              <a:spcPct val="50000"/>
                            </a:spcBef>
                          </a:pPr>
                          <a:r>
                            <a:rPr lang="fr-FR" dirty="0">
                              <a:solidFill>
                                <a:srgbClr val="FFFF00"/>
                              </a:solidFill>
                            </a:rPr>
                            <a:t>Elle privilégie la stabilité des prix</a:t>
                          </a:r>
                        </a:p>
                      </a:txBody>
                      <a:useSpRect/>
                    </a:txSp>
                  </a:sp>
                  <a:sp>
                    <a:nvSpPr>
                      <a:cNvPr id="91141" name="Text Box 5" descr="blanc)"/>
                      <a:cNvSpPr txBox="1">
                        <a:spLocks noChangeArrowheads="1"/>
                      </a:cNvSpPr>
                    </a:nvSpPr>
                    <a:spPr bwMode="auto">
                      <a:xfrm>
                        <a:off x="2916238" y="3922713"/>
                        <a:ext cx="2663825" cy="1666875"/>
                      </a:xfrm>
                      <a:prstGeom prst="rect">
                        <a:avLst/>
                      </a:prstGeom>
                      <a:pattFill prst="dkHorz">
                        <a:fgClr>
                          <a:srgbClr val="FF0000"/>
                        </a:fgClr>
                        <a:bgClr>
                          <a:schemeClr val="bg1"/>
                        </a:bgClr>
                      </a:pattFill>
                      <a:ln w="63500">
                        <a:solidFill>
                          <a:srgbClr val="0000FF"/>
                        </a:solidFill>
                        <a:miter lim="800000"/>
                        <a:headEnd/>
                        <a:tailEnd/>
                      </a:ln>
                    </a:spPr>
                    <a:txSp>
                      <a:txBody>
                        <a:bodyPr>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spcBef>
                              <a:spcPct val="50000"/>
                            </a:spcBef>
                          </a:pPr>
                          <a:r>
                            <a:rPr lang="fr-FR" b="1" dirty="0"/>
                            <a:t>FED (Indépendante)</a:t>
                          </a:r>
                        </a:p>
                        <a:p>
                          <a:pPr algn="ctr">
                            <a:spcBef>
                              <a:spcPct val="50000"/>
                            </a:spcBef>
                          </a:pPr>
                          <a:r>
                            <a:rPr lang="fr-FR" dirty="0"/>
                            <a:t>Elle arbitre entre stabilité des prix et niveau de croissance</a:t>
                          </a:r>
                        </a:p>
                      </a:txBody>
                      <a:useSpRect/>
                    </a:txSp>
                  </a:sp>
                  <a:sp>
                    <a:nvSpPr>
                      <a:cNvPr id="91142" name="Text Box 6"/>
                      <a:cNvSpPr txBox="1">
                        <a:spLocks noChangeArrowheads="1"/>
                      </a:cNvSpPr>
                    </a:nvSpPr>
                    <a:spPr bwMode="auto">
                      <a:xfrm>
                        <a:off x="5795963" y="3573463"/>
                        <a:ext cx="3097212" cy="2374900"/>
                      </a:xfrm>
                      <a:prstGeom prst="rect">
                        <a:avLst/>
                      </a:prstGeom>
                      <a:solidFill>
                        <a:srgbClr val="FF0000"/>
                      </a:solidFill>
                      <a:ln w="53975">
                        <a:solidFill>
                          <a:srgbClr val="FFFF00"/>
                        </a:solidFill>
                        <a:miter lim="800000"/>
                        <a:headEnd/>
                        <a:tailEnd/>
                      </a:ln>
                    </a:spPr>
                    <a:txSp>
                      <a:txBody>
                        <a:bodyPr>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r>
                            <a:rPr lang="fr-FR" sz="2000" b="1">
                              <a:solidFill>
                                <a:srgbClr val="FFFF00"/>
                              </a:solidFill>
                            </a:rPr>
                            <a:t>PBOC</a:t>
                          </a:r>
                        </a:p>
                        <a:p>
                          <a:pPr algn="ctr"/>
                          <a:r>
                            <a:rPr lang="fr-FR" b="1" i="1">
                              <a:solidFill>
                                <a:srgbClr val="FFFF00"/>
                              </a:solidFill>
                            </a:rPr>
                            <a:t>(Banque de la République Populaire de Chine) </a:t>
                          </a:r>
                        </a:p>
                        <a:p>
                          <a:pPr algn="ctr"/>
                          <a:r>
                            <a:rPr lang="fr-FR" sz="1600" b="1">
                              <a:solidFill>
                                <a:srgbClr val="FFFF00"/>
                              </a:solidFill>
                            </a:rPr>
                            <a:t>(Dépend du pouvoir politique)</a:t>
                          </a:r>
                        </a:p>
                        <a:p>
                          <a:pPr algn="ctr"/>
                          <a:r>
                            <a:rPr lang="fr-FR" sz="1600" b="1">
                              <a:solidFill>
                                <a:srgbClr val="FFFF00"/>
                              </a:solidFill>
                            </a:rPr>
                            <a:t>Ses objectifs sont pluriels : un Yuan faible,</a:t>
                          </a:r>
                        </a:p>
                        <a:p>
                          <a:pPr algn="ctr"/>
                          <a:r>
                            <a:rPr lang="fr-FR" sz="1600" b="1">
                              <a:solidFill>
                                <a:srgbClr val="FFFF00"/>
                              </a:solidFill>
                            </a:rPr>
                            <a:t>Stabilité des prix,</a:t>
                          </a:r>
                        </a:p>
                        <a:p>
                          <a:pPr algn="ctr"/>
                          <a:r>
                            <a:rPr lang="fr-FR" sz="1600" b="1">
                              <a:solidFill>
                                <a:srgbClr val="FFFF00"/>
                              </a:solidFill>
                            </a:rPr>
                            <a:t>Croissance, etc.</a:t>
                          </a:r>
                        </a:p>
                      </a:txBody>
                      <a:useSpRect/>
                    </a:txSp>
                  </a:sp>
                  <a:sp>
                    <a:nvSpPr>
                      <a:cNvPr id="91143" name="AutoShape 7"/>
                      <a:cNvSpPr>
                        <a:spLocks noChangeArrowheads="1"/>
                      </a:cNvSpPr>
                    </a:nvSpPr>
                    <a:spPr bwMode="auto">
                      <a:xfrm rot="8283187">
                        <a:off x="1189038" y="3282950"/>
                        <a:ext cx="1636712" cy="288925"/>
                      </a:xfrm>
                      <a:prstGeom prst="rightArrow">
                        <a:avLst>
                          <a:gd name="adj1" fmla="val 50000"/>
                          <a:gd name="adj2" fmla="val 141621"/>
                        </a:avLst>
                      </a:prstGeom>
                      <a:solidFill>
                        <a:srgbClr val="0000FF"/>
                      </a:solidFill>
                      <a:ln w="38100">
                        <a:solidFill>
                          <a:srgbClr val="FFFF00"/>
                        </a:solidFill>
                        <a:miter lim="800000"/>
                        <a:headEnd/>
                        <a:tailEnd/>
                      </a:ln>
                    </a:spPr>
                    <a:txSp>
                      <a:txBody>
                        <a:bodyPr wrap="none" anchor="ct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fr-FR"/>
                        </a:p>
                      </a:txBody>
                      <a:useSpRect/>
                    </a:txSp>
                  </a:sp>
                  <a:sp>
                    <a:nvSpPr>
                      <a:cNvPr id="91144" name="AutoShape 8" descr="blanc)"/>
                      <a:cNvSpPr>
                        <a:spLocks noChangeArrowheads="1"/>
                      </a:cNvSpPr>
                    </a:nvSpPr>
                    <a:spPr bwMode="auto">
                      <a:xfrm rot="5400000">
                        <a:off x="3708401" y="3140075"/>
                        <a:ext cx="863600" cy="288925"/>
                      </a:xfrm>
                      <a:prstGeom prst="rightArrow">
                        <a:avLst>
                          <a:gd name="adj1" fmla="val 50000"/>
                          <a:gd name="adj2" fmla="val 74725"/>
                        </a:avLst>
                      </a:prstGeom>
                      <a:pattFill prst="dkHorz">
                        <a:fgClr>
                          <a:schemeClr val="bg1"/>
                        </a:fgClr>
                        <a:bgClr>
                          <a:srgbClr val="FF0000"/>
                        </a:bgClr>
                      </a:pattFill>
                      <a:ln w="38100">
                        <a:solidFill>
                          <a:srgbClr val="0000FF"/>
                        </a:solidFill>
                        <a:miter lim="800000"/>
                        <a:headEnd/>
                        <a:tailEnd/>
                      </a:ln>
                    </a:spPr>
                    <a:txSp>
                      <a:txBody>
                        <a:bodyPr wrap="none" anchor="ct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fr-FR"/>
                        </a:p>
                      </a:txBody>
                      <a:useSpRect/>
                    </a:txSp>
                  </a:sp>
                  <a:sp>
                    <a:nvSpPr>
                      <a:cNvPr id="91145" name="AutoShape 9"/>
                      <a:cNvSpPr>
                        <a:spLocks noChangeArrowheads="1"/>
                      </a:cNvSpPr>
                    </a:nvSpPr>
                    <a:spPr bwMode="auto">
                      <a:xfrm rot="1178241">
                        <a:off x="5957888" y="3065463"/>
                        <a:ext cx="1549400" cy="222250"/>
                      </a:xfrm>
                      <a:prstGeom prst="rightArrow">
                        <a:avLst>
                          <a:gd name="adj1" fmla="val 50000"/>
                          <a:gd name="adj2" fmla="val 174286"/>
                        </a:avLst>
                      </a:prstGeom>
                      <a:solidFill>
                        <a:srgbClr val="FFFF00"/>
                      </a:solidFill>
                      <a:ln w="38100">
                        <a:solidFill>
                          <a:srgbClr val="FF0000"/>
                        </a:solidFill>
                        <a:miter lim="800000"/>
                        <a:headEnd/>
                        <a:tailEnd/>
                      </a:ln>
                    </a:spPr>
                    <a:txSp>
                      <a:txBody>
                        <a:bodyPr wrap="none" anchor="ct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fr-FR"/>
                        </a:p>
                      </a:txBody>
                      <a:useSpRect/>
                    </a:txSp>
                  </a:sp>
                </lc:lockedCanvas>
              </a:graphicData>
            </a:graphic>
          </wp:inline>
        </w:drawing>
      </w:r>
    </w:p>
    <w:p w:rsidR="00E27CFB" w:rsidRPr="00FA4826" w:rsidRDefault="00E27CFB" w:rsidP="00123CAF">
      <w:pPr>
        <w:spacing w:after="0"/>
        <w:rPr>
          <w:rFonts w:ascii="Arial" w:hAnsi="Arial" w:cs="Arial"/>
          <w:i w:val="0"/>
        </w:rPr>
      </w:pPr>
    </w:p>
    <w:p w:rsidR="00000A38" w:rsidRPr="00FA4826" w:rsidRDefault="00000A38" w:rsidP="00123CAF">
      <w:pPr>
        <w:spacing w:after="0"/>
        <w:rPr>
          <w:rFonts w:ascii="Arial" w:hAnsi="Arial" w:cs="Arial"/>
          <w:i w:val="0"/>
        </w:rPr>
      </w:pPr>
      <w:r w:rsidRPr="00FA4826">
        <w:rPr>
          <w:rFonts w:ascii="Arial" w:hAnsi="Arial" w:cs="Arial"/>
          <w:b/>
          <w:i w:val="0"/>
        </w:rPr>
        <w:t>La FED</w:t>
      </w:r>
      <w:r w:rsidRPr="00FA4826">
        <w:rPr>
          <w:rFonts w:ascii="Arial" w:hAnsi="Arial" w:cs="Arial"/>
          <w:i w:val="0"/>
        </w:rPr>
        <w:t xml:space="preserve">, n’a pas un seul objectif mais elle dispose de deux objectifs la stabilité des prix et la croissance, dès qu’on a un seul objectif on peut se dégager du politique. Pour la FED on a déjà beaucoup plus de mal à se dégager de la politique car deux objectifs. La crise des </w:t>
      </w:r>
      <w:proofErr w:type="spellStart"/>
      <w:r w:rsidRPr="00FA4826">
        <w:rPr>
          <w:rFonts w:ascii="Arial" w:hAnsi="Arial" w:cs="Arial"/>
          <w:i w:val="0"/>
        </w:rPr>
        <w:t>subprimes</w:t>
      </w:r>
      <w:proofErr w:type="spellEnd"/>
      <w:r w:rsidRPr="00FA4826">
        <w:rPr>
          <w:rFonts w:ascii="Arial" w:hAnsi="Arial" w:cs="Arial"/>
          <w:i w:val="0"/>
        </w:rPr>
        <w:t xml:space="preserve"> est un peu le fruit de cet objectif bipolaire car au début des années 2000 il y avait une forte augmentation du chômage et une fable croissance : on va arbitrer et on va laisser relâcher la contrainte stabilité des prix qui avait été forte pendant </w:t>
      </w:r>
      <w:proofErr w:type="gramStart"/>
      <w:r w:rsidRPr="00FA4826">
        <w:rPr>
          <w:rFonts w:ascii="Arial" w:hAnsi="Arial" w:cs="Arial"/>
          <w:i w:val="0"/>
        </w:rPr>
        <w:t>les gouvernement</w:t>
      </w:r>
      <w:proofErr w:type="gramEnd"/>
      <w:r w:rsidRPr="00FA4826">
        <w:rPr>
          <w:rFonts w:ascii="Arial" w:hAnsi="Arial" w:cs="Arial"/>
          <w:i w:val="0"/>
        </w:rPr>
        <w:t xml:space="preserve"> précédents pour privilégier la croissance ; on va donc donner du crédit plus facilement, il faut donc des taux directeurs très faibles. Cela a </w:t>
      </w:r>
      <w:r w:rsidR="00616B92" w:rsidRPr="00FA4826">
        <w:rPr>
          <w:rFonts w:ascii="Arial" w:hAnsi="Arial" w:cs="Arial"/>
          <w:i w:val="0"/>
        </w:rPr>
        <w:t>éclaté</w:t>
      </w:r>
      <w:r w:rsidRPr="00FA4826">
        <w:rPr>
          <w:rFonts w:ascii="Arial" w:hAnsi="Arial" w:cs="Arial"/>
          <w:i w:val="0"/>
        </w:rPr>
        <w:t xml:space="preserve"> quelques années après. </w:t>
      </w:r>
    </w:p>
    <w:p w:rsidR="00667101" w:rsidRPr="00FA4826" w:rsidRDefault="00000A38" w:rsidP="00123CAF">
      <w:pPr>
        <w:spacing w:after="0"/>
        <w:rPr>
          <w:rFonts w:ascii="Arial" w:hAnsi="Arial" w:cs="Arial"/>
          <w:i w:val="0"/>
        </w:rPr>
      </w:pPr>
      <w:r w:rsidRPr="00FA4826">
        <w:rPr>
          <w:rFonts w:ascii="Arial" w:hAnsi="Arial" w:cs="Arial"/>
          <w:b/>
          <w:i w:val="0"/>
        </w:rPr>
        <w:t>La banque centrale chinoise</w:t>
      </w:r>
      <w:r w:rsidRPr="00FA4826">
        <w:rPr>
          <w:rFonts w:ascii="Arial" w:hAnsi="Arial" w:cs="Arial"/>
          <w:i w:val="0"/>
        </w:rPr>
        <w:t xml:space="preserve"> n’est pas indépendante, elle dépend du politique. La banque centrale ne fonction d’un objectif politique va avoir un objectif déterminant. </w:t>
      </w:r>
      <w:r w:rsidR="00616B92" w:rsidRPr="00FA4826">
        <w:rPr>
          <w:rFonts w:ascii="Arial" w:hAnsi="Arial" w:cs="Arial"/>
          <w:i w:val="0"/>
        </w:rPr>
        <w:t xml:space="preserve">Le gouvernement chinois donne pour l’instant à la banque centrale chinoise l’objectif d’avoir des taux de changes faibles pour pouvoir exporter beaucoup. </w:t>
      </w:r>
      <w:r w:rsidR="0071392C" w:rsidRPr="00FA4826">
        <w:rPr>
          <w:rFonts w:ascii="Arial" w:hAnsi="Arial" w:cs="Arial"/>
          <w:i w:val="0"/>
        </w:rPr>
        <w:t xml:space="preserve">Il y a un déséquilibre en sa faveur </w:t>
      </w:r>
      <w:proofErr w:type="spellStart"/>
      <w:r w:rsidR="0071392C" w:rsidRPr="00FA4826">
        <w:rPr>
          <w:rFonts w:ascii="Arial" w:hAnsi="Arial" w:cs="Arial"/>
          <w:i w:val="0"/>
        </w:rPr>
        <w:t>a</w:t>
      </w:r>
      <w:proofErr w:type="spellEnd"/>
      <w:r w:rsidR="0071392C" w:rsidRPr="00FA4826">
        <w:rPr>
          <w:rFonts w:ascii="Arial" w:hAnsi="Arial" w:cs="Arial"/>
          <w:i w:val="0"/>
        </w:rPr>
        <w:t xml:space="preserve"> travers des exportations. </w:t>
      </w:r>
    </w:p>
    <w:p w:rsidR="00667101" w:rsidRPr="00FA4826" w:rsidRDefault="00667101" w:rsidP="00123CAF">
      <w:pPr>
        <w:spacing w:after="0"/>
        <w:rPr>
          <w:rFonts w:ascii="Arial" w:hAnsi="Arial" w:cs="Arial"/>
          <w:i w:val="0"/>
        </w:rPr>
      </w:pPr>
      <w:r w:rsidRPr="00FA4826">
        <w:rPr>
          <w:rFonts w:ascii="Arial" w:hAnsi="Arial" w:cs="Arial"/>
          <w:i w:val="0"/>
        </w:rPr>
        <w:t xml:space="preserve">Si on se penche un peu plus sur la </w:t>
      </w:r>
      <w:proofErr w:type="gramStart"/>
      <w:r w:rsidRPr="00FA4826">
        <w:rPr>
          <w:rFonts w:ascii="Arial" w:hAnsi="Arial" w:cs="Arial"/>
          <w:i w:val="0"/>
        </w:rPr>
        <w:t>BCE .</w:t>
      </w:r>
      <w:proofErr w:type="gramEnd"/>
      <w:r w:rsidRPr="00FA4826">
        <w:rPr>
          <w:rFonts w:ascii="Arial" w:hAnsi="Arial" w:cs="Arial"/>
          <w:i w:val="0"/>
        </w:rPr>
        <w:t xml:space="preserve"> </w:t>
      </w:r>
    </w:p>
    <w:p w:rsidR="00667101" w:rsidRPr="00FA4826" w:rsidRDefault="00667101" w:rsidP="00123CAF">
      <w:pPr>
        <w:spacing w:after="0"/>
        <w:rPr>
          <w:rFonts w:ascii="Arial" w:hAnsi="Arial" w:cs="Arial"/>
          <w:i w:val="0"/>
        </w:rPr>
      </w:pPr>
    </w:p>
    <w:p w:rsidR="00667101" w:rsidRPr="00FA4826" w:rsidRDefault="00667101" w:rsidP="00C64C89">
      <w:pPr>
        <w:pStyle w:val="Titre2"/>
        <w:numPr>
          <w:ilvl w:val="0"/>
          <w:numId w:val="47"/>
        </w:numPr>
        <w:rPr>
          <w:rFonts w:ascii="Arial" w:hAnsi="Arial" w:cs="Arial"/>
          <w:i w:val="0"/>
        </w:rPr>
      </w:pPr>
      <w:bookmarkStart w:id="32" w:name="_Toc379227146"/>
      <w:r w:rsidRPr="00FA4826">
        <w:rPr>
          <w:rFonts w:ascii="Arial" w:hAnsi="Arial" w:cs="Arial"/>
          <w:i w:val="0"/>
        </w:rPr>
        <w:t>Exemple de la PM de la BCE :</w:t>
      </w:r>
      <w:bookmarkEnd w:id="32"/>
      <w:r w:rsidRPr="00FA4826">
        <w:rPr>
          <w:rFonts w:ascii="Arial" w:hAnsi="Arial" w:cs="Arial"/>
          <w:i w:val="0"/>
        </w:rPr>
        <w:t xml:space="preserve"> </w:t>
      </w:r>
    </w:p>
    <w:p w:rsidR="00667101" w:rsidRPr="00FA4826" w:rsidRDefault="00667101" w:rsidP="00123CAF">
      <w:pPr>
        <w:spacing w:after="0"/>
        <w:rPr>
          <w:rFonts w:ascii="Arial" w:hAnsi="Arial" w:cs="Arial"/>
          <w:i w:val="0"/>
        </w:rPr>
      </w:pPr>
      <w:r w:rsidRPr="00FA4826">
        <w:rPr>
          <w:rFonts w:ascii="Arial" w:hAnsi="Arial" w:cs="Arial"/>
          <w:i w:val="0"/>
        </w:rPr>
        <w:t xml:space="preserve">L’indépendance c’est indépendant par rapport au pouvoir politique. </w:t>
      </w:r>
    </w:p>
    <w:p w:rsidR="00667101" w:rsidRPr="00FA4826" w:rsidRDefault="00667101" w:rsidP="00123CAF">
      <w:pPr>
        <w:spacing w:after="0"/>
        <w:rPr>
          <w:rFonts w:ascii="Arial" w:hAnsi="Arial" w:cs="Arial"/>
          <w:i w:val="0"/>
        </w:rPr>
      </w:pPr>
      <w:r w:rsidRPr="00FA4826">
        <w:rPr>
          <w:rFonts w:ascii="Arial" w:hAnsi="Arial" w:cs="Arial"/>
          <w:i w:val="0"/>
        </w:rPr>
        <w:t xml:space="preserve">C’est l’article 108. </w:t>
      </w:r>
    </w:p>
    <w:p w:rsidR="00667101" w:rsidRPr="00FA4826" w:rsidRDefault="00667101" w:rsidP="00123CAF">
      <w:pPr>
        <w:spacing w:after="0"/>
        <w:rPr>
          <w:rFonts w:ascii="Arial" w:hAnsi="Arial" w:cs="Arial"/>
          <w:i w:val="0"/>
        </w:rPr>
      </w:pPr>
      <w:r w:rsidRPr="00FA4826">
        <w:rPr>
          <w:rFonts w:ascii="Arial" w:hAnsi="Arial" w:cs="Arial"/>
          <w:i w:val="0"/>
        </w:rPr>
        <w:t xml:space="preserve">La banque centrale a été indépendante en 1992, suite à la ratification du traité de Maastricht. Il a été demandé est ce que oui ou non vous votez positivement au traité dans lequel était inscrit : la banque centrale indépendante + objectif de la stabilité des prix. </w:t>
      </w:r>
    </w:p>
    <w:p w:rsidR="00C437AE" w:rsidRPr="00FA4826" w:rsidRDefault="00667101" w:rsidP="00123CAF">
      <w:pPr>
        <w:spacing w:after="0"/>
        <w:rPr>
          <w:rFonts w:ascii="Arial" w:hAnsi="Arial" w:cs="Arial"/>
          <w:i w:val="0"/>
        </w:rPr>
      </w:pPr>
      <w:r w:rsidRPr="00FA4826">
        <w:rPr>
          <w:rFonts w:ascii="Arial" w:hAnsi="Arial" w:cs="Arial"/>
          <w:i w:val="0"/>
          <w:noProof/>
          <w:lang w:eastAsia="fr-FR"/>
        </w:rPr>
        <w:drawing>
          <wp:inline distT="0" distB="0" distL="0" distR="0" wp14:anchorId="0DA3F5C8" wp14:editId="6618B320">
            <wp:extent cx="5760720" cy="2931193"/>
            <wp:effectExtent l="25400" t="0" r="5080" b="0"/>
            <wp:docPr id="16" name="I 2"/>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srcRect/>
                    <a:stretch>
                      <a:fillRect/>
                    </a:stretch>
                  </pic:blipFill>
                  <pic:spPr bwMode="auto">
                    <a:xfrm>
                      <a:off x="0" y="0"/>
                      <a:ext cx="5760720" cy="2931193"/>
                    </a:xfrm>
                    <a:prstGeom prst="rect">
                      <a:avLst/>
                    </a:prstGeom>
                    <a:noFill/>
                    <a:ln w="9525">
                      <a:noFill/>
                      <a:miter lim="800000"/>
                      <a:headEnd/>
                      <a:tailEnd/>
                    </a:ln>
                  </pic:spPr>
                </pic:pic>
              </a:graphicData>
            </a:graphic>
          </wp:inline>
        </w:drawing>
      </w:r>
    </w:p>
    <w:p w:rsidR="002C61C2" w:rsidRPr="00FA4826" w:rsidRDefault="002C61C2" w:rsidP="00123CAF">
      <w:pPr>
        <w:spacing w:after="0"/>
        <w:rPr>
          <w:rFonts w:ascii="Arial" w:hAnsi="Arial" w:cs="Arial"/>
          <w:i w:val="0"/>
        </w:rPr>
      </w:pPr>
    </w:p>
    <w:p w:rsidR="00E13CC4" w:rsidRPr="00FA4826" w:rsidRDefault="00DA04DA" w:rsidP="00123CAF">
      <w:pPr>
        <w:spacing w:after="0"/>
        <w:rPr>
          <w:rFonts w:ascii="Arial" w:hAnsi="Arial" w:cs="Arial"/>
          <w:i w:val="0"/>
        </w:rPr>
      </w:pPr>
      <w:r w:rsidRPr="00FA4826">
        <w:rPr>
          <w:rFonts w:ascii="Arial" w:hAnsi="Arial" w:cs="Arial"/>
          <w:i w:val="0"/>
        </w:rPr>
        <w:t xml:space="preserve">Ce qui est important de savoir c’est qu’au niveau de la planète, il n’y a pas de banque centrale autant indépendante que celle de la BCE, car la plupart des autres banques centrales ont deux objectifs et de ce fait elles ne peuvent se </w:t>
      </w:r>
      <w:r w:rsidRPr="00FA4826">
        <w:rPr>
          <w:rFonts w:ascii="Arial" w:hAnsi="Arial" w:cs="Arial"/>
          <w:i w:val="0"/>
        </w:rPr>
        <w:lastRenderedPageBreak/>
        <w:t xml:space="preserve">dégager totalement de la politique. Si on avait aujourd’hui en Europe deux objectifs il est fort possible que les taux directeurs ne seraient pas en train de remonter. La croissance européenne est faible, le second semestre : 0,4% de croissance (2011) très faible. Si la banque centrale avait deux objectifs, elle serait </w:t>
      </w:r>
      <w:r w:rsidR="009634A4" w:rsidRPr="00FA4826">
        <w:rPr>
          <w:rFonts w:ascii="Arial" w:hAnsi="Arial" w:cs="Arial"/>
          <w:i w:val="0"/>
        </w:rPr>
        <w:t>obligée</w:t>
      </w:r>
      <w:r w:rsidRPr="00FA4826">
        <w:rPr>
          <w:rFonts w:ascii="Arial" w:hAnsi="Arial" w:cs="Arial"/>
          <w:i w:val="0"/>
        </w:rPr>
        <w:t xml:space="preserve"> de rendre compte de l’objectif de croissance.</w:t>
      </w:r>
      <w:r w:rsidR="00D368EA" w:rsidRPr="00FA4826">
        <w:rPr>
          <w:rFonts w:ascii="Arial" w:hAnsi="Arial" w:cs="Arial"/>
          <w:i w:val="0"/>
        </w:rPr>
        <w:t xml:space="preserve"> C’est </w:t>
      </w:r>
      <w:r w:rsidR="009634A4" w:rsidRPr="00FA4826">
        <w:rPr>
          <w:rFonts w:ascii="Arial" w:hAnsi="Arial" w:cs="Arial"/>
          <w:i w:val="0"/>
        </w:rPr>
        <w:t xml:space="preserve">donc ensuite les gouvernements qui se débrouillent concernant les objectifs dont la BCE ne s’occupe pas. </w:t>
      </w:r>
    </w:p>
    <w:p w:rsidR="00E13CC4" w:rsidRPr="00FA4826" w:rsidRDefault="00E13CC4" w:rsidP="00123CAF">
      <w:pPr>
        <w:spacing w:after="0"/>
        <w:rPr>
          <w:rFonts w:ascii="Arial" w:hAnsi="Arial" w:cs="Arial"/>
          <w:i w:val="0"/>
        </w:rPr>
      </w:pPr>
      <w:r w:rsidRPr="00FA4826">
        <w:rPr>
          <w:rFonts w:ascii="Arial" w:hAnsi="Arial" w:cs="Arial"/>
          <w:i w:val="0"/>
        </w:rPr>
        <w:t xml:space="preserve">L’objectif de la BCE : </w:t>
      </w:r>
    </w:p>
    <w:p w:rsidR="00E13CC4" w:rsidRPr="00FA4826" w:rsidRDefault="00E13CC4" w:rsidP="00C64C89">
      <w:pPr>
        <w:pStyle w:val="Paragraphedeliste"/>
        <w:numPr>
          <w:ilvl w:val="0"/>
          <w:numId w:val="48"/>
        </w:numPr>
        <w:spacing w:after="0"/>
        <w:rPr>
          <w:rFonts w:ascii="Arial" w:hAnsi="Arial" w:cs="Arial"/>
          <w:i w:val="0"/>
        </w:rPr>
      </w:pPr>
      <w:r w:rsidRPr="00FA4826">
        <w:rPr>
          <w:rFonts w:ascii="Arial" w:hAnsi="Arial" w:cs="Arial"/>
          <w:i w:val="0"/>
        </w:rPr>
        <w:t>Assurer la stabilité des prix</w:t>
      </w:r>
    </w:p>
    <w:p w:rsidR="00E13CC4" w:rsidRPr="00FA4826" w:rsidRDefault="00E13CC4" w:rsidP="00C64C89">
      <w:pPr>
        <w:pStyle w:val="Paragraphedeliste"/>
        <w:numPr>
          <w:ilvl w:val="0"/>
          <w:numId w:val="48"/>
        </w:numPr>
        <w:spacing w:after="0"/>
        <w:rPr>
          <w:rFonts w:ascii="Arial" w:hAnsi="Arial" w:cs="Arial"/>
          <w:i w:val="0"/>
        </w:rPr>
      </w:pPr>
      <w:r w:rsidRPr="00FA4826">
        <w:rPr>
          <w:rFonts w:ascii="Arial" w:hAnsi="Arial" w:cs="Arial"/>
          <w:i w:val="0"/>
        </w:rPr>
        <w:t>Un objectif statutaire (traité de Maastricht)</w:t>
      </w:r>
    </w:p>
    <w:p w:rsidR="00E13CC4" w:rsidRPr="00FA4826" w:rsidRDefault="00E13CC4" w:rsidP="00C64C89">
      <w:pPr>
        <w:pStyle w:val="Paragraphedeliste"/>
        <w:numPr>
          <w:ilvl w:val="0"/>
          <w:numId w:val="48"/>
        </w:numPr>
        <w:spacing w:after="0"/>
        <w:rPr>
          <w:rFonts w:ascii="Arial" w:hAnsi="Arial" w:cs="Arial"/>
          <w:i w:val="0"/>
        </w:rPr>
      </w:pPr>
      <w:r w:rsidRPr="00FA4826">
        <w:rPr>
          <w:rFonts w:ascii="Arial" w:hAnsi="Arial" w:cs="Arial"/>
          <w:i w:val="0"/>
        </w:rPr>
        <w:t>Article 105</w:t>
      </w:r>
    </w:p>
    <w:p w:rsidR="000260D4" w:rsidRPr="00FA4826" w:rsidRDefault="000260D4" w:rsidP="00123CAF">
      <w:pPr>
        <w:spacing w:after="0"/>
        <w:rPr>
          <w:rFonts w:ascii="Arial" w:hAnsi="Arial" w:cs="Arial"/>
          <w:bCs/>
          <w:i w:val="0"/>
        </w:rPr>
      </w:pPr>
      <w:r w:rsidRPr="00FA4826">
        <w:rPr>
          <w:rFonts w:ascii="Arial" w:hAnsi="Arial" w:cs="Arial"/>
          <w:bCs/>
          <w:i w:val="0"/>
        </w:rPr>
        <w:t>L'objectif principal du SEBC est de maintenir la stabilité des prix. Sans préjudice de l'objectif de stabilité des prix, le SEBC apporte son soutien aux politiques économiques générales dans la Communauté, en vue de contribuer à la réalisation des objectifs de la Communauté, tels que définis à l'article 2. Le SEBC agit conformément au principe d'une économie de marché ouverte où la concurrence est libre, en favorisant une allocation efficace des ressources et en respectant les principes fixés à l'article 4.</w:t>
      </w:r>
    </w:p>
    <w:p w:rsidR="00D67BC7" w:rsidRPr="00FA4826" w:rsidRDefault="00D67BC7" w:rsidP="00123CAF">
      <w:pPr>
        <w:spacing w:after="0"/>
        <w:rPr>
          <w:rFonts w:ascii="Arial" w:hAnsi="Arial" w:cs="Arial"/>
          <w:bCs/>
          <w:i w:val="0"/>
        </w:rPr>
      </w:pPr>
      <w:r w:rsidRPr="00FA4826">
        <w:rPr>
          <w:rFonts w:ascii="Arial" w:hAnsi="Arial" w:cs="Arial"/>
          <w:bCs/>
          <w:i w:val="0"/>
        </w:rPr>
        <w:t xml:space="preserve">Cela pose un problème dans la mesure om la stabilité des prix on ne sait pas ce que </w:t>
      </w:r>
      <w:proofErr w:type="spellStart"/>
      <w:r w:rsidRPr="00FA4826">
        <w:rPr>
          <w:rFonts w:ascii="Arial" w:hAnsi="Arial" w:cs="Arial"/>
          <w:bCs/>
          <w:i w:val="0"/>
        </w:rPr>
        <w:t>ca</w:t>
      </w:r>
      <w:proofErr w:type="spellEnd"/>
      <w:r w:rsidRPr="00FA4826">
        <w:rPr>
          <w:rFonts w:ascii="Arial" w:hAnsi="Arial" w:cs="Arial"/>
          <w:bCs/>
          <w:i w:val="0"/>
        </w:rPr>
        <w:t xml:space="preserve"> veut dire ! </w:t>
      </w:r>
      <w:proofErr w:type="spellStart"/>
      <w:r w:rsidRPr="00FA4826">
        <w:rPr>
          <w:rFonts w:ascii="Arial" w:hAnsi="Arial" w:cs="Arial"/>
          <w:bCs/>
          <w:i w:val="0"/>
        </w:rPr>
        <w:t>Est ce</w:t>
      </w:r>
      <w:proofErr w:type="spellEnd"/>
      <w:r w:rsidRPr="00FA4826">
        <w:rPr>
          <w:rFonts w:ascii="Arial" w:hAnsi="Arial" w:cs="Arial"/>
          <w:bCs/>
          <w:i w:val="0"/>
        </w:rPr>
        <w:t xml:space="preserve"> que la stabilité politique c’est 2% ? 4% ? </w:t>
      </w:r>
    </w:p>
    <w:p w:rsidR="00806AF5" w:rsidRPr="00FA4826" w:rsidRDefault="00D67BC7" w:rsidP="00123CAF">
      <w:pPr>
        <w:spacing w:after="0"/>
        <w:rPr>
          <w:rFonts w:ascii="Arial" w:hAnsi="Arial" w:cs="Arial"/>
          <w:bCs/>
          <w:i w:val="0"/>
        </w:rPr>
      </w:pPr>
      <w:r w:rsidRPr="00FA4826">
        <w:rPr>
          <w:rFonts w:ascii="Arial" w:hAnsi="Arial" w:cs="Arial"/>
          <w:bCs/>
          <w:i w:val="0"/>
        </w:rPr>
        <w:t xml:space="preserve">Par rapport à quoi </w:t>
      </w:r>
      <w:proofErr w:type="gramStart"/>
      <w:r w:rsidRPr="00FA4826">
        <w:rPr>
          <w:rFonts w:ascii="Arial" w:hAnsi="Arial" w:cs="Arial"/>
          <w:bCs/>
          <w:i w:val="0"/>
        </w:rPr>
        <w:t>définissons nous</w:t>
      </w:r>
      <w:proofErr w:type="gramEnd"/>
      <w:r w:rsidRPr="00FA4826">
        <w:rPr>
          <w:rFonts w:ascii="Arial" w:hAnsi="Arial" w:cs="Arial"/>
          <w:bCs/>
          <w:i w:val="0"/>
        </w:rPr>
        <w:t xml:space="preserve"> la stabilité des prix ? Pour l’instant on a </w:t>
      </w:r>
      <w:proofErr w:type="spellStart"/>
      <w:r w:rsidRPr="00FA4826">
        <w:rPr>
          <w:rFonts w:ascii="Arial" w:hAnsi="Arial" w:cs="Arial"/>
          <w:bCs/>
          <w:i w:val="0"/>
        </w:rPr>
        <w:t>choisit</w:t>
      </w:r>
      <w:proofErr w:type="spellEnd"/>
      <w:r w:rsidRPr="00FA4826">
        <w:rPr>
          <w:rFonts w:ascii="Arial" w:hAnsi="Arial" w:cs="Arial"/>
          <w:bCs/>
          <w:i w:val="0"/>
        </w:rPr>
        <w:t xml:space="preserve"> un rapport de 2%. Mais on pourrait se dire qu’en cette période il faudrait un objectif de 4%. Pour l’instant en Europe et depuis la création l’objectif est de 2%. </w:t>
      </w:r>
      <w:r w:rsidR="00806AF5" w:rsidRPr="00FA4826">
        <w:rPr>
          <w:rFonts w:ascii="Arial" w:hAnsi="Arial" w:cs="Arial"/>
          <w:bCs/>
          <w:i w:val="0"/>
        </w:rPr>
        <w:t xml:space="preserve">La stabilité des prix est un dogme institué. D’un côté un dogme d’un autre coté c’est du vide. La stabilité des prix pourrait être totalement différente. </w:t>
      </w:r>
    </w:p>
    <w:p w:rsidR="00AC1A7E" w:rsidRPr="00FA4826" w:rsidRDefault="00806AF5" w:rsidP="00123CAF">
      <w:pPr>
        <w:spacing w:after="0"/>
        <w:rPr>
          <w:rFonts w:ascii="Arial" w:hAnsi="Arial" w:cs="Arial"/>
          <w:bCs/>
          <w:i w:val="0"/>
        </w:rPr>
      </w:pPr>
      <w:r w:rsidRPr="00FA4826">
        <w:rPr>
          <w:rFonts w:ascii="Arial" w:hAnsi="Arial" w:cs="Arial"/>
          <w:bCs/>
          <w:i w:val="0"/>
        </w:rPr>
        <w:t xml:space="preserve">La politique monétaire est fixée par le conseil des gouverneurs, siègent tous les gouverneurs de chaque pays. C’est ce conseil des gouverneurs qui fixent le taux directeur à 2% ? C’est eux qui proposent et qui influence qui mettent en œuvre la décision et il est validé par le directoire qui est nommé par les Etats composé d’un président, d’un </w:t>
      </w:r>
      <w:proofErr w:type="spellStart"/>
      <w:r w:rsidRPr="00FA4826">
        <w:rPr>
          <w:rFonts w:ascii="Arial" w:hAnsi="Arial" w:cs="Arial"/>
          <w:bCs/>
          <w:i w:val="0"/>
        </w:rPr>
        <w:t>vice président</w:t>
      </w:r>
      <w:proofErr w:type="spellEnd"/>
      <w:r w:rsidRPr="00FA4826">
        <w:rPr>
          <w:rFonts w:ascii="Arial" w:hAnsi="Arial" w:cs="Arial"/>
          <w:bCs/>
          <w:i w:val="0"/>
        </w:rPr>
        <w:t xml:space="preserve"> et de 4 autres personnes. Mais on parle uniquement du président et le directeur de la banque centrale européenne est Trichet, il va bientôt laisser son poste puisque son mandat finit cette année, la politique européenne est mise en œuvre par ce directoire. </w:t>
      </w:r>
      <w:r w:rsidR="00D60F3C" w:rsidRPr="00FA4826">
        <w:rPr>
          <w:rFonts w:ascii="Arial" w:hAnsi="Arial" w:cs="Arial"/>
          <w:bCs/>
          <w:i w:val="0"/>
        </w:rPr>
        <w:t xml:space="preserve">Il y aussi un organe consultatif : c’est le conseil général, il est composé des gouverneurs mais aussi de tout un tas de membres du  politique, le conseil général a un rôle consultatif, en gros il ne sert pas à </w:t>
      </w:r>
      <w:proofErr w:type="spellStart"/>
      <w:r w:rsidR="00D60F3C" w:rsidRPr="00FA4826">
        <w:rPr>
          <w:rFonts w:ascii="Arial" w:hAnsi="Arial" w:cs="Arial"/>
          <w:bCs/>
          <w:i w:val="0"/>
        </w:rPr>
        <w:t>grand chose</w:t>
      </w:r>
      <w:proofErr w:type="spellEnd"/>
      <w:r w:rsidR="00D60F3C" w:rsidRPr="00FA4826">
        <w:rPr>
          <w:rFonts w:ascii="Arial" w:hAnsi="Arial" w:cs="Arial"/>
          <w:bCs/>
          <w:i w:val="0"/>
        </w:rPr>
        <w:t xml:space="preserve"> : une coquille vide. </w:t>
      </w:r>
      <w:r w:rsidR="00AC1A7E" w:rsidRPr="00FA4826">
        <w:rPr>
          <w:rFonts w:ascii="Arial" w:hAnsi="Arial" w:cs="Arial"/>
          <w:bCs/>
          <w:i w:val="0"/>
        </w:rPr>
        <w:t xml:space="preserve">Ce qui est important c’est le directoire. </w:t>
      </w:r>
    </w:p>
    <w:p w:rsidR="000260D4" w:rsidRPr="00FA4826" w:rsidRDefault="00AC1A7E" w:rsidP="00123CAF">
      <w:pPr>
        <w:spacing w:after="0"/>
        <w:rPr>
          <w:rFonts w:ascii="Arial" w:hAnsi="Arial" w:cs="Arial"/>
          <w:i w:val="0"/>
        </w:rPr>
      </w:pPr>
      <w:r w:rsidRPr="00FA4826">
        <w:rPr>
          <w:rFonts w:ascii="Arial" w:hAnsi="Arial" w:cs="Arial"/>
          <w:i w:val="0"/>
          <w:noProof/>
          <w:lang w:eastAsia="fr-FR"/>
        </w:rPr>
        <w:drawing>
          <wp:inline distT="0" distB="0" distL="0" distR="0" wp14:anchorId="5C9CB8AD" wp14:editId="0365ADD4">
            <wp:extent cx="4914900" cy="4051300"/>
            <wp:effectExtent l="25400" t="0" r="0" b="0"/>
            <wp:docPr id="17" name="I 3"/>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
                    <a:srcRect/>
                    <a:stretch>
                      <a:fillRect/>
                    </a:stretch>
                  </pic:blipFill>
                  <pic:spPr bwMode="auto">
                    <a:xfrm>
                      <a:off x="0" y="0"/>
                      <a:ext cx="4914900" cy="4051300"/>
                    </a:xfrm>
                    <a:prstGeom prst="rect">
                      <a:avLst/>
                    </a:prstGeom>
                    <a:noFill/>
                    <a:ln w="9525">
                      <a:noFill/>
                      <a:miter lim="800000"/>
                      <a:headEnd/>
                      <a:tailEnd/>
                    </a:ln>
                  </pic:spPr>
                </pic:pic>
              </a:graphicData>
            </a:graphic>
          </wp:inline>
        </w:drawing>
      </w:r>
    </w:p>
    <w:p w:rsidR="0044310D" w:rsidRPr="00FA4826" w:rsidRDefault="00AC1A7E" w:rsidP="00123CAF">
      <w:pPr>
        <w:spacing w:after="0"/>
        <w:rPr>
          <w:rFonts w:ascii="Arial" w:hAnsi="Arial" w:cs="Arial"/>
          <w:i w:val="0"/>
        </w:rPr>
      </w:pPr>
      <w:r w:rsidRPr="00FA4826">
        <w:rPr>
          <w:rFonts w:ascii="Arial" w:hAnsi="Arial" w:cs="Arial"/>
          <w:i w:val="0"/>
        </w:rPr>
        <w:t xml:space="preserve">Au niveau Européen l’euro système est constitué de 27 pays, (avec deux derniers petits pays Chypres et Maltes). On voit que l’Euro groupe est un bloc homogène de pays il y a d’ailleurs certains pays qui ne participent pas, comme le </w:t>
      </w:r>
      <w:r w:rsidRPr="00FA4826">
        <w:rPr>
          <w:rFonts w:ascii="Arial" w:hAnsi="Arial" w:cs="Arial"/>
          <w:i w:val="0"/>
        </w:rPr>
        <w:lastRenderedPageBreak/>
        <w:t xml:space="preserve">RU, la Danemark, la Suède, la Norvège et la Suisse. </w:t>
      </w:r>
      <w:r w:rsidR="00062074" w:rsidRPr="00FA4826">
        <w:rPr>
          <w:rFonts w:ascii="Arial" w:hAnsi="Arial" w:cs="Arial"/>
          <w:i w:val="0"/>
        </w:rPr>
        <w:t xml:space="preserve">On </w:t>
      </w:r>
      <w:r w:rsidR="009B34CB" w:rsidRPr="00FA4826">
        <w:rPr>
          <w:rFonts w:ascii="Arial" w:hAnsi="Arial" w:cs="Arial"/>
          <w:i w:val="0"/>
        </w:rPr>
        <w:t>voit très bien toute</w:t>
      </w:r>
      <w:r w:rsidR="00062074" w:rsidRPr="00FA4826">
        <w:rPr>
          <w:rFonts w:ascii="Arial" w:hAnsi="Arial" w:cs="Arial"/>
          <w:i w:val="0"/>
        </w:rPr>
        <w:t>s</w:t>
      </w:r>
      <w:r w:rsidR="009B34CB" w:rsidRPr="00FA4826">
        <w:rPr>
          <w:rFonts w:ascii="Arial" w:hAnsi="Arial" w:cs="Arial"/>
          <w:i w:val="0"/>
        </w:rPr>
        <w:t xml:space="preserve"> </w:t>
      </w:r>
      <w:r w:rsidR="00062074" w:rsidRPr="00FA4826">
        <w:rPr>
          <w:rFonts w:ascii="Arial" w:hAnsi="Arial" w:cs="Arial"/>
          <w:i w:val="0"/>
        </w:rPr>
        <w:t xml:space="preserve">les tensions avec la création monétaire : la stabilité des prix, mais on pas du tout harmoniser les politiques fiscales et les politiques budgétaires. La politique monétaire est énormément liée à la politique fiscale et à la politique budgétaire. En France on a du dumping fiscal avec les pays européens. Ou alors on </w:t>
      </w:r>
      <w:r w:rsidR="009B34CB" w:rsidRPr="00FA4826">
        <w:rPr>
          <w:rFonts w:ascii="Arial" w:hAnsi="Arial" w:cs="Arial"/>
          <w:i w:val="0"/>
        </w:rPr>
        <w:t>n’</w:t>
      </w:r>
      <w:r w:rsidR="00062074" w:rsidRPr="00FA4826">
        <w:rPr>
          <w:rFonts w:ascii="Arial" w:hAnsi="Arial" w:cs="Arial"/>
          <w:i w:val="0"/>
        </w:rPr>
        <w:t xml:space="preserve">a pas </w:t>
      </w:r>
      <w:r w:rsidR="009F1910" w:rsidRPr="00FA4826">
        <w:rPr>
          <w:rFonts w:ascii="Arial" w:hAnsi="Arial" w:cs="Arial"/>
          <w:i w:val="0"/>
        </w:rPr>
        <w:t>du tout le même déficit public</w:t>
      </w:r>
      <w:r w:rsidR="00062074" w:rsidRPr="00FA4826">
        <w:rPr>
          <w:rFonts w:ascii="Arial" w:hAnsi="Arial" w:cs="Arial"/>
          <w:i w:val="0"/>
        </w:rPr>
        <w:t xml:space="preserve">, France bientôt 80% de déficits, Italie 120%, Irlande 160% etc. Il y a des déséquilibres d’un </w:t>
      </w:r>
      <w:proofErr w:type="spellStart"/>
      <w:r w:rsidR="00062074" w:rsidRPr="00FA4826">
        <w:rPr>
          <w:rFonts w:ascii="Arial" w:hAnsi="Arial" w:cs="Arial"/>
          <w:i w:val="0"/>
        </w:rPr>
        <w:t>coté</w:t>
      </w:r>
      <w:proofErr w:type="spellEnd"/>
      <w:r w:rsidR="00062074" w:rsidRPr="00FA4826">
        <w:rPr>
          <w:rFonts w:ascii="Arial" w:hAnsi="Arial" w:cs="Arial"/>
          <w:i w:val="0"/>
        </w:rPr>
        <w:t xml:space="preserve"> : il y a de fortes tensions, on n’arrive pas </w:t>
      </w:r>
      <w:proofErr w:type="spellStart"/>
      <w:r w:rsidR="00062074" w:rsidRPr="00FA4826">
        <w:rPr>
          <w:rFonts w:ascii="Arial" w:hAnsi="Arial" w:cs="Arial"/>
          <w:i w:val="0"/>
        </w:rPr>
        <w:t>a</w:t>
      </w:r>
      <w:proofErr w:type="spellEnd"/>
      <w:r w:rsidR="00062074" w:rsidRPr="00FA4826">
        <w:rPr>
          <w:rFonts w:ascii="Arial" w:hAnsi="Arial" w:cs="Arial"/>
          <w:i w:val="0"/>
        </w:rPr>
        <w:t xml:space="preserve"> s’entendre sur le type de politique monétaires commune. </w:t>
      </w:r>
      <w:r w:rsidR="009B34CB" w:rsidRPr="00FA4826">
        <w:rPr>
          <w:rFonts w:ascii="Arial" w:hAnsi="Arial" w:cs="Arial"/>
          <w:i w:val="0"/>
        </w:rPr>
        <w:t xml:space="preserve">La seule chose commune c’est la stabilité des prix. </w:t>
      </w:r>
    </w:p>
    <w:p w:rsidR="0044310D" w:rsidRPr="00FA4826" w:rsidRDefault="0044310D" w:rsidP="00123CAF">
      <w:pPr>
        <w:spacing w:after="0"/>
        <w:rPr>
          <w:rFonts w:ascii="Arial" w:hAnsi="Arial" w:cs="Arial"/>
          <w:i w:val="0"/>
        </w:rPr>
      </w:pPr>
      <w:r w:rsidRPr="00FA4826">
        <w:rPr>
          <w:rFonts w:ascii="Arial" w:hAnsi="Arial" w:cs="Arial"/>
          <w:i w:val="0"/>
        </w:rPr>
        <w:t xml:space="preserve">Actuellement il serait possible que les grecs ne souhaitent plus participer à la monnaie commune. Au contraire les Allemands parce qu’ils ont la monnaie commune, n’ont pas les réajustements réguliers </w:t>
      </w:r>
      <w:proofErr w:type="spellStart"/>
      <w:r w:rsidRPr="00FA4826">
        <w:rPr>
          <w:rFonts w:ascii="Arial" w:hAnsi="Arial" w:cs="Arial"/>
          <w:i w:val="0"/>
        </w:rPr>
        <w:t>a</w:t>
      </w:r>
      <w:proofErr w:type="spellEnd"/>
      <w:r w:rsidRPr="00FA4826">
        <w:rPr>
          <w:rFonts w:ascii="Arial" w:hAnsi="Arial" w:cs="Arial"/>
          <w:i w:val="0"/>
        </w:rPr>
        <w:t xml:space="preserve"> cause des taux de change : exportations. </w:t>
      </w:r>
    </w:p>
    <w:p w:rsidR="0044310D" w:rsidRPr="00FA4826" w:rsidRDefault="0044310D" w:rsidP="00123CAF">
      <w:pPr>
        <w:spacing w:after="0"/>
        <w:rPr>
          <w:rFonts w:ascii="Arial" w:hAnsi="Arial" w:cs="Arial"/>
          <w:i w:val="0"/>
        </w:rPr>
      </w:pPr>
    </w:p>
    <w:p w:rsidR="0044310D" w:rsidRPr="00FA4826" w:rsidRDefault="0044310D" w:rsidP="00C64C89">
      <w:pPr>
        <w:pStyle w:val="Titre2"/>
        <w:numPr>
          <w:ilvl w:val="0"/>
          <w:numId w:val="47"/>
        </w:numPr>
        <w:rPr>
          <w:rFonts w:ascii="Arial" w:hAnsi="Arial" w:cs="Arial"/>
          <w:i w:val="0"/>
        </w:rPr>
      </w:pPr>
      <w:bookmarkStart w:id="33" w:name="_Toc379227147"/>
      <w:r w:rsidRPr="00FA4826">
        <w:rPr>
          <w:rFonts w:ascii="Arial" w:hAnsi="Arial" w:cs="Arial"/>
          <w:i w:val="0"/>
        </w:rPr>
        <w:t>L’indépendance d’un point de vue théorique :</w:t>
      </w:r>
      <w:bookmarkEnd w:id="33"/>
      <w:r w:rsidRPr="00FA4826">
        <w:rPr>
          <w:rFonts w:ascii="Arial" w:hAnsi="Arial" w:cs="Arial"/>
          <w:i w:val="0"/>
        </w:rPr>
        <w:t xml:space="preserve"> </w:t>
      </w:r>
    </w:p>
    <w:p w:rsidR="004B681B" w:rsidRPr="00FA4826" w:rsidRDefault="005F7108" w:rsidP="00123CAF">
      <w:pPr>
        <w:spacing w:after="0"/>
        <w:rPr>
          <w:rFonts w:ascii="Arial" w:hAnsi="Arial" w:cs="Arial"/>
          <w:i w:val="0"/>
        </w:rPr>
      </w:pPr>
      <w:r w:rsidRPr="00FA4826">
        <w:rPr>
          <w:rFonts w:ascii="Arial" w:hAnsi="Arial" w:cs="Arial"/>
          <w:i w:val="0"/>
        </w:rPr>
        <w:t>Pour les Keynésiens, l’indépendance est une aberration parce que la politique monétaire est avant tou</w:t>
      </w:r>
      <w:r w:rsidR="004B681B" w:rsidRPr="00FA4826">
        <w:rPr>
          <w:rFonts w:ascii="Arial" w:hAnsi="Arial" w:cs="Arial"/>
          <w:i w:val="0"/>
        </w:rPr>
        <w:t>t</w:t>
      </w:r>
      <w:r w:rsidRPr="00FA4826">
        <w:rPr>
          <w:rFonts w:ascii="Arial" w:hAnsi="Arial" w:cs="Arial"/>
          <w:i w:val="0"/>
        </w:rPr>
        <w:t xml:space="preserve"> une politique, alors si c’est une politique pourquoi serait-elle indépendante du contrôle démocratique. Pour les Keynésiens la politique monétaire doit être contrôlée démocratiquement et doit satisfaire les objectifs de croissan</w:t>
      </w:r>
      <w:r w:rsidR="004B681B" w:rsidRPr="00FA4826">
        <w:rPr>
          <w:rFonts w:ascii="Arial" w:hAnsi="Arial" w:cs="Arial"/>
          <w:i w:val="0"/>
        </w:rPr>
        <w:t>ce que se fixe un gouvernement.</w:t>
      </w:r>
    </w:p>
    <w:p w:rsidR="004B681B" w:rsidRPr="00FA4826" w:rsidRDefault="004B681B" w:rsidP="00123CAF">
      <w:pPr>
        <w:spacing w:after="0"/>
        <w:rPr>
          <w:rFonts w:ascii="Arial" w:hAnsi="Arial" w:cs="Arial"/>
          <w:i w:val="0"/>
        </w:rPr>
      </w:pPr>
      <w:r w:rsidRPr="00FA4826">
        <w:rPr>
          <w:rFonts w:ascii="Arial" w:hAnsi="Arial" w:cs="Arial"/>
          <w:i w:val="0"/>
        </w:rPr>
        <w:t xml:space="preserve">Les mouvements de Keynésiens ont été remis en cause dans les années 80, Friedman a constitué une alternative au Keynésianisme, néoclassique : l’école de Chicago ont énormément œuvré pour la mise en place de politiques néoclassiques : peu de place à l’Etat. Pour les </w:t>
      </w:r>
      <w:proofErr w:type="spellStart"/>
      <w:r w:rsidRPr="00FA4826">
        <w:rPr>
          <w:rFonts w:ascii="Arial" w:hAnsi="Arial" w:cs="Arial"/>
          <w:i w:val="0"/>
        </w:rPr>
        <w:t>Friedmaniens</w:t>
      </w:r>
      <w:proofErr w:type="spellEnd"/>
      <w:r w:rsidRPr="00FA4826">
        <w:rPr>
          <w:rFonts w:ascii="Arial" w:hAnsi="Arial" w:cs="Arial"/>
          <w:i w:val="0"/>
        </w:rPr>
        <w:t xml:space="preserve">, elle était partisante de distinguer activité économique et activité monétaire : réelle/monétaire. L’économie réelle procédait de lois naturelles (équilibre général), et la sphère monétaire (monnaie ne procède pas de lois naturelles) ne devait pas perturber la sphère réelle ; on les distingue et il fallait gérer techniquement la politique monétaire en fonction de l’équation de Fisher MV = PT. L’inflation est purement monétaire et s’explique par excès de monnaie (monnaie neutre à long terme). </w:t>
      </w:r>
    </w:p>
    <w:p w:rsidR="004B681B" w:rsidRPr="00FA4826" w:rsidRDefault="004B681B" w:rsidP="00123CAF">
      <w:pPr>
        <w:spacing w:after="0"/>
        <w:rPr>
          <w:rFonts w:ascii="Arial" w:hAnsi="Arial" w:cs="Arial"/>
          <w:i w:val="0"/>
        </w:rPr>
      </w:pPr>
      <w:r w:rsidRPr="00FA4826">
        <w:rPr>
          <w:rFonts w:ascii="Arial" w:hAnsi="Arial" w:cs="Arial"/>
          <w:i w:val="0"/>
        </w:rPr>
        <w:t xml:space="preserve">On fait en sorte que l’inflation soit relativement faible. </w:t>
      </w:r>
    </w:p>
    <w:p w:rsidR="004B681B" w:rsidRPr="00FA4826" w:rsidRDefault="004B681B" w:rsidP="00123CAF">
      <w:pPr>
        <w:spacing w:after="0"/>
        <w:rPr>
          <w:rFonts w:ascii="Arial" w:hAnsi="Arial" w:cs="Arial"/>
          <w:i w:val="0"/>
        </w:rPr>
      </w:pPr>
      <w:r w:rsidRPr="00FA4826">
        <w:rPr>
          <w:rFonts w:ascii="Arial" w:hAnsi="Arial" w:cs="Arial"/>
          <w:b/>
          <w:i w:val="0"/>
        </w:rPr>
        <w:t>La nouvelle économie classique</w:t>
      </w:r>
      <w:r w:rsidRPr="00FA4826">
        <w:rPr>
          <w:rFonts w:ascii="Arial" w:hAnsi="Arial" w:cs="Arial"/>
          <w:i w:val="0"/>
        </w:rPr>
        <w:t xml:space="preserve">  a proposé de nouvelles théories pour justifier l’indépendance de la banque centrale, l’action politique </w:t>
      </w:r>
      <w:r w:rsidR="00C2108E" w:rsidRPr="00FA4826">
        <w:rPr>
          <w:rFonts w:ascii="Arial" w:hAnsi="Arial" w:cs="Arial"/>
          <w:i w:val="0"/>
        </w:rPr>
        <w:t>perturbe</w:t>
      </w:r>
      <w:r w:rsidRPr="00FA4826">
        <w:rPr>
          <w:rFonts w:ascii="Arial" w:hAnsi="Arial" w:cs="Arial"/>
          <w:i w:val="0"/>
        </w:rPr>
        <w:t xml:space="preserve"> les anticipations d’inflation. Pour eux les banques centrales doivent être indépendantes car le politique a des visions court terme et parce qu’il va y avoir des élections et par soucis d’images il va laisser faire l’inflation pour être réélu. Si on laisse la politique monétaire dans le champ politique, il va s’en servir pour faire de l’inflation. La nouvelle économie classique dise que l’inflation n’est pas bonne, s’inspire de la théorie monétariste, l’inflation perturbe les projections à long terme d’investissement, des espérances de probabilités. A partir de </w:t>
      </w:r>
      <w:proofErr w:type="spellStart"/>
      <w:r w:rsidRPr="00FA4826">
        <w:rPr>
          <w:rFonts w:ascii="Arial" w:hAnsi="Arial" w:cs="Arial"/>
          <w:i w:val="0"/>
        </w:rPr>
        <w:t>la</w:t>
      </w:r>
      <w:proofErr w:type="spellEnd"/>
      <w:r w:rsidRPr="00FA4826">
        <w:rPr>
          <w:rFonts w:ascii="Arial" w:hAnsi="Arial" w:cs="Arial"/>
          <w:i w:val="0"/>
        </w:rPr>
        <w:t xml:space="preserve"> il faut réduire l’inflation. Il faut enlever la politique. </w:t>
      </w:r>
    </w:p>
    <w:p w:rsidR="0041406B" w:rsidRPr="00FA4826" w:rsidRDefault="004B681B" w:rsidP="00123CAF">
      <w:pPr>
        <w:spacing w:after="0"/>
        <w:rPr>
          <w:rFonts w:ascii="Arial" w:hAnsi="Arial" w:cs="Arial"/>
          <w:i w:val="0"/>
        </w:rPr>
      </w:pPr>
      <w:proofErr w:type="spellStart"/>
      <w:r w:rsidRPr="00FA4826">
        <w:rPr>
          <w:rFonts w:ascii="Arial" w:hAnsi="Arial" w:cs="Arial"/>
          <w:b/>
          <w:i w:val="0"/>
        </w:rPr>
        <w:t>Kydland</w:t>
      </w:r>
      <w:proofErr w:type="spellEnd"/>
      <w:r w:rsidRPr="00FA4826">
        <w:rPr>
          <w:rFonts w:ascii="Arial" w:hAnsi="Arial" w:cs="Arial"/>
          <w:b/>
          <w:i w:val="0"/>
        </w:rPr>
        <w:t xml:space="preserve"> et Prescott :</w:t>
      </w:r>
      <w:r w:rsidRPr="00FA4826">
        <w:rPr>
          <w:rFonts w:ascii="Arial" w:hAnsi="Arial" w:cs="Arial"/>
          <w:i w:val="0"/>
        </w:rPr>
        <w:t xml:space="preserve"> fournissent une explication théorique</w:t>
      </w:r>
      <w:r w:rsidR="00C2108E" w:rsidRPr="00FA4826">
        <w:rPr>
          <w:rFonts w:ascii="Arial" w:hAnsi="Arial" w:cs="Arial"/>
          <w:i w:val="0"/>
        </w:rPr>
        <w:t xml:space="preserve">. </w:t>
      </w:r>
    </w:p>
    <w:p w:rsidR="0041406B" w:rsidRPr="00FA4826" w:rsidRDefault="0041406B" w:rsidP="00123CAF">
      <w:pPr>
        <w:spacing w:after="0"/>
        <w:rPr>
          <w:rFonts w:ascii="Arial" w:hAnsi="Arial" w:cs="Arial"/>
          <w:i w:val="0"/>
        </w:rPr>
      </w:pPr>
    </w:p>
    <w:p w:rsidR="0041406B" w:rsidRPr="00FA4826" w:rsidRDefault="0041406B" w:rsidP="00123CAF">
      <w:pPr>
        <w:pStyle w:val="Titre1"/>
        <w:rPr>
          <w:rFonts w:ascii="Arial" w:hAnsi="Arial" w:cs="Arial"/>
          <w:i w:val="0"/>
        </w:rPr>
      </w:pPr>
      <w:bookmarkStart w:id="34" w:name="_Toc379227148"/>
      <w:r w:rsidRPr="00FA4826">
        <w:rPr>
          <w:rFonts w:ascii="Arial" w:hAnsi="Arial" w:cs="Arial"/>
          <w:i w:val="0"/>
        </w:rPr>
        <w:t>IV. Conclusion</w:t>
      </w:r>
      <w:bookmarkEnd w:id="34"/>
      <w:r w:rsidRPr="00FA4826">
        <w:rPr>
          <w:rFonts w:ascii="Arial" w:hAnsi="Arial" w:cs="Arial"/>
          <w:i w:val="0"/>
        </w:rPr>
        <w:t xml:space="preserve"> </w:t>
      </w:r>
    </w:p>
    <w:p w:rsidR="0041406B" w:rsidRPr="00FA4826" w:rsidRDefault="0041406B" w:rsidP="00123CAF">
      <w:pPr>
        <w:spacing w:after="0"/>
        <w:rPr>
          <w:rFonts w:ascii="Arial" w:hAnsi="Arial" w:cs="Arial"/>
          <w:i w:val="0"/>
        </w:rPr>
      </w:pPr>
      <w:r w:rsidRPr="00FA4826">
        <w:rPr>
          <w:rFonts w:ascii="Arial" w:hAnsi="Arial" w:cs="Arial"/>
          <w:i w:val="0"/>
        </w:rPr>
        <w:t xml:space="preserve">La politique monétaire a théoriquement 4 objectifs : </w:t>
      </w:r>
    </w:p>
    <w:p w:rsidR="0041406B" w:rsidRPr="00FA4826" w:rsidRDefault="0041406B" w:rsidP="00C64C89">
      <w:pPr>
        <w:pStyle w:val="Paragraphedeliste"/>
        <w:numPr>
          <w:ilvl w:val="0"/>
          <w:numId w:val="49"/>
        </w:numPr>
        <w:spacing w:after="0"/>
        <w:rPr>
          <w:rFonts w:ascii="Arial" w:hAnsi="Arial" w:cs="Arial"/>
          <w:i w:val="0"/>
        </w:rPr>
      </w:pPr>
      <w:r w:rsidRPr="00FA4826">
        <w:rPr>
          <w:rFonts w:ascii="Arial" w:hAnsi="Arial" w:cs="Arial"/>
          <w:i w:val="0"/>
        </w:rPr>
        <w:t xml:space="preserve">Taux de croissance important </w:t>
      </w:r>
    </w:p>
    <w:p w:rsidR="0041406B" w:rsidRPr="00FA4826" w:rsidRDefault="0041406B" w:rsidP="00C64C89">
      <w:pPr>
        <w:pStyle w:val="Paragraphedeliste"/>
        <w:numPr>
          <w:ilvl w:val="0"/>
          <w:numId w:val="49"/>
        </w:numPr>
        <w:spacing w:after="0"/>
        <w:rPr>
          <w:rFonts w:ascii="Arial" w:hAnsi="Arial" w:cs="Arial"/>
          <w:i w:val="0"/>
        </w:rPr>
      </w:pPr>
      <w:r w:rsidRPr="00FA4826">
        <w:rPr>
          <w:rFonts w:ascii="Arial" w:hAnsi="Arial" w:cs="Arial"/>
          <w:i w:val="0"/>
        </w:rPr>
        <w:t xml:space="preserve">Equilibre extérieur ; balance commerciale </w:t>
      </w:r>
    </w:p>
    <w:p w:rsidR="0041406B" w:rsidRPr="00FA4826" w:rsidRDefault="0041406B" w:rsidP="00C64C89">
      <w:pPr>
        <w:pStyle w:val="Paragraphedeliste"/>
        <w:numPr>
          <w:ilvl w:val="0"/>
          <w:numId w:val="49"/>
        </w:numPr>
        <w:spacing w:after="0"/>
        <w:rPr>
          <w:rFonts w:ascii="Arial" w:hAnsi="Arial" w:cs="Arial"/>
          <w:i w:val="0"/>
        </w:rPr>
      </w:pPr>
      <w:r w:rsidRPr="00FA4826">
        <w:rPr>
          <w:rFonts w:ascii="Arial" w:hAnsi="Arial" w:cs="Arial"/>
          <w:i w:val="0"/>
        </w:rPr>
        <w:t>Faible taux de chômage</w:t>
      </w:r>
    </w:p>
    <w:p w:rsidR="0041406B" w:rsidRPr="00FA4826" w:rsidRDefault="0041406B" w:rsidP="00C64C89">
      <w:pPr>
        <w:pStyle w:val="Paragraphedeliste"/>
        <w:numPr>
          <w:ilvl w:val="0"/>
          <w:numId w:val="49"/>
        </w:numPr>
        <w:spacing w:after="0"/>
        <w:rPr>
          <w:rFonts w:ascii="Arial" w:hAnsi="Arial" w:cs="Arial"/>
          <w:i w:val="0"/>
        </w:rPr>
      </w:pPr>
      <w:r w:rsidRPr="00FA4826">
        <w:rPr>
          <w:rFonts w:ascii="Arial" w:hAnsi="Arial" w:cs="Arial"/>
          <w:i w:val="0"/>
        </w:rPr>
        <w:t xml:space="preserve">Stabilité des prix, taux d ‘inflation </w:t>
      </w:r>
    </w:p>
    <w:p w:rsidR="001663A2" w:rsidRPr="00FA4826" w:rsidRDefault="0041406B" w:rsidP="00123CAF">
      <w:pPr>
        <w:spacing w:after="0"/>
        <w:rPr>
          <w:rFonts w:ascii="Arial" w:hAnsi="Arial" w:cs="Arial"/>
          <w:i w:val="0"/>
        </w:rPr>
      </w:pPr>
      <w:r w:rsidRPr="00FA4826">
        <w:rPr>
          <w:rFonts w:ascii="Arial" w:hAnsi="Arial" w:cs="Arial"/>
          <w:i w:val="0"/>
        </w:rPr>
        <w:t xml:space="preserve">Ces objectifs sont théoriques, dans la pratique pas toujours </w:t>
      </w:r>
      <w:r w:rsidR="00D03D59" w:rsidRPr="00FA4826">
        <w:rPr>
          <w:rFonts w:ascii="Arial" w:hAnsi="Arial" w:cs="Arial"/>
          <w:i w:val="0"/>
        </w:rPr>
        <w:t>appliquée</w:t>
      </w:r>
      <w:r w:rsidRPr="00FA4826">
        <w:rPr>
          <w:rFonts w:ascii="Arial" w:hAnsi="Arial" w:cs="Arial"/>
          <w:i w:val="0"/>
        </w:rPr>
        <w:t xml:space="preserve">. Ils ne sont pas traités de la même manière. On ne les considère pas selon la même intensité. La BCE va se fixer simplement par rapport à la stabilité des prix. </w:t>
      </w:r>
    </w:p>
    <w:p w:rsidR="00314DF6" w:rsidRPr="00FA4826" w:rsidRDefault="00314DF6" w:rsidP="00123CAF">
      <w:pPr>
        <w:spacing w:after="0"/>
        <w:rPr>
          <w:rFonts w:ascii="Arial" w:hAnsi="Arial" w:cs="Arial"/>
          <w:b/>
          <w:i w:val="0"/>
          <w:color w:val="FF0000"/>
        </w:rPr>
      </w:pPr>
      <w:r w:rsidRPr="00FA4826">
        <w:rPr>
          <w:rFonts w:ascii="Arial" w:hAnsi="Arial" w:cs="Arial"/>
          <w:b/>
          <w:i w:val="0"/>
          <w:color w:val="FF0000"/>
        </w:rPr>
        <w:t xml:space="preserve">ATTENTION ce n’est pas  taux de chômage pour la FED mais taux de croissance. </w:t>
      </w:r>
    </w:p>
    <w:p w:rsidR="001663A2" w:rsidRPr="00FA4826" w:rsidRDefault="00115083" w:rsidP="00123CAF">
      <w:pPr>
        <w:spacing w:after="0"/>
        <w:rPr>
          <w:rFonts w:ascii="Arial" w:hAnsi="Arial" w:cs="Arial"/>
          <w:i w:val="0"/>
        </w:rPr>
      </w:pPr>
      <w:r w:rsidRPr="00FA4826">
        <w:rPr>
          <w:rFonts w:ascii="Arial" w:hAnsi="Arial" w:cs="Arial"/>
          <w:i w:val="0"/>
          <w:noProof/>
          <w:lang w:eastAsia="fr-FR"/>
        </w:rPr>
        <w:lastRenderedPageBreak/>
        <w:drawing>
          <wp:inline distT="0" distB="0" distL="0" distR="0" wp14:anchorId="6ECA3D7C" wp14:editId="5FA5A2F9">
            <wp:extent cx="5760720" cy="2535555"/>
            <wp:effectExtent l="25400" t="0" r="5080" b="0"/>
            <wp:docPr id="20" name="Image 19" descr="Capture d’écran 2011-04-12 à 12.15.4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1-04-12 à 12.15.41.png"/>
                    <pic:cNvPicPr/>
                  </pic:nvPicPr>
                  <pic:blipFill>
                    <a:blip r:embed="rId41"/>
                    <a:stretch>
                      <a:fillRect/>
                    </a:stretch>
                  </pic:blipFill>
                  <pic:spPr>
                    <a:xfrm>
                      <a:off x="0" y="0"/>
                      <a:ext cx="5760720" cy="2535555"/>
                    </a:xfrm>
                    <a:prstGeom prst="rect">
                      <a:avLst/>
                    </a:prstGeom>
                  </pic:spPr>
                </pic:pic>
              </a:graphicData>
            </a:graphic>
          </wp:inline>
        </w:drawing>
      </w:r>
    </w:p>
    <w:p w:rsidR="0064662E" w:rsidRPr="00FA4826" w:rsidRDefault="00115083" w:rsidP="00123CAF">
      <w:pPr>
        <w:spacing w:after="0"/>
        <w:rPr>
          <w:rFonts w:ascii="Arial" w:hAnsi="Arial" w:cs="Arial"/>
          <w:i w:val="0"/>
        </w:rPr>
      </w:pPr>
      <w:r w:rsidRPr="00FA4826">
        <w:rPr>
          <w:rFonts w:ascii="Arial" w:hAnsi="Arial" w:cs="Arial"/>
          <w:i w:val="0"/>
        </w:rPr>
        <w:t xml:space="preserve">Pour l’instant </w:t>
      </w:r>
      <w:r w:rsidR="00F94F64" w:rsidRPr="00FA4826">
        <w:rPr>
          <w:rFonts w:ascii="Arial" w:hAnsi="Arial" w:cs="Arial"/>
          <w:i w:val="0"/>
        </w:rPr>
        <w:t>la priorité pour la Chine les équilibres extérieurs dans le sens excédent commercial. Elle fait baisser les taux de changes …</w:t>
      </w:r>
    </w:p>
    <w:p w:rsidR="0064662E" w:rsidRPr="00FA4826" w:rsidRDefault="0064662E" w:rsidP="00123CAF">
      <w:pPr>
        <w:spacing w:after="0"/>
        <w:rPr>
          <w:rFonts w:ascii="Arial" w:hAnsi="Arial" w:cs="Arial"/>
          <w:i w:val="0"/>
        </w:rPr>
      </w:pPr>
      <w:r w:rsidRPr="00FA4826">
        <w:rPr>
          <w:rFonts w:ascii="Arial" w:hAnsi="Arial" w:cs="Arial"/>
          <w:i w:val="0"/>
          <w:noProof/>
          <w:lang w:eastAsia="fr-FR"/>
        </w:rPr>
        <w:drawing>
          <wp:inline distT="0" distB="0" distL="0" distR="0" wp14:anchorId="706A1E12" wp14:editId="32107CCB">
            <wp:extent cx="5760720" cy="2868723"/>
            <wp:effectExtent l="0" t="0" r="0" b="0"/>
            <wp:docPr id="22" name="O 4"/>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20150" cy="4392612"/>
                      <a:chOff x="323850" y="1700213"/>
                      <a:chExt cx="8820150" cy="4392612"/>
                    </a:xfrm>
                  </a:grpSpPr>
                  <a:sp>
                    <a:nvSpPr>
                      <a:cNvPr id="92162" name="Rectangle 2"/>
                      <a:cNvSpPr>
                        <a:spLocks noGrp="1" noChangeArrowheads="1"/>
                      </a:cNvSpPr>
                    </a:nvSpPr>
                    <a:spPr bwMode="auto">
                      <a:xfrm>
                        <a:off x="323850" y="1773238"/>
                        <a:ext cx="8820150" cy="4319587"/>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lvl1pPr marL="469900" indent="-469900" algn="l" rtl="0" eaLnBrk="0" fontAlgn="base" hangingPunct="0">
                            <a:spcBef>
                              <a:spcPct val="20000"/>
                            </a:spcBef>
                            <a:spcAft>
                              <a:spcPct val="0"/>
                            </a:spcAft>
                            <a:buClr>
                              <a:schemeClr val="accent2"/>
                            </a:buClr>
                            <a:buFont typeface="Wingdings" charset="2"/>
                            <a:buChar char="o"/>
                            <a:defRPr sz="3000">
                              <a:solidFill>
                                <a:schemeClr val="tx1"/>
                              </a:solidFill>
                              <a:latin typeface="+mn-lt"/>
                              <a:ea typeface="ＭＳ Ｐゴシック" charset="-128"/>
                              <a:cs typeface="ＭＳ Ｐゴシック" charset="-128"/>
                            </a:defRPr>
                          </a:lvl1pPr>
                          <a:lvl2pPr marL="908050" indent="-436563" algn="l" rtl="0" eaLnBrk="0" fontAlgn="base" hangingPunct="0">
                            <a:spcBef>
                              <a:spcPct val="20000"/>
                            </a:spcBef>
                            <a:spcAft>
                              <a:spcPct val="0"/>
                            </a:spcAft>
                            <a:buClr>
                              <a:schemeClr val="accent2"/>
                            </a:buClr>
                            <a:buFont typeface="Wingdings" charset="2"/>
                            <a:buChar char="n"/>
                            <a:defRPr sz="2600">
                              <a:solidFill>
                                <a:schemeClr val="tx1"/>
                              </a:solidFill>
                              <a:latin typeface="+mn-lt"/>
                              <a:ea typeface="ＭＳ Ｐゴシック" charset="-128"/>
                            </a:defRPr>
                          </a:lvl2pPr>
                          <a:lvl3pPr marL="1304925" indent="-395288" algn="l" rtl="0" eaLnBrk="0" fontAlgn="base" hangingPunct="0">
                            <a:spcBef>
                              <a:spcPct val="20000"/>
                            </a:spcBef>
                            <a:spcAft>
                              <a:spcPct val="0"/>
                            </a:spcAft>
                            <a:buClr>
                              <a:schemeClr val="accent2"/>
                            </a:buClr>
                            <a:buFont typeface="Wingdings" charset="2"/>
                            <a:buChar char="o"/>
                            <a:defRPr sz="2300">
                              <a:solidFill>
                                <a:schemeClr val="tx1"/>
                              </a:solidFill>
                              <a:latin typeface="+mn-lt"/>
                              <a:ea typeface="ＭＳ Ｐゴシック" charset="-128"/>
                            </a:defRPr>
                          </a:lvl3pPr>
                          <a:lvl4pPr marL="1693863" indent="-387350" algn="l" rtl="0" eaLnBrk="0" fontAlgn="base" hangingPunct="0">
                            <a:spcBef>
                              <a:spcPct val="20000"/>
                            </a:spcBef>
                            <a:spcAft>
                              <a:spcPct val="0"/>
                            </a:spcAft>
                            <a:buClr>
                              <a:schemeClr val="accent2"/>
                            </a:buClr>
                            <a:buFont typeface="Wingdings" charset="2"/>
                            <a:buChar char="n"/>
                            <a:defRPr sz="2000">
                              <a:solidFill>
                                <a:schemeClr val="tx1"/>
                              </a:solidFill>
                              <a:latin typeface="+mn-lt"/>
                              <a:ea typeface="ＭＳ Ｐゴシック" charset="-128"/>
                            </a:defRPr>
                          </a:lvl4pPr>
                          <a:lvl5pPr marL="2093913" indent="-398463" algn="l" rtl="0" eaLnBrk="0" fontAlgn="base" hangingPunct="0">
                            <a:spcBef>
                              <a:spcPct val="25000"/>
                            </a:spcBef>
                            <a:spcAft>
                              <a:spcPct val="0"/>
                            </a:spcAft>
                            <a:buClr>
                              <a:schemeClr val="accent2"/>
                            </a:buClr>
                            <a:buFont typeface="Wingdings" charset="2"/>
                            <a:buChar char="§"/>
                            <a:defRPr sz="2000">
                              <a:solidFill>
                                <a:schemeClr val="tx1"/>
                              </a:solidFill>
                              <a:latin typeface="+mn-lt"/>
                              <a:ea typeface="ＭＳ Ｐゴシック" charset="-128"/>
                            </a:defRPr>
                          </a:lvl5pPr>
                          <a:lvl6pPr marL="2551113" indent="-398463" algn="l" rtl="0" fontAlgn="base">
                            <a:spcBef>
                              <a:spcPct val="25000"/>
                            </a:spcBef>
                            <a:spcAft>
                              <a:spcPct val="0"/>
                            </a:spcAft>
                            <a:buClr>
                              <a:schemeClr val="accent2"/>
                            </a:buClr>
                            <a:buFont typeface="Wingdings" pitchFamily="2" charset="2"/>
                            <a:buChar char="§"/>
                            <a:defRPr sz="2000">
                              <a:solidFill>
                                <a:schemeClr val="tx1"/>
                              </a:solidFill>
                              <a:latin typeface="+mn-lt"/>
                            </a:defRPr>
                          </a:lvl6pPr>
                          <a:lvl7pPr marL="3008313" indent="-398463" algn="l" rtl="0" fontAlgn="base">
                            <a:spcBef>
                              <a:spcPct val="25000"/>
                            </a:spcBef>
                            <a:spcAft>
                              <a:spcPct val="0"/>
                            </a:spcAft>
                            <a:buClr>
                              <a:schemeClr val="accent2"/>
                            </a:buClr>
                            <a:buFont typeface="Wingdings" pitchFamily="2" charset="2"/>
                            <a:buChar char="§"/>
                            <a:defRPr sz="2000">
                              <a:solidFill>
                                <a:schemeClr val="tx1"/>
                              </a:solidFill>
                              <a:latin typeface="+mn-lt"/>
                            </a:defRPr>
                          </a:lvl7pPr>
                          <a:lvl8pPr marL="3465513" indent="-398463" algn="l" rtl="0" fontAlgn="base">
                            <a:spcBef>
                              <a:spcPct val="25000"/>
                            </a:spcBef>
                            <a:spcAft>
                              <a:spcPct val="0"/>
                            </a:spcAft>
                            <a:buClr>
                              <a:schemeClr val="accent2"/>
                            </a:buClr>
                            <a:buFont typeface="Wingdings" pitchFamily="2" charset="2"/>
                            <a:buChar char="§"/>
                            <a:defRPr sz="2000">
                              <a:solidFill>
                                <a:schemeClr val="tx1"/>
                              </a:solidFill>
                              <a:latin typeface="+mn-lt"/>
                            </a:defRPr>
                          </a:lvl8pPr>
                          <a:lvl9pPr marL="3922713" indent="-398463" algn="l" rtl="0" fontAlgn="base">
                            <a:spcBef>
                              <a:spcPct val="25000"/>
                            </a:spcBef>
                            <a:spcAft>
                              <a:spcPct val="0"/>
                            </a:spcAft>
                            <a:buClr>
                              <a:schemeClr val="accent2"/>
                            </a:buClr>
                            <a:buFont typeface="Wingdings" pitchFamily="2" charset="2"/>
                            <a:buChar char="§"/>
                            <a:defRPr sz="2000">
                              <a:solidFill>
                                <a:schemeClr val="tx1"/>
                              </a:solidFill>
                              <a:latin typeface="+mn-lt"/>
                            </a:defRPr>
                          </a:lvl9pPr>
                        </a:lstStyle>
                        <a:p>
                          <a:pPr marL="0" indent="0" algn="ctr">
                            <a:buFont typeface="Wingdings" charset="2"/>
                            <a:buNone/>
                          </a:pPr>
                          <a:endParaRPr lang="fr-FR" sz="1600"/>
                        </a:p>
                        <a:p>
                          <a:pPr marL="0" indent="0"/>
                          <a:endParaRPr lang="fr-FR" sz="1800" b="1" i="1"/>
                        </a:p>
                      </a:txBody>
                      <a:useSpRect/>
                    </a:txSp>
                  </a:sp>
                  <a:sp>
                    <a:nvSpPr>
                      <a:cNvPr id="90118" name="Text Box 6"/>
                      <a:cNvSpPr txBox="1">
                        <a:spLocks noChangeArrowheads="1"/>
                      </a:cNvSpPr>
                    </a:nvSpPr>
                    <a:spPr bwMode="auto">
                      <a:xfrm>
                        <a:off x="3852863" y="2373313"/>
                        <a:ext cx="1295400" cy="479425"/>
                      </a:xfrm>
                      <a:prstGeom prst="rect">
                        <a:avLst/>
                      </a:prstGeom>
                      <a:solidFill>
                        <a:srgbClr val="808000"/>
                      </a:solidFill>
                      <a:ln w="22225">
                        <a:solidFill>
                          <a:schemeClr val="tx1"/>
                        </a:solidFill>
                        <a:miter lim="800000"/>
                        <a:headEnd/>
                        <a:tailEnd/>
                      </a:ln>
                    </a:spPr>
                    <a:txSp>
                      <a:txBody>
                        <a:bodyPr>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r>
                            <a:rPr lang="fr-FR" sz="1200" b="1" i="1" dirty="0">
                              <a:solidFill>
                                <a:schemeClr val="bg1"/>
                              </a:solidFill>
                            </a:rPr>
                            <a:t>Fixe les taux directeurs</a:t>
                          </a:r>
                        </a:p>
                      </a:txBody>
                      <a:useSpRect/>
                    </a:txSp>
                  </a:sp>
                  <a:sp>
                    <a:nvSpPr>
                      <a:cNvPr id="90128" name="Text Box 16"/>
                      <a:cNvSpPr txBox="1">
                        <a:spLocks noChangeArrowheads="1"/>
                      </a:cNvSpPr>
                    </a:nvSpPr>
                    <a:spPr bwMode="auto">
                      <a:xfrm>
                        <a:off x="2339975" y="1700213"/>
                        <a:ext cx="4319588" cy="542925"/>
                      </a:xfrm>
                      <a:prstGeom prst="rect">
                        <a:avLst/>
                      </a:prstGeom>
                      <a:noFill/>
                      <a:ln w="25400">
                        <a:solidFill>
                          <a:schemeClr val="tx1"/>
                        </a:solidFill>
                        <a:miter lim="800000"/>
                        <a:headEnd/>
                        <a:tailEnd/>
                      </a:ln>
                    </a:spPr>
                    <a:txSp>
                      <a:txBody>
                        <a:bodyPr>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spcBef>
                              <a:spcPct val="50000"/>
                            </a:spcBef>
                          </a:pPr>
                          <a:r>
                            <a:rPr lang="fr-FR" sz="1400" b="1" i="1"/>
                            <a:t>POL. MON. DE LABANQUE CENTRALE.</a:t>
                          </a:r>
                          <a:r>
                            <a:rPr lang="fr-FR" sz="1400"/>
                            <a:t> </a:t>
                          </a:r>
                          <a:r>
                            <a:rPr lang="fr-FR" sz="1400" b="1"/>
                            <a:t>Axe 1</a:t>
                          </a:r>
                        </a:p>
                      </a:txBody>
                      <a:useSpRect/>
                    </a:txSp>
                  </a:sp>
                  <a:sp>
                    <a:nvSpPr>
                      <a:cNvPr id="90139" name="Line 27"/>
                      <a:cNvSpPr>
                        <a:spLocks noChangeShapeType="1"/>
                      </a:cNvSpPr>
                    </a:nvSpPr>
                    <a:spPr bwMode="auto">
                      <a:xfrm flipH="1">
                        <a:off x="4500563" y="2925763"/>
                        <a:ext cx="0" cy="358775"/>
                      </a:xfrm>
                      <a:prstGeom prst="line">
                        <a:avLst/>
                      </a:prstGeom>
                      <a:noFill/>
                      <a:ln w="50800">
                        <a:solidFill>
                          <a:schemeClr val="tx1"/>
                        </a:solidFill>
                        <a:round/>
                        <a:headEnd/>
                        <a:tailEnd type="triangle" w="med" len="me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fr-FR"/>
                        </a:p>
                      </a:txBody>
                      <a:useSpRect/>
                    </a:txSp>
                  </a:sp>
                  <a:sp>
                    <a:nvSpPr>
                      <a:cNvPr id="90142" name="Text Box 30"/>
                      <a:cNvSpPr txBox="1">
                        <a:spLocks noChangeArrowheads="1"/>
                      </a:cNvSpPr>
                    </a:nvSpPr>
                    <a:spPr bwMode="auto">
                      <a:xfrm>
                        <a:off x="2700338" y="4149725"/>
                        <a:ext cx="3887787" cy="692150"/>
                      </a:xfrm>
                      <a:prstGeom prst="rect">
                        <a:avLst/>
                      </a:prstGeom>
                      <a:solidFill>
                        <a:srgbClr val="FFCC99"/>
                      </a:solidFill>
                      <a:ln w="22225">
                        <a:solidFill>
                          <a:schemeClr val="tx1"/>
                        </a:solidFill>
                        <a:miter lim="800000"/>
                        <a:headEnd/>
                        <a:tailEnd/>
                      </a:ln>
                    </a:spPr>
                    <a:txSp>
                      <a:txBody>
                        <a:bodyPr lIns="0" rIns="0">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r>
                            <a:rPr lang="fr-FR" sz="1000" b="1"/>
                            <a:t>BANQUE 2 Rang</a:t>
                          </a:r>
                        </a:p>
                        <a:p>
                          <a:pPr algn="ctr"/>
                          <a:endParaRPr lang="fr-FR" sz="400" b="1"/>
                        </a:p>
                        <a:p>
                          <a:pPr algn="ctr"/>
                          <a:r>
                            <a:rPr lang="fr-FR" sz="1000" b="1" i="1"/>
                            <a:t>Fixe un taux d’intérêt pour les ménages et pour les entreprises</a:t>
                          </a:r>
                        </a:p>
                        <a:p>
                          <a:pPr algn="ctr"/>
                          <a:endParaRPr lang="fr-FR" sz="400" b="1" i="1"/>
                        </a:p>
                      </a:txBody>
                      <a:useSpRect/>
                    </a:txSp>
                  </a:sp>
                  <a:sp>
                    <a:nvSpPr>
                      <a:cNvPr id="90147" name="Text Box 35"/>
                      <a:cNvSpPr txBox="1">
                        <a:spLocks noChangeArrowheads="1"/>
                      </a:cNvSpPr>
                    </a:nvSpPr>
                    <a:spPr bwMode="auto">
                      <a:xfrm>
                        <a:off x="3635375" y="3357563"/>
                        <a:ext cx="1871663" cy="306387"/>
                      </a:xfrm>
                      <a:prstGeom prst="rect">
                        <a:avLst/>
                      </a:prstGeom>
                      <a:solidFill>
                        <a:srgbClr val="808000"/>
                      </a:solidFill>
                      <a:ln w="31750">
                        <a:solidFill>
                          <a:srgbClr val="808000"/>
                        </a:solidFill>
                        <a:miter lim="800000"/>
                        <a:headEnd/>
                        <a:tailEnd/>
                      </a:ln>
                    </a:spPr>
                    <a:txSp>
                      <a:txBody>
                        <a:bodyPr>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r>
                            <a:rPr lang="fr-FR" sz="1200" b="1" i="1" dirty="0">
                              <a:solidFill>
                                <a:schemeClr val="bg1"/>
                              </a:solidFill>
                            </a:rPr>
                            <a:t>Coût du crédit</a:t>
                          </a:r>
                        </a:p>
                      </a:txBody>
                      <a:useSpRect/>
                    </a:txSp>
                  </a:sp>
                  <a:sp>
                    <a:nvSpPr>
                      <a:cNvPr id="90159" name="Text Box 47"/>
                      <a:cNvSpPr txBox="1">
                        <a:spLocks noChangeArrowheads="1"/>
                      </a:cNvSpPr>
                    </a:nvSpPr>
                    <a:spPr bwMode="auto">
                      <a:xfrm>
                        <a:off x="900113" y="5157788"/>
                        <a:ext cx="2108200" cy="723900"/>
                      </a:xfrm>
                      <a:prstGeom prst="rect">
                        <a:avLst/>
                      </a:prstGeom>
                      <a:solidFill>
                        <a:srgbClr val="FF6600"/>
                      </a:solidFill>
                      <a:ln w="22225">
                        <a:solidFill>
                          <a:schemeClr val="tx1"/>
                        </a:solidFill>
                        <a:miter lim="800000"/>
                        <a:headEnd/>
                        <a:tailEnd/>
                      </a:ln>
                    </a:spPr>
                    <a:txSp>
                      <a:txBody>
                        <a:bodyPr lIns="0" rIns="0">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r>
                            <a:rPr lang="fr-FR" sz="1000" b="1"/>
                            <a:t>Taux faibles = Crédits importants</a:t>
                          </a:r>
                        </a:p>
                        <a:p>
                          <a:pPr algn="ctr"/>
                          <a:endParaRPr lang="fr-FR" sz="1000" b="1"/>
                        </a:p>
                        <a:p>
                          <a:pPr algn="ctr"/>
                          <a:r>
                            <a:rPr lang="fr-FR" sz="1000" b="1" i="1"/>
                            <a:t>RISQUES D’INFLATION </a:t>
                          </a:r>
                        </a:p>
                      </a:txBody>
                      <a:useSpRect/>
                    </a:txSp>
                  </a:sp>
                  <a:sp>
                    <a:nvSpPr>
                      <a:cNvPr id="90161" name="Text Box 49"/>
                      <a:cNvSpPr txBox="1">
                        <a:spLocks noChangeArrowheads="1"/>
                      </a:cNvSpPr>
                    </a:nvSpPr>
                    <a:spPr bwMode="auto">
                      <a:xfrm>
                        <a:off x="6443663" y="5153025"/>
                        <a:ext cx="2108200" cy="723900"/>
                      </a:xfrm>
                      <a:prstGeom prst="rect">
                        <a:avLst/>
                      </a:prstGeom>
                      <a:solidFill>
                        <a:srgbClr val="00FF00"/>
                      </a:solidFill>
                      <a:ln w="22225">
                        <a:solidFill>
                          <a:schemeClr val="tx1"/>
                        </a:solidFill>
                        <a:miter lim="800000"/>
                        <a:headEnd/>
                        <a:tailEnd/>
                      </a:ln>
                    </a:spPr>
                    <a:txSp>
                      <a:txBody>
                        <a:bodyPr lIns="0" rIns="0">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r>
                            <a:rPr lang="fr-FR" sz="1000" b="1"/>
                            <a:t>Taux élevés = Crédits peu importants</a:t>
                          </a:r>
                        </a:p>
                        <a:p>
                          <a:pPr algn="ctr"/>
                          <a:endParaRPr lang="fr-FR" sz="1000" b="1"/>
                        </a:p>
                        <a:p>
                          <a:pPr algn="ctr"/>
                          <a:r>
                            <a:rPr lang="fr-FR" sz="1000" b="1" i="1"/>
                            <a:t>RISQUES DE RECESSION </a:t>
                          </a:r>
                        </a:p>
                      </a:txBody>
                      <a:useSpRect/>
                    </a:txSp>
                  </a:sp>
                  <a:sp>
                    <a:nvSpPr>
                      <a:cNvPr id="90162" name="AutoShape 50"/>
                      <a:cNvSpPr>
                        <a:spLocks noChangeArrowheads="1"/>
                      </a:cNvSpPr>
                    </a:nvSpPr>
                    <a:spPr bwMode="auto">
                      <a:xfrm rot="5400000">
                        <a:off x="5544344" y="4760119"/>
                        <a:ext cx="647700" cy="865188"/>
                      </a:xfrm>
                      <a:custGeom>
                        <a:avLst/>
                        <a:gdLst>
                          <a:gd name="T0" fmla="*/ 2147483647 w 21600"/>
                          <a:gd name="T1" fmla="*/ 0 h 21600"/>
                          <a:gd name="T2" fmla="*/ 2147483647 w 21600"/>
                          <a:gd name="T3" fmla="*/ 2147483647 h 21600"/>
                          <a:gd name="T4" fmla="*/ 0 w 21600"/>
                          <a:gd name="T5" fmla="*/ 2147483647 h 21600"/>
                          <a:gd name="T6" fmla="*/ 2147483647 w 21600"/>
                          <a:gd name="T7" fmla="*/ 2147483647 h 21600"/>
                          <a:gd name="T8" fmla="*/ 2147483647 w 21600"/>
                          <a:gd name="T9" fmla="*/ 2147483647 h 21600"/>
                          <a:gd name="T10" fmla="*/ 2147483647 w 21600"/>
                          <a:gd name="T11" fmla="*/ 2147483647 h 21600"/>
                          <a:gd name="T12" fmla="*/ 0 60000 65536"/>
                          <a:gd name="T13" fmla="*/ 0 60000 65536"/>
                          <a:gd name="T14" fmla="*/ 0 60000 65536"/>
                          <a:gd name="T15" fmla="*/ 0 60000 65536"/>
                          <a:gd name="T16" fmla="*/ 0 60000 65536"/>
                          <a:gd name="T17" fmla="*/ 0 60000 65536"/>
                          <a:gd name="T18" fmla="*/ 0 w 21600"/>
                          <a:gd name="T19" fmla="*/ 14400 h 21600"/>
                          <a:gd name="T20" fmla="*/ 18514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00FF00"/>
                      </a:solidFill>
                      <a:ln w="25400">
                        <a:solidFill>
                          <a:schemeClr val="tx1"/>
                        </a:solidFill>
                        <a:miter lim="800000"/>
                        <a:headEnd/>
                        <a:tailEnd/>
                      </a:ln>
                    </a:spPr>
                    <a:txSp>
                      <a:txBody>
                        <a:bodyPr wrap="none" anchor="ct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fr-FR"/>
                        </a:p>
                      </a:txBody>
                      <a:useSpRect/>
                    </a:txSp>
                  </a:sp>
                  <a:sp>
                    <a:nvSpPr>
                      <a:cNvPr id="90163" name="AutoShape 51"/>
                      <a:cNvSpPr>
                        <a:spLocks noChangeArrowheads="1"/>
                      </a:cNvSpPr>
                    </a:nvSpPr>
                    <a:spPr bwMode="auto">
                      <a:xfrm rot="16200000" flipH="1">
                        <a:off x="3095625" y="4833938"/>
                        <a:ext cx="719138" cy="792162"/>
                      </a:xfrm>
                      <a:custGeom>
                        <a:avLst/>
                        <a:gdLst>
                          <a:gd name="T0" fmla="*/ 2147483647 w 21600"/>
                          <a:gd name="T1" fmla="*/ 0 h 21600"/>
                          <a:gd name="T2" fmla="*/ 2147483647 w 21600"/>
                          <a:gd name="T3" fmla="*/ 2147483647 h 21600"/>
                          <a:gd name="T4" fmla="*/ 0 w 21600"/>
                          <a:gd name="T5" fmla="*/ 2147483647 h 21600"/>
                          <a:gd name="T6" fmla="*/ 2147483647 w 21600"/>
                          <a:gd name="T7" fmla="*/ 2147483647 h 21600"/>
                          <a:gd name="T8" fmla="*/ 2147483647 w 21600"/>
                          <a:gd name="T9" fmla="*/ 2147483647 h 21600"/>
                          <a:gd name="T10" fmla="*/ 2147483647 w 21600"/>
                          <a:gd name="T11" fmla="*/ 2147483647 h 21600"/>
                          <a:gd name="T12" fmla="*/ 0 60000 65536"/>
                          <a:gd name="T13" fmla="*/ 0 60000 65536"/>
                          <a:gd name="T14" fmla="*/ 0 60000 65536"/>
                          <a:gd name="T15" fmla="*/ 0 60000 65536"/>
                          <a:gd name="T16" fmla="*/ 0 60000 65536"/>
                          <a:gd name="T17" fmla="*/ 0 60000 65536"/>
                          <a:gd name="T18" fmla="*/ 0 w 21600"/>
                          <a:gd name="T19" fmla="*/ 14400 h 21600"/>
                          <a:gd name="T20" fmla="*/ 18514 w 21600"/>
                          <a:gd name="T21" fmla="*/ 21600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5429" y="0"/>
                            </a:moveTo>
                            <a:lnTo>
                              <a:pt x="9257" y="7200"/>
                            </a:lnTo>
                            <a:lnTo>
                              <a:pt x="12343" y="7200"/>
                            </a:lnTo>
                            <a:lnTo>
                              <a:pt x="12343" y="14400"/>
                            </a:lnTo>
                            <a:lnTo>
                              <a:pt x="0" y="14400"/>
                            </a:lnTo>
                            <a:lnTo>
                              <a:pt x="0" y="21600"/>
                            </a:lnTo>
                            <a:lnTo>
                              <a:pt x="18514" y="21600"/>
                            </a:lnTo>
                            <a:lnTo>
                              <a:pt x="18514" y="7200"/>
                            </a:lnTo>
                            <a:lnTo>
                              <a:pt x="21600" y="7200"/>
                            </a:lnTo>
                            <a:close/>
                          </a:path>
                        </a:pathLst>
                      </a:custGeom>
                      <a:solidFill>
                        <a:srgbClr val="FF6600"/>
                      </a:solidFill>
                      <a:ln w="25400">
                        <a:solidFill>
                          <a:schemeClr val="tx1"/>
                        </a:solidFill>
                        <a:miter lim="800000"/>
                        <a:headEnd/>
                        <a:tailEnd/>
                      </a:ln>
                    </a:spPr>
                    <a:txSp>
                      <a:txBody>
                        <a:bodyPr wrap="none" anchor="ct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fr-FR"/>
                        </a:p>
                      </a:txBody>
                      <a:useSpRect/>
                    </a:txSp>
                  </a:sp>
                  <a:sp>
                    <a:nvSpPr>
                      <a:cNvPr id="90160" name="Line 48"/>
                      <a:cNvSpPr>
                        <a:spLocks noChangeShapeType="1"/>
                      </a:cNvSpPr>
                    </a:nvSpPr>
                    <a:spPr bwMode="auto">
                      <a:xfrm>
                        <a:off x="4500563" y="3644900"/>
                        <a:ext cx="0" cy="504825"/>
                      </a:xfrm>
                      <a:prstGeom prst="line">
                        <a:avLst/>
                      </a:prstGeom>
                      <a:noFill/>
                      <a:ln w="50800">
                        <a:solidFill>
                          <a:srgbClr val="808000"/>
                        </a:solidFill>
                        <a:round/>
                        <a:headEnd/>
                        <a:tailEnd type="stealth" w="lg" len="med"/>
                      </a:ln>
                    </a:spPr>
                    <a:txSp>
                      <a:txBody>
                        <a:bodyPr>
                          <a:prstTxWarp prst="textNoShape">
                            <a:avLst/>
                          </a:prstTxWarp>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endParaRPr lang="fr-FR"/>
                        </a:p>
                      </a:txBody>
                      <a:useSpRect/>
                    </a:txSp>
                  </a:sp>
                </lc:lockedCanvas>
              </a:graphicData>
            </a:graphic>
          </wp:inline>
        </w:drawing>
      </w:r>
    </w:p>
    <w:p w:rsidR="0064662E" w:rsidRPr="00FA4826" w:rsidRDefault="0064662E" w:rsidP="00123CAF">
      <w:pPr>
        <w:spacing w:after="0"/>
        <w:rPr>
          <w:rFonts w:ascii="Arial" w:hAnsi="Arial" w:cs="Arial"/>
          <w:i w:val="0"/>
        </w:rPr>
      </w:pPr>
    </w:p>
    <w:p w:rsidR="0064662E" w:rsidRPr="00FA4826" w:rsidRDefault="0064662E" w:rsidP="00123CAF">
      <w:pPr>
        <w:spacing w:after="0"/>
        <w:rPr>
          <w:rFonts w:ascii="Arial" w:hAnsi="Arial" w:cs="Arial"/>
          <w:i w:val="0"/>
        </w:rPr>
      </w:pPr>
      <w:r w:rsidRPr="00FA4826">
        <w:rPr>
          <w:rFonts w:ascii="Arial" w:hAnsi="Arial" w:cs="Arial"/>
          <w:i w:val="0"/>
        </w:rPr>
        <w:t xml:space="preserve">En fonction des taux d’intérêts il y aura plus ou moins de crédits et donc une plus ou moins grosse masse monétaire : risque de récession. De nombreux économistes : on est en train de monter les taux d’intérêts par peur de l’inflation mais donc </w:t>
      </w:r>
      <w:proofErr w:type="spellStart"/>
      <w:r w:rsidRPr="00FA4826">
        <w:rPr>
          <w:rFonts w:ascii="Arial" w:hAnsi="Arial" w:cs="Arial"/>
          <w:i w:val="0"/>
        </w:rPr>
        <w:t>ce la</w:t>
      </w:r>
      <w:proofErr w:type="spellEnd"/>
      <w:r w:rsidRPr="00FA4826">
        <w:rPr>
          <w:rFonts w:ascii="Arial" w:hAnsi="Arial" w:cs="Arial"/>
          <w:i w:val="0"/>
        </w:rPr>
        <w:t xml:space="preserve"> engendre un taux d’intérêt élevé et on risque des problèmes de récession. En Europe aujourd’hui l’inflation n’est pas lié à une surchauffe de l’économie (beaucoup de croissance, …) c’est parce que le prix des matières premières augmente. On est obligé d’allouer plus de dépenses aux matières premières, et de ce fait on dépense moins pour les autres activités économiques. On va vers un double problème : d’une part l’augmentation des matières premières vont faire que les budgets vont vers cette production, et donc de moins vers tout le reste. Diminution relative du pouvoir d’achat plus un second problème qui est le renchérissement du crédit qui rend plus cher l’endettement. Deux éléments auxquelles vont se confronter les économies européennes : renchérissement des matières premières, et de plus s’ajoute on investit qui diminue. </w:t>
      </w:r>
      <w:r w:rsidR="00416651" w:rsidRPr="00FA4826">
        <w:rPr>
          <w:rFonts w:ascii="Arial" w:hAnsi="Arial" w:cs="Arial"/>
          <w:i w:val="0"/>
        </w:rPr>
        <w:t xml:space="preserve">Confère les économistes atterrés. </w:t>
      </w:r>
    </w:p>
    <w:p w:rsidR="00A73E72" w:rsidRPr="00FA4826" w:rsidRDefault="00A73E72" w:rsidP="00123CAF">
      <w:pPr>
        <w:spacing w:after="0"/>
        <w:rPr>
          <w:rFonts w:ascii="Arial" w:hAnsi="Arial" w:cs="Arial"/>
          <w:i w:val="0"/>
        </w:rPr>
      </w:pPr>
      <w:r w:rsidRPr="00FA4826">
        <w:rPr>
          <w:rFonts w:ascii="Arial" w:hAnsi="Arial" w:cs="Arial"/>
          <w:i w:val="0"/>
          <w:noProof/>
          <w:lang w:eastAsia="fr-FR"/>
        </w:rPr>
        <w:lastRenderedPageBreak/>
        <w:drawing>
          <wp:inline distT="0" distB="0" distL="0" distR="0" wp14:anchorId="3D905316" wp14:editId="64D03693">
            <wp:extent cx="5760720" cy="2937318"/>
            <wp:effectExtent l="0" t="0" r="0" b="0"/>
            <wp:docPr id="23" name="O 5"/>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820150" cy="4497387"/>
                      <a:chOff x="323850" y="1700213"/>
                      <a:chExt cx="8820150" cy="4497387"/>
                    </a:xfrm>
                  </a:grpSpPr>
                  <a:sp>
                    <a:nvSpPr>
                      <a:cNvPr id="93188" name="Rectangle 2"/>
                      <a:cNvSpPr>
                        <a:spLocks noGrp="1" noChangeArrowheads="1"/>
                      </a:cNvSpPr>
                    </a:nvSpPr>
                    <a:spPr bwMode="auto">
                      <a:xfrm>
                        <a:off x="323850" y="1773238"/>
                        <a:ext cx="8820150" cy="4319587"/>
                      </a:xfrm>
                      <a:prstGeom prst="rect">
                        <a:avLst/>
                      </a:prstGeom>
                      <a:noFill/>
                      <a:ln w="9525">
                        <a:noFill/>
                        <a:miter lim="800000"/>
                        <a:headEnd/>
                        <a:tailEnd/>
                      </a:ln>
                    </a:spPr>
                    <a:txSp>
                      <a:txBody>
                        <a:bodyPr vert="horz" wrap="square" lIns="91440" tIns="45720" rIns="91440" bIns="45720" numCol="1" anchor="t" anchorCtr="0" compatLnSpc="1">
                          <a:prstTxWarp prst="textNoShape">
                            <a:avLst/>
                          </a:prstTxWarp>
                        </a:bodyPr>
                        <a:lstStyle>
                          <a:lvl1pPr marL="469900" indent="-469900" algn="l" rtl="0" eaLnBrk="0" fontAlgn="base" hangingPunct="0">
                            <a:spcBef>
                              <a:spcPct val="20000"/>
                            </a:spcBef>
                            <a:spcAft>
                              <a:spcPct val="0"/>
                            </a:spcAft>
                            <a:buClr>
                              <a:schemeClr val="accent2"/>
                            </a:buClr>
                            <a:buFont typeface="Wingdings" charset="2"/>
                            <a:buChar char="o"/>
                            <a:defRPr sz="3000">
                              <a:solidFill>
                                <a:schemeClr val="tx1"/>
                              </a:solidFill>
                              <a:latin typeface="+mn-lt"/>
                              <a:ea typeface="ＭＳ Ｐゴシック" charset="-128"/>
                              <a:cs typeface="ＭＳ Ｐゴシック" charset="-128"/>
                            </a:defRPr>
                          </a:lvl1pPr>
                          <a:lvl2pPr marL="908050" indent="-436563" algn="l" rtl="0" eaLnBrk="0" fontAlgn="base" hangingPunct="0">
                            <a:spcBef>
                              <a:spcPct val="20000"/>
                            </a:spcBef>
                            <a:spcAft>
                              <a:spcPct val="0"/>
                            </a:spcAft>
                            <a:buClr>
                              <a:schemeClr val="accent2"/>
                            </a:buClr>
                            <a:buFont typeface="Wingdings" charset="2"/>
                            <a:buChar char="n"/>
                            <a:defRPr sz="2600">
                              <a:solidFill>
                                <a:schemeClr val="tx1"/>
                              </a:solidFill>
                              <a:latin typeface="+mn-lt"/>
                              <a:ea typeface="ＭＳ Ｐゴシック" charset="-128"/>
                            </a:defRPr>
                          </a:lvl2pPr>
                          <a:lvl3pPr marL="1304925" indent="-395288" algn="l" rtl="0" eaLnBrk="0" fontAlgn="base" hangingPunct="0">
                            <a:spcBef>
                              <a:spcPct val="20000"/>
                            </a:spcBef>
                            <a:spcAft>
                              <a:spcPct val="0"/>
                            </a:spcAft>
                            <a:buClr>
                              <a:schemeClr val="accent2"/>
                            </a:buClr>
                            <a:buFont typeface="Wingdings" charset="2"/>
                            <a:buChar char="o"/>
                            <a:defRPr sz="2300">
                              <a:solidFill>
                                <a:schemeClr val="tx1"/>
                              </a:solidFill>
                              <a:latin typeface="+mn-lt"/>
                              <a:ea typeface="ＭＳ Ｐゴシック" charset="-128"/>
                            </a:defRPr>
                          </a:lvl3pPr>
                          <a:lvl4pPr marL="1693863" indent="-387350" algn="l" rtl="0" eaLnBrk="0" fontAlgn="base" hangingPunct="0">
                            <a:spcBef>
                              <a:spcPct val="20000"/>
                            </a:spcBef>
                            <a:spcAft>
                              <a:spcPct val="0"/>
                            </a:spcAft>
                            <a:buClr>
                              <a:schemeClr val="accent2"/>
                            </a:buClr>
                            <a:buFont typeface="Wingdings" charset="2"/>
                            <a:buChar char="n"/>
                            <a:defRPr sz="2000">
                              <a:solidFill>
                                <a:schemeClr val="tx1"/>
                              </a:solidFill>
                              <a:latin typeface="+mn-lt"/>
                              <a:ea typeface="ＭＳ Ｐゴシック" charset="-128"/>
                            </a:defRPr>
                          </a:lvl4pPr>
                          <a:lvl5pPr marL="2093913" indent="-398463" algn="l" rtl="0" eaLnBrk="0" fontAlgn="base" hangingPunct="0">
                            <a:spcBef>
                              <a:spcPct val="25000"/>
                            </a:spcBef>
                            <a:spcAft>
                              <a:spcPct val="0"/>
                            </a:spcAft>
                            <a:buClr>
                              <a:schemeClr val="accent2"/>
                            </a:buClr>
                            <a:buFont typeface="Wingdings" charset="2"/>
                            <a:buChar char="§"/>
                            <a:defRPr sz="2000">
                              <a:solidFill>
                                <a:schemeClr val="tx1"/>
                              </a:solidFill>
                              <a:latin typeface="+mn-lt"/>
                              <a:ea typeface="ＭＳ Ｐゴシック" charset="-128"/>
                            </a:defRPr>
                          </a:lvl5pPr>
                          <a:lvl6pPr marL="2551113" indent="-398463" algn="l" rtl="0" fontAlgn="base">
                            <a:spcBef>
                              <a:spcPct val="25000"/>
                            </a:spcBef>
                            <a:spcAft>
                              <a:spcPct val="0"/>
                            </a:spcAft>
                            <a:buClr>
                              <a:schemeClr val="accent2"/>
                            </a:buClr>
                            <a:buFont typeface="Wingdings" pitchFamily="2" charset="2"/>
                            <a:buChar char="§"/>
                            <a:defRPr sz="2000">
                              <a:solidFill>
                                <a:schemeClr val="tx1"/>
                              </a:solidFill>
                              <a:latin typeface="+mn-lt"/>
                            </a:defRPr>
                          </a:lvl6pPr>
                          <a:lvl7pPr marL="3008313" indent="-398463" algn="l" rtl="0" fontAlgn="base">
                            <a:spcBef>
                              <a:spcPct val="25000"/>
                            </a:spcBef>
                            <a:spcAft>
                              <a:spcPct val="0"/>
                            </a:spcAft>
                            <a:buClr>
                              <a:schemeClr val="accent2"/>
                            </a:buClr>
                            <a:buFont typeface="Wingdings" pitchFamily="2" charset="2"/>
                            <a:buChar char="§"/>
                            <a:defRPr sz="2000">
                              <a:solidFill>
                                <a:schemeClr val="tx1"/>
                              </a:solidFill>
                              <a:latin typeface="+mn-lt"/>
                            </a:defRPr>
                          </a:lvl7pPr>
                          <a:lvl8pPr marL="3465513" indent="-398463" algn="l" rtl="0" fontAlgn="base">
                            <a:spcBef>
                              <a:spcPct val="25000"/>
                            </a:spcBef>
                            <a:spcAft>
                              <a:spcPct val="0"/>
                            </a:spcAft>
                            <a:buClr>
                              <a:schemeClr val="accent2"/>
                            </a:buClr>
                            <a:buFont typeface="Wingdings" pitchFamily="2" charset="2"/>
                            <a:buChar char="§"/>
                            <a:defRPr sz="2000">
                              <a:solidFill>
                                <a:schemeClr val="tx1"/>
                              </a:solidFill>
                              <a:latin typeface="+mn-lt"/>
                            </a:defRPr>
                          </a:lvl8pPr>
                          <a:lvl9pPr marL="3922713" indent="-398463" algn="l" rtl="0" fontAlgn="base">
                            <a:spcBef>
                              <a:spcPct val="25000"/>
                            </a:spcBef>
                            <a:spcAft>
                              <a:spcPct val="0"/>
                            </a:spcAft>
                            <a:buClr>
                              <a:schemeClr val="accent2"/>
                            </a:buClr>
                            <a:buFont typeface="Wingdings" pitchFamily="2" charset="2"/>
                            <a:buChar char="§"/>
                            <a:defRPr sz="2000">
                              <a:solidFill>
                                <a:schemeClr val="tx1"/>
                              </a:solidFill>
                              <a:latin typeface="+mn-lt"/>
                            </a:defRPr>
                          </a:lvl9pPr>
                        </a:lstStyle>
                        <a:p>
                          <a:pPr marL="0" indent="0" algn="ctr">
                            <a:buFont typeface="Wingdings" charset="2"/>
                            <a:buNone/>
                          </a:pPr>
                          <a:endParaRPr lang="fr-FR" sz="1600"/>
                        </a:p>
                        <a:p>
                          <a:pPr marL="0" indent="0"/>
                          <a:endParaRPr lang="fr-FR" sz="1800" b="1" i="1"/>
                        </a:p>
                      </a:txBody>
                      <a:useSpRect/>
                    </a:txSp>
                  </a:sp>
                  <a:sp>
                    <a:nvSpPr>
                      <a:cNvPr id="96260" name="Text Box 4"/>
                      <a:cNvSpPr txBox="1">
                        <a:spLocks noChangeArrowheads="1"/>
                      </a:cNvSpPr>
                    </a:nvSpPr>
                    <a:spPr bwMode="auto">
                      <a:xfrm>
                        <a:off x="3132138" y="2492375"/>
                        <a:ext cx="2592387" cy="603250"/>
                      </a:xfrm>
                      <a:prstGeom prst="rect">
                        <a:avLst/>
                      </a:prstGeom>
                      <a:solidFill>
                        <a:srgbClr val="808000"/>
                      </a:solidFill>
                      <a:ln w="22225">
                        <a:solidFill>
                          <a:schemeClr val="tx1"/>
                        </a:solidFill>
                        <a:miter lim="800000"/>
                        <a:headEnd/>
                        <a:tailEnd/>
                      </a:ln>
                    </a:spPr>
                    <a:txSp>
                      <a:txBody>
                        <a:bodyPr>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r>
                            <a:rPr lang="fr-FR" sz="1600" b="1" i="1">
                              <a:solidFill>
                                <a:schemeClr val="bg1"/>
                              </a:solidFill>
                            </a:rPr>
                            <a:t>Gère les réserves de changes</a:t>
                          </a:r>
                        </a:p>
                      </a:txBody>
                      <a:useSpRect/>
                    </a:txSp>
                  </a:sp>
                  <a:sp>
                    <a:nvSpPr>
                      <a:cNvPr id="96261" name="Text Box 5"/>
                      <a:cNvSpPr txBox="1">
                        <a:spLocks noChangeArrowheads="1"/>
                      </a:cNvSpPr>
                    </a:nvSpPr>
                    <a:spPr bwMode="auto">
                      <a:xfrm>
                        <a:off x="2484438" y="1700213"/>
                        <a:ext cx="4032250" cy="542925"/>
                      </a:xfrm>
                      <a:prstGeom prst="rect">
                        <a:avLst/>
                      </a:prstGeom>
                      <a:noFill/>
                      <a:ln w="25400">
                        <a:solidFill>
                          <a:schemeClr val="tx1"/>
                        </a:solidFill>
                        <a:miter lim="800000"/>
                        <a:headEnd/>
                        <a:tailEnd/>
                      </a:ln>
                    </a:spPr>
                    <a:txSp>
                      <a:txBody>
                        <a:bodyPr>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spcBef>
                              <a:spcPct val="50000"/>
                            </a:spcBef>
                          </a:pPr>
                          <a:r>
                            <a:rPr lang="fr-FR" sz="1400" b="1" i="1"/>
                            <a:t>POL. MON. DE LABANQUE CENTRALE</a:t>
                          </a:r>
                          <a:r>
                            <a:rPr lang="fr-FR" sz="1400"/>
                            <a:t> </a:t>
                          </a:r>
                          <a:r>
                            <a:rPr lang="fr-FR" sz="1400" b="1"/>
                            <a:t>Axe 2</a:t>
                          </a:r>
                        </a:p>
                      </a:txBody>
                      <a:useSpRect/>
                    </a:txSp>
                  </a:sp>
                  <a:sp>
                    <a:nvSpPr>
                      <a:cNvPr id="96263" name="Text Box 7"/>
                      <a:cNvSpPr txBox="1">
                        <a:spLocks noChangeArrowheads="1"/>
                      </a:cNvSpPr>
                    </a:nvSpPr>
                    <a:spPr bwMode="auto">
                      <a:xfrm>
                        <a:off x="1908175" y="5445125"/>
                        <a:ext cx="5543550" cy="752475"/>
                      </a:xfrm>
                      <a:prstGeom prst="rect">
                        <a:avLst/>
                      </a:prstGeom>
                      <a:solidFill>
                        <a:srgbClr val="FFCC99"/>
                      </a:solidFill>
                      <a:ln w="22225">
                        <a:solidFill>
                          <a:schemeClr val="tx1"/>
                        </a:solidFill>
                        <a:miter lim="800000"/>
                        <a:headEnd/>
                        <a:tailEnd/>
                      </a:ln>
                    </a:spPr>
                    <a:txSp>
                      <a:txBody>
                        <a:bodyPr lIns="0" rIns="0">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endParaRPr lang="fr-FR" sz="1000" b="1"/>
                        </a:p>
                        <a:p>
                          <a:pPr algn="ctr"/>
                          <a:r>
                            <a:rPr lang="fr-FR" sz="1400" b="1"/>
                            <a:t>MARCHES FINANCIERS OU CIRCULE LES MONNAIES ET TITRES</a:t>
                          </a:r>
                          <a:r>
                            <a:rPr lang="fr-FR" sz="1000" b="1" i="1"/>
                            <a:t> </a:t>
                          </a:r>
                        </a:p>
                        <a:p>
                          <a:pPr algn="ctr"/>
                          <a:endParaRPr lang="fr-FR" sz="400" b="1" i="1"/>
                        </a:p>
                      </a:txBody>
                      <a:useSpRect/>
                    </a:txSp>
                  </a:sp>
                  <a:sp>
                    <a:nvSpPr>
                      <a:cNvPr id="96265" name="Text Box 9"/>
                      <a:cNvSpPr txBox="1">
                        <a:spLocks noChangeArrowheads="1"/>
                      </a:cNvSpPr>
                    </a:nvSpPr>
                    <a:spPr bwMode="auto">
                      <a:xfrm>
                        <a:off x="2413000" y="3808413"/>
                        <a:ext cx="1727200" cy="844550"/>
                      </a:xfrm>
                      <a:prstGeom prst="rect">
                        <a:avLst/>
                      </a:prstGeom>
                      <a:solidFill>
                        <a:srgbClr val="FF6600"/>
                      </a:solidFill>
                      <a:ln w="22225">
                        <a:solidFill>
                          <a:schemeClr val="tx1"/>
                        </a:solidFill>
                        <a:miter lim="800000"/>
                        <a:headEnd/>
                        <a:tailEnd/>
                      </a:ln>
                    </a:spPr>
                    <a:txSp>
                      <a:txBody>
                        <a:bodyPr lIns="0" rIns="0">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r>
                            <a:rPr lang="fr-FR" sz="1200" b="1"/>
                            <a:t>« Vend » des devises ou la monnaie nationale</a:t>
                          </a:r>
                        </a:p>
                        <a:p>
                          <a:pPr algn="ctr"/>
                          <a:r>
                            <a:rPr lang="fr-FR" sz="1200" b="1"/>
                            <a:t>Achète des titres</a:t>
                          </a:r>
                          <a:endParaRPr lang="fr-FR" sz="1200" b="1" i="1"/>
                        </a:p>
                      </a:txBody>
                      <a:useSpRect/>
                    </a:txSp>
                  </a:sp>
                  <a:sp>
                    <a:nvSpPr>
                      <a:cNvPr id="96266" name="Text Box 10"/>
                      <a:cNvSpPr txBox="1">
                        <a:spLocks noChangeArrowheads="1"/>
                      </a:cNvSpPr>
                    </a:nvSpPr>
                    <a:spPr bwMode="auto">
                      <a:xfrm>
                        <a:off x="4930775" y="3933825"/>
                        <a:ext cx="1728788" cy="844550"/>
                      </a:xfrm>
                      <a:prstGeom prst="rect">
                        <a:avLst/>
                      </a:prstGeom>
                      <a:solidFill>
                        <a:srgbClr val="00FF00"/>
                      </a:solidFill>
                      <a:ln w="22225">
                        <a:solidFill>
                          <a:schemeClr val="tx1"/>
                        </a:solidFill>
                        <a:miter lim="800000"/>
                        <a:headEnd/>
                        <a:tailEnd/>
                      </a:ln>
                    </a:spPr>
                    <a:txSp>
                      <a:txBody>
                        <a:bodyPr lIns="0" rIns="0">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r>
                            <a:rPr lang="fr-FR" sz="1200" b="1"/>
                            <a:t>« Achète » des devises ou la monnaie national</a:t>
                          </a:r>
                        </a:p>
                        <a:p>
                          <a:pPr algn="ctr"/>
                          <a:r>
                            <a:rPr lang="fr-FR" sz="1200" b="1"/>
                            <a:t>Vend des titres</a:t>
                          </a:r>
                        </a:p>
                      </a:txBody>
                      <a:useSpRect/>
                    </a:txSp>
                  </a:sp>
                  <a:sp>
                    <a:nvSpPr>
                      <a:cNvPr id="96269" name="Text Box 13"/>
                      <a:cNvSpPr txBox="1">
                        <a:spLocks noChangeArrowheads="1"/>
                      </a:cNvSpPr>
                    </a:nvSpPr>
                    <a:spPr bwMode="auto">
                      <a:xfrm>
                        <a:off x="2484438" y="2276475"/>
                        <a:ext cx="4032250" cy="1025525"/>
                      </a:xfrm>
                      <a:prstGeom prst="rect">
                        <a:avLst/>
                      </a:prstGeom>
                      <a:noFill/>
                      <a:ln w="34925">
                        <a:solidFill>
                          <a:schemeClr val="tx1"/>
                        </a:solidFill>
                        <a:miter lim="800000"/>
                        <a:headEnd/>
                        <a:tailEnd/>
                      </a:ln>
                    </a:spPr>
                    <a:txSp>
                      <a:txBody>
                        <a:bodyPr>
                          <a:prstTxWarp prst="textNoShape">
                            <a:avLst/>
                          </a:prstTxWarp>
                          <a:spAutoFit/>
                        </a:bodyPr>
                        <a:lstStyle>
                          <a:defPPr>
                            <a:defRPr lang="fr-FR"/>
                          </a:defPPr>
                          <a:lvl1pPr algn="l" rtl="0" eaLnBrk="0" fontAlgn="base" hangingPunct="0">
                            <a:spcBef>
                              <a:spcPct val="0"/>
                            </a:spcBef>
                            <a:spcAft>
                              <a:spcPct val="0"/>
                            </a:spcAft>
                            <a:defRPr kern="1200">
                              <a:solidFill>
                                <a:schemeClr val="tx1"/>
                              </a:solidFill>
                              <a:latin typeface="Arial" charset="0"/>
                              <a:ea typeface="+mn-ea"/>
                              <a:cs typeface="+mn-cs"/>
                            </a:defRPr>
                          </a:lvl1pPr>
                          <a:lvl2pPr marL="457200" algn="l" rtl="0" eaLnBrk="0" fontAlgn="base" hangingPunct="0">
                            <a:spcBef>
                              <a:spcPct val="0"/>
                            </a:spcBef>
                            <a:spcAft>
                              <a:spcPct val="0"/>
                            </a:spcAft>
                            <a:defRPr kern="1200">
                              <a:solidFill>
                                <a:schemeClr val="tx1"/>
                              </a:solidFill>
                              <a:latin typeface="Arial" charset="0"/>
                              <a:ea typeface="+mn-ea"/>
                              <a:cs typeface="+mn-cs"/>
                            </a:defRPr>
                          </a:lvl2pPr>
                          <a:lvl3pPr marL="914400" algn="l" rtl="0" eaLnBrk="0" fontAlgn="base" hangingPunct="0">
                            <a:spcBef>
                              <a:spcPct val="0"/>
                            </a:spcBef>
                            <a:spcAft>
                              <a:spcPct val="0"/>
                            </a:spcAft>
                            <a:defRPr kern="1200">
                              <a:solidFill>
                                <a:schemeClr val="tx1"/>
                              </a:solidFill>
                              <a:latin typeface="Arial" charset="0"/>
                              <a:ea typeface="+mn-ea"/>
                              <a:cs typeface="+mn-cs"/>
                            </a:defRPr>
                          </a:lvl3pPr>
                          <a:lvl4pPr marL="1371600" algn="l" rtl="0" eaLnBrk="0" fontAlgn="base" hangingPunct="0">
                            <a:spcBef>
                              <a:spcPct val="0"/>
                            </a:spcBef>
                            <a:spcAft>
                              <a:spcPct val="0"/>
                            </a:spcAft>
                            <a:defRPr kern="1200">
                              <a:solidFill>
                                <a:schemeClr val="tx1"/>
                              </a:solidFill>
                              <a:latin typeface="Arial" charset="0"/>
                              <a:ea typeface="+mn-ea"/>
                              <a:cs typeface="+mn-cs"/>
                            </a:defRPr>
                          </a:lvl4pPr>
                          <a:lvl5pPr marL="1828800" algn="l" rtl="0" eaLnBrk="0" fontAlgn="base" hangingPunct="0">
                            <a:spcBef>
                              <a:spcPct val="0"/>
                            </a:spcBef>
                            <a:spcAft>
                              <a:spcPct val="0"/>
                            </a:spcAft>
                            <a:defRPr kern="1200">
                              <a:solidFill>
                                <a:schemeClr val="tx1"/>
                              </a:solidFill>
                              <a:latin typeface="Arial" charset="0"/>
                              <a:ea typeface="+mn-ea"/>
                              <a:cs typeface="+mn-cs"/>
                            </a:defRPr>
                          </a:lvl5pPr>
                          <a:lvl6pPr marL="2286000" algn="l" defTabSz="457200" rtl="0" eaLnBrk="1" latinLnBrk="0" hangingPunct="1">
                            <a:defRPr kern="1200">
                              <a:solidFill>
                                <a:schemeClr val="tx1"/>
                              </a:solidFill>
                              <a:latin typeface="Arial" charset="0"/>
                              <a:ea typeface="+mn-ea"/>
                              <a:cs typeface="+mn-cs"/>
                            </a:defRPr>
                          </a:lvl6pPr>
                          <a:lvl7pPr marL="2743200" algn="l" defTabSz="457200" rtl="0" eaLnBrk="1" latinLnBrk="0" hangingPunct="1">
                            <a:defRPr kern="1200">
                              <a:solidFill>
                                <a:schemeClr val="tx1"/>
                              </a:solidFill>
                              <a:latin typeface="Arial" charset="0"/>
                              <a:ea typeface="+mn-ea"/>
                              <a:cs typeface="+mn-cs"/>
                            </a:defRPr>
                          </a:lvl7pPr>
                          <a:lvl8pPr marL="3200400" algn="l" defTabSz="457200" rtl="0" eaLnBrk="1" latinLnBrk="0" hangingPunct="1">
                            <a:defRPr kern="1200">
                              <a:solidFill>
                                <a:schemeClr val="tx1"/>
                              </a:solidFill>
                              <a:latin typeface="Arial" charset="0"/>
                              <a:ea typeface="+mn-ea"/>
                              <a:cs typeface="+mn-cs"/>
                            </a:defRPr>
                          </a:lvl8pPr>
                          <a:lvl9pPr marL="3657600" algn="l" defTabSz="457200" rtl="0" eaLnBrk="1" latinLnBrk="0" hangingPunct="1">
                            <a:defRPr kern="1200">
                              <a:solidFill>
                                <a:schemeClr val="tx1"/>
                              </a:solidFill>
                              <a:latin typeface="Arial" charset="0"/>
                              <a:ea typeface="+mn-ea"/>
                              <a:cs typeface="+mn-cs"/>
                            </a:defRPr>
                          </a:lvl9pPr>
                        </a:lstStyle>
                        <a:p>
                          <a:pPr algn="ctr">
                            <a:spcBef>
                              <a:spcPct val="50000"/>
                            </a:spcBef>
                          </a:pPr>
                          <a:endParaRPr lang="fr-FR" sz="1400"/>
                        </a:p>
                        <a:p>
                          <a:pPr>
                            <a:spcBef>
                              <a:spcPct val="50000"/>
                            </a:spcBef>
                          </a:pPr>
                          <a:endParaRPr lang="fr-FR"/>
                        </a:p>
                        <a:p>
                          <a:pPr>
                            <a:spcBef>
                              <a:spcPct val="50000"/>
                            </a:spcBef>
                          </a:pPr>
                          <a:endParaRPr lang="fr-FR"/>
                        </a:p>
                      </a:txBody>
                      <a:useSpRect/>
                    </a:txSp>
                  </a:sp>
                </lc:lockedCanvas>
              </a:graphicData>
            </a:graphic>
          </wp:inline>
        </w:drawing>
      </w:r>
    </w:p>
    <w:p w:rsidR="00A73E72" w:rsidRPr="00FA4826" w:rsidRDefault="00A73E72" w:rsidP="00123CAF">
      <w:pPr>
        <w:spacing w:after="0"/>
        <w:rPr>
          <w:rFonts w:ascii="Arial" w:hAnsi="Arial" w:cs="Arial"/>
          <w:i w:val="0"/>
        </w:rPr>
      </w:pPr>
    </w:p>
    <w:p w:rsidR="0021225D" w:rsidRPr="00FA4826" w:rsidRDefault="00A73E72" w:rsidP="00123CAF">
      <w:pPr>
        <w:spacing w:after="0"/>
        <w:rPr>
          <w:rFonts w:ascii="Arial" w:hAnsi="Arial" w:cs="Arial"/>
          <w:i w:val="0"/>
        </w:rPr>
      </w:pPr>
      <w:r w:rsidRPr="00FA4826">
        <w:rPr>
          <w:rFonts w:ascii="Arial" w:hAnsi="Arial" w:cs="Arial"/>
          <w:i w:val="0"/>
          <w:noProof/>
          <w:lang w:eastAsia="fr-FR"/>
        </w:rPr>
        <w:drawing>
          <wp:inline distT="0" distB="0" distL="0" distR="0" wp14:anchorId="22CA9F76" wp14:editId="52544796">
            <wp:extent cx="5760720" cy="2950845"/>
            <wp:effectExtent l="25400" t="0" r="5080" b="0"/>
            <wp:docPr id="25" name="Image 24" descr="Capture d’écran 2011-04-12 à 12.23.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pture d’écran 2011-04-12 à 12.23.58.png"/>
                    <pic:cNvPicPr/>
                  </pic:nvPicPr>
                  <pic:blipFill>
                    <a:blip r:embed="rId42"/>
                    <a:stretch>
                      <a:fillRect/>
                    </a:stretch>
                  </pic:blipFill>
                  <pic:spPr>
                    <a:xfrm>
                      <a:off x="0" y="0"/>
                      <a:ext cx="5760720" cy="2950845"/>
                    </a:xfrm>
                    <a:prstGeom prst="rect">
                      <a:avLst/>
                    </a:prstGeom>
                  </pic:spPr>
                </pic:pic>
              </a:graphicData>
            </a:graphic>
          </wp:inline>
        </w:drawing>
      </w:r>
    </w:p>
    <w:sectPr w:rsidR="0021225D" w:rsidRPr="00FA4826" w:rsidSect="00123CAF">
      <w:headerReference w:type="default" r:id="rId43"/>
      <w:footerReference w:type="default" r:id="rId44"/>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24105" w:rsidRDefault="00124105">
      <w:pPr>
        <w:spacing w:after="0" w:line="240" w:lineRule="auto"/>
      </w:pPr>
      <w:r>
        <w:separator/>
      </w:r>
    </w:p>
  </w:endnote>
  <w:endnote w:type="continuationSeparator" w:id="0">
    <w:p w:rsidR="00124105" w:rsidRDefault="001241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D28" w:rsidRPr="00A9016D" w:rsidRDefault="00D66D28">
    <w:pPr>
      <w:pStyle w:val="Pieddepage"/>
      <w:rPr>
        <w:i w:val="0"/>
      </w:rPr>
    </w:pPr>
    <w:r>
      <w:tab/>
    </w:r>
    <w:r>
      <w:tab/>
    </w:r>
    <w:r w:rsidRPr="00A9016D">
      <w:rPr>
        <w:rStyle w:val="Numrodepage"/>
        <w:i w:val="0"/>
      </w:rPr>
      <w:fldChar w:fldCharType="begin"/>
    </w:r>
    <w:r w:rsidRPr="00A9016D">
      <w:rPr>
        <w:rStyle w:val="Numrodepage"/>
        <w:i w:val="0"/>
      </w:rPr>
      <w:instrText xml:space="preserve"> PAGE </w:instrText>
    </w:r>
    <w:r w:rsidRPr="00A9016D">
      <w:rPr>
        <w:rStyle w:val="Numrodepage"/>
        <w:i w:val="0"/>
      </w:rPr>
      <w:fldChar w:fldCharType="separate"/>
    </w:r>
    <w:r w:rsidR="00E66336">
      <w:rPr>
        <w:rStyle w:val="Numrodepage"/>
        <w:i w:val="0"/>
        <w:noProof/>
      </w:rPr>
      <w:t>14</w:t>
    </w:r>
    <w:r w:rsidRPr="00A9016D">
      <w:rPr>
        <w:rStyle w:val="Numrodepage"/>
        <w:i w:val="0"/>
      </w:rPr>
      <w:fldChar w:fldCharType="end"/>
    </w:r>
    <w:r w:rsidRPr="00A9016D">
      <w:rPr>
        <w:rStyle w:val="Numrodepage"/>
        <w:i w:val="0"/>
      </w:rPr>
      <w:t>/</w:t>
    </w:r>
    <w:r w:rsidRPr="00A9016D">
      <w:rPr>
        <w:rStyle w:val="Numrodepage"/>
        <w:i w:val="0"/>
      </w:rPr>
      <w:fldChar w:fldCharType="begin"/>
    </w:r>
    <w:r w:rsidRPr="00A9016D">
      <w:rPr>
        <w:rStyle w:val="Numrodepage"/>
        <w:i w:val="0"/>
      </w:rPr>
      <w:instrText xml:space="preserve"> NUMPAGES </w:instrText>
    </w:r>
    <w:r w:rsidRPr="00A9016D">
      <w:rPr>
        <w:rStyle w:val="Numrodepage"/>
        <w:i w:val="0"/>
      </w:rPr>
      <w:fldChar w:fldCharType="separate"/>
    </w:r>
    <w:r w:rsidR="00E66336">
      <w:rPr>
        <w:rStyle w:val="Numrodepage"/>
        <w:i w:val="0"/>
        <w:noProof/>
      </w:rPr>
      <w:t>31</w:t>
    </w:r>
    <w:r w:rsidRPr="00A9016D">
      <w:rPr>
        <w:rStyle w:val="Numrodepage"/>
        <w:i w:val="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24105" w:rsidRDefault="00124105">
      <w:pPr>
        <w:spacing w:after="0" w:line="240" w:lineRule="auto"/>
      </w:pPr>
      <w:r>
        <w:separator/>
      </w:r>
    </w:p>
  </w:footnote>
  <w:footnote w:type="continuationSeparator" w:id="0">
    <w:p w:rsidR="00124105" w:rsidRDefault="001241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6D28" w:rsidRPr="00A9016D" w:rsidRDefault="00D66D28" w:rsidP="00A9016D">
    <w:pPr>
      <w:pStyle w:val="En-tte"/>
      <w:jc w:val="center"/>
      <w:rPr>
        <w:i w:val="0"/>
      </w:rPr>
    </w:pPr>
    <w:r w:rsidRPr="00A9016D">
      <w:rPr>
        <w:i w:val="0"/>
      </w:rPr>
      <w:t>Monnaie et Financement – Partie II : Financement – Semestre 4</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43310"/>
    <w:multiLevelType w:val="hybridMultilevel"/>
    <w:tmpl w:val="74E4C842"/>
    <w:lvl w:ilvl="0" w:tplc="0F14E720">
      <w:start w:val="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26764C5"/>
    <w:multiLevelType w:val="hybridMultilevel"/>
    <w:tmpl w:val="2B38561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44F6976"/>
    <w:multiLevelType w:val="hybridMultilevel"/>
    <w:tmpl w:val="431028D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nsid w:val="046F33B5"/>
    <w:multiLevelType w:val="hybridMultilevel"/>
    <w:tmpl w:val="B1F492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67F68AD"/>
    <w:multiLevelType w:val="hybridMultilevel"/>
    <w:tmpl w:val="FDF2B64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06B90DF3"/>
    <w:multiLevelType w:val="hybridMultilevel"/>
    <w:tmpl w:val="8FB244F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A7E2B34"/>
    <w:multiLevelType w:val="hybridMultilevel"/>
    <w:tmpl w:val="61FA3C8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0AF75166"/>
    <w:multiLevelType w:val="hybridMultilevel"/>
    <w:tmpl w:val="EFDA1C6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CBC2FB7"/>
    <w:multiLevelType w:val="hybridMultilevel"/>
    <w:tmpl w:val="42AACCC8"/>
    <w:lvl w:ilvl="0" w:tplc="9DC2B884">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9">
    <w:nsid w:val="0F776DF5"/>
    <w:multiLevelType w:val="hybridMultilevel"/>
    <w:tmpl w:val="55922880"/>
    <w:lvl w:ilvl="0" w:tplc="1276B51A">
      <w:start w:val="1"/>
      <w:numFmt w:val="upperRoman"/>
      <w:lvlText w:val="%1."/>
      <w:lvlJc w:val="left"/>
      <w:pPr>
        <w:ind w:left="1080" w:hanging="720"/>
      </w:pPr>
      <w:rPr>
        <w:rFonts w:hint="default"/>
        <w:color w:val="595959" w:themeColor="accent2" w:themeShade="80"/>
        <w:sz w:val="28"/>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nsid w:val="110A5139"/>
    <w:multiLevelType w:val="hybridMultilevel"/>
    <w:tmpl w:val="DFAA109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22F36D6"/>
    <w:multiLevelType w:val="hybridMultilevel"/>
    <w:tmpl w:val="EDFEBA34"/>
    <w:lvl w:ilvl="0" w:tplc="F7F4FD60">
      <w:start w:val="4"/>
      <w:numFmt w:val="bullet"/>
      <w:lvlText w:val="-"/>
      <w:lvlJc w:val="left"/>
      <w:pPr>
        <w:ind w:left="720" w:hanging="360"/>
      </w:pPr>
      <w:rPr>
        <w:rFonts w:ascii="Calibri" w:eastAsiaTheme="minorHAnsi" w:hAnsi="Calibri" w:cstheme="minorBidi"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15702C61"/>
    <w:multiLevelType w:val="hybridMultilevel"/>
    <w:tmpl w:val="26E69114"/>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
    <w:nsid w:val="16B428CB"/>
    <w:multiLevelType w:val="hybridMultilevel"/>
    <w:tmpl w:val="4034890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18C32B08"/>
    <w:multiLevelType w:val="hybridMultilevel"/>
    <w:tmpl w:val="1724377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C1D3482"/>
    <w:multiLevelType w:val="hybridMultilevel"/>
    <w:tmpl w:val="8A4E67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F1929AE"/>
    <w:multiLevelType w:val="hybridMultilevel"/>
    <w:tmpl w:val="7CD438F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227A63F9"/>
    <w:multiLevelType w:val="hybridMultilevel"/>
    <w:tmpl w:val="37A29E3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nsid w:val="23676291"/>
    <w:multiLevelType w:val="hybridMultilevel"/>
    <w:tmpl w:val="1F68271E"/>
    <w:lvl w:ilvl="0" w:tplc="040C0005">
      <w:start w:val="1"/>
      <w:numFmt w:val="bullet"/>
      <w:lvlText w:val=""/>
      <w:lvlJc w:val="left"/>
      <w:pPr>
        <w:ind w:left="2160" w:hanging="360"/>
      </w:pPr>
      <w:rPr>
        <w:rFonts w:ascii="Wingdings" w:hAnsi="Wingdings" w:hint="default"/>
      </w:rPr>
    </w:lvl>
    <w:lvl w:ilvl="1" w:tplc="040C0003" w:tentative="1">
      <w:start w:val="1"/>
      <w:numFmt w:val="bullet"/>
      <w:lvlText w:val="o"/>
      <w:lvlJc w:val="left"/>
      <w:pPr>
        <w:ind w:left="2880" w:hanging="360"/>
      </w:pPr>
      <w:rPr>
        <w:rFonts w:ascii="Courier New" w:hAnsi="Courier New" w:cs="Courier New" w:hint="default"/>
      </w:rPr>
    </w:lvl>
    <w:lvl w:ilvl="2" w:tplc="040C0005" w:tentative="1">
      <w:start w:val="1"/>
      <w:numFmt w:val="bullet"/>
      <w:lvlText w:val=""/>
      <w:lvlJc w:val="left"/>
      <w:pPr>
        <w:ind w:left="3600" w:hanging="360"/>
      </w:pPr>
      <w:rPr>
        <w:rFonts w:ascii="Wingdings" w:hAnsi="Wingdings" w:hint="default"/>
      </w:rPr>
    </w:lvl>
    <w:lvl w:ilvl="3" w:tplc="040C0001" w:tentative="1">
      <w:start w:val="1"/>
      <w:numFmt w:val="bullet"/>
      <w:lvlText w:val=""/>
      <w:lvlJc w:val="left"/>
      <w:pPr>
        <w:ind w:left="4320" w:hanging="360"/>
      </w:pPr>
      <w:rPr>
        <w:rFonts w:ascii="Symbol" w:hAnsi="Symbol" w:hint="default"/>
      </w:rPr>
    </w:lvl>
    <w:lvl w:ilvl="4" w:tplc="040C0003" w:tentative="1">
      <w:start w:val="1"/>
      <w:numFmt w:val="bullet"/>
      <w:lvlText w:val="o"/>
      <w:lvlJc w:val="left"/>
      <w:pPr>
        <w:ind w:left="5040" w:hanging="360"/>
      </w:pPr>
      <w:rPr>
        <w:rFonts w:ascii="Courier New" w:hAnsi="Courier New" w:cs="Courier New" w:hint="default"/>
      </w:rPr>
    </w:lvl>
    <w:lvl w:ilvl="5" w:tplc="040C0005" w:tentative="1">
      <w:start w:val="1"/>
      <w:numFmt w:val="bullet"/>
      <w:lvlText w:val=""/>
      <w:lvlJc w:val="left"/>
      <w:pPr>
        <w:ind w:left="5760" w:hanging="360"/>
      </w:pPr>
      <w:rPr>
        <w:rFonts w:ascii="Wingdings" w:hAnsi="Wingdings" w:hint="default"/>
      </w:rPr>
    </w:lvl>
    <w:lvl w:ilvl="6" w:tplc="040C0001" w:tentative="1">
      <w:start w:val="1"/>
      <w:numFmt w:val="bullet"/>
      <w:lvlText w:val=""/>
      <w:lvlJc w:val="left"/>
      <w:pPr>
        <w:ind w:left="6480" w:hanging="360"/>
      </w:pPr>
      <w:rPr>
        <w:rFonts w:ascii="Symbol" w:hAnsi="Symbol" w:hint="default"/>
      </w:rPr>
    </w:lvl>
    <w:lvl w:ilvl="7" w:tplc="040C0003" w:tentative="1">
      <w:start w:val="1"/>
      <w:numFmt w:val="bullet"/>
      <w:lvlText w:val="o"/>
      <w:lvlJc w:val="left"/>
      <w:pPr>
        <w:ind w:left="7200" w:hanging="360"/>
      </w:pPr>
      <w:rPr>
        <w:rFonts w:ascii="Courier New" w:hAnsi="Courier New" w:cs="Courier New" w:hint="default"/>
      </w:rPr>
    </w:lvl>
    <w:lvl w:ilvl="8" w:tplc="040C0005" w:tentative="1">
      <w:start w:val="1"/>
      <w:numFmt w:val="bullet"/>
      <w:lvlText w:val=""/>
      <w:lvlJc w:val="left"/>
      <w:pPr>
        <w:ind w:left="7920" w:hanging="360"/>
      </w:pPr>
      <w:rPr>
        <w:rFonts w:ascii="Wingdings" w:hAnsi="Wingdings" w:hint="default"/>
      </w:rPr>
    </w:lvl>
  </w:abstractNum>
  <w:abstractNum w:abstractNumId="19">
    <w:nsid w:val="309328F0"/>
    <w:multiLevelType w:val="hybridMultilevel"/>
    <w:tmpl w:val="717063B2"/>
    <w:lvl w:ilvl="0" w:tplc="34809730">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20">
    <w:nsid w:val="34154CDE"/>
    <w:multiLevelType w:val="hybridMultilevel"/>
    <w:tmpl w:val="4198F2D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3611625A"/>
    <w:multiLevelType w:val="hybridMultilevel"/>
    <w:tmpl w:val="DB3061D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nsid w:val="3883445C"/>
    <w:multiLevelType w:val="hybridMultilevel"/>
    <w:tmpl w:val="7380509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3D3901BF"/>
    <w:multiLevelType w:val="hybridMultilevel"/>
    <w:tmpl w:val="3EFA7C7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404315BF"/>
    <w:multiLevelType w:val="hybridMultilevel"/>
    <w:tmpl w:val="F46093E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40694B91"/>
    <w:multiLevelType w:val="hybridMultilevel"/>
    <w:tmpl w:val="7736C7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nsid w:val="437F1430"/>
    <w:multiLevelType w:val="hybridMultilevel"/>
    <w:tmpl w:val="C2CED09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44972733"/>
    <w:multiLevelType w:val="hybridMultilevel"/>
    <w:tmpl w:val="ABA0B8DE"/>
    <w:lvl w:ilvl="0" w:tplc="040C0019">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28">
    <w:nsid w:val="44F653BD"/>
    <w:multiLevelType w:val="hybridMultilevel"/>
    <w:tmpl w:val="EE5018B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4540610C"/>
    <w:multiLevelType w:val="hybridMultilevel"/>
    <w:tmpl w:val="F4B0867E"/>
    <w:lvl w:ilvl="0" w:tplc="01E62474">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0">
    <w:nsid w:val="4A0D271C"/>
    <w:multiLevelType w:val="hybridMultilevel"/>
    <w:tmpl w:val="418891A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4C3E1EB6"/>
    <w:multiLevelType w:val="hybridMultilevel"/>
    <w:tmpl w:val="BDAE59C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nsid w:val="4CA76B49"/>
    <w:multiLevelType w:val="hybridMultilevel"/>
    <w:tmpl w:val="57CEDB2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nsid w:val="51C64FAD"/>
    <w:multiLevelType w:val="hybridMultilevel"/>
    <w:tmpl w:val="C9600B5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525D1374"/>
    <w:multiLevelType w:val="hybridMultilevel"/>
    <w:tmpl w:val="FB20B2F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53D14393"/>
    <w:multiLevelType w:val="hybridMultilevel"/>
    <w:tmpl w:val="2092D03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568C7D0A"/>
    <w:multiLevelType w:val="hybridMultilevel"/>
    <w:tmpl w:val="6FF47A0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57645F52"/>
    <w:multiLevelType w:val="hybridMultilevel"/>
    <w:tmpl w:val="5156A2B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5B7600B0"/>
    <w:multiLevelType w:val="hybridMultilevel"/>
    <w:tmpl w:val="524469CA"/>
    <w:lvl w:ilvl="0" w:tplc="0B8685F4">
      <w:start w:val="1"/>
      <w:numFmt w:val="lowerLetter"/>
      <w:lvlText w:val="%1."/>
      <w:lvlJc w:val="left"/>
      <w:pPr>
        <w:ind w:left="1776" w:hanging="360"/>
      </w:pPr>
      <w:rPr>
        <w:rFonts w:hint="default"/>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39">
    <w:nsid w:val="5E96790E"/>
    <w:multiLevelType w:val="hybridMultilevel"/>
    <w:tmpl w:val="651A17EA"/>
    <w:lvl w:ilvl="0" w:tplc="97E46E92">
      <w:start w:val="1"/>
      <w:numFmt w:val="decimal"/>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40">
    <w:nsid w:val="670C09CD"/>
    <w:multiLevelType w:val="hybridMultilevel"/>
    <w:tmpl w:val="50BE0E9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nsid w:val="674D3426"/>
    <w:multiLevelType w:val="hybridMultilevel"/>
    <w:tmpl w:val="9A9A852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684C0488"/>
    <w:multiLevelType w:val="hybridMultilevel"/>
    <w:tmpl w:val="FAFE8A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nsid w:val="6ED07FB4"/>
    <w:multiLevelType w:val="hybridMultilevel"/>
    <w:tmpl w:val="ADD079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4">
    <w:nsid w:val="6F067676"/>
    <w:multiLevelType w:val="hybridMultilevel"/>
    <w:tmpl w:val="9B92BD6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nsid w:val="72BE38F2"/>
    <w:multiLevelType w:val="hybridMultilevel"/>
    <w:tmpl w:val="CB96BEAC"/>
    <w:lvl w:ilvl="0" w:tplc="040C000B">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46">
    <w:nsid w:val="74AD5979"/>
    <w:multiLevelType w:val="hybridMultilevel"/>
    <w:tmpl w:val="6D9697E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74DF54C1"/>
    <w:multiLevelType w:val="hybridMultilevel"/>
    <w:tmpl w:val="8C180DB4"/>
    <w:lvl w:ilvl="0" w:tplc="F7F4FD60">
      <w:start w:val="4"/>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8">
    <w:nsid w:val="7C8016F8"/>
    <w:multiLevelType w:val="hybridMultilevel"/>
    <w:tmpl w:val="B2F0400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7D2E3483"/>
    <w:multiLevelType w:val="hybridMultilevel"/>
    <w:tmpl w:val="46F6CE16"/>
    <w:lvl w:ilvl="0" w:tplc="6D9A0FB8">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nsid w:val="7D94718D"/>
    <w:multiLevelType w:val="hybridMultilevel"/>
    <w:tmpl w:val="85C2EF9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31"/>
  </w:num>
  <w:num w:numId="2">
    <w:abstractNumId w:val="44"/>
  </w:num>
  <w:num w:numId="3">
    <w:abstractNumId w:val="12"/>
  </w:num>
  <w:num w:numId="4">
    <w:abstractNumId w:val="50"/>
  </w:num>
  <w:num w:numId="5">
    <w:abstractNumId w:val="20"/>
  </w:num>
  <w:num w:numId="6">
    <w:abstractNumId w:val="37"/>
  </w:num>
  <w:num w:numId="7">
    <w:abstractNumId w:val="40"/>
  </w:num>
  <w:num w:numId="8">
    <w:abstractNumId w:val="0"/>
  </w:num>
  <w:num w:numId="9">
    <w:abstractNumId w:val="16"/>
  </w:num>
  <w:num w:numId="10">
    <w:abstractNumId w:val="1"/>
  </w:num>
  <w:num w:numId="11">
    <w:abstractNumId w:val="36"/>
  </w:num>
  <w:num w:numId="12">
    <w:abstractNumId w:val="33"/>
  </w:num>
  <w:num w:numId="13">
    <w:abstractNumId w:val="45"/>
  </w:num>
  <w:num w:numId="14">
    <w:abstractNumId w:val="18"/>
  </w:num>
  <w:num w:numId="15">
    <w:abstractNumId w:val="17"/>
  </w:num>
  <w:num w:numId="16">
    <w:abstractNumId w:val="24"/>
  </w:num>
  <w:num w:numId="17">
    <w:abstractNumId w:val="6"/>
  </w:num>
  <w:num w:numId="18">
    <w:abstractNumId w:val="41"/>
  </w:num>
  <w:num w:numId="19">
    <w:abstractNumId w:val="4"/>
  </w:num>
  <w:num w:numId="20">
    <w:abstractNumId w:val="43"/>
  </w:num>
  <w:num w:numId="21">
    <w:abstractNumId w:val="21"/>
  </w:num>
  <w:num w:numId="22">
    <w:abstractNumId w:val="10"/>
  </w:num>
  <w:num w:numId="23">
    <w:abstractNumId w:val="7"/>
  </w:num>
  <w:num w:numId="24">
    <w:abstractNumId w:val="27"/>
  </w:num>
  <w:num w:numId="25">
    <w:abstractNumId w:val="15"/>
  </w:num>
  <w:num w:numId="26">
    <w:abstractNumId w:val="29"/>
  </w:num>
  <w:num w:numId="27">
    <w:abstractNumId w:val="38"/>
  </w:num>
  <w:num w:numId="28">
    <w:abstractNumId w:val="11"/>
  </w:num>
  <w:num w:numId="29">
    <w:abstractNumId w:val="47"/>
  </w:num>
  <w:num w:numId="30">
    <w:abstractNumId w:val="19"/>
  </w:num>
  <w:num w:numId="31">
    <w:abstractNumId w:val="35"/>
  </w:num>
  <w:num w:numId="32">
    <w:abstractNumId w:val="34"/>
  </w:num>
  <w:num w:numId="33">
    <w:abstractNumId w:val="5"/>
  </w:num>
  <w:num w:numId="34">
    <w:abstractNumId w:val="28"/>
  </w:num>
  <w:num w:numId="35">
    <w:abstractNumId w:val="3"/>
  </w:num>
  <w:num w:numId="36">
    <w:abstractNumId w:val="30"/>
  </w:num>
  <w:num w:numId="37">
    <w:abstractNumId w:val="42"/>
  </w:num>
  <w:num w:numId="38">
    <w:abstractNumId w:val="26"/>
  </w:num>
  <w:num w:numId="39">
    <w:abstractNumId w:val="23"/>
  </w:num>
  <w:num w:numId="40">
    <w:abstractNumId w:val="14"/>
  </w:num>
  <w:num w:numId="41">
    <w:abstractNumId w:val="32"/>
  </w:num>
  <w:num w:numId="42">
    <w:abstractNumId w:val="13"/>
  </w:num>
  <w:num w:numId="43">
    <w:abstractNumId w:val="25"/>
  </w:num>
  <w:num w:numId="44">
    <w:abstractNumId w:val="2"/>
  </w:num>
  <w:num w:numId="45">
    <w:abstractNumId w:val="22"/>
  </w:num>
  <w:num w:numId="46">
    <w:abstractNumId w:val="39"/>
  </w:num>
  <w:num w:numId="47">
    <w:abstractNumId w:val="8"/>
  </w:num>
  <w:num w:numId="48">
    <w:abstractNumId w:val="46"/>
  </w:num>
  <w:num w:numId="49">
    <w:abstractNumId w:val="48"/>
  </w:num>
  <w:num w:numId="50">
    <w:abstractNumId w:val="9"/>
  </w:num>
  <w:num w:numId="51">
    <w:abstractNumId w:val="49"/>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oNotTrackMoves/>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21225D"/>
    <w:rsid w:val="00000A38"/>
    <w:rsid w:val="000233DA"/>
    <w:rsid w:val="00025465"/>
    <w:rsid w:val="000260D4"/>
    <w:rsid w:val="00062074"/>
    <w:rsid w:val="00081033"/>
    <w:rsid w:val="000B2F34"/>
    <w:rsid w:val="000C2924"/>
    <w:rsid w:val="000E306F"/>
    <w:rsid w:val="001035E7"/>
    <w:rsid w:val="00115083"/>
    <w:rsid w:val="00117769"/>
    <w:rsid w:val="00123CAF"/>
    <w:rsid w:val="00124105"/>
    <w:rsid w:val="00151AB5"/>
    <w:rsid w:val="00152836"/>
    <w:rsid w:val="00154D49"/>
    <w:rsid w:val="001663A2"/>
    <w:rsid w:val="001D746C"/>
    <w:rsid w:val="001E52AA"/>
    <w:rsid w:val="00200878"/>
    <w:rsid w:val="0021225D"/>
    <w:rsid w:val="002122E1"/>
    <w:rsid w:val="002174CC"/>
    <w:rsid w:val="002367CA"/>
    <w:rsid w:val="00247627"/>
    <w:rsid w:val="0025465A"/>
    <w:rsid w:val="00273D79"/>
    <w:rsid w:val="00276A41"/>
    <w:rsid w:val="002819FD"/>
    <w:rsid w:val="002B4843"/>
    <w:rsid w:val="002C4D8C"/>
    <w:rsid w:val="002C61C2"/>
    <w:rsid w:val="002F12C1"/>
    <w:rsid w:val="002F4B45"/>
    <w:rsid w:val="003049B1"/>
    <w:rsid w:val="00314DF6"/>
    <w:rsid w:val="003217EB"/>
    <w:rsid w:val="00324394"/>
    <w:rsid w:val="00343164"/>
    <w:rsid w:val="00373B65"/>
    <w:rsid w:val="003D4B32"/>
    <w:rsid w:val="003D7A73"/>
    <w:rsid w:val="003E34A2"/>
    <w:rsid w:val="003E4312"/>
    <w:rsid w:val="0041406B"/>
    <w:rsid w:val="00414D9C"/>
    <w:rsid w:val="00416651"/>
    <w:rsid w:val="0044310D"/>
    <w:rsid w:val="00461D13"/>
    <w:rsid w:val="004A3113"/>
    <w:rsid w:val="004B3D22"/>
    <w:rsid w:val="004B681B"/>
    <w:rsid w:val="004D268F"/>
    <w:rsid w:val="004E76E3"/>
    <w:rsid w:val="0052279A"/>
    <w:rsid w:val="005356CD"/>
    <w:rsid w:val="005637C8"/>
    <w:rsid w:val="005A7700"/>
    <w:rsid w:val="005B6101"/>
    <w:rsid w:val="005D1CBA"/>
    <w:rsid w:val="005E1C96"/>
    <w:rsid w:val="005E6F33"/>
    <w:rsid w:val="005F29C9"/>
    <w:rsid w:val="005F7108"/>
    <w:rsid w:val="00616B92"/>
    <w:rsid w:val="006437E8"/>
    <w:rsid w:val="0064662E"/>
    <w:rsid w:val="006561E2"/>
    <w:rsid w:val="00667101"/>
    <w:rsid w:val="006B4728"/>
    <w:rsid w:val="006C4603"/>
    <w:rsid w:val="006C7894"/>
    <w:rsid w:val="006D2C47"/>
    <w:rsid w:val="006E37E0"/>
    <w:rsid w:val="006E7BC4"/>
    <w:rsid w:val="0071392C"/>
    <w:rsid w:val="00713DAD"/>
    <w:rsid w:val="007313BE"/>
    <w:rsid w:val="00744293"/>
    <w:rsid w:val="007617BC"/>
    <w:rsid w:val="00777925"/>
    <w:rsid w:val="0078220F"/>
    <w:rsid w:val="007B07F9"/>
    <w:rsid w:val="007E1325"/>
    <w:rsid w:val="007E6D33"/>
    <w:rsid w:val="007F207B"/>
    <w:rsid w:val="00806AF5"/>
    <w:rsid w:val="00825929"/>
    <w:rsid w:val="008279CF"/>
    <w:rsid w:val="00832B94"/>
    <w:rsid w:val="00833E62"/>
    <w:rsid w:val="00846878"/>
    <w:rsid w:val="0086049E"/>
    <w:rsid w:val="008727CB"/>
    <w:rsid w:val="00874092"/>
    <w:rsid w:val="00876BDD"/>
    <w:rsid w:val="008A40BA"/>
    <w:rsid w:val="008B12E2"/>
    <w:rsid w:val="008B42E1"/>
    <w:rsid w:val="008C3997"/>
    <w:rsid w:val="00912A43"/>
    <w:rsid w:val="00912DB3"/>
    <w:rsid w:val="00945EBE"/>
    <w:rsid w:val="009634A4"/>
    <w:rsid w:val="00964039"/>
    <w:rsid w:val="00965996"/>
    <w:rsid w:val="00980B05"/>
    <w:rsid w:val="009B0BDA"/>
    <w:rsid w:val="009B34CB"/>
    <w:rsid w:val="009B715C"/>
    <w:rsid w:val="009C5F80"/>
    <w:rsid w:val="009D5C95"/>
    <w:rsid w:val="009D7091"/>
    <w:rsid w:val="009F1910"/>
    <w:rsid w:val="00A02179"/>
    <w:rsid w:val="00A4361E"/>
    <w:rsid w:val="00A61882"/>
    <w:rsid w:val="00A73E72"/>
    <w:rsid w:val="00A7688E"/>
    <w:rsid w:val="00A9016D"/>
    <w:rsid w:val="00AA3DE5"/>
    <w:rsid w:val="00AA4EF0"/>
    <w:rsid w:val="00AC0784"/>
    <w:rsid w:val="00AC1A7E"/>
    <w:rsid w:val="00AC7453"/>
    <w:rsid w:val="00AD3F83"/>
    <w:rsid w:val="00AE30AC"/>
    <w:rsid w:val="00AF2810"/>
    <w:rsid w:val="00AF604F"/>
    <w:rsid w:val="00B2658B"/>
    <w:rsid w:val="00B65E32"/>
    <w:rsid w:val="00B803A1"/>
    <w:rsid w:val="00B87E84"/>
    <w:rsid w:val="00B97D0F"/>
    <w:rsid w:val="00BF1997"/>
    <w:rsid w:val="00BF5699"/>
    <w:rsid w:val="00BF583B"/>
    <w:rsid w:val="00C00F0D"/>
    <w:rsid w:val="00C2108E"/>
    <w:rsid w:val="00C24108"/>
    <w:rsid w:val="00C40F85"/>
    <w:rsid w:val="00C437AE"/>
    <w:rsid w:val="00C64C89"/>
    <w:rsid w:val="00C74175"/>
    <w:rsid w:val="00C74ED5"/>
    <w:rsid w:val="00C80CCE"/>
    <w:rsid w:val="00C82B8E"/>
    <w:rsid w:val="00CA18F6"/>
    <w:rsid w:val="00CA6ECC"/>
    <w:rsid w:val="00CC5A2E"/>
    <w:rsid w:val="00CE7155"/>
    <w:rsid w:val="00D03D59"/>
    <w:rsid w:val="00D368EA"/>
    <w:rsid w:val="00D50FA5"/>
    <w:rsid w:val="00D55C58"/>
    <w:rsid w:val="00D60337"/>
    <w:rsid w:val="00D60F3C"/>
    <w:rsid w:val="00D613AA"/>
    <w:rsid w:val="00D66D28"/>
    <w:rsid w:val="00D67BC7"/>
    <w:rsid w:val="00D74C13"/>
    <w:rsid w:val="00D86746"/>
    <w:rsid w:val="00DA04DA"/>
    <w:rsid w:val="00DA434D"/>
    <w:rsid w:val="00DD0EA6"/>
    <w:rsid w:val="00DD77EC"/>
    <w:rsid w:val="00E13CC4"/>
    <w:rsid w:val="00E27CFB"/>
    <w:rsid w:val="00E66336"/>
    <w:rsid w:val="00EA1696"/>
    <w:rsid w:val="00EA70A7"/>
    <w:rsid w:val="00EB7534"/>
    <w:rsid w:val="00EC53E2"/>
    <w:rsid w:val="00ED235D"/>
    <w:rsid w:val="00EE7ABC"/>
    <w:rsid w:val="00EF0706"/>
    <w:rsid w:val="00F13F6C"/>
    <w:rsid w:val="00F14F0D"/>
    <w:rsid w:val="00F306EC"/>
    <w:rsid w:val="00F3471F"/>
    <w:rsid w:val="00F44CB6"/>
    <w:rsid w:val="00F656B9"/>
    <w:rsid w:val="00F67869"/>
    <w:rsid w:val="00F94F64"/>
    <w:rsid w:val="00FA4826"/>
    <w:rsid w:val="00FB1565"/>
    <w:rsid w:val="00FD547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en-US" w:bidi="ar-SA"/>
      </w:rPr>
    </w:rPrDefault>
    <w:pPrDefault>
      <w:pPr>
        <w:spacing w:after="200" w:line="288" w:lineRule="auto"/>
      </w:pPr>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Subtitle" w:uiPriority="11" w:qFormat="1"/>
    <w:lsdException w:name="Hyperlink" w:uiPriority="99"/>
    <w:lsdException w:name="Strong" w:uiPriority="22" w:qFormat="1"/>
    <w:lsdException w:name="Emphasis" w:uiPriority="20" w:qFormat="1"/>
    <w:lsdException w:name="No Spacing" w:uiPriority="1" w:qFormat="1"/>
    <w:lsdException w:name="List Paragraph" w:uiPriority="34" w:qFormat="1"/>
    <w:lsdException w:name="Quote" w:uiPriority="29" w:qFormat="1"/>
    <w:lsdException w:name="Intense Quote" w:uiPriority="30" w:qFormat="1"/>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TOC Heading" w:uiPriority="39" w:qFormat="1"/>
  </w:latentStyles>
  <w:style w:type="paragraph" w:default="1" w:styleId="Normal">
    <w:name w:val="Normal"/>
    <w:qFormat/>
    <w:rsid w:val="00414D9C"/>
    <w:rPr>
      <w:i/>
      <w:iCs/>
      <w:sz w:val="20"/>
      <w:szCs w:val="20"/>
    </w:rPr>
  </w:style>
  <w:style w:type="paragraph" w:styleId="Titre1">
    <w:name w:val="heading 1"/>
    <w:basedOn w:val="Normal"/>
    <w:next w:val="Normal"/>
    <w:link w:val="Titre1Car"/>
    <w:uiPriority w:val="9"/>
    <w:qFormat/>
    <w:rsid w:val="00414D9C"/>
    <w:pPr>
      <w:pBdr>
        <w:top w:val="single" w:sz="8" w:space="0" w:color="B2B2B2" w:themeColor="accent2"/>
        <w:left w:val="single" w:sz="8" w:space="0" w:color="B2B2B2" w:themeColor="accent2"/>
        <w:bottom w:val="single" w:sz="8" w:space="0" w:color="B2B2B2" w:themeColor="accent2"/>
        <w:right w:val="single" w:sz="8" w:space="0" w:color="B2B2B2" w:themeColor="accent2"/>
      </w:pBdr>
      <w:shd w:val="clear" w:color="auto" w:fill="EFEFEF" w:themeFill="accent2" w:themeFillTint="33"/>
      <w:spacing w:before="480" w:after="100" w:line="269" w:lineRule="auto"/>
      <w:contextualSpacing/>
      <w:outlineLvl w:val="0"/>
    </w:pPr>
    <w:rPr>
      <w:rFonts w:asciiTheme="majorHAnsi" w:eastAsiaTheme="majorEastAsia" w:hAnsiTheme="majorHAnsi" w:cstheme="majorBidi"/>
      <w:b/>
      <w:bCs/>
      <w:color w:val="585858" w:themeColor="accent2" w:themeShade="7F"/>
      <w:sz w:val="22"/>
      <w:szCs w:val="22"/>
    </w:rPr>
  </w:style>
  <w:style w:type="paragraph" w:styleId="Titre2">
    <w:name w:val="heading 2"/>
    <w:basedOn w:val="Normal"/>
    <w:next w:val="Normal"/>
    <w:link w:val="Titre2Car"/>
    <w:uiPriority w:val="9"/>
    <w:unhideWhenUsed/>
    <w:qFormat/>
    <w:rsid w:val="00414D9C"/>
    <w:pPr>
      <w:pBdr>
        <w:top w:val="single" w:sz="4" w:space="0" w:color="B2B2B2" w:themeColor="accent2"/>
        <w:left w:val="single" w:sz="48" w:space="2" w:color="B2B2B2" w:themeColor="accent2"/>
        <w:bottom w:val="single" w:sz="4" w:space="0" w:color="B2B2B2" w:themeColor="accent2"/>
        <w:right w:val="single" w:sz="4" w:space="4" w:color="B2B2B2" w:themeColor="accent2"/>
      </w:pBdr>
      <w:spacing w:before="200" w:after="100" w:line="269" w:lineRule="auto"/>
      <w:ind w:left="144"/>
      <w:contextualSpacing/>
      <w:outlineLvl w:val="1"/>
    </w:pPr>
    <w:rPr>
      <w:rFonts w:asciiTheme="majorHAnsi" w:eastAsiaTheme="majorEastAsia" w:hAnsiTheme="majorHAnsi" w:cstheme="majorBidi"/>
      <w:b/>
      <w:bCs/>
      <w:color w:val="858585" w:themeColor="accent2" w:themeShade="BF"/>
      <w:sz w:val="22"/>
      <w:szCs w:val="22"/>
    </w:rPr>
  </w:style>
  <w:style w:type="paragraph" w:styleId="Titre3">
    <w:name w:val="heading 3"/>
    <w:basedOn w:val="Normal"/>
    <w:next w:val="Normal"/>
    <w:link w:val="Titre3Car"/>
    <w:uiPriority w:val="9"/>
    <w:unhideWhenUsed/>
    <w:qFormat/>
    <w:rsid w:val="00414D9C"/>
    <w:pPr>
      <w:pBdr>
        <w:left w:val="single" w:sz="48" w:space="2" w:color="B2B2B2" w:themeColor="accent2"/>
        <w:bottom w:val="single" w:sz="4" w:space="0" w:color="B2B2B2" w:themeColor="accent2"/>
      </w:pBdr>
      <w:spacing w:before="200" w:after="100" w:line="240" w:lineRule="auto"/>
      <w:ind w:left="144"/>
      <w:contextualSpacing/>
      <w:outlineLvl w:val="2"/>
    </w:pPr>
    <w:rPr>
      <w:rFonts w:asciiTheme="majorHAnsi" w:eastAsiaTheme="majorEastAsia" w:hAnsiTheme="majorHAnsi" w:cstheme="majorBidi"/>
      <w:b/>
      <w:bCs/>
      <w:color w:val="858585" w:themeColor="accent2" w:themeShade="BF"/>
      <w:sz w:val="22"/>
      <w:szCs w:val="22"/>
    </w:rPr>
  </w:style>
  <w:style w:type="paragraph" w:styleId="Titre4">
    <w:name w:val="heading 4"/>
    <w:basedOn w:val="Normal"/>
    <w:next w:val="Normal"/>
    <w:link w:val="Titre4Car"/>
    <w:uiPriority w:val="9"/>
    <w:unhideWhenUsed/>
    <w:qFormat/>
    <w:rsid w:val="00414D9C"/>
    <w:pPr>
      <w:pBdr>
        <w:left w:val="single" w:sz="4" w:space="2" w:color="B2B2B2" w:themeColor="accent2"/>
        <w:bottom w:val="single" w:sz="4" w:space="2" w:color="B2B2B2" w:themeColor="accent2"/>
      </w:pBdr>
      <w:spacing w:before="200" w:after="100" w:line="240" w:lineRule="auto"/>
      <w:ind w:left="86"/>
      <w:contextualSpacing/>
      <w:outlineLvl w:val="3"/>
    </w:pPr>
    <w:rPr>
      <w:rFonts w:asciiTheme="majorHAnsi" w:eastAsiaTheme="majorEastAsia" w:hAnsiTheme="majorHAnsi" w:cstheme="majorBidi"/>
      <w:b/>
      <w:bCs/>
      <w:color w:val="858585" w:themeColor="accent2" w:themeShade="BF"/>
      <w:sz w:val="22"/>
      <w:szCs w:val="22"/>
    </w:rPr>
  </w:style>
  <w:style w:type="paragraph" w:styleId="Titre5">
    <w:name w:val="heading 5"/>
    <w:basedOn w:val="Normal"/>
    <w:next w:val="Normal"/>
    <w:link w:val="Titre5Car"/>
    <w:uiPriority w:val="9"/>
    <w:unhideWhenUsed/>
    <w:qFormat/>
    <w:rsid w:val="00414D9C"/>
    <w:pPr>
      <w:pBdr>
        <w:left w:val="dotted" w:sz="4" w:space="2" w:color="B2B2B2" w:themeColor="accent2"/>
        <w:bottom w:val="dotted" w:sz="4" w:space="2" w:color="B2B2B2" w:themeColor="accent2"/>
      </w:pBdr>
      <w:spacing w:before="200" w:after="100" w:line="240" w:lineRule="auto"/>
      <w:ind w:left="86"/>
      <w:contextualSpacing/>
      <w:outlineLvl w:val="4"/>
    </w:pPr>
    <w:rPr>
      <w:rFonts w:asciiTheme="majorHAnsi" w:eastAsiaTheme="majorEastAsia" w:hAnsiTheme="majorHAnsi" w:cstheme="majorBidi"/>
      <w:b/>
      <w:bCs/>
      <w:color w:val="858585" w:themeColor="accent2" w:themeShade="BF"/>
      <w:sz w:val="22"/>
      <w:szCs w:val="22"/>
    </w:rPr>
  </w:style>
  <w:style w:type="paragraph" w:styleId="Titre6">
    <w:name w:val="heading 6"/>
    <w:basedOn w:val="Normal"/>
    <w:next w:val="Normal"/>
    <w:link w:val="Titre6Car"/>
    <w:uiPriority w:val="9"/>
    <w:unhideWhenUsed/>
    <w:qFormat/>
    <w:rsid w:val="00414D9C"/>
    <w:pPr>
      <w:pBdr>
        <w:bottom w:val="single" w:sz="4" w:space="2" w:color="E0E0E0" w:themeColor="accent2" w:themeTint="66"/>
      </w:pBdr>
      <w:spacing w:before="200" w:after="100" w:line="240" w:lineRule="auto"/>
      <w:contextualSpacing/>
      <w:outlineLvl w:val="5"/>
    </w:pPr>
    <w:rPr>
      <w:rFonts w:asciiTheme="majorHAnsi" w:eastAsiaTheme="majorEastAsia" w:hAnsiTheme="majorHAnsi" w:cstheme="majorBidi"/>
      <w:color w:val="858585" w:themeColor="accent2" w:themeShade="BF"/>
      <w:sz w:val="22"/>
      <w:szCs w:val="22"/>
    </w:rPr>
  </w:style>
  <w:style w:type="paragraph" w:styleId="Titre7">
    <w:name w:val="heading 7"/>
    <w:basedOn w:val="Normal"/>
    <w:next w:val="Normal"/>
    <w:link w:val="Titre7Car"/>
    <w:uiPriority w:val="9"/>
    <w:unhideWhenUsed/>
    <w:qFormat/>
    <w:rsid w:val="00414D9C"/>
    <w:pPr>
      <w:pBdr>
        <w:bottom w:val="dotted" w:sz="4" w:space="2" w:color="D0D0D0" w:themeColor="accent2" w:themeTint="99"/>
      </w:pBdr>
      <w:spacing w:before="200" w:after="100" w:line="240" w:lineRule="auto"/>
      <w:contextualSpacing/>
      <w:outlineLvl w:val="6"/>
    </w:pPr>
    <w:rPr>
      <w:rFonts w:asciiTheme="majorHAnsi" w:eastAsiaTheme="majorEastAsia" w:hAnsiTheme="majorHAnsi" w:cstheme="majorBidi"/>
      <w:color w:val="858585" w:themeColor="accent2" w:themeShade="BF"/>
      <w:sz w:val="22"/>
      <w:szCs w:val="22"/>
    </w:rPr>
  </w:style>
  <w:style w:type="paragraph" w:styleId="Titre8">
    <w:name w:val="heading 8"/>
    <w:basedOn w:val="Normal"/>
    <w:next w:val="Normal"/>
    <w:link w:val="Titre8Car"/>
    <w:uiPriority w:val="9"/>
    <w:unhideWhenUsed/>
    <w:qFormat/>
    <w:rsid w:val="00414D9C"/>
    <w:pPr>
      <w:spacing w:before="200" w:after="100" w:line="240" w:lineRule="auto"/>
      <w:contextualSpacing/>
      <w:outlineLvl w:val="7"/>
    </w:pPr>
    <w:rPr>
      <w:rFonts w:asciiTheme="majorHAnsi" w:eastAsiaTheme="majorEastAsia" w:hAnsiTheme="majorHAnsi" w:cstheme="majorBidi"/>
      <w:color w:val="B2B2B2" w:themeColor="accent2"/>
      <w:sz w:val="22"/>
      <w:szCs w:val="22"/>
    </w:rPr>
  </w:style>
  <w:style w:type="paragraph" w:styleId="Titre9">
    <w:name w:val="heading 9"/>
    <w:basedOn w:val="Normal"/>
    <w:next w:val="Normal"/>
    <w:link w:val="Titre9Car"/>
    <w:uiPriority w:val="9"/>
    <w:unhideWhenUsed/>
    <w:qFormat/>
    <w:rsid w:val="00414D9C"/>
    <w:pPr>
      <w:spacing w:before="200" w:after="100" w:line="240" w:lineRule="auto"/>
      <w:contextualSpacing/>
      <w:outlineLvl w:val="8"/>
    </w:pPr>
    <w:rPr>
      <w:rFonts w:asciiTheme="majorHAnsi" w:eastAsiaTheme="majorEastAsia" w:hAnsiTheme="majorHAnsi" w:cstheme="majorBidi"/>
      <w:color w:val="B2B2B2" w:themeColor="accen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itre">
    <w:name w:val="Title"/>
    <w:basedOn w:val="Normal"/>
    <w:next w:val="Normal"/>
    <w:link w:val="TitreCar"/>
    <w:uiPriority w:val="10"/>
    <w:qFormat/>
    <w:rsid w:val="00414D9C"/>
    <w:pPr>
      <w:pBdr>
        <w:top w:val="single" w:sz="48" w:space="0" w:color="B2B2B2" w:themeColor="accent2"/>
        <w:bottom w:val="single" w:sz="48" w:space="0" w:color="B2B2B2" w:themeColor="accent2"/>
      </w:pBdr>
      <w:shd w:val="clear" w:color="auto" w:fill="B2B2B2" w:themeFill="accent2"/>
      <w:spacing w:after="0" w:line="240" w:lineRule="auto"/>
      <w:jc w:val="center"/>
    </w:pPr>
    <w:rPr>
      <w:rFonts w:asciiTheme="majorHAnsi" w:eastAsiaTheme="majorEastAsia" w:hAnsiTheme="majorHAnsi" w:cstheme="majorBidi"/>
      <w:color w:val="FFFFFF" w:themeColor="background1"/>
      <w:spacing w:val="10"/>
      <w:sz w:val="48"/>
      <w:szCs w:val="48"/>
    </w:rPr>
  </w:style>
  <w:style w:type="character" w:customStyle="1" w:styleId="TitreCar">
    <w:name w:val="Titre Car"/>
    <w:basedOn w:val="Policepardfaut"/>
    <w:link w:val="Titre"/>
    <w:uiPriority w:val="10"/>
    <w:rsid w:val="00414D9C"/>
    <w:rPr>
      <w:rFonts w:asciiTheme="majorHAnsi" w:eastAsiaTheme="majorEastAsia" w:hAnsiTheme="majorHAnsi" w:cstheme="majorBidi"/>
      <w:i/>
      <w:iCs/>
      <w:color w:val="FFFFFF" w:themeColor="background1"/>
      <w:spacing w:val="10"/>
      <w:sz w:val="48"/>
      <w:szCs w:val="48"/>
      <w:shd w:val="clear" w:color="auto" w:fill="B2B2B2" w:themeFill="accent2"/>
    </w:rPr>
  </w:style>
  <w:style w:type="paragraph" w:styleId="Paragraphedeliste">
    <w:name w:val="List Paragraph"/>
    <w:basedOn w:val="Normal"/>
    <w:uiPriority w:val="34"/>
    <w:qFormat/>
    <w:rsid w:val="00414D9C"/>
    <w:pPr>
      <w:ind w:left="720"/>
      <w:contextualSpacing/>
    </w:pPr>
  </w:style>
  <w:style w:type="paragraph" w:styleId="Textedebulles">
    <w:name w:val="Balloon Text"/>
    <w:basedOn w:val="Normal"/>
    <w:link w:val="TextedebullesCar"/>
    <w:uiPriority w:val="99"/>
    <w:semiHidden/>
    <w:unhideWhenUsed/>
    <w:rsid w:val="0021225D"/>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21225D"/>
    <w:rPr>
      <w:rFonts w:ascii="Tahoma" w:hAnsi="Tahoma" w:cs="Tahoma"/>
      <w:sz w:val="16"/>
      <w:szCs w:val="16"/>
    </w:rPr>
  </w:style>
  <w:style w:type="table" w:styleId="Grilledutableau">
    <w:name w:val="Table Grid"/>
    <w:basedOn w:val="TableauNormal"/>
    <w:rsid w:val="005B61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steclaire-Accent5">
    <w:name w:val="Light List Accent 5"/>
    <w:basedOn w:val="TableauNormal"/>
    <w:uiPriority w:val="61"/>
    <w:rsid w:val="002174CC"/>
    <w:pPr>
      <w:spacing w:after="0" w:line="240" w:lineRule="auto"/>
    </w:pPr>
    <w:tblPr>
      <w:tblStyleRowBandSize w:val="1"/>
      <w:tblStyleColBandSize w:val="1"/>
      <w:tblInd w:w="0" w:type="dxa"/>
      <w:tblBorders>
        <w:top w:val="single" w:sz="8" w:space="0" w:color="5F5F5F" w:themeColor="accent5"/>
        <w:left w:val="single" w:sz="8" w:space="0" w:color="5F5F5F" w:themeColor="accent5"/>
        <w:bottom w:val="single" w:sz="8" w:space="0" w:color="5F5F5F" w:themeColor="accent5"/>
        <w:right w:val="single" w:sz="8" w:space="0" w:color="5F5F5F"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Grilleclaire-Accent5">
    <w:name w:val="Light Grid Accent 5"/>
    <w:basedOn w:val="TableauNormal"/>
    <w:uiPriority w:val="62"/>
    <w:rsid w:val="002174CC"/>
    <w:pPr>
      <w:spacing w:after="0" w:line="240" w:lineRule="auto"/>
    </w:pPr>
    <w:tblPr>
      <w:tblStyleRowBandSize w:val="1"/>
      <w:tblStyleColBandSize w:val="1"/>
      <w:tblInd w:w="0" w:type="dxa"/>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Grillemoyenne1-Accent1">
    <w:name w:val="Medium Grid 1 Accent 1"/>
    <w:basedOn w:val="TableauNormal"/>
    <w:uiPriority w:val="67"/>
    <w:rsid w:val="002174CC"/>
    <w:pPr>
      <w:spacing w:after="0" w:line="240" w:lineRule="auto"/>
    </w:pPr>
    <w:tblPr>
      <w:tblStyleRowBandSize w:val="1"/>
      <w:tblStyleColBandSize w:val="1"/>
      <w:tblInd w:w="0" w:type="dxa"/>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CellMar>
        <w:top w:w="0" w:type="dxa"/>
        <w:left w:w="108" w:type="dxa"/>
        <w:bottom w:w="0" w:type="dxa"/>
        <w:right w:w="108" w:type="dxa"/>
      </w:tblCellMar>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Trameclaire-Accent5">
    <w:name w:val="Light Shading Accent 5"/>
    <w:basedOn w:val="TableauNormal"/>
    <w:uiPriority w:val="60"/>
    <w:rsid w:val="002F12C1"/>
    <w:pPr>
      <w:spacing w:after="0" w:line="240" w:lineRule="auto"/>
    </w:pPr>
    <w:rPr>
      <w:color w:val="474747" w:themeColor="accent5" w:themeShade="BF"/>
    </w:rPr>
    <w:tblPr>
      <w:tblStyleRowBandSize w:val="1"/>
      <w:tblStyleColBandSize w:val="1"/>
      <w:tblInd w:w="0" w:type="dxa"/>
      <w:tblBorders>
        <w:top w:val="single" w:sz="8" w:space="0" w:color="5F5F5F" w:themeColor="accent5"/>
        <w:bottom w:val="single" w:sz="8" w:space="0" w:color="5F5F5F"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Tramemoyenne1-Accent5">
    <w:name w:val="Medium Shading 1 Accent 5"/>
    <w:basedOn w:val="TableauNormal"/>
    <w:uiPriority w:val="63"/>
    <w:rsid w:val="00AE30AC"/>
    <w:pPr>
      <w:spacing w:after="0" w:line="240" w:lineRule="auto"/>
    </w:pPr>
    <w:tblPr>
      <w:tblStyleRowBandSize w:val="1"/>
      <w:tblStyleColBandSize w:val="1"/>
      <w:tblInd w:w="0" w:type="dxa"/>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Tramemoyenne2-Accent5">
    <w:name w:val="Medium Shading 2 Accent 5"/>
    <w:basedOn w:val="TableauNormal"/>
    <w:uiPriority w:val="64"/>
    <w:rsid w:val="009B715C"/>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Listemoyenne2-Accent5">
    <w:name w:val="Medium List 2 Accent 5"/>
    <w:basedOn w:val="TableauNormal"/>
    <w:uiPriority w:val="66"/>
    <w:rsid w:val="009B715C"/>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5F5F5F" w:themeColor="accent5"/>
        <w:left w:val="single" w:sz="8" w:space="0" w:color="5F5F5F" w:themeColor="accent5"/>
        <w:bottom w:val="single" w:sz="8" w:space="0" w:color="5F5F5F" w:themeColor="accent5"/>
        <w:right w:val="single" w:sz="8" w:space="0" w:color="5F5F5F"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paragraph" w:styleId="En-tte">
    <w:name w:val="header"/>
    <w:basedOn w:val="Normal"/>
    <w:link w:val="En-tteCar"/>
    <w:uiPriority w:val="99"/>
    <w:semiHidden/>
    <w:unhideWhenUsed/>
    <w:rsid w:val="00A9016D"/>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A9016D"/>
  </w:style>
  <w:style w:type="paragraph" w:styleId="Pieddepage">
    <w:name w:val="footer"/>
    <w:basedOn w:val="Normal"/>
    <w:link w:val="PieddepageCar"/>
    <w:uiPriority w:val="99"/>
    <w:semiHidden/>
    <w:unhideWhenUsed/>
    <w:rsid w:val="00A9016D"/>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A9016D"/>
  </w:style>
  <w:style w:type="character" w:styleId="Numrodepage">
    <w:name w:val="page number"/>
    <w:basedOn w:val="Policepardfaut"/>
    <w:uiPriority w:val="99"/>
    <w:semiHidden/>
    <w:unhideWhenUsed/>
    <w:rsid w:val="00A9016D"/>
  </w:style>
  <w:style w:type="character" w:customStyle="1" w:styleId="Titre2Car">
    <w:name w:val="Titre 2 Car"/>
    <w:basedOn w:val="Policepardfaut"/>
    <w:link w:val="Titre2"/>
    <w:uiPriority w:val="9"/>
    <w:rsid w:val="00414D9C"/>
    <w:rPr>
      <w:rFonts w:asciiTheme="majorHAnsi" w:eastAsiaTheme="majorEastAsia" w:hAnsiTheme="majorHAnsi" w:cstheme="majorBidi"/>
      <w:b/>
      <w:bCs/>
      <w:i/>
      <w:iCs/>
      <w:color w:val="858585" w:themeColor="accent2" w:themeShade="BF"/>
    </w:rPr>
  </w:style>
  <w:style w:type="character" w:customStyle="1" w:styleId="Titre3Car">
    <w:name w:val="Titre 3 Car"/>
    <w:basedOn w:val="Policepardfaut"/>
    <w:link w:val="Titre3"/>
    <w:uiPriority w:val="9"/>
    <w:rsid w:val="00414D9C"/>
    <w:rPr>
      <w:rFonts w:asciiTheme="majorHAnsi" w:eastAsiaTheme="majorEastAsia" w:hAnsiTheme="majorHAnsi" w:cstheme="majorBidi"/>
      <w:b/>
      <w:bCs/>
      <w:i/>
      <w:iCs/>
      <w:color w:val="858585" w:themeColor="accent2" w:themeShade="BF"/>
    </w:rPr>
  </w:style>
  <w:style w:type="character" w:customStyle="1" w:styleId="Titre1Car">
    <w:name w:val="Titre 1 Car"/>
    <w:basedOn w:val="Policepardfaut"/>
    <w:link w:val="Titre1"/>
    <w:uiPriority w:val="9"/>
    <w:rsid w:val="00414D9C"/>
    <w:rPr>
      <w:rFonts w:asciiTheme="majorHAnsi" w:eastAsiaTheme="majorEastAsia" w:hAnsiTheme="majorHAnsi" w:cstheme="majorBidi"/>
      <w:b/>
      <w:bCs/>
      <w:i/>
      <w:iCs/>
      <w:color w:val="585858" w:themeColor="accent2" w:themeShade="7F"/>
      <w:shd w:val="clear" w:color="auto" w:fill="EFEFEF" w:themeFill="accent2" w:themeFillTint="33"/>
    </w:rPr>
  </w:style>
  <w:style w:type="paragraph" w:styleId="En-ttedetabledesmatires">
    <w:name w:val="TOC Heading"/>
    <w:basedOn w:val="Titre1"/>
    <w:next w:val="Normal"/>
    <w:uiPriority w:val="39"/>
    <w:unhideWhenUsed/>
    <w:qFormat/>
    <w:rsid w:val="00414D9C"/>
    <w:pPr>
      <w:outlineLvl w:val="9"/>
    </w:pPr>
    <w:rPr>
      <w:lang w:bidi="en-US"/>
    </w:rPr>
  </w:style>
  <w:style w:type="paragraph" w:styleId="TM2">
    <w:name w:val="toc 2"/>
    <w:basedOn w:val="Normal"/>
    <w:next w:val="Normal"/>
    <w:autoRedefine/>
    <w:uiPriority w:val="39"/>
    <w:rsid w:val="002C4D8C"/>
    <w:pPr>
      <w:spacing w:after="0"/>
      <w:ind w:left="220"/>
    </w:pPr>
    <w:rPr>
      <w:smallCaps/>
    </w:rPr>
  </w:style>
  <w:style w:type="paragraph" w:styleId="TM3">
    <w:name w:val="toc 3"/>
    <w:basedOn w:val="Normal"/>
    <w:next w:val="Normal"/>
    <w:autoRedefine/>
    <w:uiPriority w:val="39"/>
    <w:rsid w:val="002C4D8C"/>
    <w:pPr>
      <w:spacing w:after="0"/>
      <w:ind w:left="440"/>
    </w:pPr>
    <w:rPr>
      <w:i w:val="0"/>
    </w:rPr>
  </w:style>
  <w:style w:type="paragraph" w:styleId="TM1">
    <w:name w:val="toc 1"/>
    <w:basedOn w:val="Normal"/>
    <w:next w:val="Normal"/>
    <w:autoRedefine/>
    <w:uiPriority w:val="39"/>
    <w:rsid w:val="002C4D8C"/>
    <w:pPr>
      <w:spacing w:before="120" w:after="0"/>
    </w:pPr>
    <w:rPr>
      <w:b/>
      <w:caps/>
    </w:rPr>
  </w:style>
  <w:style w:type="paragraph" w:styleId="TM4">
    <w:name w:val="toc 4"/>
    <w:basedOn w:val="Normal"/>
    <w:next w:val="Normal"/>
    <w:autoRedefine/>
    <w:uiPriority w:val="39"/>
    <w:rsid w:val="002C4D8C"/>
    <w:pPr>
      <w:spacing w:after="0"/>
      <w:ind w:left="660"/>
    </w:pPr>
    <w:rPr>
      <w:sz w:val="18"/>
      <w:szCs w:val="18"/>
    </w:rPr>
  </w:style>
  <w:style w:type="paragraph" w:styleId="TM5">
    <w:name w:val="toc 5"/>
    <w:basedOn w:val="Normal"/>
    <w:next w:val="Normal"/>
    <w:autoRedefine/>
    <w:uiPriority w:val="39"/>
    <w:rsid w:val="002C4D8C"/>
    <w:pPr>
      <w:spacing w:after="0"/>
      <w:ind w:left="880"/>
    </w:pPr>
    <w:rPr>
      <w:sz w:val="18"/>
      <w:szCs w:val="18"/>
    </w:rPr>
  </w:style>
  <w:style w:type="paragraph" w:styleId="TM6">
    <w:name w:val="toc 6"/>
    <w:basedOn w:val="Normal"/>
    <w:next w:val="Normal"/>
    <w:autoRedefine/>
    <w:uiPriority w:val="39"/>
    <w:rsid w:val="002C4D8C"/>
    <w:pPr>
      <w:spacing w:after="0"/>
      <w:ind w:left="1100"/>
    </w:pPr>
    <w:rPr>
      <w:sz w:val="18"/>
      <w:szCs w:val="18"/>
    </w:rPr>
  </w:style>
  <w:style w:type="paragraph" w:styleId="TM7">
    <w:name w:val="toc 7"/>
    <w:basedOn w:val="Normal"/>
    <w:next w:val="Normal"/>
    <w:autoRedefine/>
    <w:uiPriority w:val="39"/>
    <w:rsid w:val="002C4D8C"/>
    <w:pPr>
      <w:spacing w:after="0"/>
      <w:ind w:left="1320"/>
    </w:pPr>
    <w:rPr>
      <w:sz w:val="18"/>
      <w:szCs w:val="18"/>
    </w:rPr>
  </w:style>
  <w:style w:type="paragraph" w:styleId="TM8">
    <w:name w:val="toc 8"/>
    <w:basedOn w:val="Normal"/>
    <w:next w:val="Normal"/>
    <w:autoRedefine/>
    <w:uiPriority w:val="39"/>
    <w:rsid w:val="002C4D8C"/>
    <w:pPr>
      <w:spacing w:after="0"/>
      <w:ind w:left="1540"/>
    </w:pPr>
    <w:rPr>
      <w:sz w:val="18"/>
      <w:szCs w:val="18"/>
    </w:rPr>
  </w:style>
  <w:style w:type="paragraph" w:styleId="TM9">
    <w:name w:val="toc 9"/>
    <w:basedOn w:val="Normal"/>
    <w:next w:val="Normal"/>
    <w:autoRedefine/>
    <w:uiPriority w:val="39"/>
    <w:rsid w:val="002C4D8C"/>
    <w:pPr>
      <w:spacing w:after="0"/>
      <w:ind w:left="1760"/>
    </w:pPr>
    <w:rPr>
      <w:sz w:val="18"/>
      <w:szCs w:val="18"/>
    </w:rPr>
  </w:style>
  <w:style w:type="paragraph" w:styleId="NormalWeb">
    <w:name w:val="Normal (Web)"/>
    <w:basedOn w:val="Normal"/>
    <w:uiPriority w:val="99"/>
    <w:rsid w:val="0086049E"/>
    <w:pPr>
      <w:spacing w:beforeLines="1" w:afterLines="1" w:line="240" w:lineRule="auto"/>
    </w:pPr>
    <w:rPr>
      <w:rFonts w:ascii="Times" w:hAnsi="Times" w:cs="Times New Roman"/>
      <w:lang w:eastAsia="fr-FR"/>
    </w:rPr>
  </w:style>
  <w:style w:type="character" w:styleId="Lienhypertexte">
    <w:name w:val="Hyperlink"/>
    <w:basedOn w:val="Policepardfaut"/>
    <w:uiPriority w:val="99"/>
    <w:unhideWhenUsed/>
    <w:rsid w:val="00AA3DE5"/>
    <w:rPr>
      <w:color w:val="5F5F5F" w:themeColor="hyperlink"/>
      <w:u w:val="single"/>
    </w:rPr>
  </w:style>
  <w:style w:type="character" w:customStyle="1" w:styleId="Titre4Car">
    <w:name w:val="Titre 4 Car"/>
    <w:basedOn w:val="Policepardfaut"/>
    <w:link w:val="Titre4"/>
    <w:uiPriority w:val="9"/>
    <w:rsid w:val="00414D9C"/>
    <w:rPr>
      <w:rFonts w:asciiTheme="majorHAnsi" w:eastAsiaTheme="majorEastAsia" w:hAnsiTheme="majorHAnsi" w:cstheme="majorBidi"/>
      <w:b/>
      <w:bCs/>
      <w:i/>
      <w:iCs/>
      <w:color w:val="858585" w:themeColor="accent2" w:themeShade="BF"/>
    </w:rPr>
  </w:style>
  <w:style w:type="character" w:customStyle="1" w:styleId="Titre5Car">
    <w:name w:val="Titre 5 Car"/>
    <w:basedOn w:val="Policepardfaut"/>
    <w:link w:val="Titre5"/>
    <w:uiPriority w:val="9"/>
    <w:rsid w:val="00414D9C"/>
    <w:rPr>
      <w:rFonts w:asciiTheme="majorHAnsi" w:eastAsiaTheme="majorEastAsia" w:hAnsiTheme="majorHAnsi" w:cstheme="majorBidi"/>
      <w:b/>
      <w:bCs/>
      <w:i/>
      <w:iCs/>
      <w:color w:val="858585" w:themeColor="accent2" w:themeShade="BF"/>
    </w:rPr>
  </w:style>
  <w:style w:type="character" w:customStyle="1" w:styleId="Titre6Car">
    <w:name w:val="Titre 6 Car"/>
    <w:basedOn w:val="Policepardfaut"/>
    <w:link w:val="Titre6"/>
    <w:uiPriority w:val="9"/>
    <w:rsid w:val="00414D9C"/>
    <w:rPr>
      <w:rFonts w:asciiTheme="majorHAnsi" w:eastAsiaTheme="majorEastAsia" w:hAnsiTheme="majorHAnsi" w:cstheme="majorBidi"/>
      <w:i/>
      <w:iCs/>
      <w:color w:val="858585" w:themeColor="accent2" w:themeShade="BF"/>
    </w:rPr>
  </w:style>
  <w:style w:type="character" w:customStyle="1" w:styleId="Titre7Car">
    <w:name w:val="Titre 7 Car"/>
    <w:basedOn w:val="Policepardfaut"/>
    <w:link w:val="Titre7"/>
    <w:uiPriority w:val="9"/>
    <w:rsid w:val="00414D9C"/>
    <w:rPr>
      <w:rFonts w:asciiTheme="majorHAnsi" w:eastAsiaTheme="majorEastAsia" w:hAnsiTheme="majorHAnsi" w:cstheme="majorBidi"/>
      <w:i/>
      <w:iCs/>
      <w:color w:val="858585" w:themeColor="accent2" w:themeShade="BF"/>
    </w:rPr>
  </w:style>
  <w:style w:type="character" w:customStyle="1" w:styleId="Titre8Car">
    <w:name w:val="Titre 8 Car"/>
    <w:basedOn w:val="Policepardfaut"/>
    <w:link w:val="Titre8"/>
    <w:uiPriority w:val="9"/>
    <w:rsid w:val="00414D9C"/>
    <w:rPr>
      <w:rFonts w:asciiTheme="majorHAnsi" w:eastAsiaTheme="majorEastAsia" w:hAnsiTheme="majorHAnsi" w:cstheme="majorBidi"/>
      <w:i/>
      <w:iCs/>
      <w:color w:val="B2B2B2" w:themeColor="accent2"/>
    </w:rPr>
  </w:style>
  <w:style w:type="character" w:customStyle="1" w:styleId="Titre9Car">
    <w:name w:val="Titre 9 Car"/>
    <w:basedOn w:val="Policepardfaut"/>
    <w:link w:val="Titre9"/>
    <w:uiPriority w:val="9"/>
    <w:rsid w:val="00414D9C"/>
    <w:rPr>
      <w:rFonts w:asciiTheme="majorHAnsi" w:eastAsiaTheme="majorEastAsia" w:hAnsiTheme="majorHAnsi" w:cstheme="majorBidi"/>
      <w:i/>
      <w:iCs/>
      <w:color w:val="B2B2B2" w:themeColor="accent2"/>
      <w:sz w:val="20"/>
      <w:szCs w:val="20"/>
    </w:rPr>
  </w:style>
  <w:style w:type="paragraph" w:styleId="Lgende">
    <w:name w:val="caption"/>
    <w:basedOn w:val="Normal"/>
    <w:next w:val="Normal"/>
    <w:uiPriority w:val="35"/>
    <w:unhideWhenUsed/>
    <w:qFormat/>
    <w:rsid w:val="00414D9C"/>
    <w:rPr>
      <w:b/>
      <w:bCs/>
      <w:color w:val="858585" w:themeColor="accent2" w:themeShade="BF"/>
      <w:sz w:val="18"/>
      <w:szCs w:val="18"/>
    </w:rPr>
  </w:style>
  <w:style w:type="paragraph" w:styleId="Sous-titre">
    <w:name w:val="Subtitle"/>
    <w:basedOn w:val="Normal"/>
    <w:next w:val="Normal"/>
    <w:link w:val="Sous-titreCar"/>
    <w:uiPriority w:val="11"/>
    <w:qFormat/>
    <w:rsid w:val="00414D9C"/>
    <w:pPr>
      <w:pBdr>
        <w:bottom w:val="dotted" w:sz="8" w:space="10" w:color="B2B2B2" w:themeColor="accent2"/>
      </w:pBdr>
      <w:spacing w:before="200" w:after="900" w:line="240" w:lineRule="auto"/>
      <w:jc w:val="center"/>
    </w:pPr>
    <w:rPr>
      <w:rFonts w:asciiTheme="majorHAnsi" w:eastAsiaTheme="majorEastAsia" w:hAnsiTheme="majorHAnsi" w:cstheme="majorBidi"/>
      <w:color w:val="585858" w:themeColor="accent2" w:themeShade="7F"/>
      <w:sz w:val="24"/>
      <w:szCs w:val="24"/>
    </w:rPr>
  </w:style>
  <w:style w:type="character" w:customStyle="1" w:styleId="Sous-titreCar">
    <w:name w:val="Sous-titre Car"/>
    <w:basedOn w:val="Policepardfaut"/>
    <w:link w:val="Sous-titre"/>
    <w:uiPriority w:val="11"/>
    <w:rsid w:val="00414D9C"/>
    <w:rPr>
      <w:rFonts w:asciiTheme="majorHAnsi" w:eastAsiaTheme="majorEastAsia" w:hAnsiTheme="majorHAnsi" w:cstheme="majorBidi"/>
      <w:i/>
      <w:iCs/>
      <w:color w:val="585858" w:themeColor="accent2" w:themeShade="7F"/>
      <w:sz w:val="24"/>
      <w:szCs w:val="24"/>
    </w:rPr>
  </w:style>
  <w:style w:type="character" w:styleId="lev">
    <w:name w:val="Strong"/>
    <w:uiPriority w:val="22"/>
    <w:qFormat/>
    <w:rsid w:val="00414D9C"/>
    <w:rPr>
      <w:b/>
      <w:bCs/>
      <w:spacing w:val="0"/>
    </w:rPr>
  </w:style>
  <w:style w:type="character" w:styleId="Accentuation">
    <w:name w:val="Emphasis"/>
    <w:uiPriority w:val="20"/>
    <w:qFormat/>
    <w:rsid w:val="00414D9C"/>
    <w:rPr>
      <w:rFonts w:asciiTheme="majorHAnsi" w:eastAsiaTheme="majorEastAsia" w:hAnsiTheme="majorHAnsi" w:cstheme="majorBidi"/>
      <w:b/>
      <w:bCs/>
      <w:i/>
      <w:iCs/>
      <w:color w:val="B2B2B2" w:themeColor="accent2"/>
      <w:bdr w:val="single" w:sz="18" w:space="0" w:color="EFEFEF" w:themeColor="accent2" w:themeTint="33"/>
      <w:shd w:val="clear" w:color="auto" w:fill="EFEFEF" w:themeFill="accent2" w:themeFillTint="33"/>
    </w:rPr>
  </w:style>
  <w:style w:type="paragraph" w:styleId="Sansinterligne">
    <w:name w:val="No Spacing"/>
    <w:basedOn w:val="Normal"/>
    <w:link w:val="SansinterligneCar"/>
    <w:uiPriority w:val="1"/>
    <w:qFormat/>
    <w:rsid w:val="00414D9C"/>
    <w:pPr>
      <w:spacing w:after="0" w:line="240" w:lineRule="auto"/>
    </w:pPr>
  </w:style>
  <w:style w:type="character" w:customStyle="1" w:styleId="SansinterligneCar">
    <w:name w:val="Sans interligne Car"/>
    <w:basedOn w:val="Policepardfaut"/>
    <w:link w:val="Sansinterligne"/>
    <w:uiPriority w:val="1"/>
    <w:rsid w:val="00414D9C"/>
    <w:rPr>
      <w:i/>
      <w:iCs/>
      <w:sz w:val="20"/>
      <w:szCs w:val="20"/>
    </w:rPr>
  </w:style>
  <w:style w:type="paragraph" w:styleId="Citation">
    <w:name w:val="Quote"/>
    <w:basedOn w:val="Normal"/>
    <w:next w:val="Normal"/>
    <w:link w:val="CitationCar"/>
    <w:uiPriority w:val="29"/>
    <w:qFormat/>
    <w:rsid w:val="00414D9C"/>
    <w:rPr>
      <w:i w:val="0"/>
      <w:iCs w:val="0"/>
      <w:color w:val="858585" w:themeColor="accent2" w:themeShade="BF"/>
    </w:rPr>
  </w:style>
  <w:style w:type="character" w:customStyle="1" w:styleId="CitationCar">
    <w:name w:val="Citation Car"/>
    <w:basedOn w:val="Policepardfaut"/>
    <w:link w:val="Citation"/>
    <w:uiPriority w:val="29"/>
    <w:rsid w:val="00414D9C"/>
    <w:rPr>
      <w:color w:val="858585" w:themeColor="accent2" w:themeShade="BF"/>
      <w:sz w:val="20"/>
      <w:szCs w:val="20"/>
    </w:rPr>
  </w:style>
  <w:style w:type="paragraph" w:styleId="Citationintense">
    <w:name w:val="Intense Quote"/>
    <w:basedOn w:val="Normal"/>
    <w:next w:val="Normal"/>
    <w:link w:val="CitationintenseCar"/>
    <w:uiPriority w:val="30"/>
    <w:qFormat/>
    <w:rsid w:val="00414D9C"/>
    <w:pPr>
      <w:pBdr>
        <w:top w:val="dotted" w:sz="8" w:space="10" w:color="B2B2B2" w:themeColor="accent2"/>
        <w:bottom w:val="dotted" w:sz="8" w:space="10" w:color="B2B2B2" w:themeColor="accent2"/>
      </w:pBdr>
      <w:spacing w:line="300" w:lineRule="auto"/>
      <w:ind w:left="2160" w:right="2160"/>
      <w:jc w:val="center"/>
    </w:pPr>
    <w:rPr>
      <w:rFonts w:asciiTheme="majorHAnsi" w:eastAsiaTheme="majorEastAsia" w:hAnsiTheme="majorHAnsi" w:cstheme="majorBidi"/>
      <w:b/>
      <w:bCs/>
      <w:color w:val="B2B2B2" w:themeColor="accent2"/>
    </w:rPr>
  </w:style>
  <w:style w:type="character" w:customStyle="1" w:styleId="CitationintenseCar">
    <w:name w:val="Citation intense Car"/>
    <w:basedOn w:val="Policepardfaut"/>
    <w:link w:val="Citationintense"/>
    <w:uiPriority w:val="30"/>
    <w:rsid w:val="00414D9C"/>
    <w:rPr>
      <w:rFonts w:asciiTheme="majorHAnsi" w:eastAsiaTheme="majorEastAsia" w:hAnsiTheme="majorHAnsi" w:cstheme="majorBidi"/>
      <w:b/>
      <w:bCs/>
      <w:i/>
      <w:iCs/>
      <w:color w:val="B2B2B2" w:themeColor="accent2"/>
      <w:sz w:val="20"/>
      <w:szCs w:val="20"/>
    </w:rPr>
  </w:style>
  <w:style w:type="character" w:styleId="Emphaseple">
    <w:name w:val="Subtle Emphasis"/>
    <w:uiPriority w:val="19"/>
    <w:qFormat/>
    <w:rsid w:val="00414D9C"/>
    <w:rPr>
      <w:rFonts w:asciiTheme="majorHAnsi" w:eastAsiaTheme="majorEastAsia" w:hAnsiTheme="majorHAnsi" w:cstheme="majorBidi"/>
      <w:i/>
      <w:iCs/>
      <w:color w:val="B2B2B2" w:themeColor="accent2"/>
    </w:rPr>
  </w:style>
  <w:style w:type="character" w:styleId="Emphaseintense">
    <w:name w:val="Intense Emphasis"/>
    <w:uiPriority w:val="21"/>
    <w:qFormat/>
    <w:rsid w:val="00414D9C"/>
    <w:rPr>
      <w:rFonts w:asciiTheme="majorHAnsi" w:eastAsiaTheme="majorEastAsia" w:hAnsiTheme="majorHAnsi" w:cstheme="majorBidi"/>
      <w:b/>
      <w:bCs/>
      <w:i/>
      <w:iCs/>
      <w:dstrike w:val="0"/>
      <w:color w:val="FFFFFF" w:themeColor="background1"/>
      <w:bdr w:val="single" w:sz="18" w:space="0" w:color="B2B2B2" w:themeColor="accent2"/>
      <w:shd w:val="clear" w:color="auto" w:fill="B2B2B2" w:themeFill="accent2"/>
      <w:vertAlign w:val="baseline"/>
    </w:rPr>
  </w:style>
  <w:style w:type="character" w:styleId="Rfrenceple">
    <w:name w:val="Subtle Reference"/>
    <w:uiPriority w:val="31"/>
    <w:qFormat/>
    <w:rsid w:val="00414D9C"/>
    <w:rPr>
      <w:i/>
      <w:iCs/>
      <w:smallCaps/>
      <w:color w:val="B2B2B2" w:themeColor="accent2"/>
      <w:u w:color="B2B2B2" w:themeColor="accent2"/>
    </w:rPr>
  </w:style>
  <w:style w:type="character" w:styleId="Rfrenceintense">
    <w:name w:val="Intense Reference"/>
    <w:uiPriority w:val="32"/>
    <w:qFormat/>
    <w:rsid w:val="00414D9C"/>
    <w:rPr>
      <w:b/>
      <w:bCs/>
      <w:i/>
      <w:iCs/>
      <w:smallCaps/>
      <w:color w:val="B2B2B2" w:themeColor="accent2"/>
      <w:u w:color="B2B2B2" w:themeColor="accent2"/>
    </w:rPr>
  </w:style>
  <w:style w:type="character" w:styleId="Titredulivre">
    <w:name w:val="Book Title"/>
    <w:uiPriority w:val="33"/>
    <w:qFormat/>
    <w:rsid w:val="00414D9C"/>
    <w:rPr>
      <w:rFonts w:asciiTheme="majorHAnsi" w:eastAsiaTheme="majorEastAsia" w:hAnsiTheme="majorHAnsi" w:cstheme="majorBidi"/>
      <w:b/>
      <w:bCs/>
      <w:i/>
      <w:iCs/>
      <w:smallCaps/>
      <w:color w:val="858585" w:themeColor="accent2" w:themeShade="B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276831">
      <w:bodyDiv w:val="1"/>
      <w:marLeft w:val="0"/>
      <w:marRight w:val="0"/>
      <w:marTop w:val="0"/>
      <w:marBottom w:val="0"/>
      <w:divBdr>
        <w:top w:val="none" w:sz="0" w:space="0" w:color="auto"/>
        <w:left w:val="none" w:sz="0" w:space="0" w:color="auto"/>
        <w:bottom w:val="none" w:sz="0" w:space="0" w:color="auto"/>
        <w:right w:val="none" w:sz="0" w:space="0" w:color="auto"/>
      </w:divBdr>
    </w:div>
    <w:div w:id="56781674">
      <w:bodyDiv w:val="1"/>
      <w:marLeft w:val="0"/>
      <w:marRight w:val="0"/>
      <w:marTop w:val="0"/>
      <w:marBottom w:val="0"/>
      <w:divBdr>
        <w:top w:val="none" w:sz="0" w:space="0" w:color="auto"/>
        <w:left w:val="none" w:sz="0" w:space="0" w:color="auto"/>
        <w:bottom w:val="none" w:sz="0" w:space="0" w:color="auto"/>
        <w:right w:val="none" w:sz="0" w:space="0" w:color="auto"/>
      </w:divBdr>
      <w:divsChild>
        <w:div w:id="801388169">
          <w:marLeft w:val="562"/>
          <w:marRight w:val="0"/>
          <w:marTop w:val="67"/>
          <w:marBottom w:val="0"/>
          <w:divBdr>
            <w:top w:val="none" w:sz="0" w:space="0" w:color="auto"/>
            <w:left w:val="none" w:sz="0" w:space="0" w:color="auto"/>
            <w:bottom w:val="none" w:sz="0" w:space="0" w:color="auto"/>
            <w:right w:val="none" w:sz="0" w:space="0" w:color="auto"/>
          </w:divBdr>
        </w:div>
        <w:div w:id="844319520">
          <w:marLeft w:val="562"/>
          <w:marRight w:val="0"/>
          <w:marTop w:val="67"/>
          <w:marBottom w:val="0"/>
          <w:divBdr>
            <w:top w:val="none" w:sz="0" w:space="0" w:color="auto"/>
            <w:left w:val="none" w:sz="0" w:space="0" w:color="auto"/>
            <w:bottom w:val="none" w:sz="0" w:space="0" w:color="auto"/>
            <w:right w:val="none" w:sz="0" w:space="0" w:color="auto"/>
          </w:divBdr>
        </w:div>
        <w:div w:id="982926528">
          <w:marLeft w:val="562"/>
          <w:marRight w:val="0"/>
          <w:marTop w:val="67"/>
          <w:marBottom w:val="0"/>
          <w:divBdr>
            <w:top w:val="none" w:sz="0" w:space="0" w:color="auto"/>
            <w:left w:val="none" w:sz="0" w:space="0" w:color="auto"/>
            <w:bottom w:val="none" w:sz="0" w:space="0" w:color="auto"/>
            <w:right w:val="none" w:sz="0" w:space="0" w:color="auto"/>
          </w:divBdr>
        </w:div>
      </w:divsChild>
    </w:div>
    <w:div w:id="339159984">
      <w:bodyDiv w:val="1"/>
      <w:marLeft w:val="0"/>
      <w:marRight w:val="0"/>
      <w:marTop w:val="0"/>
      <w:marBottom w:val="0"/>
      <w:divBdr>
        <w:top w:val="none" w:sz="0" w:space="0" w:color="auto"/>
        <w:left w:val="none" w:sz="0" w:space="0" w:color="auto"/>
        <w:bottom w:val="none" w:sz="0" w:space="0" w:color="auto"/>
        <w:right w:val="none" w:sz="0" w:space="0" w:color="auto"/>
      </w:divBdr>
    </w:div>
    <w:div w:id="561215314">
      <w:bodyDiv w:val="1"/>
      <w:marLeft w:val="0"/>
      <w:marRight w:val="0"/>
      <w:marTop w:val="0"/>
      <w:marBottom w:val="0"/>
      <w:divBdr>
        <w:top w:val="none" w:sz="0" w:space="0" w:color="auto"/>
        <w:left w:val="none" w:sz="0" w:space="0" w:color="auto"/>
        <w:bottom w:val="none" w:sz="0" w:space="0" w:color="auto"/>
        <w:right w:val="none" w:sz="0" w:space="0" w:color="auto"/>
      </w:divBdr>
    </w:div>
    <w:div w:id="627590897">
      <w:bodyDiv w:val="1"/>
      <w:marLeft w:val="0"/>
      <w:marRight w:val="0"/>
      <w:marTop w:val="0"/>
      <w:marBottom w:val="0"/>
      <w:divBdr>
        <w:top w:val="none" w:sz="0" w:space="0" w:color="auto"/>
        <w:left w:val="none" w:sz="0" w:space="0" w:color="auto"/>
        <w:bottom w:val="none" w:sz="0" w:space="0" w:color="auto"/>
        <w:right w:val="none" w:sz="0" w:space="0" w:color="auto"/>
      </w:divBdr>
    </w:div>
    <w:div w:id="803542244">
      <w:bodyDiv w:val="1"/>
      <w:marLeft w:val="0"/>
      <w:marRight w:val="0"/>
      <w:marTop w:val="0"/>
      <w:marBottom w:val="0"/>
      <w:divBdr>
        <w:top w:val="none" w:sz="0" w:space="0" w:color="auto"/>
        <w:left w:val="none" w:sz="0" w:space="0" w:color="auto"/>
        <w:bottom w:val="none" w:sz="0" w:space="0" w:color="auto"/>
        <w:right w:val="none" w:sz="0" w:space="0" w:color="auto"/>
      </w:divBdr>
      <w:divsChild>
        <w:div w:id="1274746479">
          <w:marLeft w:val="1555"/>
          <w:marRight w:val="0"/>
          <w:marTop w:val="67"/>
          <w:marBottom w:val="0"/>
          <w:divBdr>
            <w:top w:val="none" w:sz="0" w:space="0" w:color="auto"/>
            <w:left w:val="none" w:sz="0" w:space="0" w:color="auto"/>
            <w:bottom w:val="none" w:sz="0" w:space="0" w:color="auto"/>
            <w:right w:val="none" w:sz="0" w:space="0" w:color="auto"/>
          </w:divBdr>
        </w:div>
        <w:div w:id="853038897">
          <w:marLeft w:val="2174"/>
          <w:marRight w:val="0"/>
          <w:marTop w:val="67"/>
          <w:marBottom w:val="0"/>
          <w:divBdr>
            <w:top w:val="none" w:sz="0" w:space="0" w:color="auto"/>
            <w:left w:val="none" w:sz="0" w:space="0" w:color="auto"/>
            <w:bottom w:val="none" w:sz="0" w:space="0" w:color="auto"/>
            <w:right w:val="none" w:sz="0" w:space="0" w:color="auto"/>
          </w:divBdr>
        </w:div>
        <w:div w:id="143477511">
          <w:marLeft w:val="2174"/>
          <w:marRight w:val="0"/>
          <w:marTop w:val="67"/>
          <w:marBottom w:val="0"/>
          <w:divBdr>
            <w:top w:val="none" w:sz="0" w:space="0" w:color="auto"/>
            <w:left w:val="none" w:sz="0" w:space="0" w:color="auto"/>
            <w:bottom w:val="none" w:sz="0" w:space="0" w:color="auto"/>
            <w:right w:val="none" w:sz="0" w:space="0" w:color="auto"/>
          </w:divBdr>
        </w:div>
        <w:div w:id="1589263640">
          <w:marLeft w:val="1555"/>
          <w:marRight w:val="0"/>
          <w:marTop w:val="67"/>
          <w:marBottom w:val="0"/>
          <w:divBdr>
            <w:top w:val="none" w:sz="0" w:space="0" w:color="auto"/>
            <w:left w:val="none" w:sz="0" w:space="0" w:color="auto"/>
            <w:bottom w:val="none" w:sz="0" w:space="0" w:color="auto"/>
            <w:right w:val="none" w:sz="0" w:space="0" w:color="auto"/>
          </w:divBdr>
        </w:div>
        <w:div w:id="1547640215">
          <w:marLeft w:val="1555"/>
          <w:marRight w:val="0"/>
          <w:marTop w:val="67"/>
          <w:marBottom w:val="0"/>
          <w:divBdr>
            <w:top w:val="none" w:sz="0" w:space="0" w:color="auto"/>
            <w:left w:val="none" w:sz="0" w:space="0" w:color="auto"/>
            <w:bottom w:val="none" w:sz="0" w:space="0" w:color="auto"/>
            <w:right w:val="none" w:sz="0" w:space="0" w:color="auto"/>
          </w:divBdr>
        </w:div>
      </w:divsChild>
    </w:div>
    <w:div w:id="1373001824">
      <w:bodyDiv w:val="1"/>
      <w:marLeft w:val="0"/>
      <w:marRight w:val="0"/>
      <w:marTop w:val="0"/>
      <w:marBottom w:val="0"/>
      <w:divBdr>
        <w:top w:val="none" w:sz="0" w:space="0" w:color="auto"/>
        <w:left w:val="none" w:sz="0" w:space="0" w:color="auto"/>
        <w:bottom w:val="none" w:sz="0" w:space="0" w:color="auto"/>
        <w:right w:val="none" w:sz="0" w:space="0" w:color="auto"/>
      </w:divBdr>
      <w:divsChild>
        <w:div w:id="835998919">
          <w:marLeft w:val="1555"/>
          <w:marRight w:val="0"/>
          <w:marTop w:val="77"/>
          <w:marBottom w:val="0"/>
          <w:divBdr>
            <w:top w:val="none" w:sz="0" w:space="0" w:color="auto"/>
            <w:left w:val="none" w:sz="0" w:space="0" w:color="auto"/>
            <w:bottom w:val="none" w:sz="0" w:space="0" w:color="auto"/>
            <w:right w:val="none" w:sz="0" w:space="0" w:color="auto"/>
          </w:divBdr>
        </w:div>
        <w:div w:id="2003508508">
          <w:marLeft w:val="1555"/>
          <w:marRight w:val="0"/>
          <w:marTop w:val="77"/>
          <w:marBottom w:val="0"/>
          <w:divBdr>
            <w:top w:val="none" w:sz="0" w:space="0" w:color="auto"/>
            <w:left w:val="none" w:sz="0" w:space="0" w:color="auto"/>
            <w:bottom w:val="none" w:sz="0" w:space="0" w:color="auto"/>
            <w:right w:val="none" w:sz="0" w:space="0" w:color="auto"/>
          </w:divBdr>
        </w:div>
        <w:div w:id="975061085">
          <w:marLeft w:val="1555"/>
          <w:marRight w:val="0"/>
          <w:marTop w:val="77"/>
          <w:marBottom w:val="0"/>
          <w:divBdr>
            <w:top w:val="none" w:sz="0" w:space="0" w:color="auto"/>
            <w:left w:val="none" w:sz="0" w:space="0" w:color="auto"/>
            <w:bottom w:val="none" w:sz="0" w:space="0" w:color="auto"/>
            <w:right w:val="none" w:sz="0" w:space="0" w:color="auto"/>
          </w:divBdr>
        </w:div>
        <w:div w:id="1403984349">
          <w:marLeft w:val="1555"/>
          <w:marRight w:val="0"/>
          <w:marTop w:val="77"/>
          <w:marBottom w:val="0"/>
          <w:divBdr>
            <w:top w:val="none" w:sz="0" w:space="0" w:color="auto"/>
            <w:left w:val="none" w:sz="0" w:space="0" w:color="auto"/>
            <w:bottom w:val="none" w:sz="0" w:space="0" w:color="auto"/>
            <w:right w:val="none" w:sz="0" w:space="0" w:color="auto"/>
          </w:divBdr>
        </w:div>
        <w:div w:id="1071655581">
          <w:marLeft w:val="1555"/>
          <w:marRight w:val="0"/>
          <w:marTop w:val="77"/>
          <w:marBottom w:val="0"/>
          <w:divBdr>
            <w:top w:val="none" w:sz="0" w:space="0" w:color="auto"/>
            <w:left w:val="none" w:sz="0" w:space="0" w:color="auto"/>
            <w:bottom w:val="none" w:sz="0" w:space="0" w:color="auto"/>
            <w:right w:val="none" w:sz="0" w:space="0" w:color="auto"/>
          </w:divBdr>
        </w:div>
      </w:divsChild>
    </w:div>
    <w:div w:id="1591617148">
      <w:bodyDiv w:val="1"/>
      <w:marLeft w:val="0"/>
      <w:marRight w:val="0"/>
      <w:marTop w:val="0"/>
      <w:marBottom w:val="0"/>
      <w:divBdr>
        <w:top w:val="none" w:sz="0" w:space="0" w:color="auto"/>
        <w:left w:val="none" w:sz="0" w:space="0" w:color="auto"/>
        <w:bottom w:val="none" w:sz="0" w:space="0" w:color="auto"/>
        <w:right w:val="none" w:sz="0" w:space="0" w:color="auto"/>
      </w:divBdr>
    </w:div>
    <w:div w:id="1611357331">
      <w:bodyDiv w:val="1"/>
      <w:marLeft w:val="0"/>
      <w:marRight w:val="0"/>
      <w:marTop w:val="0"/>
      <w:marBottom w:val="0"/>
      <w:divBdr>
        <w:top w:val="none" w:sz="0" w:space="0" w:color="auto"/>
        <w:left w:val="none" w:sz="0" w:space="0" w:color="auto"/>
        <w:bottom w:val="none" w:sz="0" w:space="0" w:color="auto"/>
        <w:right w:val="none" w:sz="0" w:space="0" w:color="auto"/>
      </w:divBdr>
    </w:div>
    <w:div w:id="1749375599">
      <w:bodyDiv w:val="1"/>
      <w:marLeft w:val="0"/>
      <w:marRight w:val="0"/>
      <w:marTop w:val="0"/>
      <w:marBottom w:val="0"/>
      <w:divBdr>
        <w:top w:val="none" w:sz="0" w:space="0" w:color="auto"/>
        <w:left w:val="none" w:sz="0" w:space="0" w:color="auto"/>
        <w:bottom w:val="none" w:sz="0" w:space="0" w:color="auto"/>
        <w:right w:val="none" w:sz="0" w:space="0" w:color="auto"/>
      </w:divBdr>
    </w:div>
    <w:div w:id="1760170882">
      <w:bodyDiv w:val="1"/>
      <w:marLeft w:val="0"/>
      <w:marRight w:val="0"/>
      <w:marTop w:val="0"/>
      <w:marBottom w:val="0"/>
      <w:divBdr>
        <w:top w:val="none" w:sz="0" w:space="0" w:color="auto"/>
        <w:left w:val="none" w:sz="0" w:space="0" w:color="auto"/>
        <w:bottom w:val="none" w:sz="0" w:space="0" w:color="auto"/>
        <w:right w:val="none" w:sz="0" w:space="0" w:color="auto"/>
      </w:divBdr>
    </w:div>
    <w:div w:id="1798528730">
      <w:bodyDiv w:val="1"/>
      <w:marLeft w:val="0"/>
      <w:marRight w:val="0"/>
      <w:marTop w:val="0"/>
      <w:marBottom w:val="0"/>
      <w:divBdr>
        <w:top w:val="none" w:sz="0" w:space="0" w:color="auto"/>
        <w:left w:val="none" w:sz="0" w:space="0" w:color="auto"/>
        <w:bottom w:val="none" w:sz="0" w:space="0" w:color="auto"/>
        <w:right w:val="none" w:sz="0" w:space="0" w:color="auto"/>
      </w:divBdr>
      <w:divsChild>
        <w:div w:id="1113354866">
          <w:marLeft w:val="1555"/>
          <w:marRight w:val="0"/>
          <w:marTop w:val="77"/>
          <w:marBottom w:val="0"/>
          <w:divBdr>
            <w:top w:val="none" w:sz="0" w:space="0" w:color="auto"/>
            <w:left w:val="none" w:sz="0" w:space="0" w:color="auto"/>
            <w:bottom w:val="none" w:sz="0" w:space="0" w:color="auto"/>
            <w:right w:val="none" w:sz="0" w:space="0" w:color="auto"/>
          </w:divBdr>
        </w:div>
        <w:div w:id="994801439">
          <w:marLeft w:val="1555"/>
          <w:marRight w:val="0"/>
          <w:marTop w:val="77"/>
          <w:marBottom w:val="0"/>
          <w:divBdr>
            <w:top w:val="none" w:sz="0" w:space="0" w:color="auto"/>
            <w:left w:val="none" w:sz="0" w:space="0" w:color="auto"/>
            <w:bottom w:val="none" w:sz="0" w:space="0" w:color="auto"/>
            <w:right w:val="none" w:sz="0" w:space="0" w:color="auto"/>
          </w:divBdr>
        </w:div>
        <w:div w:id="208953870">
          <w:marLeft w:val="1555"/>
          <w:marRight w:val="0"/>
          <w:marTop w:val="77"/>
          <w:marBottom w:val="0"/>
          <w:divBdr>
            <w:top w:val="none" w:sz="0" w:space="0" w:color="auto"/>
            <w:left w:val="none" w:sz="0" w:space="0" w:color="auto"/>
            <w:bottom w:val="none" w:sz="0" w:space="0" w:color="auto"/>
            <w:right w:val="none" w:sz="0" w:space="0" w:color="auto"/>
          </w:divBdr>
        </w:div>
        <w:div w:id="1260482828">
          <w:marLeft w:val="1555"/>
          <w:marRight w:val="0"/>
          <w:marTop w:val="77"/>
          <w:marBottom w:val="0"/>
          <w:divBdr>
            <w:top w:val="none" w:sz="0" w:space="0" w:color="auto"/>
            <w:left w:val="none" w:sz="0" w:space="0" w:color="auto"/>
            <w:bottom w:val="none" w:sz="0" w:space="0" w:color="auto"/>
            <w:right w:val="none" w:sz="0" w:space="0" w:color="auto"/>
          </w:divBdr>
        </w:div>
        <w:div w:id="2010405265">
          <w:marLeft w:val="2174"/>
          <w:marRight w:val="0"/>
          <w:marTop w:val="62"/>
          <w:marBottom w:val="0"/>
          <w:divBdr>
            <w:top w:val="none" w:sz="0" w:space="0" w:color="auto"/>
            <w:left w:val="none" w:sz="0" w:space="0" w:color="auto"/>
            <w:bottom w:val="none" w:sz="0" w:space="0" w:color="auto"/>
            <w:right w:val="none" w:sz="0" w:space="0" w:color="auto"/>
          </w:divBdr>
        </w:div>
        <w:div w:id="993530544">
          <w:marLeft w:val="2174"/>
          <w:marRight w:val="0"/>
          <w:marTop w:val="67"/>
          <w:marBottom w:val="0"/>
          <w:divBdr>
            <w:top w:val="none" w:sz="0" w:space="0" w:color="auto"/>
            <w:left w:val="none" w:sz="0" w:space="0" w:color="auto"/>
            <w:bottom w:val="none" w:sz="0" w:space="0" w:color="auto"/>
            <w:right w:val="none" w:sz="0" w:space="0" w:color="auto"/>
          </w:divBdr>
        </w:div>
      </w:divsChild>
    </w:div>
    <w:div w:id="1968656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diagramData" Target="diagrams/data1.xml"/><Relationship Id="rId26" Type="http://schemas.openxmlformats.org/officeDocument/2006/relationships/image" Target="media/image14.png"/><Relationship Id="rId39" Type="http://schemas.openxmlformats.org/officeDocument/2006/relationships/image" Target="media/image27.png"/><Relationship Id="rId3" Type="http://schemas.microsoft.com/office/2007/relationships/stylesWithEffects" Target="stylesWithEffects.xml"/><Relationship Id="rId21" Type="http://schemas.openxmlformats.org/officeDocument/2006/relationships/diagramColors" Target="diagrams/colors1.xml"/><Relationship Id="rId34" Type="http://schemas.openxmlformats.org/officeDocument/2006/relationships/image" Target="media/image22.png"/><Relationship Id="rId42"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diagramQuickStyle" Target="diagrams/quickStyle1.xml"/><Relationship Id="rId29" Type="http://schemas.openxmlformats.org/officeDocument/2006/relationships/image" Target="media/image17.jpeg"/><Relationship Id="rId41"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pn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1.png"/><Relationship Id="rId28" Type="http://schemas.openxmlformats.org/officeDocument/2006/relationships/image" Target="media/image16.wmf"/><Relationship Id="rId36" Type="http://schemas.openxmlformats.org/officeDocument/2006/relationships/image" Target="media/image24.png"/><Relationship Id="rId10" Type="http://schemas.openxmlformats.org/officeDocument/2006/relationships/image" Target="media/image3.png"/><Relationship Id="rId19" Type="http://schemas.openxmlformats.org/officeDocument/2006/relationships/diagramLayout" Target="diagrams/layout1.xml"/><Relationship Id="rId31" Type="http://schemas.openxmlformats.org/officeDocument/2006/relationships/image" Target="media/image19.jpeg"/><Relationship Id="rId44"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microsoft.com/office/2007/relationships/diagramDrawing" Target="diagrams/drawing1.xml"/><Relationship Id="rId27" Type="http://schemas.openxmlformats.org/officeDocument/2006/relationships/image" Target="media/image15.wmf"/><Relationship Id="rId30" Type="http://schemas.openxmlformats.org/officeDocument/2006/relationships/image" Target="media/image18.jpeg"/><Relationship Id="rId35" Type="http://schemas.openxmlformats.org/officeDocument/2006/relationships/image" Target="media/image23.png"/><Relationship Id="rId43"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2_2">
  <dgm:title val=""/>
  <dgm:desc val=""/>
  <dgm:catLst>
    <dgm:cat type="accent2" pri="11200"/>
  </dgm:catLst>
  <dgm:styleLbl name="node0">
    <dgm:fillClrLst meth="repeat">
      <a:schemeClr val="accent2"/>
    </dgm:fillClrLst>
    <dgm:linClrLst meth="repeat">
      <a:schemeClr val="lt1"/>
    </dgm:linClrLst>
    <dgm:effectClrLst/>
    <dgm:txLinClrLst/>
    <dgm:txFillClrLst/>
    <dgm:txEffectClrLst/>
  </dgm:styleLbl>
  <dgm:styleLbl name="node1">
    <dgm:fillClrLst meth="repeat">
      <a:schemeClr val="accent2"/>
    </dgm:fillClrLst>
    <dgm:linClrLst meth="repeat">
      <a:schemeClr val="lt1"/>
    </dgm:linClrLst>
    <dgm:effectClrLst/>
    <dgm:txLinClrLst/>
    <dgm:txFillClrLst/>
    <dgm:txEffectClrLst/>
  </dgm:styleLbl>
  <dgm:styleLbl name="alignNode1">
    <dgm:fillClrLst meth="repeat">
      <a:schemeClr val="accent2"/>
    </dgm:fillClrLst>
    <dgm:linClrLst meth="repeat">
      <a:schemeClr val="accent2"/>
    </dgm:linClrLst>
    <dgm:effectClrLst/>
    <dgm:txLinClrLst/>
    <dgm:txFillClrLst/>
    <dgm:txEffectClrLst/>
  </dgm:styleLbl>
  <dgm:styleLbl name="lnNode1">
    <dgm:fillClrLst meth="repeat">
      <a:schemeClr val="accent2"/>
    </dgm:fillClrLst>
    <dgm:linClrLst meth="repeat">
      <a:schemeClr val="lt1"/>
    </dgm:linClrLst>
    <dgm:effectClrLst/>
    <dgm:txLinClrLst/>
    <dgm:txFillClrLst/>
    <dgm:txEffectClrLst/>
  </dgm:styleLbl>
  <dgm:styleLbl name="vennNode1">
    <dgm:fillClrLst meth="repeat">
      <a:schemeClr val="accent2">
        <a:alpha val="50000"/>
      </a:schemeClr>
    </dgm:fillClrLst>
    <dgm:linClrLst meth="repeat">
      <a:schemeClr val="lt1"/>
    </dgm:linClrLst>
    <dgm:effectClrLst/>
    <dgm:txLinClrLst/>
    <dgm:txFillClrLst/>
    <dgm:txEffectClrLst/>
  </dgm:styleLbl>
  <dgm:styleLbl name="node2">
    <dgm:fillClrLst meth="repeat">
      <a:schemeClr val="accent2"/>
    </dgm:fillClrLst>
    <dgm:linClrLst meth="repeat">
      <a:schemeClr val="lt1"/>
    </dgm:linClrLst>
    <dgm:effectClrLst/>
    <dgm:txLinClrLst/>
    <dgm:txFillClrLst/>
    <dgm:txEffectClrLst/>
  </dgm:styleLbl>
  <dgm:styleLbl name="node3">
    <dgm:fillClrLst meth="repeat">
      <a:schemeClr val="accent2"/>
    </dgm:fillClrLst>
    <dgm:linClrLst meth="repeat">
      <a:schemeClr val="lt1"/>
    </dgm:linClrLst>
    <dgm:effectClrLst/>
    <dgm:txLinClrLst/>
    <dgm:txFillClrLst/>
    <dgm:txEffectClrLst/>
  </dgm:styleLbl>
  <dgm:styleLbl name="node4">
    <dgm:fillClrLst meth="repeat">
      <a:schemeClr val="accent2"/>
    </dgm:fillClrLst>
    <dgm:linClrLst meth="repeat">
      <a:schemeClr val="lt1"/>
    </dgm:linClrLst>
    <dgm:effectClrLst/>
    <dgm:txLinClrLst/>
    <dgm:txFillClrLst/>
    <dgm:txEffectClrLst/>
  </dgm:styleLbl>
  <dgm:styleLbl name="f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2">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tint val="60000"/>
      </a:schemeClr>
    </dgm:fillClrLst>
    <dgm:linClrLst meth="repeat">
      <a:schemeClr val="accent2">
        <a:tint val="60000"/>
      </a:schemeClr>
    </dgm:linClrLst>
    <dgm:effectClrLst/>
    <dgm:txLinClrLst/>
    <dgm:txFillClrLst/>
    <dgm:txEffectClrLst/>
  </dgm:styleLbl>
  <dgm:styleLbl name="fgSibTrans2D1">
    <dgm:fillClrLst meth="repeat">
      <a:schemeClr val="accent2">
        <a:tint val="60000"/>
      </a:schemeClr>
    </dgm:fillClrLst>
    <dgm:linClrLst meth="repeat">
      <a:schemeClr val="accent2">
        <a:tint val="60000"/>
      </a:schemeClr>
    </dgm:linClrLst>
    <dgm:effectClrLst/>
    <dgm:txLinClrLst/>
    <dgm:txFillClrLst/>
    <dgm:txEffectClrLst/>
  </dgm:styleLbl>
  <dgm:styleLbl name="bgSibTrans2D1">
    <dgm:fillClrLst meth="repeat">
      <a:schemeClr val="accent2">
        <a:tint val="60000"/>
      </a:schemeClr>
    </dgm:fillClrLst>
    <dgm:linClrLst meth="repeat">
      <a:schemeClr val="accent2">
        <a:tint val="60000"/>
      </a:schemeClr>
    </dgm:linClrLst>
    <dgm:effectClrLst/>
    <dgm:txLinClrLst/>
    <dgm:txFillClrLst/>
    <dgm:txEffectClrLst/>
  </dgm:styleLbl>
  <dgm:styleLbl name="sibTrans1D1">
    <dgm:fillClrLst meth="repeat">
      <a:schemeClr val="accent2"/>
    </dgm:fillClrLst>
    <dgm:linClrLst meth="repeat">
      <a:schemeClr val="accent2"/>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meth="repeat">
      <a:schemeClr val="accent2"/>
    </dgm:fillClrLst>
    <dgm:linClrLst meth="repeat">
      <a:schemeClr val="lt1"/>
    </dgm:linClrLst>
    <dgm:effectClrLst/>
    <dgm:txLinClrLst/>
    <dgm:txFillClrLst/>
    <dgm:txEffectClrLst/>
  </dgm:styleLbl>
  <dgm:styleLbl name="asst3">
    <dgm:fillClrLst meth="repeat">
      <a:schemeClr val="accent2"/>
    </dgm:fillClrLst>
    <dgm:linClrLst meth="repeat">
      <a:schemeClr val="lt1"/>
    </dgm:linClrLst>
    <dgm:effectClrLst/>
    <dgm:txLinClrLst/>
    <dgm:txFillClrLst/>
    <dgm:txEffectClrLst/>
  </dgm:styleLbl>
  <dgm:styleLbl name="asst4">
    <dgm:fillClrLst meth="repeat">
      <a:schemeClr val="accent2"/>
    </dgm:fillClrLst>
    <dgm:linClrLst meth="repeat">
      <a:schemeClr val="lt1"/>
    </dgm:linClrLst>
    <dgm:effectClrLst/>
    <dgm:txLinClrLst/>
    <dgm:txFillClrLst/>
    <dgm:txEffectClrLst/>
  </dgm:styleLbl>
  <dgm:styleLbl name="parChTrans2D1">
    <dgm:fillClrLst meth="repeat">
      <a:schemeClr val="accent2">
        <a:tint val="60000"/>
      </a:schemeClr>
    </dgm:fillClrLst>
    <dgm:linClrLst meth="repeat">
      <a:schemeClr val="accent2">
        <a:tint val="60000"/>
      </a:schemeClr>
    </dgm:linClrLst>
    <dgm:effectClrLst/>
    <dgm:txLinClrLst/>
    <dgm:txFillClrLst meth="repeat">
      <a:schemeClr val="lt1"/>
    </dgm:txFillClrLst>
    <dgm:txEffectClrLst/>
  </dgm:styleLbl>
  <dgm:styleLbl name="parChTrans2D2">
    <dgm:fillClrLst meth="repeat">
      <a:schemeClr val="accent2"/>
    </dgm:fillClrLst>
    <dgm:linClrLst meth="repeat">
      <a:schemeClr val="accent2"/>
    </dgm:linClrLst>
    <dgm:effectClrLst/>
    <dgm:txLinClrLst/>
    <dgm:txFillClrLst meth="repeat">
      <a:schemeClr val="lt1"/>
    </dgm:txFillClrLst>
    <dgm:txEffectClrLst/>
  </dgm:styleLbl>
  <dgm:styleLbl name="parChTrans2D3">
    <dgm:fillClrLst meth="repeat">
      <a:schemeClr val="accent2"/>
    </dgm:fillClrLst>
    <dgm:linClrLst meth="repeat">
      <a:schemeClr val="accent2"/>
    </dgm:linClrLst>
    <dgm:effectClrLst/>
    <dgm:txLinClrLst/>
    <dgm:txFillClrLst meth="repeat">
      <a:schemeClr val="lt1"/>
    </dgm:txFillClrLst>
    <dgm:txEffectClrLst/>
  </dgm:styleLbl>
  <dgm:styleLbl name="parChTrans2D4">
    <dgm:fillClrLst meth="repeat">
      <a:schemeClr val="accent2"/>
    </dgm:fillClrLst>
    <dgm:linClrLst meth="repeat">
      <a:schemeClr val="accent2"/>
    </dgm:linClrLst>
    <dgm:effectClrLst/>
    <dgm:txLinClrLst/>
    <dgm:txFillClrLst meth="repeat">
      <a:schemeClr val="lt1"/>
    </dgm:txFillClrLst>
    <dgm:txEffectClrLst/>
  </dgm:styleLbl>
  <dgm:styleLbl name="parChTrans1D1">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2">
    <dgm:fillClrLst meth="repeat">
      <a:schemeClr val="accent2"/>
    </dgm:fillClrLst>
    <dgm:linClrLst meth="repeat">
      <a:schemeClr val="accent2">
        <a:shade val="60000"/>
      </a:schemeClr>
    </dgm:linClrLst>
    <dgm:effectClrLst/>
    <dgm:txLinClrLst/>
    <dgm:txFillClrLst meth="repeat">
      <a:schemeClr val="tx1"/>
    </dgm:txFillClrLst>
    <dgm:txEffectClrLst/>
  </dgm:styleLbl>
  <dgm:styleLbl name="parChTrans1D3">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parChTrans1D4">
    <dgm:fillClrLst meth="repeat">
      <a:schemeClr val="accent2"/>
    </dgm:fillClrLst>
    <dgm:linClrLst meth="repeat">
      <a:schemeClr val="accent2">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solidFgAcc1">
    <dgm:fillClrLst meth="repeat">
      <a:schemeClr val="lt1"/>
    </dgm:fillClrLst>
    <dgm:linClrLst meth="repeat">
      <a:schemeClr val="accent2"/>
    </dgm:linClrLst>
    <dgm:effectClrLst/>
    <dgm:txLinClrLst/>
    <dgm:txFillClrLst meth="repeat">
      <a:schemeClr val="dk1"/>
    </dgm:txFillClrLst>
    <dgm:txEffectClrLst/>
  </dgm:styleLbl>
  <dgm:styleLbl name="solidAlignAcc1">
    <dgm:fillClrLst meth="repeat">
      <a:schemeClr val="lt1"/>
    </dgm:fillClrLst>
    <dgm:linClrLst meth="repeat">
      <a:schemeClr val="accent2"/>
    </dgm:linClrLst>
    <dgm:effectClrLst/>
    <dgm:txLinClrLst/>
    <dgm:txFillClrLst meth="repeat">
      <a:schemeClr val="dk1"/>
    </dgm:txFillClrLst>
    <dgm:txEffectClrLst/>
  </dgm:styleLbl>
  <dgm:styleLbl name="solidBgAcc1">
    <dgm:fillClrLst meth="repeat">
      <a:schemeClr val="lt1"/>
    </dgm:fillClrLst>
    <dgm:linClrLst meth="repeat">
      <a:schemeClr val="accent2"/>
    </dgm:linClrLst>
    <dgm:effectClrLst/>
    <dgm:txLinClrLst/>
    <dgm:txFillClrLst meth="repeat">
      <a:schemeClr val="dk1"/>
    </dgm:txFillClrLst>
    <dgm:txEffectClrLst/>
  </dgm:styleLbl>
  <dgm:styleLbl name="f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align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bgAccFollowNode1">
    <dgm:fillClrLst meth="repeat">
      <a:schemeClr val="accent2">
        <a:alpha val="90000"/>
        <a:tint val="40000"/>
      </a:schemeClr>
    </dgm:fillClrLst>
    <dgm:linClrLst meth="repeat">
      <a:schemeClr val="accent2">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2"/>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accent2"/>
    </dgm:linClrLst>
    <dgm:effectClrLst/>
    <dgm:txLinClrLst/>
    <dgm:txFillClrLst meth="repeat">
      <a:schemeClr val="dk1"/>
    </dgm:txFillClrLst>
    <dgm:txEffectClrLst/>
  </dgm:styleLbl>
  <dgm:styleLbl name="dkBgShp">
    <dgm:fillClrLst meth="repeat">
      <a:schemeClr val="accent2">
        <a:shade val="80000"/>
      </a:schemeClr>
    </dgm:fillClrLst>
    <dgm:linClrLst meth="repeat">
      <a:schemeClr val="accent2"/>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2DB58A1-F349-4700-89E5-5F9F449A7E7C}" type="doc">
      <dgm:prSet loTypeId="urn:microsoft.com/office/officeart/2005/8/layout/hierarchy1" loCatId="hierarchy" qsTypeId="urn:microsoft.com/office/officeart/2005/8/quickstyle/simple5" qsCatId="simple" csTypeId="urn:microsoft.com/office/officeart/2005/8/colors/accent2_2" csCatId="accent2" phldr="1"/>
      <dgm:spPr/>
      <dgm:t>
        <a:bodyPr/>
        <a:lstStyle/>
        <a:p>
          <a:endParaRPr lang="fr-FR"/>
        </a:p>
      </dgm:t>
    </dgm:pt>
    <dgm:pt modelId="{0FDCB158-8157-421C-876B-A10F938C555C}">
      <dgm:prSet phldrT="[Texte]"/>
      <dgm:spPr/>
      <dgm:t>
        <a:bodyPr/>
        <a:lstStyle/>
        <a:p>
          <a:pPr algn="ctr"/>
          <a:r>
            <a:rPr lang="fr-FR"/>
            <a:t>Créer la monnaie scripturale</a:t>
          </a:r>
        </a:p>
      </dgm:t>
    </dgm:pt>
    <dgm:pt modelId="{F36A10F9-A9B7-43F6-8884-4EFE661E2178}" type="parTrans" cxnId="{101C4CD8-1204-44BE-B5F6-BDBD38F46AC4}">
      <dgm:prSet/>
      <dgm:spPr/>
      <dgm:t>
        <a:bodyPr/>
        <a:lstStyle/>
        <a:p>
          <a:pPr algn="ctr"/>
          <a:endParaRPr lang="fr-FR"/>
        </a:p>
      </dgm:t>
    </dgm:pt>
    <dgm:pt modelId="{615D93A1-7BF9-4DC9-AEE3-877191133EAA}" type="sibTrans" cxnId="{101C4CD8-1204-44BE-B5F6-BDBD38F46AC4}">
      <dgm:prSet/>
      <dgm:spPr/>
      <dgm:t>
        <a:bodyPr/>
        <a:lstStyle/>
        <a:p>
          <a:pPr algn="ctr"/>
          <a:endParaRPr lang="fr-FR"/>
        </a:p>
      </dgm:t>
    </dgm:pt>
    <dgm:pt modelId="{80DD0989-CF9C-42C9-8CF1-83387A730C7B}">
      <dgm:prSet phldrT="[Texte]"/>
      <dgm:spPr/>
      <dgm:t>
        <a:bodyPr/>
        <a:lstStyle/>
        <a:p>
          <a:pPr algn="ctr"/>
          <a:r>
            <a:rPr lang="fr-FR"/>
            <a:t>La dette</a:t>
          </a:r>
        </a:p>
      </dgm:t>
    </dgm:pt>
    <dgm:pt modelId="{C8DE5EDE-E4E5-47D3-964E-03DDF15B4031}" type="parTrans" cxnId="{F48E635A-F2DC-4385-B0D5-5BB6308FDDA8}">
      <dgm:prSet/>
      <dgm:spPr/>
      <dgm:t>
        <a:bodyPr/>
        <a:lstStyle/>
        <a:p>
          <a:pPr algn="ctr"/>
          <a:endParaRPr lang="fr-FR"/>
        </a:p>
      </dgm:t>
    </dgm:pt>
    <dgm:pt modelId="{F382B5EA-EB20-49EE-89CF-0319FA5B0B9E}" type="sibTrans" cxnId="{F48E635A-F2DC-4385-B0D5-5BB6308FDDA8}">
      <dgm:prSet/>
      <dgm:spPr/>
      <dgm:t>
        <a:bodyPr/>
        <a:lstStyle/>
        <a:p>
          <a:pPr algn="ctr"/>
          <a:endParaRPr lang="fr-FR"/>
        </a:p>
      </dgm:t>
    </dgm:pt>
    <dgm:pt modelId="{37DC18CC-50BF-46C7-84C9-785389B8A10D}">
      <dgm:prSet phldrT="[Texte]"/>
      <dgm:spPr/>
      <dgm:t>
        <a:bodyPr/>
        <a:lstStyle/>
        <a:p>
          <a:pPr algn="ctr"/>
          <a:r>
            <a:rPr lang="fr-FR"/>
            <a:t>Les bons du Trésor</a:t>
          </a:r>
        </a:p>
      </dgm:t>
    </dgm:pt>
    <dgm:pt modelId="{BFA147C5-76B1-4B9B-A4E1-314D89FCC7ED}" type="parTrans" cxnId="{6C96D5E9-2524-4048-80E2-0DFCAA1677CB}">
      <dgm:prSet/>
      <dgm:spPr/>
      <dgm:t>
        <a:bodyPr/>
        <a:lstStyle/>
        <a:p>
          <a:pPr algn="ctr"/>
          <a:endParaRPr lang="fr-FR"/>
        </a:p>
      </dgm:t>
    </dgm:pt>
    <dgm:pt modelId="{59C7C2F3-8C15-46F1-8735-A59B36583B83}" type="sibTrans" cxnId="{6C96D5E9-2524-4048-80E2-0DFCAA1677CB}">
      <dgm:prSet/>
      <dgm:spPr/>
      <dgm:t>
        <a:bodyPr/>
        <a:lstStyle/>
        <a:p>
          <a:pPr algn="ctr"/>
          <a:endParaRPr lang="fr-FR"/>
        </a:p>
      </dgm:t>
    </dgm:pt>
    <dgm:pt modelId="{4E6BCD54-8EC7-463E-A519-E92DED5C6C3A}">
      <dgm:prSet phldrT="[Texte]"/>
      <dgm:spPr/>
      <dgm:t>
        <a:bodyPr/>
        <a:lstStyle/>
        <a:p>
          <a:pPr algn="ctr"/>
          <a:r>
            <a:rPr lang="fr-FR"/>
            <a:t>Le crédit (accordé aux ménages et aux enteprises)</a:t>
          </a:r>
        </a:p>
      </dgm:t>
    </dgm:pt>
    <dgm:pt modelId="{726745A0-0FBB-4D3D-81B4-A1961CBFB786}" type="parTrans" cxnId="{84300DE6-832D-4632-AB38-C47825F8BFFA}">
      <dgm:prSet/>
      <dgm:spPr/>
      <dgm:t>
        <a:bodyPr/>
        <a:lstStyle/>
        <a:p>
          <a:pPr algn="ctr"/>
          <a:endParaRPr lang="fr-FR"/>
        </a:p>
      </dgm:t>
    </dgm:pt>
    <dgm:pt modelId="{173746A9-B164-44CA-90CB-AAFA22B41691}" type="sibTrans" cxnId="{84300DE6-832D-4632-AB38-C47825F8BFFA}">
      <dgm:prSet/>
      <dgm:spPr/>
      <dgm:t>
        <a:bodyPr/>
        <a:lstStyle/>
        <a:p>
          <a:pPr algn="ctr"/>
          <a:endParaRPr lang="fr-FR"/>
        </a:p>
      </dgm:t>
    </dgm:pt>
    <dgm:pt modelId="{80440156-3EEA-4812-8456-2179F2C14DEF}">
      <dgm:prSet phldrT="[Texte]"/>
      <dgm:spPr/>
      <dgm:t>
        <a:bodyPr/>
        <a:lstStyle/>
        <a:p>
          <a:pPr algn="ctr"/>
          <a:r>
            <a:rPr lang="fr-FR"/>
            <a:t>Les devises</a:t>
          </a:r>
        </a:p>
      </dgm:t>
    </dgm:pt>
    <dgm:pt modelId="{315EA7D8-9AEB-4538-8558-0AC4D8A1FBBC}" type="parTrans" cxnId="{E931C113-4D66-4D1C-AA50-AC48EA09C830}">
      <dgm:prSet/>
      <dgm:spPr/>
      <dgm:t>
        <a:bodyPr/>
        <a:lstStyle/>
        <a:p>
          <a:pPr algn="ctr"/>
          <a:endParaRPr lang="fr-FR"/>
        </a:p>
      </dgm:t>
    </dgm:pt>
    <dgm:pt modelId="{4D916B22-25C3-4CC5-BE4B-20A0662B1F23}" type="sibTrans" cxnId="{E931C113-4D66-4D1C-AA50-AC48EA09C830}">
      <dgm:prSet/>
      <dgm:spPr/>
      <dgm:t>
        <a:bodyPr/>
        <a:lstStyle/>
        <a:p>
          <a:pPr algn="ctr"/>
          <a:endParaRPr lang="fr-FR"/>
        </a:p>
      </dgm:t>
    </dgm:pt>
    <dgm:pt modelId="{1479CC09-7E9A-4823-A749-E1F09072BB3B}">
      <dgm:prSet/>
      <dgm:spPr/>
      <dgm:t>
        <a:bodyPr/>
        <a:lstStyle/>
        <a:p>
          <a:pPr algn="ctr"/>
          <a:r>
            <a:rPr lang="fr-FR"/>
            <a:t>Taux de refinancement</a:t>
          </a:r>
        </a:p>
      </dgm:t>
    </dgm:pt>
    <dgm:pt modelId="{1D1D979F-5100-4110-9A76-0DEF371E08A5}" type="parTrans" cxnId="{B2FCBE8A-5442-4D86-864C-BDD80690193C}">
      <dgm:prSet/>
      <dgm:spPr/>
      <dgm:t>
        <a:bodyPr/>
        <a:lstStyle/>
        <a:p>
          <a:pPr algn="ctr"/>
          <a:endParaRPr lang="fr-FR"/>
        </a:p>
      </dgm:t>
    </dgm:pt>
    <dgm:pt modelId="{5965C9DC-3AD4-4824-85F9-CF543AB1374E}" type="sibTrans" cxnId="{B2FCBE8A-5442-4D86-864C-BDD80690193C}">
      <dgm:prSet/>
      <dgm:spPr/>
      <dgm:t>
        <a:bodyPr/>
        <a:lstStyle/>
        <a:p>
          <a:pPr algn="ctr"/>
          <a:endParaRPr lang="fr-FR"/>
        </a:p>
      </dgm:t>
    </dgm:pt>
    <dgm:pt modelId="{030A12CB-DFCD-4370-94A4-9E28355441E1}">
      <dgm:prSet/>
      <dgm:spPr/>
      <dgm:t>
        <a:bodyPr/>
        <a:lstStyle/>
        <a:p>
          <a:pPr algn="ctr"/>
          <a:r>
            <a:rPr lang="fr-FR"/>
            <a:t>Fuites</a:t>
          </a:r>
        </a:p>
      </dgm:t>
    </dgm:pt>
    <dgm:pt modelId="{EC5FF489-0441-410D-98A7-697BE4DB0CF2}" type="parTrans" cxnId="{31DFEF20-396E-4AC6-A355-E467EC5F8AA3}">
      <dgm:prSet/>
      <dgm:spPr/>
      <dgm:t>
        <a:bodyPr/>
        <a:lstStyle/>
        <a:p>
          <a:pPr algn="ctr"/>
          <a:endParaRPr lang="fr-FR"/>
        </a:p>
      </dgm:t>
    </dgm:pt>
    <dgm:pt modelId="{8509849D-49A3-49DF-845E-D273CD03EE90}" type="sibTrans" cxnId="{31DFEF20-396E-4AC6-A355-E467EC5F8AA3}">
      <dgm:prSet/>
      <dgm:spPr/>
      <dgm:t>
        <a:bodyPr/>
        <a:lstStyle/>
        <a:p>
          <a:pPr algn="ctr"/>
          <a:endParaRPr lang="fr-FR"/>
        </a:p>
      </dgm:t>
    </dgm:pt>
    <dgm:pt modelId="{BFE0B20F-661C-49B5-93D7-B4D74C8D5117}">
      <dgm:prSet/>
      <dgm:spPr/>
      <dgm:t>
        <a:bodyPr/>
        <a:lstStyle/>
        <a:p>
          <a:pPr algn="ctr"/>
          <a:r>
            <a:rPr lang="fr-FR"/>
            <a:t>Réserve obligatoire</a:t>
          </a:r>
        </a:p>
      </dgm:t>
    </dgm:pt>
    <dgm:pt modelId="{8A118BF9-F97D-42CF-B7D8-0693670A36DE}" type="parTrans" cxnId="{DCC95A11-0F31-4BB2-AE7B-ED61F43A31E7}">
      <dgm:prSet/>
      <dgm:spPr/>
      <dgm:t>
        <a:bodyPr/>
        <a:lstStyle/>
        <a:p>
          <a:pPr algn="ctr"/>
          <a:endParaRPr lang="fr-FR"/>
        </a:p>
      </dgm:t>
    </dgm:pt>
    <dgm:pt modelId="{3E284FCF-2C60-4380-AF41-9FDE5EC5C1BE}" type="sibTrans" cxnId="{DCC95A11-0F31-4BB2-AE7B-ED61F43A31E7}">
      <dgm:prSet/>
      <dgm:spPr/>
      <dgm:t>
        <a:bodyPr/>
        <a:lstStyle/>
        <a:p>
          <a:pPr algn="ctr"/>
          <a:endParaRPr lang="fr-FR"/>
        </a:p>
      </dgm:t>
    </dgm:pt>
    <dgm:pt modelId="{0B33BC87-D270-4CD2-9FB3-79CF10851FD5}" type="pres">
      <dgm:prSet presAssocID="{82DB58A1-F349-4700-89E5-5F9F449A7E7C}" presName="hierChild1" presStyleCnt="0">
        <dgm:presLayoutVars>
          <dgm:chPref val="1"/>
          <dgm:dir/>
          <dgm:animOne val="branch"/>
          <dgm:animLvl val="lvl"/>
          <dgm:resizeHandles/>
        </dgm:presLayoutVars>
      </dgm:prSet>
      <dgm:spPr/>
      <dgm:t>
        <a:bodyPr/>
        <a:lstStyle/>
        <a:p>
          <a:endParaRPr lang="fr-FR"/>
        </a:p>
      </dgm:t>
    </dgm:pt>
    <dgm:pt modelId="{F0DDED4E-3747-45CA-AB33-ED4DE5938768}" type="pres">
      <dgm:prSet presAssocID="{0FDCB158-8157-421C-876B-A10F938C555C}" presName="hierRoot1" presStyleCnt="0"/>
      <dgm:spPr/>
    </dgm:pt>
    <dgm:pt modelId="{3C3355D3-AA48-41BE-A706-89FC2CC3DB73}" type="pres">
      <dgm:prSet presAssocID="{0FDCB158-8157-421C-876B-A10F938C555C}" presName="composite" presStyleCnt="0"/>
      <dgm:spPr/>
    </dgm:pt>
    <dgm:pt modelId="{55182715-5F21-4E9F-8967-661F3FAD01D1}" type="pres">
      <dgm:prSet presAssocID="{0FDCB158-8157-421C-876B-A10F938C555C}" presName="background" presStyleLbl="node0" presStyleIdx="0" presStyleCnt="1"/>
      <dgm:spPr/>
    </dgm:pt>
    <dgm:pt modelId="{54BD8A0F-6D65-4FA9-9D12-CAA41A0AF0C5}" type="pres">
      <dgm:prSet presAssocID="{0FDCB158-8157-421C-876B-A10F938C555C}" presName="text" presStyleLbl="fgAcc0" presStyleIdx="0" presStyleCnt="1">
        <dgm:presLayoutVars>
          <dgm:chPref val="3"/>
        </dgm:presLayoutVars>
      </dgm:prSet>
      <dgm:spPr/>
      <dgm:t>
        <a:bodyPr/>
        <a:lstStyle/>
        <a:p>
          <a:endParaRPr lang="fr-FR"/>
        </a:p>
      </dgm:t>
    </dgm:pt>
    <dgm:pt modelId="{0BFED946-888B-4DC2-A294-167862BD5549}" type="pres">
      <dgm:prSet presAssocID="{0FDCB158-8157-421C-876B-A10F938C555C}" presName="hierChild2" presStyleCnt="0"/>
      <dgm:spPr/>
    </dgm:pt>
    <dgm:pt modelId="{B350B2F1-781D-48AF-82D9-7BCBFFAEC556}" type="pres">
      <dgm:prSet presAssocID="{C8DE5EDE-E4E5-47D3-964E-03DDF15B4031}" presName="Name10" presStyleLbl="parChTrans1D2" presStyleIdx="0" presStyleCnt="2"/>
      <dgm:spPr/>
      <dgm:t>
        <a:bodyPr/>
        <a:lstStyle/>
        <a:p>
          <a:endParaRPr lang="fr-FR"/>
        </a:p>
      </dgm:t>
    </dgm:pt>
    <dgm:pt modelId="{5AA81DAA-F316-4FE6-95EC-CA89C69FC99F}" type="pres">
      <dgm:prSet presAssocID="{80DD0989-CF9C-42C9-8CF1-83387A730C7B}" presName="hierRoot2" presStyleCnt="0"/>
      <dgm:spPr/>
    </dgm:pt>
    <dgm:pt modelId="{66583000-B740-4CA1-AA86-BC06051A2E8D}" type="pres">
      <dgm:prSet presAssocID="{80DD0989-CF9C-42C9-8CF1-83387A730C7B}" presName="composite2" presStyleCnt="0"/>
      <dgm:spPr/>
    </dgm:pt>
    <dgm:pt modelId="{18B44936-EC19-415E-8824-A8725E3F2115}" type="pres">
      <dgm:prSet presAssocID="{80DD0989-CF9C-42C9-8CF1-83387A730C7B}" presName="background2" presStyleLbl="node2" presStyleIdx="0" presStyleCnt="2"/>
      <dgm:spPr/>
    </dgm:pt>
    <dgm:pt modelId="{BF7CA09E-7690-4E8F-A7C8-7CBF946F217D}" type="pres">
      <dgm:prSet presAssocID="{80DD0989-CF9C-42C9-8CF1-83387A730C7B}" presName="text2" presStyleLbl="fgAcc2" presStyleIdx="0" presStyleCnt="2" custLinFactNeighborX="-84867" custLinFactNeighborY="-17487">
        <dgm:presLayoutVars>
          <dgm:chPref val="3"/>
        </dgm:presLayoutVars>
      </dgm:prSet>
      <dgm:spPr/>
      <dgm:t>
        <a:bodyPr/>
        <a:lstStyle/>
        <a:p>
          <a:endParaRPr lang="fr-FR"/>
        </a:p>
      </dgm:t>
    </dgm:pt>
    <dgm:pt modelId="{EA98598D-179F-42F0-B004-D2CE23BBD7A6}" type="pres">
      <dgm:prSet presAssocID="{80DD0989-CF9C-42C9-8CF1-83387A730C7B}" presName="hierChild3" presStyleCnt="0"/>
      <dgm:spPr/>
    </dgm:pt>
    <dgm:pt modelId="{B0909D5F-BD7C-46B3-BAAC-6923D57D0FB0}" type="pres">
      <dgm:prSet presAssocID="{BFA147C5-76B1-4B9B-A4E1-314D89FCC7ED}" presName="Name17" presStyleLbl="parChTrans1D3" presStyleIdx="0" presStyleCnt="2"/>
      <dgm:spPr/>
      <dgm:t>
        <a:bodyPr/>
        <a:lstStyle/>
        <a:p>
          <a:endParaRPr lang="fr-FR"/>
        </a:p>
      </dgm:t>
    </dgm:pt>
    <dgm:pt modelId="{1EB9C92E-64B5-4FD2-8F2A-79D81148728A}" type="pres">
      <dgm:prSet presAssocID="{37DC18CC-50BF-46C7-84C9-785389B8A10D}" presName="hierRoot3" presStyleCnt="0"/>
      <dgm:spPr/>
    </dgm:pt>
    <dgm:pt modelId="{84A53557-FB5A-485D-9B6A-995E6D23B7FD}" type="pres">
      <dgm:prSet presAssocID="{37DC18CC-50BF-46C7-84C9-785389B8A10D}" presName="composite3" presStyleCnt="0"/>
      <dgm:spPr/>
    </dgm:pt>
    <dgm:pt modelId="{1B7B1019-4E88-443C-83D7-433C8609BFC0}" type="pres">
      <dgm:prSet presAssocID="{37DC18CC-50BF-46C7-84C9-785389B8A10D}" presName="background3" presStyleLbl="node3" presStyleIdx="0" presStyleCnt="2"/>
      <dgm:spPr/>
    </dgm:pt>
    <dgm:pt modelId="{26BC624B-8053-429D-BA5A-DF420565CD16}" type="pres">
      <dgm:prSet presAssocID="{37DC18CC-50BF-46C7-84C9-785389B8A10D}" presName="text3" presStyleLbl="fgAcc3" presStyleIdx="0" presStyleCnt="2" custLinFactNeighborX="-88727" custLinFactNeighborY="-11241">
        <dgm:presLayoutVars>
          <dgm:chPref val="3"/>
        </dgm:presLayoutVars>
      </dgm:prSet>
      <dgm:spPr/>
      <dgm:t>
        <a:bodyPr/>
        <a:lstStyle/>
        <a:p>
          <a:endParaRPr lang="fr-FR"/>
        </a:p>
      </dgm:t>
    </dgm:pt>
    <dgm:pt modelId="{039C281F-CF1A-4F90-BCF3-A149587B3ABF}" type="pres">
      <dgm:prSet presAssocID="{37DC18CC-50BF-46C7-84C9-785389B8A10D}" presName="hierChild4" presStyleCnt="0"/>
      <dgm:spPr/>
    </dgm:pt>
    <dgm:pt modelId="{FE6C97A7-1033-4EEC-B00E-50B6860A17C7}" type="pres">
      <dgm:prSet presAssocID="{726745A0-0FBB-4D3D-81B4-A1961CBFB786}" presName="Name17" presStyleLbl="parChTrans1D3" presStyleIdx="1" presStyleCnt="2"/>
      <dgm:spPr/>
      <dgm:t>
        <a:bodyPr/>
        <a:lstStyle/>
        <a:p>
          <a:endParaRPr lang="fr-FR"/>
        </a:p>
      </dgm:t>
    </dgm:pt>
    <dgm:pt modelId="{2DFCCF2D-2377-42F4-9CFC-C8AC9AA45E22}" type="pres">
      <dgm:prSet presAssocID="{4E6BCD54-8EC7-463E-A519-E92DED5C6C3A}" presName="hierRoot3" presStyleCnt="0"/>
      <dgm:spPr/>
    </dgm:pt>
    <dgm:pt modelId="{4FCD3632-2CB6-4978-BC28-1E18E7667C54}" type="pres">
      <dgm:prSet presAssocID="{4E6BCD54-8EC7-463E-A519-E92DED5C6C3A}" presName="composite3" presStyleCnt="0"/>
      <dgm:spPr/>
    </dgm:pt>
    <dgm:pt modelId="{DA91A20E-333A-4BD9-AF29-4D7BEBEF6D65}" type="pres">
      <dgm:prSet presAssocID="{4E6BCD54-8EC7-463E-A519-E92DED5C6C3A}" presName="background3" presStyleLbl="node3" presStyleIdx="1" presStyleCnt="2"/>
      <dgm:spPr/>
    </dgm:pt>
    <dgm:pt modelId="{354E5B4C-4042-4931-9721-8FA0B48F654A}" type="pres">
      <dgm:prSet presAssocID="{4E6BCD54-8EC7-463E-A519-E92DED5C6C3A}" presName="text3" presStyleLbl="fgAcc3" presStyleIdx="1" presStyleCnt="2" custLinFactNeighborX="-61072" custLinFactNeighborY="-9993">
        <dgm:presLayoutVars>
          <dgm:chPref val="3"/>
        </dgm:presLayoutVars>
      </dgm:prSet>
      <dgm:spPr/>
      <dgm:t>
        <a:bodyPr/>
        <a:lstStyle/>
        <a:p>
          <a:endParaRPr lang="fr-FR"/>
        </a:p>
      </dgm:t>
    </dgm:pt>
    <dgm:pt modelId="{DCECCD0B-6D20-4CC2-8253-9A1C466AF727}" type="pres">
      <dgm:prSet presAssocID="{4E6BCD54-8EC7-463E-A519-E92DED5C6C3A}" presName="hierChild4" presStyleCnt="0"/>
      <dgm:spPr/>
    </dgm:pt>
    <dgm:pt modelId="{856A6C13-8701-4A36-8A3B-E60DD55DC004}" type="pres">
      <dgm:prSet presAssocID="{1D1D979F-5100-4110-9A76-0DEF371E08A5}" presName="Name23" presStyleLbl="parChTrans1D4" presStyleIdx="0" presStyleCnt="3"/>
      <dgm:spPr/>
      <dgm:t>
        <a:bodyPr/>
        <a:lstStyle/>
        <a:p>
          <a:endParaRPr lang="fr-FR"/>
        </a:p>
      </dgm:t>
    </dgm:pt>
    <dgm:pt modelId="{F929C397-1C90-4CCA-9983-106473F433D6}" type="pres">
      <dgm:prSet presAssocID="{1479CC09-7E9A-4823-A749-E1F09072BB3B}" presName="hierRoot4" presStyleCnt="0"/>
      <dgm:spPr/>
    </dgm:pt>
    <dgm:pt modelId="{21A1F8F0-83E3-4224-A282-5F13CE686D4F}" type="pres">
      <dgm:prSet presAssocID="{1479CC09-7E9A-4823-A749-E1F09072BB3B}" presName="composite4" presStyleCnt="0"/>
      <dgm:spPr/>
    </dgm:pt>
    <dgm:pt modelId="{5042A7B8-6883-4A9E-BF40-01BFC0D7A1BF}" type="pres">
      <dgm:prSet presAssocID="{1479CC09-7E9A-4823-A749-E1F09072BB3B}" presName="background4" presStyleLbl="node4" presStyleIdx="0" presStyleCnt="3"/>
      <dgm:spPr/>
    </dgm:pt>
    <dgm:pt modelId="{21D0E06A-EE91-4442-B47A-865D0E216C6E}" type="pres">
      <dgm:prSet presAssocID="{1479CC09-7E9A-4823-A749-E1F09072BB3B}" presName="text4" presStyleLbl="fgAcc4" presStyleIdx="0" presStyleCnt="3" custLinFactNeighborX="-57107" custLinFactNeighborY="277">
        <dgm:presLayoutVars>
          <dgm:chPref val="3"/>
        </dgm:presLayoutVars>
      </dgm:prSet>
      <dgm:spPr/>
      <dgm:t>
        <a:bodyPr/>
        <a:lstStyle/>
        <a:p>
          <a:endParaRPr lang="fr-FR"/>
        </a:p>
      </dgm:t>
    </dgm:pt>
    <dgm:pt modelId="{8C7B18FA-47F3-4F78-8A40-BD1675D93F2A}" type="pres">
      <dgm:prSet presAssocID="{1479CC09-7E9A-4823-A749-E1F09072BB3B}" presName="hierChild5" presStyleCnt="0"/>
      <dgm:spPr/>
    </dgm:pt>
    <dgm:pt modelId="{39643A1E-4CDF-4CA1-B07E-C27875E78C58}" type="pres">
      <dgm:prSet presAssocID="{EC5FF489-0441-410D-98A7-697BE4DB0CF2}" presName="Name23" presStyleLbl="parChTrans1D4" presStyleIdx="1" presStyleCnt="3"/>
      <dgm:spPr/>
      <dgm:t>
        <a:bodyPr/>
        <a:lstStyle/>
        <a:p>
          <a:endParaRPr lang="fr-FR"/>
        </a:p>
      </dgm:t>
    </dgm:pt>
    <dgm:pt modelId="{AF7ABB54-C40D-48BD-94EA-3ECCB85E1362}" type="pres">
      <dgm:prSet presAssocID="{030A12CB-DFCD-4370-94A4-9E28355441E1}" presName="hierRoot4" presStyleCnt="0"/>
      <dgm:spPr/>
    </dgm:pt>
    <dgm:pt modelId="{CC7D80F1-1750-4B2E-A666-41A40E23EA35}" type="pres">
      <dgm:prSet presAssocID="{030A12CB-DFCD-4370-94A4-9E28355441E1}" presName="composite4" presStyleCnt="0"/>
      <dgm:spPr/>
    </dgm:pt>
    <dgm:pt modelId="{D3CB3E17-8BAB-4C3A-82D9-0277ECE514F1}" type="pres">
      <dgm:prSet presAssocID="{030A12CB-DFCD-4370-94A4-9E28355441E1}" presName="background4" presStyleLbl="node4" presStyleIdx="1" presStyleCnt="3"/>
      <dgm:spPr/>
    </dgm:pt>
    <dgm:pt modelId="{A3004687-86B9-4F0A-83E7-2B2349736188}" type="pres">
      <dgm:prSet presAssocID="{030A12CB-DFCD-4370-94A4-9E28355441E1}" presName="text4" presStyleLbl="fgAcc4" presStyleIdx="1" presStyleCnt="3" custLinFactNeighborX="-53934" custLinFactNeighborY="277">
        <dgm:presLayoutVars>
          <dgm:chPref val="3"/>
        </dgm:presLayoutVars>
      </dgm:prSet>
      <dgm:spPr/>
      <dgm:t>
        <a:bodyPr/>
        <a:lstStyle/>
        <a:p>
          <a:endParaRPr lang="fr-FR"/>
        </a:p>
      </dgm:t>
    </dgm:pt>
    <dgm:pt modelId="{BAD041A6-C16E-4854-843F-F965BFA46717}" type="pres">
      <dgm:prSet presAssocID="{030A12CB-DFCD-4370-94A4-9E28355441E1}" presName="hierChild5" presStyleCnt="0"/>
      <dgm:spPr/>
    </dgm:pt>
    <dgm:pt modelId="{F1952680-86B8-47BD-99E1-BF6F296AF650}" type="pres">
      <dgm:prSet presAssocID="{8A118BF9-F97D-42CF-B7D8-0693670A36DE}" presName="Name23" presStyleLbl="parChTrans1D4" presStyleIdx="2" presStyleCnt="3"/>
      <dgm:spPr/>
      <dgm:t>
        <a:bodyPr/>
        <a:lstStyle/>
        <a:p>
          <a:endParaRPr lang="fr-FR"/>
        </a:p>
      </dgm:t>
    </dgm:pt>
    <dgm:pt modelId="{B2B03C74-CE80-4F1B-93FC-19C119553926}" type="pres">
      <dgm:prSet presAssocID="{BFE0B20F-661C-49B5-93D7-B4D74C8D5117}" presName="hierRoot4" presStyleCnt="0"/>
      <dgm:spPr/>
    </dgm:pt>
    <dgm:pt modelId="{3820E999-DF26-43BC-B592-156DB6E76389}" type="pres">
      <dgm:prSet presAssocID="{BFE0B20F-661C-49B5-93D7-B4D74C8D5117}" presName="composite4" presStyleCnt="0"/>
      <dgm:spPr/>
    </dgm:pt>
    <dgm:pt modelId="{C3A97702-7586-4469-97E0-B1DCC6392ADB}" type="pres">
      <dgm:prSet presAssocID="{BFE0B20F-661C-49B5-93D7-B4D74C8D5117}" presName="background4" presStyleLbl="node4" presStyleIdx="2" presStyleCnt="3"/>
      <dgm:spPr/>
    </dgm:pt>
    <dgm:pt modelId="{80919500-2F49-48AB-A2C4-B9D1E7FC2734}" type="pres">
      <dgm:prSet presAssocID="{BFE0B20F-661C-49B5-93D7-B4D74C8D5117}" presName="text4" presStyleLbl="fgAcc4" presStyleIdx="2" presStyleCnt="3" custLinFactNeighborX="-58693" custLinFactNeighborY="277">
        <dgm:presLayoutVars>
          <dgm:chPref val="3"/>
        </dgm:presLayoutVars>
      </dgm:prSet>
      <dgm:spPr/>
      <dgm:t>
        <a:bodyPr/>
        <a:lstStyle/>
        <a:p>
          <a:endParaRPr lang="fr-FR"/>
        </a:p>
      </dgm:t>
    </dgm:pt>
    <dgm:pt modelId="{2B1A8C25-5964-48A9-8FD3-2C66B8648B18}" type="pres">
      <dgm:prSet presAssocID="{BFE0B20F-661C-49B5-93D7-B4D74C8D5117}" presName="hierChild5" presStyleCnt="0"/>
      <dgm:spPr/>
    </dgm:pt>
    <dgm:pt modelId="{ED407D49-03C1-4F1F-A149-1917C2A6DD1E}" type="pres">
      <dgm:prSet presAssocID="{315EA7D8-9AEB-4538-8558-0AC4D8A1FBBC}" presName="Name10" presStyleLbl="parChTrans1D2" presStyleIdx="1" presStyleCnt="2"/>
      <dgm:spPr/>
      <dgm:t>
        <a:bodyPr/>
        <a:lstStyle/>
        <a:p>
          <a:endParaRPr lang="fr-FR"/>
        </a:p>
      </dgm:t>
    </dgm:pt>
    <dgm:pt modelId="{05E374A5-C70D-4A52-896C-EED245876DA2}" type="pres">
      <dgm:prSet presAssocID="{80440156-3EEA-4812-8456-2179F2C14DEF}" presName="hierRoot2" presStyleCnt="0"/>
      <dgm:spPr/>
    </dgm:pt>
    <dgm:pt modelId="{165D758E-5D33-4591-B1B1-0A06339B0B14}" type="pres">
      <dgm:prSet presAssocID="{80440156-3EEA-4812-8456-2179F2C14DEF}" presName="composite2" presStyleCnt="0"/>
      <dgm:spPr/>
    </dgm:pt>
    <dgm:pt modelId="{F8438E5A-40AD-476D-9FB4-071483596570}" type="pres">
      <dgm:prSet presAssocID="{80440156-3EEA-4812-8456-2179F2C14DEF}" presName="background2" presStyleLbl="node2" presStyleIdx="1" presStyleCnt="2"/>
      <dgm:spPr/>
    </dgm:pt>
    <dgm:pt modelId="{E6E88EB6-66DC-4807-9FF8-75859360DA50}" type="pres">
      <dgm:prSet presAssocID="{80440156-3EEA-4812-8456-2179F2C14DEF}" presName="text2" presStyleLbl="fgAcc2" presStyleIdx="1" presStyleCnt="2" custLinFactX="17385" custLinFactNeighborX="100000" custLinFactNeighborY="4997">
        <dgm:presLayoutVars>
          <dgm:chPref val="3"/>
        </dgm:presLayoutVars>
      </dgm:prSet>
      <dgm:spPr/>
      <dgm:t>
        <a:bodyPr/>
        <a:lstStyle/>
        <a:p>
          <a:endParaRPr lang="fr-FR"/>
        </a:p>
      </dgm:t>
    </dgm:pt>
    <dgm:pt modelId="{EBFDBD14-0160-4088-8D1D-A39E134CA5C7}" type="pres">
      <dgm:prSet presAssocID="{80440156-3EEA-4812-8456-2179F2C14DEF}" presName="hierChild3" presStyleCnt="0"/>
      <dgm:spPr/>
    </dgm:pt>
  </dgm:ptLst>
  <dgm:cxnLst>
    <dgm:cxn modelId="{101C4CD8-1204-44BE-B5F6-BDBD38F46AC4}" srcId="{82DB58A1-F349-4700-89E5-5F9F449A7E7C}" destId="{0FDCB158-8157-421C-876B-A10F938C555C}" srcOrd="0" destOrd="0" parTransId="{F36A10F9-A9B7-43F6-8884-4EFE661E2178}" sibTransId="{615D93A1-7BF9-4DC9-AEE3-877191133EAA}"/>
    <dgm:cxn modelId="{C1418CE5-A4BD-460E-8648-FA86146C3034}" type="presOf" srcId="{4E6BCD54-8EC7-463E-A519-E92DED5C6C3A}" destId="{354E5B4C-4042-4931-9721-8FA0B48F654A}" srcOrd="0" destOrd="0" presId="urn:microsoft.com/office/officeart/2005/8/layout/hierarchy1"/>
    <dgm:cxn modelId="{F48E635A-F2DC-4385-B0D5-5BB6308FDDA8}" srcId="{0FDCB158-8157-421C-876B-A10F938C555C}" destId="{80DD0989-CF9C-42C9-8CF1-83387A730C7B}" srcOrd="0" destOrd="0" parTransId="{C8DE5EDE-E4E5-47D3-964E-03DDF15B4031}" sibTransId="{F382B5EA-EB20-49EE-89CF-0319FA5B0B9E}"/>
    <dgm:cxn modelId="{F029C6BB-3E75-45D2-AFC5-0DEA33C87E3D}" type="presOf" srcId="{82DB58A1-F349-4700-89E5-5F9F449A7E7C}" destId="{0B33BC87-D270-4CD2-9FB3-79CF10851FD5}" srcOrd="0" destOrd="0" presId="urn:microsoft.com/office/officeart/2005/8/layout/hierarchy1"/>
    <dgm:cxn modelId="{6C96D5E9-2524-4048-80E2-0DFCAA1677CB}" srcId="{80DD0989-CF9C-42C9-8CF1-83387A730C7B}" destId="{37DC18CC-50BF-46C7-84C9-785389B8A10D}" srcOrd="0" destOrd="0" parTransId="{BFA147C5-76B1-4B9B-A4E1-314D89FCC7ED}" sibTransId="{59C7C2F3-8C15-46F1-8735-A59B36583B83}"/>
    <dgm:cxn modelId="{6CCC1526-7E35-40D8-BCF9-D544ADAC4B8A}" type="presOf" srcId="{1479CC09-7E9A-4823-A749-E1F09072BB3B}" destId="{21D0E06A-EE91-4442-B47A-865D0E216C6E}" srcOrd="0" destOrd="0" presId="urn:microsoft.com/office/officeart/2005/8/layout/hierarchy1"/>
    <dgm:cxn modelId="{B5E93986-772A-4FF9-804C-3F1B6A769FF8}" type="presOf" srcId="{8A118BF9-F97D-42CF-B7D8-0693670A36DE}" destId="{F1952680-86B8-47BD-99E1-BF6F296AF650}" srcOrd="0" destOrd="0" presId="urn:microsoft.com/office/officeart/2005/8/layout/hierarchy1"/>
    <dgm:cxn modelId="{CA2CB708-C85A-4C11-B6E6-5951008D2100}" type="presOf" srcId="{315EA7D8-9AEB-4538-8558-0AC4D8A1FBBC}" destId="{ED407D49-03C1-4F1F-A149-1917C2A6DD1E}" srcOrd="0" destOrd="0" presId="urn:microsoft.com/office/officeart/2005/8/layout/hierarchy1"/>
    <dgm:cxn modelId="{8920DC10-F512-4F6F-AEFE-E8982C6D76B2}" type="presOf" srcId="{EC5FF489-0441-410D-98A7-697BE4DB0CF2}" destId="{39643A1E-4CDF-4CA1-B07E-C27875E78C58}" srcOrd="0" destOrd="0" presId="urn:microsoft.com/office/officeart/2005/8/layout/hierarchy1"/>
    <dgm:cxn modelId="{73259E0E-9C66-4124-8D18-AD18886AC1CE}" type="presOf" srcId="{37DC18CC-50BF-46C7-84C9-785389B8A10D}" destId="{26BC624B-8053-429D-BA5A-DF420565CD16}" srcOrd="0" destOrd="0" presId="urn:microsoft.com/office/officeart/2005/8/layout/hierarchy1"/>
    <dgm:cxn modelId="{C14BB6F1-7388-4ADD-97ED-219562D38215}" type="presOf" srcId="{BFA147C5-76B1-4B9B-A4E1-314D89FCC7ED}" destId="{B0909D5F-BD7C-46B3-BAAC-6923D57D0FB0}" srcOrd="0" destOrd="0" presId="urn:microsoft.com/office/officeart/2005/8/layout/hierarchy1"/>
    <dgm:cxn modelId="{B2FCBE8A-5442-4D86-864C-BDD80690193C}" srcId="{4E6BCD54-8EC7-463E-A519-E92DED5C6C3A}" destId="{1479CC09-7E9A-4823-A749-E1F09072BB3B}" srcOrd="0" destOrd="0" parTransId="{1D1D979F-5100-4110-9A76-0DEF371E08A5}" sibTransId="{5965C9DC-3AD4-4824-85F9-CF543AB1374E}"/>
    <dgm:cxn modelId="{A7553915-56FB-4B3A-B142-AD8B79CFDD86}" type="presOf" srcId="{80DD0989-CF9C-42C9-8CF1-83387A730C7B}" destId="{BF7CA09E-7690-4E8F-A7C8-7CBF946F217D}" srcOrd="0" destOrd="0" presId="urn:microsoft.com/office/officeart/2005/8/layout/hierarchy1"/>
    <dgm:cxn modelId="{E931C113-4D66-4D1C-AA50-AC48EA09C830}" srcId="{0FDCB158-8157-421C-876B-A10F938C555C}" destId="{80440156-3EEA-4812-8456-2179F2C14DEF}" srcOrd="1" destOrd="0" parTransId="{315EA7D8-9AEB-4538-8558-0AC4D8A1FBBC}" sibTransId="{4D916B22-25C3-4CC5-BE4B-20A0662B1F23}"/>
    <dgm:cxn modelId="{31DFEF20-396E-4AC6-A355-E467EC5F8AA3}" srcId="{4E6BCD54-8EC7-463E-A519-E92DED5C6C3A}" destId="{030A12CB-DFCD-4370-94A4-9E28355441E1}" srcOrd="1" destOrd="0" parTransId="{EC5FF489-0441-410D-98A7-697BE4DB0CF2}" sibTransId="{8509849D-49A3-49DF-845E-D273CD03EE90}"/>
    <dgm:cxn modelId="{DCC95A11-0F31-4BB2-AE7B-ED61F43A31E7}" srcId="{4E6BCD54-8EC7-463E-A519-E92DED5C6C3A}" destId="{BFE0B20F-661C-49B5-93D7-B4D74C8D5117}" srcOrd="2" destOrd="0" parTransId="{8A118BF9-F97D-42CF-B7D8-0693670A36DE}" sibTransId="{3E284FCF-2C60-4380-AF41-9FDE5EC5C1BE}"/>
    <dgm:cxn modelId="{93E970D5-5EAA-4ECA-925B-7B8C5760432F}" type="presOf" srcId="{C8DE5EDE-E4E5-47D3-964E-03DDF15B4031}" destId="{B350B2F1-781D-48AF-82D9-7BCBFFAEC556}" srcOrd="0" destOrd="0" presId="urn:microsoft.com/office/officeart/2005/8/layout/hierarchy1"/>
    <dgm:cxn modelId="{4A82B8C2-1389-4927-BC80-51604423C39E}" type="presOf" srcId="{1D1D979F-5100-4110-9A76-0DEF371E08A5}" destId="{856A6C13-8701-4A36-8A3B-E60DD55DC004}" srcOrd="0" destOrd="0" presId="urn:microsoft.com/office/officeart/2005/8/layout/hierarchy1"/>
    <dgm:cxn modelId="{C3C9279F-6DE2-4D83-B124-D7968CDA3FAE}" type="presOf" srcId="{BFE0B20F-661C-49B5-93D7-B4D74C8D5117}" destId="{80919500-2F49-48AB-A2C4-B9D1E7FC2734}" srcOrd="0" destOrd="0" presId="urn:microsoft.com/office/officeart/2005/8/layout/hierarchy1"/>
    <dgm:cxn modelId="{14A20770-E457-4BAE-BAE9-CF40B1F72BB9}" type="presOf" srcId="{726745A0-0FBB-4D3D-81B4-A1961CBFB786}" destId="{FE6C97A7-1033-4EEC-B00E-50B6860A17C7}" srcOrd="0" destOrd="0" presId="urn:microsoft.com/office/officeart/2005/8/layout/hierarchy1"/>
    <dgm:cxn modelId="{1417114A-F20C-4F9C-8A73-4D01F03D1B86}" type="presOf" srcId="{030A12CB-DFCD-4370-94A4-9E28355441E1}" destId="{A3004687-86B9-4F0A-83E7-2B2349736188}" srcOrd="0" destOrd="0" presId="urn:microsoft.com/office/officeart/2005/8/layout/hierarchy1"/>
    <dgm:cxn modelId="{84300DE6-832D-4632-AB38-C47825F8BFFA}" srcId="{80DD0989-CF9C-42C9-8CF1-83387A730C7B}" destId="{4E6BCD54-8EC7-463E-A519-E92DED5C6C3A}" srcOrd="1" destOrd="0" parTransId="{726745A0-0FBB-4D3D-81B4-A1961CBFB786}" sibTransId="{173746A9-B164-44CA-90CB-AAFA22B41691}"/>
    <dgm:cxn modelId="{F3FBBE2C-5FAC-4043-ACF1-F29F5A791FF6}" type="presOf" srcId="{0FDCB158-8157-421C-876B-A10F938C555C}" destId="{54BD8A0F-6D65-4FA9-9D12-CAA41A0AF0C5}" srcOrd="0" destOrd="0" presId="urn:microsoft.com/office/officeart/2005/8/layout/hierarchy1"/>
    <dgm:cxn modelId="{54CE8A74-0DF7-4862-99F5-484B9E8BCA20}" type="presOf" srcId="{80440156-3EEA-4812-8456-2179F2C14DEF}" destId="{E6E88EB6-66DC-4807-9FF8-75859360DA50}" srcOrd="0" destOrd="0" presId="urn:microsoft.com/office/officeart/2005/8/layout/hierarchy1"/>
    <dgm:cxn modelId="{43371CA9-E9C0-4663-BF7F-EA7B5AC8F0E4}" type="presParOf" srcId="{0B33BC87-D270-4CD2-9FB3-79CF10851FD5}" destId="{F0DDED4E-3747-45CA-AB33-ED4DE5938768}" srcOrd="0" destOrd="0" presId="urn:microsoft.com/office/officeart/2005/8/layout/hierarchy1"/>
    <dgm:cxn modelId="{12D8155C-53F5-4162-9930-F651BE23E50F}" type="presParOf" srcId="{F0DDED4E-3747-45CA-AB33-ED4DE5938768}" destId="{3C3355D3-AA48-41BE-A706-89FC2CC3DB73}" srcOrd="0" destOrd="0" presId="urn:microsoft.com/office/officeart/2005/8/layout/hierarchy1"/>
    <dgm:cxn modelId="{CA1EF02F-B3F3-4A0A-AAEA-D41A7938B622}" type="presParOf" srcId="{3C3355D3-AA48-41BE-A706-89FC2CC3DB73}" destId="{55182715-5F21-4E9F-8967-661F3FAD01D1}" srcOrd="0" destOrd="0" presId="urn:microsoft.com/office/officeart/2005/8/layout/hierarchy1"/>
    <dgm:cxn modelId="{7787BB1E-AC7A-4464-8F80-8AD94FC65A86}" type="presParOf" srcId="{3C3355D3-AA48-41BE-A706-89FC2CC3DB73}" destId="{54BD8A0F-6D65-4FA9-9D12-CAA41A0AF0C5}" srcOrd="1" destOrd="0" presId="urn:microsoft.com/office/officeart/2005/8/layout/hierarchy1"/>
    <dgm:cxn modelId="{EEFA57F3-2560-4274-B5C7-690AAE35A2D0}" type="presParOf" srcId="{F0DDED4E-3747-45CA-AB33-ED4DE5938768}" destId="{0BFED946-888B-4DC2-A294-167862BD5549}" srcOrd="1" destOrd="0" presId="urn:microsoft.com/office/officeart/2005/8/layout/hierarchy1"/>
    <dgm:cxn modelId="{BC9ADF36-058D-4135-8E92-5022E145C1F2}" type="presParOf" srcId="{0BFED946-888B-4DC2-A294-167862BD5549}" destId="{B350B2F1-781D-48AF-82D9-7BCBFFAEC556}" srcOrd="0" destOrd="0" presId="urn:microsoft.com/office/officeart/2005/8/layout/hierarchy1"/>
    <dgm:cxn modelId="{4A0FC379-CBD9-473B-A7BE-FB9D31B16847}" type="presParOf" srcId="{0BFED946-888B-4DC2-A294-167862BD5549}" destId="{5AA81DAA-F316-4FE6-95EC-CA89C69FC99F}" srcOrd="1" destOrd="0" presId="urn:microsoft.com/office/officeart/2005/8/layout/hierarchy1"/>
    <dgm:cxn modelId="{4C394DC5-738E-4751-B3C5-0C82C8E7C969}" type="presParOf" srcId="{5AA81DAA-F316-4FE6-95EC-CA89C69FC99F}" destId="{66583000-B740-4CA1-AA86-BC06051A2E8D}" srcOrd="0" destOrd="0" presId="urn:microsoft.com/office/officeart/2005/8/layout/hierarchy1"/>
    <dgm:cxn modelId="{004C019B-F025-48F8-9CF6-A90286B373E4}" type="presParOf" srcId="{66583000-B740-4CA1-AA86-BC06051A2E8D}" destId="{18B44936-EC19-415E-8824-A8725E3F2115}" srcOrd="0" destOrd="0" presId="urn:microsoft.com/office/officeart/2005/8/layout/hierarchy1"/>
    <dgm:cxn modelId="{88669593-4C68-40EF-8FD1-2FE757F1F55A}" type="presParOf" srcId="{66583000-B740-4CA1-AA86-BC06051A2E8D}" destId="{BF7CA09E-7690-4E8F-A7C8-7CBF946F217D}" srcOrd="1" destOrd="0" presId="urn:microsoft.com/office/officeart/2005/8/layout/hierarchy1"/>
    <dgm:cxn modelId="{FF8A5B1D-F439-4336-A4A8-CF3B48D2C5E4}" type="presParOf" srcId="{5AA81DAA-F316-4FE6-95EC-CA89C69FC99F}" destId="{EA98598D-179F-42F0-B004-D2CE23BBD7A6}" srcOrd="1" destOrd="0" presId="urn:microsoft.com/office/officeart/2005/8/layout/hierarchy1"/>
    <dgm:cxn modelId="{D1D5EA66-9C0D-424F-8132-E2C55E7C8FB5}" type="presParOf" srcId="{EA98598D-179F-42F0-B004-D2CE23BBD7A6}" destId="{B0909D5F-BD7C-46B3-BAAC-6923D57D0FB0}" srcOrd="0" destOrd="0" presId="urn:microsoft.com/office/officeart/2005/8/layout/hierarchy1"/>
    <dgm:cxn modelId="{465DCAF4-3A4B-406C-A721-BE0A0A9B9D5E}" type="presParOf" srcId="{EA98598D-179F-42F0-B004-D2CE23BBD7A6}" destId="{1EB9C92E-64B5-4FD2-8F2A-79D81148728A}" srcOrd="1" destOrd="0" presId="urn:microsoft.com/office/officeart/2005/8/layout/hierarchy1"/>
    <dgm:cxn modelId="{191F2099-C0F3-4073-948D-3E65C8B8C9E7}" type="presParOf" srcId="{1EB9C92E-64B5-4FD2-8F2A-79D81148728A}" destId="{84A53557-FB5A-485D-9B6A-995E6D23B7FD}" srcOrd="0" destOrd="0" presId="urn:microsoft.com/office/officeart/2005/8/layout/hierarchy1"/>
    <dgm:cxn modelId="{1CCADF3F-4204-4705-89FC-F01037ACFC80}" type="presParOf" srcId="{84A53557-FB5A-485D-9B6A-995E6D23B7FD}" destId="{1B7B1019-4E88-443C-83D7-433C8609BFC0}" srcOrd="0" destOrd="0" presId="urn:microsoft.com/office/officeart/2005/8/layout/hierarchy1"/>
    <dgm:cxn modelId="{C94F484B-664E-4D0F-B6D1-3DD74AD3A4D1}" type="presParOf" srcId="{84A53557-FB5A-485D-9B6A-995E6D23B7FD}" destId="{26BC624B-8053-429D-BA5A-DF420565CD16}" srcOrd="1" destOrd="0" presId="urn:microsoft.com/office/officeart/2005/8/layout/hierarchy1"/>
    <dgm:cxn modelId="{BBC7A966-8111-4B23-B9E3-6A08CD258F16}" type="presParOf" srcId="{1EB9C92E-64B5-4FD2-8F2A-79D81148728A}" destId="{039C281F-CF1A-4F90-BCF3-A149587B3ABF}" srcOrd="1" destOrd="0" presId="urn:microsoft.com/office/officeart/2005/8/layout/hierarchy1"/>
    <dgm:cxn modelId="{4CB15F71-9012-4EDC-A459-A89122D62AC8}" type="presParOf" srcId="{EA98598D-179F-42F0-B004-D2CE23BBD7A6}" destId="{FE6C97A7-1033-4EEC-B00E-50B6860A17C7}" srcOrd="2" destOrd="0" presId="urn:microsoft.com/office/officeart/2005/8/layout/hierarchy1"/>
    <dgm:cxn modelId="{D2F554A2-6348-48C8-B471-DF18E30AAAD4}" type="presParOf" srcId="{EA98598D-179F-42F0-B004-D2CE23BBD7A6}" destId="{2DFCCF2D-2377-42F4-9CFC-C8AC9AA45E22}" srcOrd="3" destOrd="0" presId="urn:microsoft.com/office/officeart/2005/8/layout/hierarchy1"/>
    <dgm:cxn modelId="{086A1C4C-84E6-42BF-AC59-B44654DC08D0}" type="presParOf" srcId="{2DFCCF2D-2377-42F4-9CFC-C8AC9AA45E22}" destId="{4FCD3632-2CB6-4978-BC28-1E18E7667C54}" srcOrd="0" destOrd="0" presId="urn:microsoft.com/office/officeart/2005/8/layout/hierarchy1"/>
    <dgm:cxn modelId="{0C89419E-F154-44ED-85B5-ED1FF4AB9BB7}" type="presParOf" srcId="{4FCD3632-2CB6-4978-BC28-1E18E7667C54}" destId="{DA91A20E-333A-4BD9-AF29-4D7BEBEF6D65}" srcOrd="0" destOrd="0" presId="urn:microsoft.com/office/officeart/2005/8/layout/hierarchy1"/>
    <dgm:cxn modelId="{D569F350-8ACF-44BA-9F40-793D5B0780D1}" type="presParOf" srcId="{4FCD3632-2CB6-4978-BC28-1E18E7667C54}" destId="{354E5B4C-4042-4931-9721-8FA0B48F654A}" srcOrd="1" destOrd="0" presId="urn:microsoft.com/office/officeart/2005/8/layout/hierarchy1"/>
    <dgm:cxn modelId="{E167B910-EAD5-40BB-9BCF-46CCAAFCED3E}" type="presParOf" srcId="{2DFCCF2D-2377-42F4-9CFC-C8AC9AA45E22}" destId="{DCECCD0B-6D20-4CC2-8253-9A1C466AF727}" srcOrd="1" destOrd="0" presId="urn:microsoft.com/office/officeart/2005/8/layout/hierarchy1"/>
    <dgm:cxn modelId="{CC673CC7-8AF0-4E9E-934F-DBBB731B9916}" type="presParOf" srcId="{DCECCD0B-6D20-4CC2-8253-9A1C466AF727}" destId="{856A6C13-8701-4A36-8A3B-E60DD55DC004}" srcOrd="0" destOrd="0" presId="urn:microsoft.com/office/officeart/2005/8/layout/hierarchy1"/>
    <dgm:cxn modelId="{EE76D722-4F7B-4F39-856F-DDF2F87AF89B}" type="presParOf" srcId="{DCECCD0B-6D20-4CC2-8253-9A1C466AF727}" destId="{F929C397-1C90-4CCA-9983-106473F433D6}" srcOrd="1" destOrd="0" presId="urn:microsoft.com/office/officeart/2005/8/layout/hierarchy1"/>
    <dgm:cxn modelId="{AF61D5E7-4285-4437-AD49-34753600B310}" type="presParOf" srcId="{F929C397-1C90-4CCA-9983-106473F433D6}" destId="{21A1F8F0-83E3-4224-A282-5F13CE686D4F}" srcOrd="0" destOrd="0" presId="urn:microsoft.com/office/officeart/2005/8/layout/hierarchy1"/>
    <dgm:cxn modelId="{2F6706D7-4AE6-4C1C-B7A8-DFB9AE0E5985}" type="presParOf" srcId="{21A1F8F0-83E3-4224-A282-5F13CE686D4F}" destId="{5042A7B8-6883-4A9E-BF40-01BFC0D7A1BF}" srcOrd="0" destOrd="0" presId="urn:microsoft.com/office/officeart/2005/8/layout/hierarchy1"/>
    <dgm:cxn modelId="{2CEDE519-BCD5-4F30-9D3F-C94B3DD1FE23}" type="presParOf" srcId="{21A1F8F0-83E3-4224-A282-5F13CE686D4F}" destId="{21D0E06A-EE91-4442-B47A-865D0E216C6E}" srcOrd="1" destOrd="0" presId="urn:microsoft.com/office/officeart/2005/8/layout/hierarchy1"/>
    <dgm:cxn modelId="{DEF9328E-D615-4D5A-AD86-AC8BF7A8D092}" type="presParOf" srcId="{F929C397-1C90-4CCA-9983-106473F433D6}" destId="{8C7B18FA-47F3-4F78-8A40-BD1675D93F2A}" srcOrd="1" destOrd="0" presId="urn:microsoft.com/office/officeart/2005/8/layout/hierarchy1"/>
    <dgm:cxn modelId="{CD0A2ACB-A9EC-4761-BFA2-77E03FF28EC1}" type="presParOf" srcId="{DCECCD0B-6D20-4CC2-8253-9A1C466AF727}" destId="{39643A1E-4CDF-4CA1-B07E-C27875E78C58}" srcOrd="2" destOrd="0" presId="urn:microsoft.com/office/officeart/2005/8/layout/hierarchy1"/>
    <dgm:cxn modelId="{C30C97BC-7EB4-46F6-B5D4-0ECF93DC864C}" type="presParOf" srcId="{DCECCD0B-6D20-4CC2-8253-9A1C466AF727}" destId="{AF7ABB54-C40D-48BD-94EA-3ECCB85E1362}" srcOrd="3" destOrd="0" presId="urn:microsoft.com/office/officeart/2005/8/layout/hierarchy1"/>
    <dgm:cxn modelId="{2A518286-A968-42B4-B7A1-841C6130A783}" type="presParOf" srcId="{AF7ABB54-C40D-48BD-94EA-3ECCB85E1362}" destId="{CC7D80F1-1750-4B2E-A666-41A40E23EA35}" srcOrd="0" destOrd="0" presId="urn:microsoft.com/office/officeart/2005/8/layout/hierarchy1"/>
    <dgm:cxn modelId="{F5BFD528-83BB-46B5-9C4C-A963A06E89A9}" type="presParOf" srcId="{CC7D80F1-1750-4B2E-A666-41A40E23EA35}" destId="{D3CB3E17-8BAB-4C3A-82D9-0277ECE514F1}" srcOrd="0" destOrd="0" presId="urn:microsoft.com/office/officeart/2005/8/layout/hierarchy1"/>
    <dgm:cxn modelId="{FF497380-4417-4CAE-BB25-D9A5304FBF63}" type="presParOf" srcId="{CC7D80F1-1750-4B2E-A666-41A40E23EA35}" destId="{A3004687-86B9-4F0A-83E7-2B2349736188}" srcOrd="1" destOrd="0" presId="urn:microsoft.com/office/officeart/2005/8/layout/hierarchy1"/>
    <dgm:cxn modelId="{923E0584-4805-46DE-86A7-B8DDDF48CE73}" type="presParOf" srcId="{AF7ABB54-C40D-48BD-94EA-3ECCB85E1362}" destId="{BAD041A6-C16E-4854-843F-F965BFA46717}" srcOrd="1" destOrd="0" presId="urn:microsoft.com/office/officeart/2005/8/layout/hierarchy1"/>
    <dgm:cxn modelId="{96F2D401-24CF-49A7-8990-10A61226941B}" type="presParOf" srcId="{DCECCD0B-6D20-4CC2-8253-9A1C466AF727}" destId="{F1952680-86B8-47BD-99E1-BF6F296AF650}" srcOrd="4" destOrd="0" presId="urn:microsoft.com/office/officeart/2005/8/layout/hierarchy1"/>
    <dgm:cxn modelId="{099D5131-ED0C-4BA7-9731-450C733EE656}" type="presParOf" srcId="{DCECCD0B-6D20-4CC2-8253-9A1C466AF727}" destId="{B2B03C74-CE80-4F1B-93FC-19C119553926}" srcOrd="5" destOrd="0" presId="urn:microsoft.com/office/officeart/2005/8/layout/hierarchy1"/>
    <dgm:cxn modelId="{4C7A2D31-988F-49D2-9B2D-2A669291BA4A}" type="presParOf" srcId="{B2B03C74-CE80-4F1B-93FC-19C119553926}" destId="{3820E999-DF26-43BC-B592-156DB6E76389}" srcOrd="0" destOrd="0" presId="urn:microsoft.com/office/officeart/2005/8/layout/hierarchy1"/>
    <dgm:cxn modelId="{BE3EF74E-E3C1-4136-871D-3B25252AC4E1}" type="presParOf" srcId="{3820E999-DF26-43BC-B592-156DB6E76389}" destId="{C3A97702-7586-4469-97E0-B1DCC6392ADB}" srcOrd="0" destOrd="0" presId="urn:microsoft.com/office/officeart/2005/8/layout/hierarchy1"/>
    <dgm:cxn modelId="{DC92F231-0321-4F9A-998F-CDAE07CC2ADC}" type="presParOf" srcId="{3820E999-DF26-43BC-B592-156DB6E76389}" destId="{80919500-2F49-48AB-A2C4-B9D1E7FC2734}" srcOrd="1" destOrd="0" presId="urn:microsoft.com/office/officeart/2005/8/layout/hierarchy1"/>
    <dgm:cxn modelId="{DA36095E-8F28-4497-9EE3-D6546F4DA8E2}" type="presParOf" srcId="{B2B03C74-CE80-4F1B-93FC-19C119553926}" destId="{2B1A8C25-5964-48A9-8FD3-2C66B8648B18}" srcOrd="1" destOrd="0" presId="urn:microsoft.com/office/officeart/2005/8/layout/hierarchy1"/>
    <dgm:cxn modelId="{FEC8315C-5A03-4A8E-8678-09BE48C029A9}" type="presParOf" srcId="{0BFED946-888B-4DC2-A294-167862BD5549}" destId="{ED407D49-03C1-4F1F-A149-1917C2A6DD1E}" srcOrd="2" destOrd="0" presId="urn:microsoft.com/office/officeart/2005/8/layout/hierarchy1"/>
    <dgm:cxn modelId="{B9FD4C2F-6777-4ABA-96D2-F7760E549303}" type="presParOf" srcId="{0BFED946-888B-4DC2-A294-167862BD5549}" destId="{05E374A5-C70D-4A52-896C-EED245876DA2}" srcOrd="3" destOrd="0" presId="urn:microsoft.com/office/officeart/2005/8/layout/hierarchy1"/>
    <dgm:cxn modelId="{FCF16C92-EAD5-440C-883A-1652AE062685}" type="presParOf" srcId="{05E374A5-C70D-4A52-896C-EED245876DA2}" destId="{165D758E-5D33-4591-B1B1-0A06339B0B14}" srcOrd="0" destOrd="0" presId="urn:microsoft.com/office/officeart/2005/8/layout/hierarchy1"/>
    <dgm:cxn modelId="{DF367F33-3EFF-4B71-9DD9-2A87758FD110}" type="presParOf" srcId="{165D758E-5D33-4591-B1B1-0A06339B0B14}" destId="{F8438E5A-40AD-476D-9FB4-071483596570}" srcOrd="0" destOrd="0" presId="urn:microsoft.com/office/officeart/2005/8/layout/hierarchy1"/>
    <dgm:cxn modelId="{2627AE2E-C1D5-483B-A07A-A64DC6003324}" type="presParOf" srcId="{165D758E-5D33-4591-B1B1-0A06339B0B14}" destId="{E6E88EB6-66DC-4807-9FF8-75859360DA50}" srcOrd="1" destOrd="0" presId="urn:microsoft.com/office/officeart/2005/8/layout/hierarchy1"/>
    <dgm:cxn modelId="{99142AA5-7286-44B1-844F-9F386D60C3AB}" type="presParOf" srcId="{05E374A5-C70D-4A52-896C-EED245876DA2}" destId="{EBFDBD14-0160-4088-8D1D-A39E134CA5C7}" srcOrd="1" destOrd="0" presId="urn:microsoft.com/office/officeart/2005/8/layout/hierarchy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407D49-03C1-4F1F-A149-1917C2A6DD1E}">
      <dsp:nvSpPr>
        <dsp:cNvPr id="0" name=""/>
        <dsp:cNvSpPr/>
      </dsp:nvSpPr>
      <dsp:spPr>
        <a:xfrm>
          <a:off x="2298724" y="545322"/>
          <a:ext cx="1531312" cy="276726"/>
        </a:xfrm>
        <a:custGeom>
          <a:avLst/>
          <a:gdLst/>
          <a:ahLst/>
          <a:cxnLst/>
          <a:rect l="0" t="0" r="0" b="0"/>
          <a:pathLst>
            <a:path>
              <a:moveTo>
                <a:pt x="0" y="0"/>
              </a:moveTo>
              <a:lnTo>
                <a:pt x="0" y="197252"/>
              </a:lnTo>
              <a:lnTo>
                <a:pt x="1531312" y="197252"/>
              </a:lnTo>
              <a:lnTo>
                <a:pt x="1531312" y="276726"/>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1952680-86B8-47BD-99E1-BF6F296AF650}">
      <dsp:nvSpPr>
        <dsp:cNvPr id="0" name=""/>
        <dsp:cNvSpPr/>
      </dsp:nvSpPr>
      <dsp:spPr>
        <a:xfrm>
          <a:off x="1774789" y="2079423"/>
          <a:ext cx="1068950" cy="304501"/>
        </a:xfrm>
        <a:custGeom>
          <a:avLst/>
          <a:gdLst/>
          <a:ahLst/>
          <a:cxnLst/>
          <a:rect l="0" t="0" r="0" b="0"/>
          <a:pathLst>
            <a:path>
              <a:moveTo>
                <a:pt x="0" y="0"/>
              </a:moveTo>
              <a:lnTo>
                <a:pt x="0" y="225026"/>
              </a:lnTo>
              <a:lnTo>
                <a:pt x="1068950" y="225026"/>
              </a:lnTo>
              <a:lnTo>
                <a:pt x="1068950" y="304501"/>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39643A1E-4CDF-4CA1-B07E-C27875E78C58}">
      <dsp:nvSpPr>
        <dsp:cNvPr id="0" name=""/>
        <dsp:cNvSpPr/>
      </dsp:nvSpPr>
      <dsp:spPr>
        <a:xfrm>
          <a:off x="1729069" y="2079423"/>
          <a:ext cx="91440" cy="304501"/>
        </a:xfrm>
        <a:custGeom>
          <a:avLst/>
          <a:gdLst/>
          <a:ahLst/>
          <a:cxnLst/>
          <a:rect l="0" t="0" r="0" b="0"/>
          <a:pathLst>
            <a:path>
              <a:moveTo>
                <a:pt x="45720" y="0"/>
              </a:moveTo>
              <a:lnTo>
                <a:pt x="45720" y="225026"/>
              </a:lnTo>
              <a:lnTo>
                <a:pt x="106956" y="225026"/>
              </a:lnTo>
              <a:lnTo>
                <a:pt x="106956" y="304501"/>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856A6C13-8701-4A36-8A3B-E60DD55DC004}">
      <dsp:nvSpPr>
        <dsp:cNvPr id="0" name=""/>
        <dsp:cNvSpPr/>
      </dsp:nvSpPr>
      <dsp:spPr>
        <a:xfrm>
          <a:off x="760264" y="2079423"/>
          <a:ext cx="1014525" cy="304501"/>
        </a:xfrm>
        <a:custGeom>
          <a:avLst/>
          <a:gdLst/>
          <a:ahLst/>
          <a:cxnLst/>
          <a:rect l="0" t="0" r="0" b="0"/>
          <a:pathLst>
            <a:path>
              <a:moveTo>
                <a:pt x="1014525" y="0"/>
              </a:moveTo>
              <a:lnTo>
                <a:pt x="1014525" y="225026"/>
              </a:lnTo>
              <a:lnTo>
                <a:pt x="0" y="225026"/>
              </a:lnTo>
              <a:lnTo>
                <a:pt x="0" y="304501"/>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E6C97A7-1033-4EEC-B00E-50B6860A17C7}">
      <dsp:nvSpPr>
        <dsp:cNvPr id="0" name=""/>
        <dsp:cNvSpPr/>
      </dsp:nvSpPr>
      <dsp:spPr>
        <a:xfrm>
          <a:off x="1046382" y="1244329"/>
          <a:ext cx="728406" cy="290329"/>
        </a:xfrm>
        <a:custGeom>
          <a:avLst/>
          <a:gdLst/>
          <a:ahLst/>
          <a:cxnLst/>
          <a:rect l="0" t="0" r="0" b="0"/>
          <a:pathLst>
            <a:path>
              <a:moveTo>
                <a:pt x="0" y="0"/>
              </a:moveTo>
              <a:lnTo>
                <a:pt x="0" y="210855"/>
              </a:lnTo>
              <a:lnTo>
                <a:pt x="728406" y="210855"/>
              </a:lnTo>
              <a:lnTo>
                <a:pt x="728406" y="290329"/>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0909D5F-BD7C-46B3-BAAC-6923D57D0FB0}">
      <dsp:nvSpPr>
        <dsp:cNvPr id="0" name=""/>
        <dsp:cNvSpPr/>
      </dsp:nvSpPr>
      <dsp:spPr>
        <a:xfrm>
          <a:off x="488996" y="1244329"/>
          <a:ext cx="557385" cy="283531"/>
        </a:xfrm>
        <a:custGeom>
          <a:avLst/>
          <a:gdLst/>
          <a:ahLst/>
          <a:cxnLst/>
          <a:rect l="0" t="0" r="0" b="0"/>
          <a:pathLst>
            <a:path>
              <a:moveTo>
                <a:pt x="557385" y="0"/>
              </a:moveTo>
              <a:lnTo>
                <a:pt x="557385" y="204056"/>
              </a:lnTo>
              <a:lnTo>
                <a:pt x="0" y="204056"/>
              </a:lnTo>
              <a:lnTo>
                <a:pt x="0" y="283531"/>
              </a:lnTo>
            </a:path>
          </a:pathLst>
        </a:custGeom>
        <a:noFill/>
        <a:ln w="25400" cap="flat" cmpd="sng" algn="ctr">
          <a:solidFill>
            <a:schemeClr val="accent2">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350B2F1-781D-48AF-82D9-7BCBFFAEC556}">
      <dsp:nvSpPr>
        <dsp:cNvPr id="0" name=""/>
        <dsp:cNvSpPr/>
      </dsp:nvSpPr>
      <dsp:spPr>
        <a:xfrm>
          <a:off x="1046382" y="545322"/>
          <a:ext cx="1252341" cy="154242"/>
        </a:xfrm>
        <a:custGeom>
          <a:avLst/>
          <a:gdLst/>
          <a:ahLst/>
          <a:cxnLst/>
          <a:rect l="0" t="0" r="0" b="0"/>
          <a:pathLst>
            <a:path>
              <a:moveTo>
                <a:pt x="1252341" y="0"/>
              </a:moveTo>
              <a:lnTo>
                <a:pt x="1252341" y="74767"/>
              </a:lnTo>
              <a:lnTo>
                <a:pt x="0" y="74767"/>
              </a:lnTo>
              <a:lnTo>
                <a:pt x="0" y="154242"/>
              </a:lnTo>
            </a:path>
          </a:pathLst>
        </a:custGeom>
        <a:noFill/>
        <a:ln w="25400" cap="flat" cmpd="sng" algn="ctr">
          <a:solidFill>
            <a:schemeClr val="accent2">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5182715-5F21-4E9F-8967-661F3FAD01D1}">
      <dsp:nvSpPr>
        <dsp:cNvPr id="0" name=""/>
        <dsp:cNvSpPr/>
      </dsp:nvSpPr>
      <dsp:spPr>
        <a:xfrm>
          <a:off x="1869775" y="557"/>
          <a:ext cx="857897" cy="544764"/>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54BD8A0F-6D65-4FA9-9D12-CAA41A0AF0C5}">
      <dsp:nvSpPr>
        <dsp:cNvPr id="0" name=""/>
        <dsp:cNvSpPr/>
      </dsp:nvSpPr>
      <dsp:spPr>
        <a:xfrm>
          <a:off x="1965097" y="91113"/>
          <a:ext cx="857897" cy="544764"/>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Créer la monnaie scripturale</a:t>
          </a:r>
        </a:p>
      </dsp:txBody>
      <dsp:txXfrm>
        <a:off x="1981053" y="107069"/>
        <a:ext cx="825985" cy="512852"/>
      </dsp:txXfrm>
    </dsp:sp>
    <dsp:sp modelId="{18B44936-EC19-415E-8824-A8725E3F2115}">
      <dsp:nvSpPr>
        <dsp:cNvPr id="0" name=""/>
        <dsp:cNvSpPr/>
      </dsp:nvSpPr>
      <dsp:spPr>
        <a:xfrm>
          <a:off x="617433" y="699564"/>
          <a:ext cx="857897" cy="544764"/>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F7CA09E-7690-4E8F-A7C8-7CBF946F217D}">
      <dsp:nvSpPr>
        <dsp:cNvPr id="0" name=""/>
        <dsp:cNvSpPr/>
      </dsp:nvSpPr>
      <dsp:spPr>
        <a:xfrm>
          <a:off x="712755" y="790120"/>
          <a:ext cx="857897" cy="544764"/>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La dette</a:t>
          </a:r>
        </a:p>
      </dsp:txBody>
      <dsp:txXfrm>
        <a:off x="728711" y="806076"/>
        <a:ext cx="825985" cy="512852"/>
      </dsp:txXfrm>
    </dsp:sp>
    <dsp:sp modelId="{1B7B1019-4E88-443C-83D7-433C8609BFC0}">
      <dsp:nvSpPr>
        <dsp:cNvPr id="0" name=""/>
        <dsp:cNvSpPr/>
      </dsp:nvSpPr>
      <dsp:spPr>
        <a:xfrm>
          <a:off x="60048" y="1527860"/>
          <a:ext cx="857897" cy="544764"/>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26BC624B-8053-429D-BA5A-DF420565CD16}">
      <dsp:nvSpPr>
        <dsp:cNvPr id="0" name=""/>
        <dsp:cNvSpPr/>
      </dsp:nvSpPr>
      <dsp:spPr>
        <a:xfrm>
          <a:off x="155370" y="1618415"/>
          <a:ext cx="857897" cy="544764"/>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Les bons du Trésor</a:t>
          </a:r>
        </a:p>
      </dsp:txBody>
      <dsp:txXfrm>
        <a:off x="171326" y="1634371"/>
        <a:ext cx="825985" cy="512852"/>
      </dsp:txXfrm>
    </dsp:sp>
    <dsp:sp modelId="{DA91A20E-333A-4BD9-AF29-4D7BEBEF6D65}">
      <dsp:nvSpPr>
        <dsp:cNvPr id="0" name=""/>
        <dsp:cNvSpPr/>
      </dsp:nvSpPr>
      <dsp:spPr>
        <a:xfrm>
          <a:off x="1345840" y="1534658"/>
          <a:ext cx="857897" cy="544764"/>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354E5B4C-4042-4931-9721-8FA0B48F654A}">
      <dsp:nvSpPr>
        <dsp:cNvPr id="0" name=""/>
        <dsp:cNvSpPr/>
      </dsp:nvSpPr>
      <dsp:spPr>
        <a:xfrm>
          <a:off x="1441162" y="1625214"/>
          <a:ext cx="857897" cy="544764"/>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Le crédit (accordé aux ménages et aux enteprises)</a:t>
          </a:r>
        </a:p>
      </dsp:txBody>
      <dsp:txXfrm>
        <a:off x="1457118" y="1641170"/>
        <a:ext cx="825985" cy="512852"/>
      </dsp:txXfrm>
    </dsp:sp>
    <dsp:sp modelId="{5042A7B8-6883-4A9E-BF40-01BFC0D7A1BF}">
      <dsp:nvSpPr>
        <dsp:cNvPr id="0" name=""/>
        <dsp:cNvSpPr/>
      </dsp:nvSpPr>
      <dsp:spPr>
        <a:xfrm>
          <a:off x="331315" y="2383924"/>
          <a:ext cx="857897" cy="544764"/>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21D0E06A-EE91-4442-B47A-865D0E216C6E}">
      <dsp:nvSpPr>
        <dsp:cNvPr id="0" name=""/>
        <dsp:cNvSpPr/>
      </dsp:nvSpPr>
      <dsp:spPr>
        <a:xfrm>
          <a:off x="426637" y="2474480"/>
          <a:ext cx="857897" cy="544764"/>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Taux de refinancement</a:t>
          </a:r>
        </a:p>
      </dsp:txBody>
      <dsp:txXfrm>
        <a:off x="442593" y="2490436"/>
        <a:ext cx="825985" cy="512852"/>
      </dsp:txXfrm>
    </dsp:sp>
    <dsp:sp modelId="{D3CB3E17-8BAB-4C3A-82D9-0277ECE514F1}">
      <dsp:nvSpPr>
        <dsp:cNvPr id="0" name=""/>
        <dsp:cNvSpPr/>
      </dsp:nvSpPr>
      <dsp:spPr>
        <a:xfrm>
          <a:off x="1407077" y="2383924"/>
          <a:ext cx="857897" cy="544764"/>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3004687-86B9-4F0A-83E7-2B2349736188}">
      <dsp:nvSpPr>
        <dsp:cNvPr id="0" name=""/>
        <dsp:cNvSpPr/>
      </dsp:nvSpPr>
      <dsp:spPr>
        <a:xfrm>
          <a:off x="1502399" y="2474480"/>
          <a:ext cx="857897" cy="544764"/>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Fuites</a:t>
          </a:r>
        </a:p>
      </dsp:txBody>
      <dsp:txXfrm>
        <a:off x="1518355" y="2490436"/>
        <a:ext cx="825985" cy="512852"/>
      </dsp:txXfrm>
    </dsp:sp>
    <dsp:sp modelId="{C3A97702-7586-4469-97E0-B1DCC6392ADB}">
      <dsp:nvSpPr>
        <dsp:cNvPr id="0" name=""/>
        <dsp:cNvSpPr/>
      </dsp:nvSpPr>
      <dsp:spPr>
        <a:xfrm>
          <a:off x="2414790" y="2383924"/>
          <a:ext cx="857897" cy="544764"/>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80919500-2F49-48AB-A2C4-B9D1E7FC2734}">
      <dsp:nvSpPr>
        <dsp:cNvPr id="0" name=""/>
        <dsp:cNvSpPr/>
      </dsp:nvSpPr>
      <dsp:spPr>
        <a:xfrm>
          <a:off x="2510112" y="2474480"/>
          <a:ext cx="857897" cy="544764"/>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Réserve obligatoire</a:t>
          </a:r>
        </a:p>
      </dsp:txBody>
      <dsp:txXfrm>
        <a:off x="2526068" y="2490436"/>
        <a:ext cx="825985" cy="512852"/>
      </dsp:txXfrm>
    </dsp:sp>
    <dsp:sp modelId="{F8438E5A-40AD-476D-9FB4-071483596570}">
      <dsp:nvSpPr>
        <dsp:cNvPr id="0" name=""/>
        <dsp:cNvSpPr/>
      </dsp:nvSpPr>
      <dsp:spPr>
        <a:xfrm>
          <a:off x="3401088" y="822049"/>
          <a:ext cx="857897" cy="544764"/>
        </a:xfrm>
        <a:prstGeom prst="roundRect">
          <a:avLst>
            <a:gd name="adj" fmla="val 10000"/>
          </a:avLst>
        </a:prstGeom>
        <a:gradFill rotWithShape="0">
          <a:gsLst>
            <a:gs pos="0">
              <a:schemeClr val="accent2">
                <a:hueOff val="0"/>
                <a:satOff val="0"/>
                <a:lumOff val="0"/>
                <a:alphaOff val="0"/>
                <a:shade val="51000"/>
                <a:satMod val="130000"/>
              </a:schemeClr>
            </a:gs>
            <a:gs pos="80000">
              <a:schemeClr val="accent2">
                <a:hueOff val="0"/>
                <a:satOff val="0"/>
                <a:lumOff val="0"/>
                <a:alphaOff val="0"/>
                <a:shade val="93000"/>
                <a:satMod val="130000"/>
              </a:schemeClr>
            </a:gs>
            <a:gs pos="100000">
              <a:schemeClr val="accent2">
                <a:hueOff val="0"/>
                <a:satOff val="0"/>
                <a:lumOff val="0"/>
                <a:alphaOff val="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6E88EB6-66DC-4807-9FF8-75859360DA50}">
      <dsp:nvSpPr>
        <dsp:cNvPr id="0" name=""/>
        <dsp:cNvSpPr/>
      </dsp:nvSpPr>
      <dsp:spPr>
        <a:xfrm>
          <a:off x="3496410" y="912605"/>
          <a:ext cx="857897" cy="544764"/>
        </a:xfrm>
        <a:prstGeom prst="roundRect">
          <a:avLst>
            <a:gd name="adj" fmla="val 10000"/>
          </a:avLst>
        </a:prstGeom>
        <a:solidFill>
          <a:schemeClr val="lt1">
            <a:alpha val="90000"/>
            <a:hueOff val="0"/>
            <a:satOff val="0"/>
            <a:lumOff val="0"/>
            <a:alphaOff val="0"/>
          </a:schemeClr>
        </a:solidFill>
        <a:ln w="9525" cap="flat" cmpd="sng" algn="ctr">
          <a:solidFill>
            <a:schemeClr val="accent2">
              <a:hueOff val="0"/>
              <a:satOff val="0"/>
              <a:lumOff val="0"/>
              <a:alphaOff val="0"/>
            </a:schemeClr>
          </a:solidFill>
          <a:prstDash val="solid"/>
        </a:ln>
        <a:effectLst>
          <a:outerShdw blurRad="40000" dist="23000" dir="5400000" rotWithShape="0">
            <a:srgbClr val="000000">
              <a:alpha val="35000"/>
            </a:srgbClr>
          </a:outerShdw>
        </a:effectLst>
      </dsp:spPr>
      <dsp:style>
        <a:lnRef idx="1">
          <a:scrgbClr r="0" g="0" b="0"/>
        </a:lnRef>
        <a:fillRef idx="1">
          <a:scrgbClr r="0" g="0" b="0"/>
        </a:fillRef>
        <a:effectRef idx="2">
          <a:scrgbClr r="0" g="0" b="0"/>
        </a:effectRef>
        <a:fontRef idx="minor"/>
      </dsp:style>
      <dsp:txBody>
        <a:bodyPr spcFirstLastPara="0" vert="horz" wrap="square" lIns="30480" tIns="30480" rIns="30480" bIns="30480" numCol="1" spcCol="1270" anchor="ctr" anchorCtr="0">
          <a:noAutofit/>
        </a:bodyPr>
        <a:lstStyle/>
        <a:p>
          <a:pPr lvl="0" algn="ctr" defTabSz="355600">
            <a:lnSpc>
              <a:spcPct val="90000"/>
            </a:lnSpc>
            <a:spcBef>
              <a:spcPct val="0"/>
            </a:spcBef>
            <a:spcAft>
              <a:spcPct val="35000"/>
            </a:spcAft>
          </a:pPr>
          <a:r>
            <a:rPr lang="fr-FR" sz="800" kern="1200"/>
            <a:t>Les devises</a:t>
          </a:r>
        </a:p>
      </dsp:txBody>
      <dsp:txXfrm>
        <a:off x="3512366" y="928561"/>
        <a:ext cx="825985" cy="512852"/>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hème Office">
  <a:themeElements>
    <a:clrScheme name="Nuances de gris">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464</TotalTime>
  <Pages>1</Pages>
  <Words>11676</Words>
  <Characters>64224</Characters>
  <Application>Microsoft Office Word</Application>
  <DocSecurity>0</DocSecurity>
  <Lines>535</Lines>
  <Paragraphs>151</Paragraphs>
  <ScaleCrop>false</ScaleCrop>
  <HeadingPairs>
    <vt:vector size="2" baseType="variant">
      <vt:variant>
        <vt:lpstr>Titre</vt:lpstr>
      </vt:variant>
      <vt:variant>
        <vt:i4>1</vt:i4>
      </vt:variant>
    </vt:vector>
  </HeadingPairs>
  <TitlesOfParts>
    <vt:vector size="1" baseType="lpstr">
      <vt:lpstr/>
    </vt:vector>
  </TitlesOfParts>
  <Company>TOSHIBA</Company>
  <LinksUpToDate>false</LinksUpToDate>
  <CharactersWithSpaces>75749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Clairou</dc:creator>
  <cp:lastModifiedBy>tellitrack</cp:lastModifiedBy>
  <cp:revision>149</cp:revision>
  <cp:lastPrinted>2011-03-23T22:51:00Z</cp:lastPrinted>
  <dcterms:created xsi:type="dcterms:W3CDTF">2011-03-07T17:11:00Z</dcterms:created>
  <dcterms:modified xsi:type="dcterms:W3CDTF">2014-02-13T18:32:00Z</dcterms:modified>
</cp:coreProperties>
</file>