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Borders>
          <w:top w:val="single" w:sz="2" w:space="0" w:color="F3F0EC"/>
          <w:left w:val="single" w:sz="4" w:space="0" w:color="F3F0EC"/>
          <w:bottom w:val="single" w:sz="2" w:space="0" w:color="F3F0EC"/>
          <w:right w:val="single" w:sz="4" w:space="0" w:color="F3F0EC"/>
        </w:tblBorders>
        <w:shd w:val="clear" w:color="auto" w:fill="FFFFFF"/>
        <w:tblCellMar>
          <w:top w:w="75" w:type="dxa"/>
          <w:left w:w="75" w:type="dxa"/>
          <w:bottom w:w="75" w:type="dxa"/>
          <w:right w:w="75" w:type="dxa"/>
        </w:tblCellMar>
        <w:tblLook w:val="04A0"/>
      </w:tblPr>
      <w:tblGrid>
        <w:gridCol w:w="9242"/>
      </w:tblGrid>
      <w:tr w:rsidR="00E7467B" w:rsidRPr="00E7467B" w:rsidTr="00E7467B">
        <w:trPr>
          <w:tblCellSpacing w:w="0" w:type="dxa"/>
        </w:trPr>
        <w:tc>
          <w:tcPr>
            <w:tcW w:w="0" w:type="auto"/>
            <w:shd w:val="clear" w:color="auto" w:fill="FFFFFF"/>
            <w:vAlign w:val="center"/>
            <w:hideMark/>
          </w:tcPr>
          <w:p w:rsidR="00E7467B" w:rsidRPr="00E7467B" w:rsidRDefault="00E7467B" w:rsidP="00E7467B">
            <w:pPr>
              <w:spacing w:after="0" w:line="246" w:lineRule="atLeast"/>
              <w:outlineLvl w:val="0"/>
              <w:rPr>
                <w:rFonts w:ascii="Arial" w:eastAsia="Times New Roman" w:hAnsi="Arial" w:cs="Arial"/>
                <w:b/>
                <w:bCs/>
                <w:color w:val="000000"/>
                <w:kern w:val="36"/>
                <w:sz w:val="48"/>
                <w:szCs w:val="48"/>
                <w:lang w:eastAsia="fr-FR"/>
              </w:rPr>
            </w:pPr>
            <w:r w:rsidRPr="00E7467B">
              <w:rPr>
                <w:rFonts w:ascii="Lucida Sans Unicode" w:eastAsia="Times New Roman" w:hAnsi="Lucida Sans Unicode" w:cs="Lucida Sans Unicode"/>
                <w:b/>
                <w:bCs/>
                <w:color w:val="7E0846"/>
                <w:kern w:val="36"/>
                <w:sz w:val="36"/>
                <w:lang w:eastAsia="fr-FR"/>
              </w:rPr>
              <w:t>La concentration : les clés pour l'améliorer</w:t>
            </w:r>
          </w:p>
          <w:tbl>
            <w:tblPr>
              <w:tblW w:w="0" w:type="dxa"/>
              <w:tblCellSpacing w:w="0" w:type="dxa"/>
              <w:tblCellMar>
                <w:left w:w="0" w:type="dxa"/>
                <w:right w:w="0" w:type="dxa"/>
              </w:tblCellMar>
              <w:tblLook w:val="04A0"/>
            </w:tblPr>
            <w:tblGrid>
              <w:gridCol w:w="6"/>
              <w:gridCol w:w="6"/>
              <w:gridCol w:w="6"/>
              <w:gridCol w:w="1038"/>
            </w:tblGrid>
            <w:tr w:rsidR="00E7467B" w:rsidRPr="00E7467B" w:rsidTr="00E7467B">
              <w:trPr>
                <w:tblCellSpacing w:w="0" w:type="dxa"/>
              </w:trPr>
              <w:tc>
                <w:tcPr>
                  <w:tcW w:w="6" w:type="dxa"/>
                  <w:tcBorders>
                    <w:top w:val="nil"/>
                    <w:left w:val="nil"/>
                    <w:bottom w:val="nil"/>
                    <w:right w:val="nil"/>
                  </w:tcBorders>
                  <w:noWrap/>
                  <w:vAlign w:val="bottom"/>
                  <w:hideMark/>
                </w:tcPr>
                <w:p w:rsidR="00E7467B" w:rsidRPr="00E7467B" w:rsidRDefault="00E7467B" w:rsidP="00E7467B">
                  <w:pPr>
                    <w:spacing w:after="0" w:line="240" w:lineRule="auto"/>
                    <w:rPr>
                      <w:rFonts w:ascii="Arial" w:eastAsia="Times New Roman" w:hAnsi="Arial" w:cs="Arial"/>
                      <w:color w:val="4D4D4D"/>
                      <w:sz w:val="13"/>
                      <w:szCs w:val="13"/>
                      <w:lang w:eastAsia="fr-FR"/>
                    </w:rPr>
                  </w:pPr>
                </w:p>
              </w:tc>
              <w:tc>
                <w:tcPr>
                  <w:tcW w:w="6" w:type="dxa"/>
                  <w:tcBorders>
                    <w:top w:val="nil"/>
                    <w:left w:val="nil"/>
                    <w:bottom w:val="nil"/>
                    <w:right w:val="nil"/>
                  </w:tcBorders>
                  <w:noWrap/>
                  <w:vAlign w:val="bottom"/>
                  <w:hideMark/>
                </w:tcPr>
                <w:p w:rsidR="00E7467B" w:rsidRPr="00E7467B" w:rsidRDefault="00E7467B" w:rsidP="00E7467B">
                  <w:pPr>
                    <w:spacing w:after="0" w:line="240" w:lineRule="auto"/>
                    <w:rPr>
                      <w:rFonts w:ascii="Arial" w:eastAsia="Times New Roman" w:hAnsi="Arial" w:cs="Arial"/>
                      <w:color w:val="4D4D4D"/>
                      <w:sz w:val="13"/>
                      <w:szCs w:val="13"/>
                      <w:lang w:eastAsia="fr-FR"/>
                    </w:rPr>
                  </w:pPr>
                </w:p>
              </w:tc>
              <w:tc>
                <w:tcPr>
                  <w:tcW w:w="6" w:type="dxa"/>
                  <w:tcBorders>
                    <w:top w:val="nil"/>
                    <w:left w:val="nil"/>
                    <w:bottom w:val="nil"/>
                    <w:right w:val="nil"/>
                  </w:tcBorders>
                  <w:noWrap/>
                  <w:vAlign w:val="bottom"/>
                  <w:hideMark/>
                </w:tcPr>
                <w:p w:rsidR="00E7467B" w:rsidRPr="00E7467B" w:rsidRDefault="00E7467B" w:rsidP="00E7467B">
                  <w:pPr>
                    <w:spacing w:after="0" w:line="240" w:lineRule="auto"/>
                    <w:rPr>
                      <w:rFonts w:ascii="Arial" w:eastAsia="Times New Roman" w:hAnsi="Arial" w:cs="Arial"/>
                      <w:color w:val="4D4D4D"/>
                      <w:sz w:val="13"/>
                      <w:szCs w:val="13"/>
                      <w:lang w:eastAsia="fr-FR"/>
                    </w:rPr>
                  </w:pPr>
                </w:p>
              </w:tc>
              <w:tc>
                <w:tcPr>
                  <w:tcW w:w="1038" w:type="dxa"/>
                  <w:tcBorders>
                    <w:top w:val="nil"/>
                    <w:left w:val="nil"/>
                    <w:bottom w:val="nil"/>
                    <w:right w:val="nil"/>
                  </w:tcBorders>
                  <w:noWrap/>
                  <w:vAlign w:val="bottom"/>
                  <w:hideMark/>
                </w:tcPr>
                <w:p w:rsidR="00E7467B" w:rsidRPr="00E7467B" w:rsidRDefault="00E7467B" w:rsidP="00E7467B">
                  <w:pPr>
                    <w:spacing w:after="0" w:line="240" w:lineRule="auto"/>
                    <w:textAlignment w:val="top"/>
                    <w:rPr>
                      <w:rFonts w:ascii="Arial" w:eastAsia="Times New Roman" w:hAnsi="Arial" w:cs="Arial"/>
                      <w:color w:val="4D4D4D"/>
                      <w:sz w:val="13"/>
                      <w:szCs w:val="13"/>
                      <w:lang w:eastAsia="fr-FR"/>
                    </w:rPr>
                  </w:pPr>
                </w:p>
              </w:tc>
            </w:tr>
          </w:tbl>
          <w:p w:rsidR="00E7467B" w:rsidRPr="00E7467B" w:rsidRDefault="00E7467B" w:rsidP="00E7467B">
            <w:pPr>
              <w:shd w:val="clear" w:color="auto" w:fill="F6F6F6"/>
              <w:spacing w:after="0" w:line="246" w:lineRule="atLeast"/>
              <w:rPr>
                <w:rFonts w:ascii="Arial" w:eastAsia="Times New Roman" w:hAnsi="Arial" w:cs="Arial"/>
                <w:color w:val="000000"/>
                <w:sz w:val="14"/>
                <w:szCs w:val="14"/>
                <w:lang w:eastAsia="fr-FR"/>
              </w:rPr>
            </w:pPr>
          </w:p>
        </w:tc>
      </w:tr>
      <w:tr w:rsidR="00E7467B" w:rsidRPr="00E7467B" w:rsidTr="00E7467B">
        <w:trPr>
          <w:tblCellSpacing w:w="0" w:type="dxa"/>
        </w:trPr>
        <w:tc>
          <w:tcPr>
            <w:tcW w:w="0" w:type="auto"/>
            <w:shd w:val="clear" w:color="auto" w:fill="FFFFFF"/>
            <w:hideMark/>
          </w:tcPr>
          <w:tbl>
            <w:tblPr>
              <w:tblW w:w="3300" w:type="dxa"/>
              <w:tblCellSpacing w:w="0" w:type="dxa"/>
              <w:tblCellMar>
                <w:left w:w="0" w:type="dxa"/>
                <w:right w:w="0" w:type="dxa"/>
              </w:tblCellMar>
              <w:tblLook w:val="04A0"/>
            </w:tblPr>
            <w:tblGrid>
              <w:gridCol w:w="3300"/>
            </w:tblGrid>
            <w:tr w:rsidR="00E7467B" w:rsidRPr="00E7467B">
              <w:trPr>
                <w:tblCellSpacing w:w="0" w:type="dxa"/>
              </w:trPr>
              <w:tc>
                <w:tcPr>
                  <w:tcW w:w="0" w:type="auto"/>
                  <w:vAlign w:val="center"/>
                  <w:hideMark/>
                </w:tcPr>
                <w:p w:rsidR="00E7467B" w:rsidRPr="00E7467B" w:rsidRDefault="00E7467B" w:rsidP="00E7467B">
                  <w:pPr>
                    <w:spacing w:after="0" w:line="240" w:lineRule="auto"/>
                    <w:jc w:val="center"/>
                    <w:rPr>
                      <w:rFonts w:ascii="Arial" w:eastAsia="Times New Roman" w:hAnsi="Arial" w:cs="Arial"/>
                      <w:color w:val="000000"/>
                      <w:sz w:val="14"/>
                      <w:szCs w:val="14"/>
                      <w:lang w:eastAsia="fr-FR"/>
                    </w:rPr>
                  </w:pPr>
                  <w:r w:rsidRPr="00E7467B">
                    <w:rPr>
                      <w:rFonts w:ascii="Arial" w:eastAsia="Times New Roman" w:hAnsi="Arial" w:cs="Arial"/>
                      <w:i/>
                      <w:iCs/>
                      <w:color w:val="000000"/>
                      <w:sz w:val="14"/>
                      <w:szCs w:val="14"/>
                      <w:lang w:eastAsia="fr-FR"/>
                    </w:rPr>
                    <w:t>La concentration</w:t>
                  </w:r>
                </w:p>
              </w:tc>
            </w:tr>
          </w:tbl>
          <w:p w:rsidR="00E7467B" w:rsidRPr="00E7467B" w:rsidRDefault="00E7467B" w:rsidP="00E7467B">
            <w:pPr>
              <w:spacing w:after="240" w:line="246" w:lineRule="atLeast"/>
              <w:rPr>
                <w:rFonts w:ascii="Times New Roman" w:eastAsia="Times New Roman" w:hAnsi="Times New Roman" w:cs="Times New Roman"/>
                <w:b/>
                <w:bCs/>
                <w:sz w:val="24"/>
                <w:szCs w:val="24"/>
                <w:lang w:eastAsia="fr-FR"/>
              </w:rPr>
            </w:pPr>
            <w:r w:rsidRPr="00E7467B">
              <w:rPr>
                <w:rFonts w:ascii="Arial" w:eastAsia="Times New Roman" w:hAnsi="Arial" w:cs="Arial"/>
                <w:i/>
                <w:iCs/>
                <w:color w:val="000000"/>
                <w:sz w:val="17"/>
                <w:lang w:eastAsia="fr-FR"/>
              </w:rPr>
              <w:t>Premier objet de plaintes et d’inquiétudes des enseignants, des parents et des professionnels de la santé, le problème de</w:t>
            </w:r>
            <w:r>
              <w:rPr>
                <w:rFonts w:ascii="Arial" w:eastAsia="Times New Roman" w:hAnsi="Arial" w:cs="Arial"/>
                <w:i/>
                <w:iCs/>
                <w:color w:val="000000"/>
                <w:sz w:val="17"/>
                <w:lang w:eastAsia="fr-FR"/>
              </w:rPr>
              <w:t xml:space="preserve"> </w:t>
            </w:r>
            <w:r w:rsidRPr="00E7467B">
              <w:rPr>
                <w:rFonts w:ascii="Arial" w:eastAsia="Times New Roman" w:hAnsi="Arial" w:cs="Arial"/>
                <w:b/>
                <w:bCs/>
                <w:i/>
                <w:iCs/>
                <w:color w:val="000000"/>
                <w:sz w:val="17"/>
                <w:lang w:eastAsia="fr-FR"/>
              </w:rPr>
              <w:t>la concentration </w:t>
            </w:r>
            <w:r w:rsidRPr="00E7467B">
              <w:rPr>
                <w:rFonts w:ascii="Arial" w:eastAsia="Times New Roman" w:hAnsi="Arial" w:cs="Arial"/>
                <w:i/>
                <w:iCs/>
                <w:color w:val="009900"/>
                <w:sz w:val="17"/>
                <w:u w:val="single"/>
                <w:lang w:eastAsia="fr-FR"/>
              </w:rPr>
              <w:t>des enfants</w:t>
            </w:r>
            <w:r w:rsidRPr="00E7467B">
              <w:rPr>
                <w:rFonts w:ascii="Arial" w:eastAsia="Times New Roman" w:hAnsi="Arial" w:cs="Arial"/>
                <w:i/>
                <w:iCs/>
                <w:color w:val="000000"/>
                <w:sz w:val="17"/>
                <w:lang w:eastAsia="fr-FR"/>
              </w:rPr>
              <w:t> en activité scolaire mérite un consensus d’interprétations et de solutions. </w:t>
            </w:r>
            <w:r w:rsidRPr="00E7467B">
              <w:rPr>
                <w:rFonts w:ascii="Arial" w:eastAsia="Times New Roman" w:hAnsi="Arial" w:cs="Arial"/>
                <w:i/>
                <w:iCs/>
                <w:color w:val="000000"/>
                <w:sz w:val="17"/>
                <w:szCs w:val="17"/>
                <w:lang w:eastAsia="fr-FR"/>
              </w:rPr>
              <w:br/>
            </w:r>
            <w:r w:rsidRPr="00E7467B">
              <w:rPr>
                <w:rFonts w:ascii="Arial" w:eastAsia="Times New Roman" w:hAnsi="Arial" w:cs="Arial"/>
                <w:i/>
                <w:iCs/>
                <w:color w:val="000000"/>
                <w:sz w:val="17"/>
                <w:szCs w:val="17"/>
                <w:lang w:eastAsia="fr-FR"/>
              </w:rPr>
              <w:br/>
            </w:r>
            <w:r w:rsidRPr="00E7467B">
              <w:rPr>
                <w:rFonts w:ascii="Arial" w:eastAsia="Times New Roman" w:hAnsi="Arial" w:cs="Arial"/>
                <w:i/>
                <w:iCs/>
                <w:color w:val="000000"/>
                <w:sz w:val="17"/>
                <w:lang w:eastAsia="fr-FR"/>
              </w:rPr>
              <w:t>Mais l’écart est grand entre ceux qui ne font pas attention, lisent mal une consigne, font un faux-calcul, et travaillent avec l’idée d’en finir au plus vite, peu importe le résultat ; et ceux qui ont un comportement agité ou au contraire apathique, l’esprit ailleurs, en rupture avec l’extérieur, incapables de tenir dans la durée sur une tâche qui exige de la réflexion. De l’étourdi à l’enfant qui relève d’un trouble pathologique de la concentration, l’éventail est large, et les réponses doivent être spécifiques.</w:t>
            </w:r>
            <w:r w:rsidRPr="00E7467B">
              <w:rPr>
                <w:rFonts w:ascii="Arial" w:eastAsia="Times New Roman" w:hAnsi="Arial" w:cs="Arial"/>
                <w:color w:val="000000"/>
                <w:sz w:val="17"/>
                <w:szCs w:val="17"/>
                <w:lang w:eastAsia="fr-FR"/>
              </w:rPr>
              <w:br/>
            </w:r>
            <w:r w:rsidRPr="00E7467B">
              <w:rPr>
                <w:rFonts w:ascii="Arial" w:eastAsia="Times New Roman" w:hAnsi="Arial" w:cs="Arial"/>
                <w:b/>
                <w:bCs/>
                <w:color w:val="000000"/>
                <w:sz w:val="17"/>
                <w:lang w:eastAsia="fr-FR"/>
              </w:rPr>
              <w:t>Différencier l’attention et la concentration</w:t>
            </w:r>
            <w:r w:rsidRPr="00E7467B">
              <w:rPr>
                <w:rFonts w:ascii="Arial" w:eastAsia="Times New Roman" w:hAnsi="Arial" w:cs="Arial"/>
                <w:color w:val="000000"/>
                <w:sz w:val="17"/>
                <w:szCs w:val="17"/>
                <w:lang w:eastAsia="fr-FR"/>
              </w:rPr>
              <w:br/>
              <w:t>On emploie indistinctement</w:t>
            </w:r>
            <w:r w:rsidRPr="00E7467B">
              <w:rPr>
                <w:rFonts w:ascii="Arial" w:eastAsia="Times New Roman" w:hAnsi="Arial" w:cs="Arial"/>
                <w:color w:val="000000"/>
                <w:sz w:val="17"/>
                <w:lang w:eastAsia="fr-FR"/>
              </w:rPr>
              <w:t> </w:t>
            </w:r>
            <w:r w:rsidRPr="00E7467B">
              <w:rPr>
                <w:rFonts w:ascii="Arial" w:eastAsia="Times New Roman" w:hAnsi="Arial" w:cs="Arial"/>
                <w:color w:val="009900"/>
                <w:sz w:val="17"/>
                <w:u w:val="single"/>
                <w:lang w:eastAsia="fr-FR"/>
              </w:rPr>
              <w:t>les mots</w:t>
            </w:r>
            <w:r w:rsidRPr="00E7467B">
              <w:rPr>
                <w:rFonts w:ascii="Arial" w:eastAsia="Times New Roman" w:hAnsi="Arial" w:cs="Arial"/>
                <w:color w:val="000000"/>
                <w:sz w:val="17"/>
                <w:lang w:eastAsia="fr-FR"/>
              </w:rPr>
              <w:t> </w:t>
            </w:r>
            <w:r w:rsidRPr="00E7467B">
              <w:rPr>
                <w:rFonts w:ascii="Arial" w:eastAsia="Times New Roman" w:hAnsi="Arial" w:cs="Arial"/>
                <w:color w:val="000000"/>
                <w:sz w:val="17"/>
                <w:szCs w:val="17"/>
                <w:lang w:eastAsia="fr-FR"/>
              </w:rPr>
              <w:t xml:space="preserve">attention et concentration. Or, il est important de bien de les reconnaître dans leur spécificité : dans l’attention, acte par lequel l’esprit “tend vers“ un objet, il est ouvert aux signaux sensoriels, disponible pour être réceptif aux </w:t>
            </w:r>
            <w:proofErr w:type="spellStart"/>
            <w:r w:rsidRPr="00E7467B">
              <w:rPr>
                <w:rFonts w:ascii="Arial" w:eastAsia="Times New Roman" w:hAnsi="Arial" w:cs="Arial"/>
                <w:color w:val="000000"/>
                <w:sz w:val="17"/>
                <w:szCs w:val="17"/>
                <w:lang w:eastAsia="fr-FR"/>
              </w:rPr>
              <w:t>stimulis</w:t>
            </w:r>
            <w:proofErr w:type="spellEnd"/>
            <w:r w:rsidRPr="00E7467B">
              <w:rPr>
                <w:rFonts w:ascii="Arial" w:eastAsia="Times New Roman" w:hAnsi="Arial" w:cs="Arial"/>
                <w:color w:val="000000"/>
                <w:sz w:val="17"/>
                <w:szCs w:val="17"/>
                <w:lang w:eastAsia="fr-FR"/>
              </w:rPr>
              <w:t xml:space="preserve"> extérieurs. La concentration en revanche est un acte volontaire, non automatique ; elle est un effort. L’attention sur</w:t>
            </w:r>
            <w:r w:rsidRPr="00E7467B">
              <w:rPr>
                <w:rFonts w:ascii="Arial" w:eastAsia="Times New Roman" w:hAnsi="Arial" w:cs="Arial"/>
                <w:color w:val="000000"/>
                <w:sz w:val="17"/>
                <w:lang w:eastAsia="fr-FR"/>
              </w:rPr>
              <w:t> </w:t>
            </w:r>
            <w:r w:rsidRPr="00E7467B">
              <w:rPr>
                <w:rFonts w:ascii="Arial" w:eastAsia="Times New Roman" w:hAnsi="Arial" w:cs="Arial"/>
                <w:color w:val="009900"/>
                <w:sz w:val="17"/>
                <w:u w:val="single"/>
                <w:lang w:eastAsia="fr-FR"/>
              </w:rPr>
              <w:t>le monde extérieur</w:t>
            </w:r>
            <w:r w:rsidRPr="00E7467B">
              <w:rPr>
                <w:rFonts w:ascii="Arial" w:eastAsia="Times New Roman" w:hAnsi="Arial" w:cs="Arial"/>
                <w:color w:val="000000"/>
                <w:sz w:val="17"/>
                <w:lang w:eastAsia="fr-FR"/>
              </w:rPr>
              <w:t> </w:t>
            </w:r>
            <w:r w:rsidRPr="00E7467B">
              <w:rPr>
                <w:rFonts w:ascii="Arial" w:eastAsia="Times New Roman" w:hAnsi="Arial" w:cs="Arial"/>
                <w:color w:val="000000"/>
                <w:sz w:val="17"/>
                <w:szCs w:val="17"/>
                <w:lang w:eastAsia="fr-FR"/>
              </w:rPr>
              <w:t>diminue, notre conscience est fermée à ce qui la distrait de la tâche à accomplir. Elle est comme un isolant efficace, car nos ressources restent mobilisées sur l’activité mentale qui permet de la réussir, favorisant par là même la mémoire et la réflexion.</w:t>
            </w:r>
            <w:r w:rsidRPr="00E7467B">
              <w:rPr>
                <w:rFonts w:ascii="Arial" w:eastAsia="Times New Roman" w:hAnsi="Arial" w:cs="Arial"/>
                <w:color w:val="000000"/>
                <w:sz w:val="17"/>
                <w:lang w:eastAsia="fr-FR"/>
              </w:rPr>
              <w:t> </w:t>
            </w:r>
            <w:r w:rsidR="00874DD7">
              <w:rPr>
                <w:rFonts w:ascii="Arial" w:eastAsia="Times New Roman" w:hAnsi="Arial" w:cs="Arial"/>
                <w:color w:val="000000"/>
                <w:sz w:val="17"/>
                <w:szCs w:val="17"/>
                <w:lang w:eastAsia="fr-FR"/>
              </w:rPr>
              <w:br/>
              <w:t>Ça se voit !</w:t>
            </w:r>
            <w:r w:rsidRPr="00E7467B">
              <w:rPr>
                <w:rFonts w:ascii="Arial" w:eastAsia="Times New Roman" w:hAnsi="Arial" w:cs="Arial"/>
                <w:color w:val="000000"/>
                <w:sz w:val="17"/>
                <w:szCs w:val="17"/>
                <w:lang w:eastAsia="fr-FR"/>
              </w:rPr>
              <w:br/>
              <w:t>Ne vous souciez</w:t>
            </w:r>
            <w:r w:rsidRPr="00E7467B">
              <w:rPr>
                <w:rFonts w:ascii="Arial" w:eastAsia="Times New Roman" w:hAnsi="Arial" w:cs="Arial"/>
                <w:color w:val="000000"/>
                <w:sz w:val="17"/>
                <w:lang w:eastAsia="fr-FR"/>
              </w:rPr>
              <w:t> </w:t>
            </w:r>
            <w:r w:rsidRPr="00E7467B">
              <w:rPr>
                <w:rFonts w:ascii="Arial" w:eastAsia="Times New Roman" w:hAnsi="Arial" w:cs="Arial"/>
                <w:color w:val="009900"/>
                <w:sz w:val="17"/>
                <w:u w:val="single"/>
                <w:lang w:eastAsia="fr-FR"/>
              </w:rPr>
              <w:t>pas des</w:t>
            </w:r>
            <w:r w:rsidRPr="00E7467B">
              <w:rPr>
                <w:rFonts w:ascii="Arial" w:eastAsia="Times New Roman" w:hAnsi="Arial" w:cs="Arial"/>
                <w:color w:val="000000"/>
                <w:sz w:val="17"/>
                <w:lang w:eastAsia="fr-FR"/>
              </w:rPr>
              <w:t> </w:t>
            </w:r>
            <w:r w:rsidRPr="00E7467B">
              <w:rPr>
                <w:rFonts w:ascii="Arial" w:eastAsia="Times New Roman" w:hAnsi="Arial" w:cs="Arial"/>
                <w:color w:val="000000"/>
                <w:sz w:val="17"/>
                <w:szCs w:val="17"/>
                <w:lang w:eastAsia="fr-FR"/>
              </w:rPr>
              <w:t>symptômes : un</w:t>
            </w:r>
            <w:r w:rsidRPr="00E7467B">
              <w:rPr>
                <w:rFonts w:ascii="Arial" w:eastAsia="Times New Roman" w:hAnsi="Arial" w:cs="Arial"/>
                <w:color w:val="000000"/>
                <w:sz w:val="17"/>
                <w:lang w:eastAsia="fr-FR"/>
              </w:rPr>
              <w:t> </w:t>
            </w:r>
            <w:hyperlink r:id="rId4" w:history="1">
              <w:r w:rsidRPr="00E7467B">
                <w:rPr>
                  <w:rFonts w:ascii="Arial" w:eastAsia="Times New Roman" w:hAnsi="Arial" w:cs="Arial"/>
                  <w:color w:val="910033"/>
                  <w:sz w:val="17"/>
                  <w:lang w:eastAsia="fr-FR"/>
                </w:rPr>
                <w:t>enfant</w:t>
              </w:r>
            </w:hyperlink>
            <w:r w:rsidRPr="00E7467B">
              <w:rPr>
                <w:rFonts w:ascii="Arial" w:eastAsia="Times New Roman" w:hAnsi="Arial" w:cs="Arial"/>
                <w:color w:val="000000"/>
                <w:sz w:val="17"/>
                <w:szCs w:val="17"/>
                <w:lang w:eastAsia="fr-FR"/>
              </w:rPr>
              <w:t>, un</w:t>
            </w:r>
            <w:r w:rsidRPr="00E7467B">
              <w:rPr>
                <w:rFonts w:ascii="Arial" w:eastAsia="Times New Roman" w:hAnsi="Arial" w:cs="Arial"/>
                <w:color w:val="000000"/>
                <w:sz w:val="17"/>
                <w:lang w:eastAsia="fr-FR"/>
              </w:rPr>
              <w:t> </w:t>
            </w:r>
            <w:hyperlink r:id="rId5" w:tgtFrame="_blank" w:history="1">
              <w:r w:rsidRPr="00E7467B">
                <w:rPr>
                  <w:rFonts w:ascii="Arial" w:eastAsia="Times New Roman" w:hAnsi="Arial" w:cs="Arial"/>
                  <w:color w:val="910033"/>
                  <w:sz w:val="17"/>
                  <w:lang w:eastAsia="fr-FR"/>
                </w:rPr>
                <w:t>adolescent</w:t>
              </w:r>
            </w:hyperlink>
            <w:r w:rsidRPr="00E7467B">
              <w:rPr>
                <w:rFonts w:ascii="Arial" w:eastAsia="Times New Roman" w:hAnsi="Arial" w:cs="Arial"/>
                <w:color w:val="000000"/>
                <w:sz w:val="17"/>
                <w:lang w:eastAsia="fr-FR"/>
              </w:rPr>
              <w:t> </w:t>
            </w:r>
            <w:r w:rsidRPr="00E7467B">
              <w:rPr>
                <w:rFonts w:ascii="Arial" w:eastAsia="Times New Roman" w:hAnsi="Arial" w:cs="Arial"/>
                <w:color w:val="000000"/>
                <w:sz w:val="17"/>
                <w:szCs w:val="17"/>
                <w:lang w:eastAsia="fr-FR"/>
              </w:rPr>
              <w:t>non concentré manifestent des signes qui ne trompent pas. En voici quelques variations : regard vide, regard mobile, agitation ou affaissement du corps, silence, discours inapproprié, baisse de l’audition... Vous apprenez vite à repérer l’absence de concentration de votre enfant ! Attention cependant à l’apparence qu’il sait jouer ! L’enfant peut (sait) très bien faire semblant d’être concentré par une attitude volontaire : corps immobile et droit, regard rivé sur la page. Il n’empêche que mentalement, il peut être</w:t>
            </w:r>
            <w:r w:rsidRPr="00E7467B">
              <w:rPr>
                <w:rFonts w:ascii="Arial" w:eastAsia="Times New Roman" w:hAnsi="Arial" w:cs="Arial"/>
                <w:color w:val="000000"/>
                <w:sz w:val="17"/>
                <w:lang w:eastAsia="fr-FR"/>
              </w:rPr>
              <w:t> </w:t>
            </w:r>
            <w:r w:rsidRPr="00E7467B">
              <w:rPr>
                <w:rFonts w:ascii="Arial" w:eastAsia="Times New Roman" w:hAnsi="Arial" w:cs="Arial"/>
                <w:color w:val="009900"/>
                <w:sz w:val="17"/>
                <w:u w:val="single"/>
                <w:lang w:eastAsia="fr-FR"/>
              </w:rPr>
              <w:t>tout à fait</w:t>
            </w:r>
            <w:r w:rsidRPr="00E7467B">
              <w:rPr>
                <w:rFonts w:ascii="Arial" w:eastAsia="Times New Roman" w:hAnsi="Arial" w:cs="Arial"/>
                <w:color w:val="000000"/>
                <w:sz w:val="17"/>
                <w:lang w:eastAsia="fr-FR"/>
              </w:rPr>
              <w:t> </w:t>
            </w:r>
            <w:r w:rsidRPr="00E7467B">
              <w:rPr>
                <w:rFonts w:ascii="Arial" w:eastAsia="Times New Roman" w:hAnsi="Arial" w:cs="Arial"/>
                <w:color w:val="000000"/>
                <w:sz w:val="17"/>
                <w:szCs w:val="17"/>
                <w:lang w:eastAsia="fr-FR"/>
              </w:rPr>
              <w:t>“ailleurs“, ne pas vous entendre, ne pas réfléchir à sa tâche. A tester par une ou deux questions ciblées !</w:t>
            </w:r>
          </w:p>
          <w:tbl>
            <w:tblPr>
              <w:tblW w:w="3300" w:type="dxa"/>
              <w:tblCellSpacing w:w="0" w:type="dxa"/>
              <w:tblCellMar>
                <w:left w:w="0" w:type="dxa"/>
                <w:right w:w="0" w:type="dxa"/>
              </w:tblCellMar>
              <w:tblLook w:val="04A0"/>
            </w:tblPr>
            <w:tblGrid>
              <w:gridCol w:w="3300"/>
            </w:tblGrid>
            <w:tr w:rsidR="00E7467B" w:rsidRPr="00E7467B">
              <w:trPr>
                <w:tblCellSpacing w:w="0" w:type="dxa"/>
              </w:trPr>
              <w:tc>
                <w:tcPr>
                  <w:tcW w:w="0" w:type="auto"/>
                  <w:vAlign w:val="center"/>
                  <w:hideMark/>
                </w:tcPr>
                <w:p w:rsidR="00E7467B" w:rsidRPr="00E7467B" w:rsidRDefault="00E7467B" w:rsidP="00874DD7">
                  <w:pPr>
                    <w:spacing w:after="0" w:line="240" w:lineRule="auto"/>
                    <w:rPr>
                      <w:rFonts w:ascii="Arial" w:eastAsia="Times New Roman" w:hAnsi="Arial" w:cs="Arial"/>
                      <w:color w:val="000000"/>
                      <w:sz w:val="14"/>
                      <w:szCs w:val="14"/>
                      <w:lang w:eastAsia="fr-FR"/>
                    </w:rPr>
                  </w:pPr>
                  <w:r w:rsidRPr="00E7467B">
                    <w:rPr>
                      <w:rFonts w:ascii="Arial" w:eastAsia="Times New Roman" w:hAnsi="Arial" w:cs="Arial"/>
                      <w:i/>
                      <w:iCs/>
                      <w:color w:val="000000"/>
                      <w:sz w:val="14"/>
                      <w:szCs w:val="14"/>
                      <w:lang w:eastAsia="fr-FR"/>
                    </w:rPr>
                    <w:t>La concentration</w:t>
                  </w:r>
                </w:p>
              </w:tc>
            </w:tr>
          </w:tbl>
          <w:p w:rsidR="00E7467B" w:rsidRPr="00E7467B" w:rsidRDefault="00E7467B" w:rsidP="00E7467B">
            <w:pPr>
              <w:spacing w:after="0" w:line="246" w:lineRule="atLeast"/>
              <w:rPr>
                <w:rFonts w:ascii="Times New Roman" w:eastAsia="Times New Roman" w:hAnsi="Times New Roman" w:cs="Times New Roman"/>
                <w:sz w:val="24"/>
                <w:szCs w:val="24"/>
                <w:lang w:eastAsia="fr-FR"/>
              </w:rPr>
            </w:pPr>
            <w:r w:rsidRPr="00E7467B">
              <w:rPr>
                <w:rFonts w:ascii="Arial" w:eastAsia="Times New Roman" w:hAnsi="Arial" w:cs="Arial"/>
                <w:b/>
                <w:bCs/>
                <w:color w:val="000000"/>
                <w:sz w:val="17"/>
                <w:lang w:eastAsia="fr-FR"/>
              </w:rPr>
              <w:t>Le malheur d’être déconcentré</w:t>
            </w:r>
            <w:r w:rsidRPr="00E7467B">
              <w:rPr>
                <w:rFonts w:ascii="Arial" w:eastAsia="Times New Roman" w:hAnsi="Arial" w:cs="Arial"/>
                <w:color w:val="000000"/>
                <w:sz w:val="17"/>
                <w:szCs w:val="17"/>
                <w:lang w:eastAsia="fr-FR"/>
              </w:rPr>
              <w:br/>
              <w:t>L’enfant, l’adolescent aussi malgré son déni, souffrent de se sentir incapables de concentration. Il ne sait pas comment « tenir son cerveau » pour réfléchir, ne pas passer des heures sur son travail. Mis en confiance, ils disent souvent à leur interlocuteur : « ma tête a un problème » et parlent avec</w:t>
            </w:r>
            <w:r w:rsidRPr="00E7467B">
              <w:rPr>
                <w:rFonts w:ascii="Arial" w:eastAsia="Times New Roman" w:hAnsi="Arial" w:cs="Arial"/>
                <w:color w:val="000000"/>
                <w:sz w:val="17"/>
                <w:lang w:eastAsia="fr-FR"/>
              </w:rPr>
              <w:t> </w:t>
            </w:r>
            <w:hyperlink r:id="rId6" w:history="1">
              <w:r w:rsidRPr="00E7467B">
                <w:rPr>
                  <w:rFonts w:ascii="Arial" w:eastAsia="Times New Roman" w:hAnsi="Arial" w:cs="Arial"/>
                  <w:color w:val="910033"/>
                  <w:sz w:val="17"/>
                  <w:lang w:eastAsia="fr-FR"/>
                </w:rPr>
                <w:t>angoisse</w:t>
              </w:r>
            </w:hyperlink>
            <w:r w:rsidRPr="00E7467B">
              <w:rPr>
                <w:rFonts w:ascii="Arial" w:eastAsia="Times New Roman" w:hAnsi="Arial" w:cs="Arial"/>
                <w:color w:val="000000"/>
                <w:sz w:val="17"/>
                <w:lang w:eastAsia="fr-FR"/>
              </w:rPr>
              <w:t> </w:t>
            </w:r>
            <w:r w:rsidRPr="00E7467B">
              <w:rPr>
                <w:rFonts w:ascii="Arial" w:eastAsia="Times New Roman" w:hAnsi="Arial" w:cs="Arial"/>
                <w:color w:val="000000"/>
                <w:sz w:val="17"/>
                <w:szCs w:val="17"/>
                <w:lang w:eastAsia="fr-FR"/>
              </w:rPr>
              <w:t>de « folie », de l’assaut d’</w:t>
            </w:r>
            <w:r w:rsidRPr="00E7467B">
              <w:rPr>
                <w:rFonts w:ascii="Arial" w:eastAsia="Times New Roman" w:hAnsi="Arial" w:cs="Arial"/>
                <w:color w:val="009900"/>
                <w:sz w:val="17"/>
                <w:u w:val="single"/>
                <w:lang w:eastAsia="fr-FR"/>
              </w:rPr>
              <w:t>images parasites</w:t>
            </w:r>
            <w:r w:rsidRPr="00E7467B">
              <w:rPr>
                <w:rFonts w:ascii="Arial" w:eastAsia="Times New Roman" w:hAnsi="Arial" w:cs="Arial"/>
                <w:color w:val="000000"/>
                <w:sz w:val="17"/>
                <w:lang w:eastAsia="fr-FR"/>
              </w:rPr>
              <w:t> </w:t>
            </w:r>
            <w:r w:rsidRPr="00E7467B">
              <w:rPr>
                <w:rFonts w:ascii="Arial" w:eastAsia="Times New Roman" w:hAnsi="Arial" w:cs="Arial"/>
                <w:color w:val="000000"/>
                <w:sz w:val="17"/>
                <w:szCs w:val="17"/>
                <w:lang w:eastAsia="fr-FR"/>
              </w:rPr>
              <w:t>qu’ils n’arrivent pas à chasser. Moins gravement, ils évoquent leur ennui, leur vide intérieur... Or, plus le trouble est redouté, comme cause d’échecs, plus ils le recréent. Jusqu’à, bien souvent, le rendre automatique.</w:t>
            </w:r>
          </w:p>
          <w:p w:rsidR="00E7467B" w:rsidRPr="00E7467B" w:rsidRDefault="00E7467B" w:rsidP="00E7467B">
            <w:pPr>
              <w:spacing w:before="100" w:beforeAutospacing="1" w:after="100" w:afterAutospacing="1" w:line="246" w:lineRule="atLeast"/>
              <w:rPr>
                <w:rFonts w:ascii="Arial" w:eastAsia="Times New Roman" w:hAnsi="Arial" w:cs="Arial"/>
                <w:color w:val="000000"/>
                <w:sz w:val="17"/>
                <w:szCs w:val="17"/>
                <w:lang w:eastAsia="fr-FR"/>
              </w:rPr>
            </w:pPr>
            <w:r w:rsidRPr="00E7467B">
              <w:rPr>
                <w:rFonts w:ascii="Arial" w:eastAsia="Times New Roman" w:hAnsi="Arial" w:cs="Arial"/>
                <w:b/>
                <w:bCs/>
                <w:color w:val="000000"/>
                <w:sz w:val="17"/>
                <w:lang w:eastAsia="fr-FR"/>
              </w:rPr>
              <w:t>Des décisions incontournables</w:t>
            </w:r>
          </w:p>
          <w:p w:rsidR="00E7467B" w:rsidRPr="00E7467B" w:rsidRDefault="00874DD7" w:rsidP="00E7467B">
            <w:pPr>
              <w:spacing w:before="100" w:beforeAutospacing="1" w:after="100" w:afterAutospacing="1" w:line="246" w:lineRule="atLeast"/>
              <w:rPr>
                <w:rFonts w:ascii="Arial" w:eastAsia="Times New Roman" w:hAnsi="Arial" w:cs="Arial"/>
                <w:color w:val="000000"/>
                <w:sz w:val="17"/>
                <w:szCs w:val="17"/>
                <w:lang w:eastAsia="fr-FR"/>
              </w:rPr>
            </w:pPr>
            <w:r>
              <w:rPr>
                <w:rFonts w:ascii="Arial" w:eastAsia="Times New Roman" w:hAnsi="Arial" w:cs="Arial"/>
                <w:color w:val="000000"/>
                <w:sz w:val="17"/>
                <w:szCs w:val="17"/>
                <w:lang w:eastAsia="fr-FR"/>
              </w:rPr>
              <w:t>Imposez des règles :</w:t>
            </w:r>
            <w:r w:rsidR="00E7467B" w:rsidRPr="00E7467B">
              <w:rPr>
                <w:rFonts w:ascii="Arial" w:eastAsia="Times New Roman" w:hAnsi="Arial" w:cs="Arial"/>
                <w:color w:val="000000"/>
                <w:sz w:val="17"/>
                <w:szCs w:val="17"/>
                <w:lang w:eastAsia="fr-FR"/>
              </w:rPr>
              <w:br/>
              <w:t>- temps de sommeil correspondant à son âge</w:t>
            </w:r>
            <w:r w:rsidR="00E7467B" w:rsidRPr="00E7467B">
              <w:rPr>
                <w:rFonts w:ascii="Arial" w:eastAsia="Times New Roman" w:hAnsi="Arial" w:cs="Arial"/>
                <w:color w:val="000000"/>
                <w:sz w:val="17"/>
                <w:szCs w:val="17"/>
                <w:lang w:eastAsia="fr-FR"/>
              </w:rPr>
              <w:br/>
              <w:t>- pauses réparatrices (calme, exercices respiratoires, musique douce...). Intéressant : certains</w:t>
            </w:r>
            <w:r w:rsidR="00E7467B" w:rsidRPr="00E7467B">
              <w:rPr>
                <w:rFonts w:ascii="Arial" w:eastAsia="Times New Roman" w:hAnsi="Arial" w:cs="Arial"/>
                <w:color w:val="000000"/>
                <w:sz w:val="17"/>
                <w:lang w:eastAsia="fr-FR"/>
              </w:rPr>
              <w:t> </w:t>
            </w:r>
            <w:hyperlink r:id="rId7" w:history="1">
              <w:r w:rsidR="00E7467B" w:rsidRPr="00E7467B">
                <w:rPr>
                  <w:rFonts w:ascii="Arial" w:eastAsia="Times New Roman" w:hAnsi="Arial" w:cs="Arial"/>
                  <w:color w:val="910033"/>
                  <w:sz w:val="17"/>
                  <w:lang w:eastAsia="fr-FR"/>
                </w:rPr>
                <w:t>enfants</w:t>
              </w:r>
            </w:hyperlink>
            <w:r w:rsidR="00E7467B" w:rsidRPr="00E7467B">
              <w:rPr>
                <w:rFonts w:ascii="Arial" w:eastAsia="Times New Roman" w:hAnsi="Arial" w:cs="Arial"/>
                <w:color w:val="000000"/>
                <w:sz w:val="17"/>
                <w:lang w:eastAsia="fr-FR"/>
              </w:rPr>
              <w:t> </w:t>
            </w:r>
            <w:r w:rsidR="00E7467B" w:rsidRPr="00E7467B">
              <w:rPr>
                <w:rFonts w:ascii="Arial" w:eastAsia="Times New Roman" w:hAnsi="Arial" w:cs="Arial"/>
                <w:color w:val="000000"/>
                <w:sz w:val="17"/>
                <w:szCs w:val="17"/>
                <w:lang w:eastAsia="fr-FR"/>
              </w:rPr>
              <w:t>disent se concentrer mieux avec de la musique (douce !)... Acceptez d’en faire le test !</w:t>
            </w:r>
            <w:r w:rsidR="00E7467B" w:rsidRPr="00E7467B">
              <w:rPr>
                <w:rFonts w:ascii="Arial" w:eastAsia="Times New Roman" w:hAnsi="Arial" w:cs="Arial"/>
                <w:color w:val="000000"/>
                <w:sz w:val="17"/>
                <w:szCs w:val="17"/>
                <w:lang w:eastAsia="fr-FR"/>
              </w:rPr>
              <w:br/>
              <w:t>-</w:t>
            </w:r>
            <w:r w:rsidR="00E7467B" w:rsidRPr="00E7467B">
              <w:rPr>
                <w:rFonts w:ascii="Arial" w:eastAsia="Times New Roman" w:hAnsi="Arial" w:cs="Arial"/>
                <w:color w:val="000000"/>
                <w:sz w:val="17"/>
                <w:lang w:eastAsia="fr-FR"/>
              </w:rPr>
              <w:t> </w:t>
            </w:r>
            <w:hyperlink r:id="rId8" w:history="1">
              <w:r w:rsidR="00E7467B" w:rsidRPr="00E7467B">
                <w:rPr>
                  <w:rFonts w:ascii="Arial" w:eastAsia="Times New Roman" w:hAnsi="Arial" w:cs="Arial"/>
                  <w:color w:val="910033"/>
                  <w:sz w:val="17"/>
                  <w:lang w:eastAsia="fr-FR"/>
                </w:rPr>
                <w:t>rupture</w:t>
              </w:r>
            </w:hyperlink>
            <w:r w:rsidR="00E7467B" w:rsidRPr="00E7467B">
              <w:rPr>
                <w:rFonts w:ascii="Arial" w:eastAsia="Times New Roman" w:hAnsi="Arial" w:cs="Arial"/>
                <w:color w:val="000000"/>
                <w:sz w:val="17"/>
                <w:lang w:eastAsia="fr-FR"/>
              </w:rPr>
              <w:t> </w:t>
            </w:r>
            <w:r w:rsidR="00E7467B" w:rsidRPr="00E7467B">
              <w:rPr>
                <w:rFonts w:ascii="Arial" w:eastAsia="Times New Roman" w:hAnsi="Arial" w:cs="Arial"/>
                <w:color w:val="000000"/>
                <w:sz w:val="17"/>
                <w:szCs w:val="17"/>
                <w:lang w:eastAsia="fr-FR"/>
              </w:rPr>
              <w:t>avec les écrans : vous n’échapperez pas à cette bataille! Mais pour vous encourager, sachez bien que la sur-stimulation par des images rapides et le bruit agressif qui les accompagne crée des troubles de la concentration. Vous voyez votre enfant très concentré, performant, pendant des heures sur l’écran et vous rêvez qu’il mette cette belle capacité au service de l’apprentissage scolaire ? Mais attention : c’est la concentration dont il a besoin qui se trouve menacée ! Il est plus facile d’avoir l’attention captée par des images mobiles que d’être dans l’effort de concentration sur du texte, un discours monotone, de la réflexion. C’est comme pour la nourriture : des habitudes d’aliments épicés rendent tout autre bien fade.</w:t>
            </w:r>
            <w:r w:rsidR="00E7467B" w:rsidRPr="00E7467B">
              <w:rPr>
                <w:rFonts w:ascii="Arial" w:eastAsia="Times New Roman" w:hAnsi="Arial" w:cs="Arial"/>
                <w:color w:val="000000"/>
                <w:sz w:val="17"/>
                <w:lang w:eastAsia="fr-FR"/>
              </w:rPr>
              <w:t> </w:t>
            </w:r>
            <w:r w:rsidR="00E7467B" w:rsidRPr="00E7467B">
              <w:rPr>
                <w:rFonts w:ascii="Arial" w:eastAsia="Times New Roman" w:hAnsi="Arial" w:cs="Arial"/>
                <w:color w:val="000000"/>
                <w:sz w:val="17"/>
                <w:szCs w:val="17"/>
                <w:lang w:eastAsia="fr-FR"/>
              </w:rPr>
              <w:br/>
              <w:t>- surveillance des sources de stress (difficultés familiales, perception de vos propres inquiétudes...)</w:t>
            </w:r>
            <w:r w:rsidR="00E7467B" w:rsidRPr="00E7467B">
              <w:rPr>
                <w:rFonts w:ascii="Arial" w:eastAsia="Times New Roman" w:hAnsi="Arial" w:cs="Arial"/>
                <w:color w:val="000000"/>
                <w:sz w:val="17"/>
                <w:szCs w:val="17"/>
                <w:lang w:eastAsia="fr-FR"/>
              </w:rPr>
              <w:br/>
              <w:t>- haute surveillance de consommation de haschich, inhibiteur de la volonté, et donc de l’acte volontaire de la concentration</w:t>
            </w:r>
          </w:p>
          <w:tbl>
            <w:tblPr>
              <w:tblW w:w="3300" w:type="dxa"/>
              <w:tblCellSpacing w:w="0" w:type="dxa"/>
              <w:tblCellMar>
                <w:left w:w="0" w:type="dxa"/>
                <w:right w:w="0" w:type="dxa"/>
              </w:tblCellMar>
              <w:tblLook w:val="04A0"/>
            </w:tblPr>
            <w:tblGrid>
              <w:gridCol w:w="3300"/>
            </w:tblGrid>
            <w:tr w:rsidR="00E7467B" w:rsidRPr="00E7467B">
              <w:trPr>
                <w:tblCellSpacing w:w="0" w:type="dxa"/>
              </w:trPr>
              <w:tc>
                <w:tcPr>
                  <w:tcW w:w="0" w:type="auto"/>
                  <w:vAlign w:val="center"/>
                  <w:hideMark/>
                </w:tcPr>
                <w:p w:rsidR="00E7467B" w:rsidRPr="00E7467B" w:rsidRDefault="00E7467B" w:rsidP="00874DD7">
                  <w:pPr>
                    <w:spacing w:after="0" w:line="240" w:lineRule="auto"/>
                    <w:rPr>
                      <w:rFonts w:ascii="Arial" w:eastAsia="Times New Roman" w:hAnsi="Arial" w:cs="Arial"/>
                      <w:color w:val="000000"/>
                      <w:sz w:val="14"/>
                      <w:szCs w:val="14"/>
                      <w:lang w:eastAsia="fr-FR"/>
                    </w:rPr>
                  </w:pPr>
                  <w:r w:rsidRPr="00E7467B">
                    <w:rPr>
                      <w:rFonts w:ascii="Arial" w:eastAsia="Times New Roman" w:hAnsi="Arial" w:cs="Arial"/>
                      <w:i/>
                      <w:iCs/>
                      <w:color w:val="000000"/>
                      <w:sz w:val="14"/>
                      <w:szCs w:val="14"/>
                      <w:lang w:eastAsia="fr-FR"/>
                    </w:rPr>
                    <w:t>Se concentrer</w:t>
                  </w:r>
                </w:p>
              </w:tc>
            </w:tr>
          </w:tbl>
          <w:p w:rsidR="00E7467B" w:rsidRPr="00E7467B" w:rsidRDefault="00E7467B" w:rsidP="00E7467B">
            <w:pPr>
              <w:spacing w:after="0" w:line="246" w:lineRule="atLeast"/>
              <w:rPr>
                <w:rFonts w:ascii="Arial" w:eastAsia="Times New Roman" w:hAnsi="Arial" w:cs="Arial"/>
                <w:color w:val="000000"/>
                <w:sz w:val="17"/>
                <w:szCs w:val="17"/>
                <w:lang w:eastAsia="fr-FR"/>
              </w:rPr>
            </w:pPr>
            <w:r w:rsidRPr="00E7467B">
              <w:rPr>
                <w:rFonts w:ascii="Arial" w:eastAsia="Times New Roman" w:hAnsi="Arial" w:cs="Arial"/>
                <w:b/>
                <w:bCs/>
                <w:color w:val="000000"/>
                <w:sz w:val="17"/>
                <w:lang w:eastAsia="fr-FR"/>
              </w:rPr>
              <w:t>Vous pouvez l’aider</w:t>
            </w:r>
          </w:p>
          <w:p w:rsidR="00E7467B" w:rsidRPr="00E7467B" w:rsidRDefault="00E7467B" w:rsidP="00E7467B">
            <w:pPr>
              <w:spacing w:before="100" w:beforeAutospacing="1" w:after="100" w:afterAutospacing="1" w:line="246" w:lineRule="atLeast"/>
              <w:rPr>
                <w:rFonts w:ascii="Arial" w:eastAsia="Times New Roman" w:hAnsi="Arial" w:cs="Arial"/>
                <w:color w:val="000000"/>
                <w:sz w:val="17"/>
                <w:szCs w:val="17"/>
                <w:lang w:eastAsia="fr-FR"/>
              </w:rPr>
            </w:pPr>
            <w:r w:rsidRPr="00E7467B">
              <w:rPr>
                <w:rFonts w:ascii="Arial" w:eastAsia="Times New Roman" w:hAnsi="Arial" w:cs="Arial"/>
                <w:color w:val="000000"/>
                <w:sz w:val="17"/>
                <w:szCs w:val="17"/>
                <w:lang w:eastAsia="fr-FR"/>
              </w:rPr>
              <w:t xml:space="preserve">La concentration s’éduque. Dites-lui qu’il peut sans crainte vous parler des difficultés qui le troublent. Vous le </w:t>
            </w:r>
            <w:r w:rsidRPr="00E7467B">
              <w:rPr>
                <w:rFonts w:ascii="Arial" w:eastAsia="Times New Roman" w:hAnsi="Arial" w:cs="Arial"/>
                <w:color w:val="000000"/>
                <w:sz w:val="17"/>
                <w:szCs w:val="17"/>
                <w:lang w:eastAsia="fr-FR"/>
              </w:rPr>
              <w:lastRenderedPageBreak/>
              <w:t>comprendrez pour mieux l’aider. Proposez-lui alors de :</w:t>
            </w:r>
            <w:r w:rsidRPr="00E7467B">
              <w:rPr>
                <w:rFonts w:ascii="Arial" w:eastAsia="Times New Roman" w:hAnsi="Arial" w:cs="Arial"/>
                <w:color w:val="000000"/>
                <w:sz w:val="17"/>
                <w:szCs w:val="17"/>
                <w:lang w:eastAsia="fr-FR"/>
              </w:rPr>
              <w:br/>
              <w:t>- discuter sur les moments de la soirée ou journée où il se sent le plus disponible</w:t>
            </w:r>
            <w:r w:rsidRPr="00E7467B">
              <w:rPr>
                <w:rFonts w:ascii="Arial" w:eastAsia="Times New Roman" w:hAnsi="Arial" w:cs="Arial"/>
                <w:color w:val="000000"/>
                <w:sz w:val="17"/>
                <w:szCs w:val="17"/>
                <w:lang w:eastAsia="fr-FR"/>
              </w:rPr>
              <w:br/>
              <w:t>- se fixer des tâches courtes, avec des objectifs très précis et concrets</w:t>
            </w:r>
            <w:r w:rsidRPr="00E7467B">
              <w:rPr>
                <w:rFonts w:ascii="Arial" w:eastAsia="Times New Roman" w:hAnsi="Arial" w:cs="Arial"/>
                <w:color w:val="000000"/>
                <w:sz w:val="17"/>
                <w:szCs w:val="17"/>
                <w:lang w:eastAsia="fr-FR"/>
              </w:rPr>
              <w:br/>
              <w:t>- de prendre conscience de ce qu’il est en train de faire en se voyant le faire : à voix haute ou intérieure, il doit se dire : « je fais ceci... cela... »</w:t>
            </w:r>
            <w:r w:rsidRPr="00E7467B">
              <w:rPr>
                <w:rFonts w:ascii="Arial" w:eastAsia="Times New Roman" w:hAnsi="Arial" w:cs="Arial"/>
                <w:color w:val="000000"/>
                <w:sz w:val="17"/>
                <w:szCs w:val="17"/>
                <w:lang w:eastAsia="fr-FR"/>
              </w:rPr>
              <w:br/>
              <w:t>- se réjouir de tout ce qu’il réussit, aussi minime soit la tâche réussie</w:t>
            </w:r>
            <w:r w:rsidRPr="00E7467B">
              <w:rPr>
                <w:rFonts w:ascii="Arial" w:eastAsia="Times New Roman" w:hAnsi="Arial" w:cs="Arial"/>
                <w:color w:val="000000"/>
                <w:sz w:val="17"/>
                <w:szCs w:val="17"/>
                <w:lang w:eastAsia="fr-FR"/>
              </w:rPr>
              <w:br/>
              <w:t>- se projeter mentalement sur la tâche faite et bien faite. Tout projet mental mobilise l’activité qui produit la concentration. Elle en est le résultat. Elle ne peut être un préalable, née de rien.</w:t>
            </w:r>
          </w:p>
          <w:p w:rsidR="00E7467B" w:rsidRPr="00E7467B" w:rsidRDefault="00E7467B" w:rsidP="00E7467B">
            <w:pPr>
              <w:spacing w:before="100" w:beforeAutospacing="1" w:after="100" w:afterAutospacing="1" w:line="246" w:lineRule="atLeast"/>
              <w:rPr>
                <w:rFonts w:ascii="Arial" w:eastAsia="Times New Roman" w:hAnsi="Arial" w:cs="Arial"/>
                <w:color w:val="000000"/>
                <w:sz w:val="17"/>
                <w:szCs w:val="17"/>
                <w:lang w:eastAsia="fr-FR"/>
              </w:rPr>
            </w:pPr>
            <w:r w:rsidRPr="00E7467B">
              <w:rPr>
                <w:rFonts w:ascii="Arial" w:eastAsia="Times New Roman" w:hAnsi="Arial" w:cs="Arial"/>
                <w:b/>
                <w:bCs/>
                <w:color w:val="000000"/>
                <w:sz w:val="17"/>
                <w:lang w:eastAsia="fr-FR"/>
              </w:rPr>
              <w:t>Des troubles massifs ?</w:t>
            </w:r>
          </w:p>
          <w:p w:rsidR="00E7467B" w:rsidRPr="00E7467B" w:rsidRDefault="00E7467B" w:rsidP="00E7467B">
            <w:pPr>
              <w:spacing w:before="100" w:beforeAutospacing="1" w:after="100" w:afterAutospacing="1" w:line="246" w:lineRule="atLeast"/>
              <w:rPr>
                <w:rFonts w:ascii="Arial" w:eastAsia="Times New Roman" w:hAnsi="Arial" w:cs="Arial"/>
                <w:color w:val="000000"/>
                <w:sz w:val="17"/>
                <w:szCs w:val="17"/>
                <w:lang w:eastAsia="fr-FR"/>
              </w:rPr>
            </w:pPr>
            <w:r w:rsidRPr="00E7467B">
              <w:rPr>
                <w:rFonts w:ascii="Arial" w:eastAsia="Times New Roman" w:hAnsi="Arial" w:cs="Arial"/>
                <w:color w:val="000000"/>
                <w:sz w:val="17"/>
                <w:szCs w:val="17"/>
                <w:lang w:eastAsia="fr-FR"/>
              </w:rPr>
              <w:t>Si cet accompagnement reste inefficace et que les troubles sont envahissants, associés à une grande agitation ou à des signes manifestes d’un état</w:t>
            </w:r>
            <w:r w:rsidRPr="00E7467B">
              <w:rPr>
                <w:rFonts w:ascii="Arial" w:eastAsia="Times New Roman" w:hAnsi="Arial" w:cs="Arial"/>
                <w:color w:val="000000"/>
                <w:sz w:val="17"/>
                <w:lang w:eastAsia="fr-FR"/>
              </w:rPr>
              <w:t> </w:t>
            </w:r>
            <w:hyperlink r:id="rId9" w:tgtFrame="_blank" w:history="1">
              <w:r w:rsidRPr="00E7467B">
                <w:rPr>
                  <w:rFonts w:ascii="Arial" w:eastAsia="Times New Roman" w:hAnsi="Arial" w:cs="Arial"/>
                  <w:color w:val="910033"/>
                  <w:sz w:val="17"/>
                  <w:lang w:eastAsia="fr-FR"/>
                </w:rPr>
                <w:t>dépressif</w:t>
              </w:r>
            </w:hyperlink>
            <w:r w:rsidRPr="00E7467B">
              <w:rPr>
                <w:rFonts w:ascii="Arial" w:eastAsia="Times New Roman" w:hAnsi="Arial" w:cs="Arial"/>
                <w:color w:val="000000"/>
                <w:sz w:val="17"/>
                <w:szCs w:val="17"/>
                <w:lang w:eastAsia="fr-FR"/>
              </w:rPr>
              <w:t>, on peut penser à une</w:t>
            </w:r>
            <w:r w:rsidRPr="00E7467B">
              <w:rPr>
                <w:rFonts w:ascii="Arial" w:eastAsia="Times New Roman" w:hAnsi="Arial" w:cs="Arial"/>
                <w:color w:val="000000"/>
                <w:sz w:val="17"/>
                <w:lang w:eastAsia="fr-FR"/>
              </w:rPr>
              <w:t> </w:t>
            </w:r>
            <w:hyperlink r:id="rId10" w:history="1">
              <w:r w:rsidRPr="00E7467B">
                <w:rPr>
                  <w:rFonts w:ascii="Arial" w:eastAsia="Times New Roman" w:hAnsi="Arial" w:cs="Arial"/>
                  <w:color w:val="910033"/>
                  <w:sz w:val="17"/>
                  <w:lang w:eastAsia="fr-FR"/>
                </w:rPr>
                <w:t>dyslexie</w:t>
              </w:r>
            </w:hyperlink>
            <w:r w:rsidRPr="00E7467B">
              <w:rPr>
                <w:rFonts w:ascii="Arial" w:eastAsia="Times New Roman" w:hAnsi="Arial" w:cs="Arial"/>
                <w:color w:val="000000"/>
                <w:sz w:val="17"/>
                <w:lang w:eastAsia="fr-FR"/>
              </w:rPr>
              <w:t> </w:t>
            </w:r>
            <w:r w:rsidRPr="00E7467B">
              <w:rPr>
                <w:rFonts w:ascii="Arial" w:eastAsia="Times New Roman" w:hAnsi="Arial" w:cs="Arial"/>
                <w:color w:val="000000"/>
                <w:sz w:val="17"/>
                <w:szCs w:val="17"/>
                <w:lang w:eastAsia="fr-FR"/>
              </w:rPr>
              <w:t>jusque là ignorée, à un trouble de l’</w:t>
            </w:r>
            <w:proofErr w:type="spellStart"/>
            <w:r w:rsidRPr="00E7467B">
              <w:rPr>
                <w:rFonts w:ascii="Arial" w:eastAsia="Times New Roman" w:hAnsi="Arial" w:cs="Arial"/>
                <w:color w:val="000000"/>
                <w:sz w:val="17"/>
                <w:szCs w:val="17"/>
                <w:lang w:eastAsia="fr-FR"/>
              </w:rPr>
              <w:t>hyper-activité</w:t>
            </w:r>
            <w:proofErr w:type="spellEnd"/>
            <w:r w:rsidRPr="00E7467B">
              <w:rPr>
                <w:rFonts w:ascii="Arial" w:eastAsia="Times New Roman" w:hAnsi="Arial" w:cs="Arial"/>
                <w:color w:val="000000"/>
                <w:sz w:val="17"/>
                <w:szCs w:val="17"/>
                <w:lang w:eastAsia="fr-FR"/>
              </w:rPr>
              <w:t>, à un état dépressif, sinon à une dépression. Et heureusement de façon moins fréquente, à un trouble psychotique.</w:t>
            </w:r>
            <w:r w:rsidRPr="00E7467B">
              <w:rPr>
                <w:rFonts w:ascii="Arial" w:eastAsia="Times New Roman" w:hAnsi="Arial" w:cs="Arial"/>
                <w:color w:val="000000"/>
                <w:sz w:val="17"/>
                <w:szCs w:val="17"/>
                <w:lang w:eastAsia="fr-FR"/>
              </w:rPr>
              <w:br/>
              <w:t>Mais pas de précipitation dans l’anticipation dramatique : ayez le bon réflexe d’avoir recours aux professionnels de la santé.</w:t>
            </w:r>
          </w:p>
          <w:p w:rsidR="00E7467B" w:rsidRPr="00E7467B" w:rsidRDefault="00E7467B" w:rsidP="00E7467B">
            <w:pPr>
              <w:spacing w:before="100" w:beforeAutospacing="1" w:after="100" w:afterAutospacing="1" w:line="246" w:lineRule="atLeast"/>
              <w:rPr>
                <w:rFonts w:ascii="Arial" w:eastAsia="Times New Roman" w:hAnsi="Arial" w:cs="Arial"/>
                <w:color w:val="000000"/>
                <w:sz w:val="17"/>
                <w:szCs w:val="17"/>
                <w:lang w:eastAsia="fr-FR"/>
              </w:rPr>
            </w:pPr>
            <w:r w:rsidRPr="00E7467B">
              <w:rPr>
                <w:rFonts w:ascii="Arial" w:eastAsia="Times New Roman" w:hAnsi="Arial" w:cs="Arial"/>
                <w:color w:val="000000"/>
                <w:sz w:val="17"/>
                <w:szCs w:val="17"/>
                <w:lang w:eastAsia="fr-FR"/>
              </w:rPr>
              <w:t>Dans tous les cas, la concentration doit faire l’objet de toute votre vigilance, et il y a des solutions.</w:t>
            </w:r>
          </w:p>
        </w:tc>
      </w:tr>
    </w:tbl>
    <w:p w:rsidR="00A7191E" w:rsidRDefault="00A7191E"/>
    <w:sectPr w:rsidR="00A7191E" w:rsidSect="00A719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E7467B"/>
    <w:rsid w:val="00874DD7"/>
    <w:rsid w:val="00A7191E"/>
    <w:rsid w:val="00E7467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91E"/>
  </w:style>
  <w:style w:type="paragraph" w:styleId="Titre1">
    <w:name w:val="heading 1"/>
    <w:basedOn w:val="Normal"/>
    <w:link w:val="Titre1Car"/>
    <w:uiPriority w:val="9"/>
    <w:qFormat/>
    <w:rsid w:val="00E746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467B"/>
    <w:rPr>
      <w:rFonts w:ascii="Times New Roman" w:eastAsia="Times New Roman" w:hAnsi="Times New Roman" w:cs="Times New Roman"/>
      <w:b/>
      <w:bCs/>
      <w:kern w:val="36"/>
      <w:sz w:val="48"/>
      <w:szCs w:val="48"/>
      <w:lang w:eastAsia="fr-FR"/>
    </w:rPr>
  </w:style>
  <w:style w:type="character" w:customStyle="1" w:styleId="afeditotitre2">
    <w:name w:val="af_edito_titre2"/>
    <w:basedOn w:val="Policepardfaut"/>
    <w:rsid w:val="00E7467B"/>
  </w:style>
  <w:style w:type="character" w:customStyle="1" w:styleId="gig-counter-text">
    <w:name w:val="gig-counter-text"/>
    <w:basedOn w:val="Policepardfaut"/>
    <w:rsid w:val="00E7467B"/>
  </w:style>
  <w:style w:type="character" w:customStyle="1" w:styleId="apple-converted-space">
    <w:name w:val="apple-converted-space"/>
    <w:basedOn w:val="Policepardfaut"/>
    <w:rsid w:val="00E7467B"/>
  </w:style>
  <w:style w:type="paragraph" w:styleId="NormalWeb">
    <w:name w:val="Normal (Web)"/>
    <w:basedOn w:val="Normal"/>
    <w:uiPriority w:val="99"/>
    <w:unhideWhenUsed/>
    <w:rsid w:val="00E7467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7467B"/>
    <w:rPr>
      <w:i/>
      <w:iCs/>
    </w:rPr>
  </w:style>
  <w:style w:type="character" w:styleId="lev">
    <w:name w:val="Strong"/>
    <w:basedOn w:val="Policepardfaut"/>
    <w:uiPriority w:val="22"/>
    <w:qFormat/>
    <w:rsid w:val="00E7467B"/>
    <w:rPr>
      <w:b/>
      <w:bCs/>
    </w:rPr>
  </w:style>
  <w:style w:type="character" w:customStyle="1" w:styleId="ary9zl1">
    <w:name w:val="ary9zl1"/>
    <w:basedOn w:val="Policepardfaut"/>
    <w:rsid w:val="00E7467B"/>
  </w:style>
  <w:style w:type="character" w:styleId="Lienhypertexte">
    <w:name w:val="Hyperlink"/>
    <w:basedOn w:val="Policepardfaut"/>
    <w:uiPriority w:val="99"/>
    <w:semiHidden/>
    <w:unhideWhenUsed/>
    <w:rsid w:val="00E7467B"/>
    <w:rPr>
      <w:color w:val="0000FF"/>
      <w:u w:val="single"/>
    </w:rPr>
  </w:style>
  <w:style w:type="paragraph" w:styleId="Textedebulles">
    <w:name w:val="Balloon Text"/>
    <w:basedOn w:val="Normal"/>
    <w:link w:val="TextedebullesCar"/>
    <w:uiPriority w:val="99"/>
    <w:semiHidden/>
    <w:unhideWhenUsed/>
    <w:rsid w:val="00E746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46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1714295">
      <w:bodyDiv w:val="1"/>
      <w:marLeft w:val="0"/>
      <w:marRight w:val="0"/>
      <w:marTop w:val="0"/>
      <w:marBottom w:val="0"/>
      <w:divBdr>
        <w:top w:val="none" w:sz="0" w:space="0" w:color="auto"/>
        <w:left w:val="none" w:sz="0" w:space="0" w:color="auto"/>
        <w:bottom w:val="none" w:sz="0" w:space="0" w:color="auto"/>
        <w:right w:val="none" w:sz="0" w:space="0" w:color="auto"/>
      </w:divBdr>
      <w:divsChild>
        <w:div w:id="1650355627">
          <w:marLeft w:val="0"/>
          <w:marRight w:val="0"/>
          <w:marTop w:val="0"/>
          <w:marBottom w:val="0"/>
          <w:divBdr>
            <w:top w:val="none" w:sz="0" w:space="0" w:color="auto"/>
            <w:left w:val="none" w:sz="0" w:space="0" w:color="auto"/>
            <w:bottom w:val="none" w:sz="0" w:space="0" w:color="auto"/>
            <w:right w:val="none" w:sz="0" w:space="0" w:color="auto"/>
          </w:divBdr>
          <w:divsChild>
            <w:div w:id="1963270102">
              <w:marLeft w:val="0"/>
              <w:marRight w:val="0"/>
              <w:marTop w:val="0"/>
              <w:marBottom w:val="0"/>
              <w:divBdr>
                <w:top w:val="none" w:sz="0" w:space="0" w:color="auto"/>
                <w:left w:val="none" w:sz="0" w:space="0" w:color="auto"/>
                <w:bottom w:val="none" w:sz="0" w:space="0" w:color="auto"/>
                <w:right w:val="none" w:sz="0" w:space="0" w:color="auto"/>
              </w:divBdr>
              <w:divsChild>
                <w:div w:id="347560999">
                  <w:marLeft w:val="0"/>
                  <w:marRight w:val="0"/>
                  <w:marTop w:val="0"/>
                  <w:marBottom w:val="65"/>
                  <w:divBdr>
                    <w:top w:val="none" w:sz="0" w:space="0" w:color="auto"/>
                    <w:left w:val="none" w:sz="0" w:space="0" w:color="auto"/>
                    <w:bottom w:val="none" w:sz="0" w:space="0" w:color="auto"/>
                    <w:right w:val="none" w:sz="0" w:space="0" w:color="auto"/>
                  </w:divBdr>
                  <w:divsChild>
                    <w:div w:id="1945334365">
                      <w:marLeft w:val="0"/>
                      <w:marRight w:val="0"/>
                      <w:marTop w:val="0"/>
                      <w:marBottom w:val="0"/>
                      <w:divBdr>
                        <w:top w:val="none" w:sz="0" w:space="0" w:color="auto"/>
                        <w:left w:val="none" w:sz="0" w:space="0" w:color="auto"/>
                        <w:bottom w:val="none" w:sz="0" w:space="0" w:color="auto"/>
                        <w:right w:val="none" w:sz="0" w:space="0" w:color="auto"/>
                      </w:divBdr>
                      <w:divsChild>
                        <w:div w:id="122895147">
                          <w:marLeft w:val="0"/>
                          <w:marRight w:val="0"/>
                          <w:marTop w:val="0"/>
                          <w:marBottom w:val="0"/>
                          <w:divBdr>
                            <w:top w:val="none" w:sz="0" w:space="0" w:color="auto"/>
                            <w:left w:val="none" w:sz="0" w:space="0" w:color="auto"/>
                            <w:bottom w:val="none" w:sz="0" w:space="0" w:color="auto"/>
                            <w:right w:val="none" w:sz="0" w:space="0" w:color="auto"/>
                          </w:divBdr>
                        </w:div>
                      </w:divsChild>
                    </w:div>
                    <w:div w:id="98647762">
                      <w:marLeft w:val="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5982">
          <w:marLeft w:val="0"/>
          <w:marRight w:val="0"/>
          <w:marTop w:val="0"/>
          <w:marBottom w:val="0"/>
          <w:divBdr>
            <w:top w:val="none" w:sz="0" w:space="0" w:color="auto"/>
            <w:left w:val="none" w:sz="0" w:space="0" w:color="auto"/>
            <w:bottom w:val="none" w:sz="0" w:space="0" w:color="auto"/>
            <w:right w:val="none" w:sz="0" w:space="0" w:color="auto"/>
          </w:divBdr>
          <w:divsChild>
            <w:div w:id="2131312898">
              <w:marLeft w:val="0"/>
              <w:marRight w:val="0"/>
              <w:marTop w:val="0"/>
              <w:marBottom w:val="0"/>
              <w:divBdr>
                <w:top w:val="none" w:sz="0" w:space="0" w:color="auto"/>
                <w:left w:val="none" w:sz="0" w:space="0" w:color="auto"/>
                <w:bottom w:val="none" w:sz="0" w:space="0" w:color="auto"/>
                <w:right w:val="none" w:sz="0" w:space="0" w:color="auto"/>
              </w:divBdr>
              <w:divsChild>
                <w:div w:id="193207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72447">
          <w:marLeft w:val="0"/>
          <w:marRight w:val="0"/>
          <w:marTop w:val="0"/>
          <w:marBottom w:val="0"/>
          <w:divBdr>
            <w:top w:val="none" w:sz="0" w:space="0" w:color="auto"/>
            <w:left w:val="none" w:sz="0" w:space="0" w:color="auto"/>
            <w:bottom w:val="none" w:sz="0" w:space="0" w:color="auto"/>
            <w:right w:val="none" w:sz="0" w:space="0" w:color="auto"/>
          </w:divBdr>
        </w:div>
        <w:div w:id="2065331748">
          <w:marLeft w:val="0"/>
          <w:marRight w:val="0"/>
          <w:marTop w:val="0"/>
          <w:marBottom w:val="0"/>
          <w:divBdr>
            <w:top w:val="none" w:sz="0" w:space="0" w:color="auto"/>
            <w:left w:val="none" w:sz="0" w:space="0" w:color="auto"/>
            <w:bottom w:val="none" w:sz="0" w:space="0" w:color="auto"/>
            <w:right w:val="none" w:sz="0" w:space="0" w:color="auto"/>
          </w:divBdr>
        </w:div>
        <w:div w:id="1755516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feminin.com/relations/rupture-amoureuse-som356.html" TargetMode="External"/><Relationship Id="rId3" Type="http://schemas.openxmlformats.org/officeDocument/2006/relationships/webSettings" Target="webSettings.xml"/><Relationship Id="rId7" Type="http://schemas.openxmlformats.org/officeDocument/2006/relationships/hyperlink" Target="http://www.aufeminin.com/info-enfant.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feminin.com/ma-psychologie/angoisse-som357.html" TargetMode="External"/><Relationship Id="rId11" Type="http://schemas.openxmlformats.org/officeDocument/2006/relationships/fontTable" Target="fontTable.xml"/><Relationship Id="rId5" Type="http://schemas.openxmlformats.org/officeDocument/2006/relationships/hyperlink" Target="http://sante-az.aufeminin.com/w/sante/s568/bebe-grossesse/adolescence-et-ses-problemes.html" TargetMode="External"/><Relationship Id="rId10" Type="http://schemas.openxmlformats.org/officeDocument/2006/relationships/hyperlink" Target="http://www.aufeminin.com/fiche/psycho/f9409-la-dyslexie.html" TargetMode="External"/><Relationship Id="rId4" Type="http://schemas.openxmlformats.org/officeDocument/2006/relationships/hyperlink" Target="http://www.aufeminin.com/info-enfant.html" TargetMode="External"/><Relationship Id="rId9" Type="http://schemas.openxmlformats.org/officeDocument/2006/relationships/hyperlink" Target="http://sante-az.aufeminin.com/w/sante/s215/maladies/depression.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940</Words>
  <Characters>5175</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fatima</cp:lastModifiedBy>
  <cp:revision>3</cp:revision>
  <dcterms:created xsi:type="dcterms:W3CDTF">2014-03-16T21:14:00Z</dcterms:created>
  <dcterms:modified xsi:type="dcterms:W3CDTF">2014-03-16T21:35:00Z</dcterms:modified>
</cp:coreProperties>
</file>