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7D" w:rsidRDefault="008F397D" w:rsidP="008F397D">
      <w:pPr>
        <w:spacing w:after="0" w:line="240" w:lineRule="auto"/>
        <w:rPr>
          <w:rFonts w:ascii="Verdana" w:eastAsia="Times New Roman" w:hAnsi="Verdana" w:cs="Tahoma"/>
          <w:sz w:val="20"/>
          <w:szCs w:val="20"/>
        </w:rPr>
      </w:pPr>
    </w:p>
    <w:p w:rsidR="008F397D" w:rsidRDefault="008F397D" w:rsidP="008F397D">
      <w:pPr>
        <w:spacing w:after="0" w:line="240" w:lineRule="auto"/>
        <w:rPr>
          <w:rFonts w:ascii="Verdana" w:eastAsia="Times New Roman" w:hAnsi="Verdana" w:cs="Tahoma"/>
          <w:sz w:val="20"/>
          <w:szCs w:val="20"/>
        </w:rPr>
      </w:pPr>
    </w:p>
    <w:p w:rsidR="008F397D" w:rsidRPr="008F397D" w:rsidRDefault="008F397D" w:rsidP="008F397D">
      <w:pPr>
        <w:spacing w:after="0" w:line="240" w:lineRule="auto"/>
        <w:rPr>
          <w:rFonts w:ascii="Verdana" w:eastAsia="Times New Roman" w:hAnsi="Verdana" w:cs="Times New Roman"/>
          <w:sz w:val="20"/>
          <w:szCs w:val="20"/>
        </w:rPr>
      </w:pPr>
      <w:r w:rsidRPr="008F397D">
        <w:rPr>
          <w:rFonts w:ascii="Verdana" w:eastAsia="Times New Roman" w:hAnsi="Verdana" w:cs="Tahoma"/>
          <w:sz w:val="20"/>
          <w:szCs w:val="20"/>
        </w:rPr>
        <w:t>La loi de finances n° 110-13 pour l'année budgétaire 2014 promulguée par le dahir n° 1-13-115 du 26 safar 1435 (30 décembre 2013) a apporté des modifications en ce qui concerne :</w:t>
      </w:r>
    </w:p>
    <w:p w:rsidR="008F397D" w:rsidRPr="008F397D" w:rsidRDefault="008F397D" w:rsidP="008F397D">
      <w:pPr>
        <w:spacing w:after="0" w:line="240" w:lineRule="auto"/>
        <w:ind w:left="540"/>
        <w:rPr>
          <w:rFonts w:ascii="Verdana" w:eastAsia="Times New Roman" w:hAnsi="Verdana" w:cs="Times New Roman"/>
          <w:sz w:val="20"/>
          <w:szCs w:val="20"/>
        </w:rPr>
      </w:pPr>
      <w:r w:rsidRPr="008F397D">
        <w:rPr>
          <w:rFonts w:ascii="Verdana" w:eastAsia="Times New Roman" w:hAnsi="Verdana" w:cs="Tahoma"/>
          <w:b/>
          <w:bCs/>
          <w:sz w:val="20"/>
          <w:szCs w:val="20"/>
        </w:rPr>
        <w:t>I-</w:t>
      </w:r>
      <w:r w:rsidRPr="008F397D">
        <w:rPr>
          <w:rFonts w:ascii="Verdana" w:eastAsia="Times New Roman" w:hAnsi="Verdana" w:cs="Tahoma"/>
          <w:sz w:val="20"/>
          <w:szCs w:val="20"/>
        </w:rPr>
        <w:t xml:space="preserve"> le Code des douanes,</w:t>
      </w:r>
    </w:p>
    <w:p w:rsidR="008F397D" w:rsidRPr="008F397D" w:rsidRDefault="008F397D" w:rsidP="008F397D">
      <w:pPr>
        <w:spacing w:after="0" w:line="240" w:lineRule="auto"/>
        <w:ind w:left="540"/>
        <w:rPr>
          <w:rFonts w:ascii="Verdana" w:eastAsia="Times New Roman" w:hAnsi="Verdana" w:cs="Times New Roman"/>
          <w:sz w:val="20"/>
          <w:szCs w:val="20"/>
        </w:rPr>
      </w:pPr>
      <w:r w:rsidRPr="008F397D">
        <w:rPr>
          <w:rFonts w:ascii="Verdana" w:eastAsia="Times New Roman" w:hAnsi="Verdana" w:cs="Tahoma"/>
          <w:b/>
          <w:bCs/>
          <w:sz w:val="20"/>
          <w:szCs w:val="20"/>
        </w:rPr>
        <w:t xml:space="preserve">II </w:t>
      </w:r>
      <w:r w:rsidRPr="008F397D">
        <w:rPr>
          <w:rFonts w:ascii="Verdana" w:eastAsia="Times New Roman" w:hAnsi="Verdana" w:cs="Tahoma"/>
          <w:sz w:val="20"/>
          <w:szCs w:val="20"/>
        </w:rPr>
        <w:t>- le droit d'importation applicable au blé tendre et ses dérivés,</w:t>
      </w:r>
    </w:p>
    <w:p w:rsidR="008F397D" w:rsidRPr="008F397D" w:rsidRDefault="008F397D" w:rsidP="008F397D">
      <w:pPr>
        <w:spacing w:after="0" w:line="240" w:lineRule="auto"/>
        <w:ind w:left="540"/>
        <w:rPr>
          <w:rFonts w:ascii="Verdana" w:eastAsia="Times New Roman" w:hAnsi="Verdana" w:cs="Times New Roman"/>
          <w:sz w:val="20"/>
          <w:szCs w:val="20"/>
        </w:rPr>
      </w:pPr>
      <w:r w:rsidRPr="008F397D">
        <w:rPr>
          <w:rFonts w:ascii="Verdana" w:eastAsia="Times New Roman" w:hAnsi="Verdana" w:cs="Tahoma"/>
          <w:b/>
          <w:bCs/>
          <w:sz w:val="20"/>
          <w:szCs w:val="20"/>
        </w:rPr>
        <w:t>III -</w:t>
      </w:r>
      <w:r w:rsidRPr="008F397D">
        <w:rPr>
          <w:rFonts w:ascii="Verdana" w:eastAsia="Times New Roman" w:hAnsi="Verdana" w:cs="Tahoma"/>
          <w:sz w:val="20"/>
          <w:szCs w:val="20"/>
        </w:rPr>
        <w:t xml:space="preserve"> la taxe intérieure de consommation;</w:t>
      </w:r>
    </w:p>
    <w:p w:rsidR="008F397D" w:rsidRPr="008F397D" w:rsidRDefault="008F397D" w:rsidP="008F397D">
      <w:pPr>
        <w:spacing w:after="0" w:line="240" w:lineRule="auto"/>
        <w:ind w:left="540"/>
        <w:rPr>
          <w:rFonts w:ascii="Verdana" w:eastAsia="Times New Roman" w:hAnsi="Verdana" w:cs="Times New Roman"/>
          <w:sz w:val="20"/>
          <w:szCs w:val="20"/>
        </w:rPr>
      </w:pPr>
      <w:r w:rsidRPr="008F397D">
        <w:rPr>
          <w:rFonts w:ascii="Verdana" w:eastAsia="Times New Roman" w:hAnsi="Verdana" w:cs="Tahoma"/>
          <w:b/>
          <w:bCs/>
          <w:sz w:val="20"/>
          <w:szCs w:val="20"/>
        </w:rPr>
        <w:t>IV</w:t>
      </w:r>
      <w:r w:rsidRPr="008F397D">
        <w:rPr>
          <w:rFonts w:ascii="Verdana" w:eastAsia="Times New Roman" w:hAnsi="Verdana" w:cs="Tahoma"/>
          <w:sz w:val="20"/>
          <w:szCs w:val="20"/>
        </w:rPr>
        <w:t xml:space="preserve"> - le Code Général des Impôts institué par l'article 5 de la loi de finances n°43-06 pour l'année budgétaire 2007, promulguée par le dahir n°1-06-232 du 10 hija 1427 (31 décembre 2006), tel que modifié et complété,</w:t>
      </w:r>
    </w:p>
    <w:p w:rsidR="008F397D" w:rsidRPr="008F397D" w:rsidRDefault="008F397D" w:rsidP="008F397D">
      <w:pPr>
        <w:overflowPunct w:val="0"/>
        <w:autoSpaceDE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V </w:t>
      </w:r>
      <w:r w:rsidRPr="008F397D">
        <w:rPr>
          <w:rFonts w:ascii="Verdana" w:eastAsia="Times New Roman" w:hAnsi="Verdana" w:cs="Tahoma"/>
          <w:sz w:val="20"/>
          <w:szCs w:val="20"/>
        </w:rPr>
        <w:t>- l'institution d'une taxe aérienne pour la solidarité et la promotion touristique,</w:t>
      </w:r>
    </w:p>
    <w:p w:rsidR="008F397D" w:rsidRPr="008F397D" w:rsidRDefault="008F397D" w:rsidP="008F397D">
      <w:pPr>
        <w:overflowPunct w:val="0"/>
        <w:autoSpaceDE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VI </w:t>
      </w:r>
      <w:r w:rsidRPr="008F397D">
        <w:rPr>
          <w:rFonts w:ascii="Verdana" w:eastAsia="Times New Roman" w:hAnsi="Verdana" w:cs="Tahoma"/>
          <w:sz w:val="20"/>
          <w:szCs w:val="20"/>
        </w:rPr>
        <w:t xml:space="preserve">- l'institution d'une contribution libératoire au titre des avoirs et liquidités détenus à l'étranger </w:t>
      </w:r>
      <w:r w:rsidRPr="008F397D">
        <w:rPr>
          <w:rFonts w:ascii="Verdana" w:eastAsia="Times New Roman" w:hAnsi="Verdana" w:cs="Tahoma"/>
          <w:b/>
          <w:bCs/>
          <w:sz w:val="20"/>
          <w:szCs w:val="20"/>
        </w:rPr>
        <w:t> </w:t>
      </w:r>
    </w:p>
    <w:p w:rsidR="008F397D" w:rsidRPr="008F397D" w:rsidRDefault="008F397D" w:rsidP="008F397D">
      <w:pPr>
        <w:spacing w:after="0" w:line="240" w:lineRule="auto"/>
        <w:rPr>
          <w:rFonts w:ascii="Verdana" w:eastAsia="Times New Roman" w:hAnsi="Verdana" w:cs="Times New Roman"/>
          <w:sz w:val="20"/>
          <w:szCs w:val="20"/>
        </w:rPr>
      </w:pPr>
      <w:r w:rsidRPr="008F397D">
        <w:rPr>
          <w:rFonts w:ascii="Verdana" w:eastAsia="Times New Roman" w:hAnsi="Verdana" w:cs="Tahoma"/>
          <w:b/>
          <w:bCs/>
          <w:sz w:val="20"/>
          <w:szCs w:val="20"/>
        </w:rPr>
        <w:t xml:space="preserve">I - Code des douanes : </w:t>
      </w: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Les magasins et aires de dédouanement (Article 61-1°) </w:t>
      </w:r>
      <w:r w:rsidRPr="008F397D">
        <w:rPr>
          <w:rFonts w:ascii="Verdana" w:eastAsia="Times New Roman" w:hAnsi="Verdana" w:cs="Tahoma"/>
          <w:sz w:val="20"/>
          <w:szCs w:val="20"/>
        </w:rPr>
        <w:t>ne peuvent être créés que par les</w:t>
      </w:r>
      <w:r w:rsidRPr="008F397D">
        <w:rPr>
          <w:rFonts w:ascii="Verdana" w:eastAsia="Times New Roman" w:hAnsi="Verdana" w:cs="Tahoma"/>
          <w:b/>
          <w:bCs/>
          <w:sz w:val="20"/>
          <w:szCs w:val="20"/>
        </w:rPr>
        <w:t xml:space="preserve"> </w:t>
      </w:r>
      <w:r w:rsidRPr="008F397D">
        <w:rPr>
          <w:rFonts w:ascii="Verdana" w:eastAsia="Times New Roman" w:hAnsi="Verdana" w:cs="Tahoma"/>
          <w:sz w:val="20"/>
          <w:szCs w:val="20"/>
        </w:rPr>
        <w:t xml:space="preserve">sociétés </w:t>
      </w:r>
      <w:r w:rsidRPr="008F397D">
        <w:rPr>
          <w:rFonts w:ascii="Verdana" w:eastAsia="Times New Roman" w:hAnsi="Verdana" w:cs="Tahoma"/>
          <w:sz w:val="20"/>
          <w:szCs w:val="20"/>
          <w:u w:val="single"/>
        </w:rPr>
        <w:t>qui exercent dans le domaine de la logistique et du transport international.</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La durée de séjour des marchandises au sein des </w:t>
      </w:r>
      <w:r w:rsidRPr="008F397D">
        <w:rPr>
          <w:rFonts w:ascii="Verdana" w:eastAsia="Times New Roman" w:hAnsi="Verdana" w:cs="Tahoma"/>
          <w:b/>
          <w:bCs/>
          <w:sz w:val="20"/>
          <w:szCs w:val="20"/>
        </w:rPr>
        <w:t xml:space="preserve">magasins et aires de dédouanement </w:t>
      </w:r>
      <w:r w:rsidRPr="008F397D">
        <w:rPr>
          <w:rFonts w:ascii="Verdana" w:eastAsia="Times New Roman" w:hAnsi="Verdana" w:cs="Tahoma"/>
          <w:sz w:val="20"/>
          <w:szCs w:val="20"/>
        </w:rPr>
        <w:t xml:space="preserve">commence à courir à partir de </w:t>
      </w:r>
      <w:r w:rsidRPr="008F397D">
        <w:rPr>
          <w:rFonts w:ascii="Verdana" w:eastAsia="Times New Roman" w:hAnsi="Verdana" w:cs="Tahoma"/>
          <w:b/>
          <w:bCs/>
          <w:sz w:val="20"/>
          <w:szCs w:val="20"/>
        </w:rPr>
        <w:t>l’entrée effective des marchandises</w:t>
      </w:r>
      <w:r w:rsidRPr="008F397D">
        <w:rPr>
          <w:rFonts w:ascii="Verdana" w:eastAsia="Times New Roman" w:hAnsi="Verdana" w:cs="Tahoma"/>
          <w:sz w:val="20"/>
          <w:szCs w:val="20"/>
        </w:rPr>
        <w:t xml:space="preserve"> au sein desdits </w:t>
      </w:r>
      <w:r w:rsidRPr="008F397D">
        <w:rPr>
          <w:rFonts w:ascii="Verdana" w:eastAsia="Times New Roman" w:hAnsi="Verdana" w:cs="Tahoma"/>
          <w:b/>
          <w:bCs/>
          <w:sz w:val="20"/>
          <w:szCs w:val="20"/>
        </w:rPr>
        <w:t>magasins et aires de dédouanement</w:t>
      </w:r>
      <w:r w:rsidRPr="008F397D">
        <w:rPr>
          <w:rFonts w:ascii="Verdana" w:eastAsia="Times New Roman" w:hAnsi="Verdana" w:cs="Tahoma"/>
          <w:sz w:val="20"/>
          <w:szCs w:val="20"/>
        </w:rPr>
        <w:t>.</w:t>
      </w:r>
      <w:r w:rsidRPr="008F397D">
        <w:rPr>
          <w:rFonts w:ascii="Verdana" w:eastAsia="Times New Roman" w:hAnsi="Verdana" w:cs="Tahoma"/>
          <w:b/>
          <w:bCs/>
          <w:sz w:val="20"/>
          <w:szCs w:val="20"/>
        </w:rPr>
        <w:t xml:space="preserve"> (Article 62-5°)</w:t>
      </w: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Les exploitants des magasins et aires de dédouanement doivent</w:t>
      </w:r>
      <w:r w:rsidRPr="008F397D">
        <w:rPr>
          <w:rFonts w:ascii="Verdana" w:eastAsia="Times New Roman" w:hAnsi="Verdana" w:cs="Tahoma"/>
          <w:sz w:val="20"/>
          <w:szCs w:val="20"/>
        </w:rPr>
        <w:t xml:space="preserve"> respecter un cahier de charges élaboré par l’Administration.</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La mise à la consommation du matériel importé dans le cadre de l’admission temporaire</w:t>
      </w:r>
      <w:r w:rsidRPr="008F397D">
        <w:rPr>
          <w:rFonts w:ascii="Verdana" w:eastAsia="Times New Roman" w:hAnsi="Verdana" w:cs="Tahoma"/>
          <w:b/>
          <w:bCs/>
          <w:sz w:val="20"/>
          <w:szCs w:val="20"/>
        </w:rPr>
        <w:t xml:space="preserve"> et utilisé dans la production de biens destinés à l’exportation</w:t>
      </w:r>
      <w:r w:rsidRPr="008F397D">
        <w:rPr>
          <w:rFonts w:ascii="Verdana" w:eastAsia="Times New Roman" w:hAnsi="Verdana" w:cs="Tahoma"/>
          <w:sz w:val="20"/>
          <w:szCs w:val="20"/>
        </w:rPr>
        <w:t xml:space="preserve"> s'effectue, sur la base des droits et taxes et de sa valeur au jour de l’enregistrement de ladite déclaration de mise à la consommation.</w:t>
      </w:r>
      <w:r w:rsidRPr="008F397D">
        <w:rPr>
          <w:rFonts w:ascii="Verdana" w:eastAsia="Times New Roman" w:hAnsi="Verdana" w:cs="Tahoma"/>
          <w:b/>
          <w:bCs/>
          <w:sz w:val="20"/>
          <w:szCs w:val="20"/>
        </w:rPr>
        <w:t xml:space="preserve"> (articles 134 quinquies et 151)</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Admission temporaire des marchandises et des moyens de transport (articles 145 et 146) accordée aux :</w:t>
      </w:r>
    </w:p>
    <w:p w:rsidR="008F397D" w:rsidRPr="008F397D" w:rsidRDefault="008F397D" w:rsidP="008F397D">
      <w:pPr>
        <w:overflowPunct w:val="0"/>
        <w:autoSpaceDN w:val="0"/>
        <w:spacing w:after="0" w:line="240" w:lineRule="auto"/>
        <w:ind w:left="108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effets personnels, neufs ou usagés, importés par des voyageurs ayant leur résidence habituelle à l’étranger, pour leur usage personnel au cours de leur voyage, </w:t>
      </w:r>
      <w:r w:rsidRPr="008F397D">
        <w:rPr>
          <w:rFonts w:ascii="Verdana" w:eastAsia="Times New Roman" w:hAnsi="Verdana" w:cs="Tahoma"/>
          <w:b/>
          <w:bCs/>
          <w:sz w:val="20"/>
          <w:szCs w:val="20"/>
        </w:rPr>
        <w:t xml:space="preserve">à l'exclusion de toute marchandise importée à des fins commerciales; </w:t>
      </w:r>
    </w:p>
    <w:p w:rsidR="008F397D" w:rsidRPr="008F397D" w:rsidRDefault="008F397D" w:rsidP="008F397D">
      <w:pPr>
        <w:overflowPunct w:val="0"/>
        <w:autoSpaceDN w:val="0"/>
        <w:spacing w:after="0" w:line="240" w:lineRule="auto"/>
        <w:ind w:left="1080"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ind w:left="108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moyens de transport à usage privé, ainsi que leurs pièces de rechange, leurs accessoires et équipements normaux, importés par des personnes ayant leur résidence habituelle à l’étranger, pour leur usage personnel, </w:t>
      </w:r>
      <w:r w:rsidRPr="008F397D">
        <w:rPr>
          <w:rFonts w:ascii="Verdana" w:eastAsia="Times New Roman" w:hAnsi="Verdana" w:cs="Tahoma"/>
          <w:b/>
          <w:bCs/>
          <w:sz w:val="20"/>
          <w:szCs w:val="20"/>
        </w:rPr>
        <w:t xml:space="preserve">à l’exclusion des moyens de transport à usage privé transportant des marchandises à caractère commercial.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Ces nouvelles dispositions entreront en vigueur à partir du 1</w:t>
      </w:r>
      <w:r w:rsidRPr="008F397D">
        <w:rPr>
          <w:rFonts w:ascii="Verdana" w:eastAsia="Times New Roman" w:hAnsi="Verdana" w:cs="Tahoma"/>
          <w:b/>
          <w:bCs/>
          <w:sz w:val="20"/>
          <w:szCs w:val="20"/>
          <w:vertAlign w:val="superscript"/>
        </w:rPr>
        <w:t>er</w:t>
      </w:r>
      <w:r w:rsidRPr="008F397D">
        <w:rPr>
          <w:rFonts w:ascii="Verdana" w:eastAsia="Times New Roman" w:hAnsi="Verdana" w:cs="Tahoma"/>
          <w:b/>
          <w:bCs/>
          <w:sz w:val="20"/>
          <w:szCs w:val="20"/>
        </w:rPr>
        <w:t xml:space="preserve"> mai 2014.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II - Le droit d'importation applicable au blé tendre et ses dérivés :</w:t>
      </w: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L’article 3bis de la loi de finances pour l’année 2014 prévoit la suspension de la perception du droit d’importation applicable au blé tendre relevant des positions tarifaires nos. 1001.90.90.19 et 1001.90.90.90 et ce, du 1er janvier au 30 avril 2014. A ce titre, il est précisé que la taxe parafiscale à l’importation demeure exigible à l’importation de cette denrée admise en suspension du droit d’importation</w:t>
      </w: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III - Taxes intérieures de consommation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Les modifications concernent les quotités applicables aux produits ci-après :</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imes New Roman"/>
          <w:sz w:val="20"/>
          <w:szCs w:val="20"/>
        </w:rPr>
        <w:t xml:space="preserve">·  </w:t>
      </w:r>
      <w:r w:rsidRPr="008F397D">
        <w:rPr>
          <w:rFonts w:ascii="Verdana" w:eastAsia="Times New Roman" w:hAnsi="Verdana" w:cs="Tahoma"/>
          <w:b/>
          <w:bCs/>
          <w:sz w:val="20"/>
          <w:szCs w:val="20"/>
        </w:rPr>
        <w:t>Les boissons énergisantes</w:t>
      </w:r>
      <w:r w:rsidRPr="008F397D">
        <w:rPr>
          <w:rFonts w:ascii="Verdana" w:eastAsia="Times New Roman" w:hAnsi="Verdana" w:cs="Tahoma"/>
          <w:sz w:val="20"/>
          <w:szCs w:val="20"/>
        </w:rPr>
        <w:t xml:space="preserve">, contenant de la caféine, de la taurine et du glucuronolactone ou au moins deux de ces ingrédients : Cette boisson est soumise au paiement de la TIC au taux de </w:t>
      </w:r>
      <w:r w:rsidRPr="008F397D">
        <w:rPr>
          <w:rFonts w:ascii="Verdana" w:eastAsia="Times New Roman" w:hAnsi="Verdana" w:cs="Tahoma"/>
          <w:b/>
          <w:bCs/>
          <w:sz w:val="20"/>
          <w:szCs w:val="20"/>
        </w:rPr>
        <w:t xml:space="preserve">500 dh/hl au lieu de 150 dh/hl ; </w:t>
      </w:r>
      <w:r w:rsidRPr="008F397D">
        <w:rPr>
          <w:rFonts w:ascii="Verdana" w:eastAsia="Times New Roman" w:hAnsi="Verdana" w:cs="Tahoma"/>
          <w:sz w:val="20"/>
          <w:szCs w:val="20"/>
        </w:rPr>
        <w:t>et</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imes New Roman"/>
          <w:sz w:val="20"/>
          <w:szCs w:val="20"/>
        </w:rPr>
        <w:t xml:space="preserve">·  </w:t>
      </w:r>
      <w:r w:rsidRPr="008F397D">
        <w:rPr>
          <w:rFonts w:ascii="Verdana" w:eastAsia="Times New Roman" w:hAnsi="Verdana" w:cs="Tahoma"/>
          <w:sz w:val="20"/>
          <w:szCs w:val="20"/>
        </w:rPr>
        <w:t xml:space="preserve">Les vins : la quotité de la TIC est fixée à </w:t>
      </w:r>
      <w:r w:rsidRPr="008F397D">
        <w:rPr>
          <w:rFonts w:ascii="Verdana" w:eastAsia="Times New Roman" w:hAnsi="Verdana" w:cs="Tahoma"/>
          <w:b/>
          <w:bCs/>
          <w:sz w:val="20"/>
          <w:szCs w:val="20"/>
        </w:rPr>
        <w:t>700 dh/hl au lieu de 500 dh/hl.</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spacing w:after="0" w:line="240" w:lineRule="auto"/>
        <w:jc w:val="both"/>
        <w:rPr>
          <w:rFonts w:ascii="Verdana" w:eastAsia="Times New Roman" w:hAnsi="Verdana" w:cs="Times New Roman"/>
          <w:sz w:val="20"/>
          <w:szCs w:val="20"/>
        </w:rPr>
      </w:pPr>
      <w:r w:rsidRPr="008F397D">
        <w:rPr>
          <w:rFonts w:ascii="Verdana" w:eastAsia="Times New Roman" w:hAnsi="Verdana" w:cs="Tahoma"/>
          <w:b/>
          <w:bCs/>
          <w:sz w:val="20"/>
          <w:szCs w:val="20"/>
        </w:rPr>
        <w:lastRenderedPageBreak/>
        <w:t xml:space="preserve">IV- Code Général des Impôts institué par l'article 5 de la loi de finances n°43-06 pour l'année budgétaire 2007, promulguée par le dahir n°1-06-232 du 10 hija 1427 (31 décembre 2006), tel que modifié et complété : </w:t>
      </w:r>
    </w:p>
    <w:p w:rsidR="008F397D" w:rsidRPr="008F397D" w:rsidRDefault="008F397D" w:rsidP="008F397D">
      <w:pPr>
        <w:spacing w:after="0" w:line="240" w:lineRule="auto"/>
        <w:rPr>
          <w:rFonts w:ascii="Verdana" w:eastAsia="Times New Roman" w:hAnsi="Verdana" w:cs="Times New Roman"/>
          <w:sz w:val="20"/>
          <w:szCs w:val="20"/>
        </w:rPr>
      </w:pPr>
      <w:r w:rsidRPr="008F397D">
        <w:rPr>
          <w:rFonts w:ascii="Verdana" w:eastAsia="Times New Roman" w:hAnsi="Verdana" w:cs="Tahoma"/>
          <w:b/>
          <w:bCs/>
          <w:sz w:val="20"/>
          <w:szCs w:val="20"/>
        </w:rPr>
        <w:t>1/ Impôt sur les sociétés et Impôt sur le revenu :</w:t>
      </w:r>
    </w:p>
    <w:p w:rsidR="008F397D" w:rsidRPr="008F397D" w:rsidRDefault="008F397D" w:rsidP="008F397D">
      <w:pPr>
        <w:spacing w:after="0" w:line="240" w:lineRule="auto"/>
        <w:ind w:right="52"/>
        <w:jc w:val="both"/>
        <w:rPr>
          <w:rFonts w:ascii="Verdana" w:eastAsia="Times New Roman" w:hAnsi="Verdana" w:cs="Times New Roman"/>
          <w:sz w:val="20"/>
          <w:szCs w:val="20"/>
        </w:rPr>
      </w:pPr>
      <w:r w:rsidRPr="008F397D">
        <w:rPr>
          <w:rFonts w:ascii="Verdana" w:eastAsia="Times New Roman" w:hAnsi="Verdana" w:cs="Tahoma"/>
          <w:sz w:val="20"/>
          <w:szCs w:val="20"/>
        </w:rPr>
        <w:t xml:space="preserve">- Institution de </w:t>
      </w:r>
      <w:r w:rsidRPr="008F397D">
        <w:rPr>
          <w:rFonts w:ascii="Verdana" w:eastAsia="Times New Roman" w:hAnsi="Verdana" w:cs="Tahoma"/>
          <w:b/>
          <w:bCs/>
          <w:sz w:val="20"/>
          <w:szCs w:val="20"/>
        </w:rPr>
        <w:t>l'exonération permanente</w:t>
      </w:r>
      <w:r w:rsidRPr="008F397D">
        <w:rPr>
          <w:rFonts w:ascii="Verdana" w:eastAsia="Times New Roman" w:hAnsi="Verdana" w:cs="Tahoma"/>
          <w:sz w:val="20"/>
          <w:szCs w:val="20"/>
        </w:rPr>
        <w:t xml:space="preserve"> de l'impôt sur les sociétés en faveur du </w:t>
      </w:r>
      <w:r w:rsidRPr="008F397D">
        <w:rPr>
          <w:rFonts w:ascii="Verdana" w:eastAsia="Times New Roman" w:hAnsi="Verdana" w:cs="Tahoma"/>
          <w:b/>
          <w:bCs/>
          <w:sz w:val="20"/>
          <w:szCs w:val="20"/>
        </w:rPr>
        <w:t>"Fonds Afrique 50</w:t>
      </w:r>
      <w:r w:rsidRPr="008F397D">
        <w:rPr>
          <w:rFonts w:ascii="Verdana" w:eastAsia="Times New Roman" w:hAnsi="Verdana" w:cs="Tahoma"/>
          <w:sz w:val="20"/>
          <w:szCs w:val="20"/>
        </w:rPr>
        <w:t>" créé par la Banque Africaine de Développement (article 6-I-A-12°du C.G.I);</w:t>
      </w:r>
    </w:p>
    <w:p w:rsidR="008F397D" w:rsidRPr="008F397D" w:rsidRDefault="008F397D" w:rsidP="008F397D">
      <w:pPr>
        <w:spacing w:after="0" w:line="240" w:lineRule="auto"/>
        <w:ind w:right="52"/>
        <w:jc w:val="both"/>
        <w:rPr>
          <w:rFonts w:ascii="Verdana" w:eastAsia="Times New Roman" w:hAnsi="Verdana" w:cs="Times New Roman"/>
          <w:sz w:val="20"/>
          <w:szCs w:val="20"/>
        </w:rPr>
      </w:pPr>
      <w:r w:rsidRPr="008F397D">
        <w:rPr>
          <w:rFonts w:ascii="Verdana" w:eastAsia="Times New Roman" w:hAnsi="Verdana" w:cs="Tahoma"/>
          <w:sz w:val="20"/>
          <w:szCs w:val="20"/>
        </w:rPr>
        <w:t xml:space="preserve">- </w:t>
      </w:r>
      <w:r w:rsidRPr="008F397D">
        <w:rPr>
          <w:rFonts w:ascii="Verdana" w:eastAsia="Times New Roman" w:hAnsi="Verdana" w:cs="Tahoma"/>
          <w:b/>
          <w:bCs/>
          <w:sz w:val="20"/>
          <w:szCs w:val="20"/>
        </w:rPr>
        <w:t xml:space="preserve">Abrogation de l'exonération temporaire de l'impôt sur les sociétés et de l'impôt sur le revenu des revenus agricoles jusqu'au 31/12/2013 </w:t>
      </w:r>
      <w:r w:rsidRPr="008F397D">
        <w:rPr>
          <w:rFonts w:ascii="Verdana" w:eastAsia="Times New Roman" w:hAnsi="Verdana" w:cs="Tahoma"/>
          <w:sz w:val="20"/>
          <w:szCs w:val="20"/>
        </w:rPr>
        <w:t>(article 6-II-B-1° du C.G.I). Cette exonération a été remplacée par les dispositions suivantes (articles 6-I-A-29, 6-II-C-5°, 19-II-C-9°, 47, 73-II-F-7° et article 247-XXIII du C.G.I)-: </w:t>
      </w:r>
    </w:p>
    <w:tbl>
      <w:tblPr>
        <w:tblW w:w="0" w:type="auto"/>
        <w:tblCellMar>
          <w:left w:w="0" w:type="dxa"/>
          <w:right w:w="0" w:type="dxa"/>
        </w:tblCellMar>
        <w:tblLook w:val="04A0"/>
      </w:tblPr>
      <w:tblGrid>
        <w:gridCol w:w="2085"/>
        <w:gridCol w:w="1815"/>
        <w:gridCol w:w="1905"/>
        <w:gridCol w:w="1905"/>
        <w:gridCol w:w="1578"/>
      </w:tblGrid>
      <w:tr w:rsidR="008F397D" w:rsidRPr="008F397D" w:rsidTr="008F397D">
        <w:tc>
          <w:tcPr>
            <w:tcW w:w="785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Exploitations et exploitants agricoles exonérés de manière permanente ou temporaire</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 xml:space="preserve">Exploitants agricoles </w:t>
            </w:r>
          </w:p>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Imposables *</w:t>
            </w:r>
          </w:p>
        </w:tc>
      </w:tr>
      <w:tr w:rsidR="008F397D" w:rsidRPr="008F397D" w:rsidTr="008F397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Exonérations permanentes de l'I.S et de l'I.R</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Exonérations de l'I.S ou de l'I.R du 1/1/2014 au 31/12/2015</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Exonérations de l'I.S ou de l'I.R du 1/1/2016 au 31/12/2017</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Exonérations de l'I.S ou de l'I.R du 1/1/2018 au 31/12/2019</w:t>
            </w:r>
          </w:p>
        </w:tc>
        <w:tc>
          <w:tcPr>
            <w:tcW w:w="143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right="52"/>
              <w:jc w:val="center"/>
              <w:rPr>
                <w:rFonts w:ascii="Verdana" w:eastAsia="Times New Roman" w:hAnsi="Verdana" w:cs="Times New Roman"/>
                <w:sz w:val="20"/>
                <w:szCs w:val="20"/>
              </w:rPr>
            </w:pPr>
            <w:r w:rsidRPr="008F397D">
              <w:rPr>
                <w:rFonts w:ascii="Verdana" w:eastAsia="Times New Roman" w:hAnsi="Verdana" w:cs="Tahoma"/>
                <w:b/>
                <w:bCs/>
                <w:sz w:val="20"/>
                <w:szCs w:val="20"/>
              </w:rPr>
              <w:t>Soumis à l'I.S ou à l'I.R</w:t>
            </w:r>
          </w:p>
        </w:tc>
      </w:tr>
      <w:tr w:rsidR="008F397D" w:rsidRPr="008F397D" w:rsidTr="008F397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les exploitations agricoles ou les contribuables disposant de revenus agricoles et réalisant un chiffre d'affaires annuel inférieur à </w:t>
            </w:r>
            <w:r w:rsidRPr="008F397D">
              <w:rPr>
                <w:rFonts w:ascii="Verdana" w:eastAsia="Times New Roman" w:hAnsi="Verdana" w:cs="Tahoma"/>
                <w:b/>
                <w:bCs/>
                <w:sz w:val="20"/>
                <w:szCs w:val="20"/>
              </w:rPr>
              <w:t>5.000.000</w:t>
            </w:r>
            <w:r w:rsidRPr="008F397D">
              <w:rPr>
                <w:rFonts w:ascii="Verdana" w:eastAsia="Times New Roman" w:hAnsi="Verdana" w:cs="Tahoma"/>
                <w:sz w:val="20"/>
                <w:szCs w:val="20"/>
              </w:rPr>
              <w:t xml:space="preserve"> dirhams  (pendant 3 exercices consécutifs), au titre de leurs revenus agricoles. </w:t>
            </w:r>
          </w:p>
          <w:p w:rsidR="008F397D" w:rsidRPr="008F397D" w:rsidRDefault="008F397D" w:rsidP="008F397D">
            <w:pPr>
              <w:spacing w:after="0" w:line="240" w:lineRule="auto"/>
              <w:ind w:right="52"/>
              <w:rPr>
                <w:rFonts w:ascii="Verdana" w:eastAsia="Times New Roman" w:hAnsi="Verdana" w:cs="Times New Roman"/>
                <w:sz w:val="20"/>
                <w:szCs w:val="20"/>
              </w:rPr>
            </w:pPr>
            <w:r w:rsidRPr="008F397D">
              <w:rPr>
                <w:rFonts w:ascii="Verdana" w:eastAsia="Times New Roman" w:hAnsi="Verdana" w:cs="Tahoma"/>
                <w:i/>
                <w:iCs/>
                <w:sz w:val="20"/>
                <w:szCs w:val="20"/>
              </w:rPr>
              <w:t>(exercices ouverts à compter du 1</w:t>
            </w:r>
            <w:r w:rsidRPr="008F397D">
              <w:rPr>
                <w:rFonts w:ascii="Verdana" w:eastAsia="Times New Roman" w:hAnsi="Verdana" w:cs="Tahoma"/>
                <w:i/>
                <w:iCs/>
                <w:sz w:val="20"/>
                <w:szCs w:val="20"/>
                <w:vertAlign w:val="superscript"/>
              </w:rPr>
              <w:t>er</w:t>
            </w:r>
            <w:r w:rsidRPr="008F397D">
              <w:rPr>
                <w:rFonts w:ascii="Verdana" w:eastAsia="Times New Roman" w:hAnsi="Verdana" w:cs="Tahoma"/>
                <w:i/>
                <w:iCs/>
                <w:sz w:val="20"/>
                <w:szCs w:val="20"/>
              </w:rPr>
              <w:t xml:space="preserve"> janvier 2014)</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les exploitants agricoles qui réalisent un chiffre d'affaires inférieur à </w:t>
            </w:r>
            <w:r w:rsidRPr="008F397D">
              <w:rPr>
                <w:rFonts w:ascii="Verdana" w:eastAsia="Times New Roman" w:hAnsi="Verdana" w:cs="Tahoma"/>
                <w:b/>
                <w:bCs/>
                <w:sz w:val="20"/>
                <w:szCs w:val="20"/>
              </w:rPr>
              <w:t>35.000.000</w:t>
            </w:r>
            <w:r w:rsidRPr="008F397D">
              <w:rPr>
                <w:rFonts w:ascii="Verdana" w:eastAsia="Times New Roman" w:hAnsi="Verdana" w:cs="Tahoma"/>
                <w:sz w:val="20"/>
                <w:szCs w:val="20"/>
              </w:rPr>
              <w:t xml:space="preserve"> dirhams</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les exploitants agricoles qui réalisent un chiffre d'affaires inférieur à </w:t>
            </w:r>
            <w:r w:rsidRPr="008F397D">
              <w:rPr>
                <w:rFonts w:ascii="Verdana" w:eastAsia="Times New Roman" w:hAnsi="Verdana" w:cs="Tahoma"/>
                <w:b/>
                <w:bCs/>
                <w:sz w:val="20"/>
                <w:szCs w:val="20"/>
              </w:rPr>
              <w:t>20.000.000</w:t>
            </w:r>
            <w:r w:rsidRPr="008F397D">
              <w:rPr>
                <w:rFonts w:ascii="Verdana" w:eastAsia="Times New Roman" w:hAnsi="Verdana" w:cs="Tahoma"/>
                <w:sz w:val="20"/>
                <w:szCs w:val="20"/>
              </w:rPr>
              <w:t xml:space="preserve"> dirhams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les exploitants agricoles qui réalisent un chiffre d'affaires inférieur à </w:t>
            </w:r>
            <w:r w:rsidRPr="008F397D">
              <w:rPr>
                <w:rFonts w:ascii="Verdana" w:eastAsia="Times New Roman" w:hAnsi="Verdana" w:cs="Tahoma"/>
                <w:b/>
                <w:bCs/>
                <w:sz w:val="20"/>
                <w:szCs w:val="20"/>
              </w:rPr>
              <w:t>10.000.000</w:t>
            </w:r>
            <w:r w:rsidRPr="008F397D">
              <w:rPr>
                <w:rFonts w:ascii="Verdana" w:eastAsia="Times New Roman" w:hAnsi="Verdana" w:cs="Tahoma"/>
                <w:sz w:val="20"/>
                <w:szCs w:val="20"/>
              </w:rPr>
              <w:t xml:space="preserve"> dirhams</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c>
          <w:tcPr>
            <w:tcW w:w="143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&gt; </w:t>
            </w:r>
            <w:r w:rsidRPr="008F397D">
              <w:rPr>
                <w:rFonts w:ascii="Verdana" w:eastAsia="Times New Roman" w:hAnsi="Verdana" w:cs="Tahoma"/>
                <w:sz w:val="20"/>
                <w:szCs w:val="20"/>
              </w:rPr>
              <w:t xml:space="preserve">soumis à l'I.S au taux de  </w:t>
            </w:r>
            <w:r w:rsidRPr="008F397D">
              <w:rPr>
                <w:rFonts w:ascii="Verdana" w:eastAsia="Times New Roman" w:hAnsi="Verdana" w:cs="Tahoma"/>
                <w:b/>
                <w:bCs/>
                <w:sz w:val="20"/>
                <w:szCs w:val="20"/>
              </w:rPr>
              <w:t>17,5%</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&gt; </w:t>
            </w:r>
            <w:r w:rsidRPr="008F397D">
              <w:rPr>
                <w:rFonts w:ascii="Verdana" w:eastAsia="Times New Roman" w:hAnsi="Verdana" w:cs="Tahoma"/>
                <w:sz w:val="20"/>
                <w:szCs w:val="20"/>
              </w:rPr>
              <w:t xml:space="preserve">soumis à l'I.R au taux de  </w:t>
            </w:r>
            <w:r w:rsidRPr="008F397D">
              <w:rPr>
                <w:rFonts w:ascii="Verdana" w:eastAsia="Times New Roman" w:hAnsi="Verdana" w:cs="Tahoma"/>
                <w:b/>
                <w:bCs/>
                <w:sz w:val="20"/>
                <w:szCs w:val="20"/>
              </w:rPr>
              <w:t>20%</w:t>
            </w:r>
            <w:r w:rsidRPr="008F397D">
              <w:rPr>
                <w:rFonts w:ascii="Verdana" w:eastAsia="Times New Roman" w:hAnsi="Verdana" w:cs="Tahoma"/>
                <w:sz w:val="20"/>
                <w:szCs w:val="20"/>
              </w:rPr>
              <w:t xml:space="preserve">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Pendant les 5 premiers exercices consécutifs, à compter du 1er exercice d'imposition</w:t>
            </w:r>
          </w:p>
        </w:tc>
      </w:tr>
    </w:tbl>
    <w:p w:rsidR="008F397D" w:rsidRPr="008F397D" w:rsidRDefault="008F397D" w:rsidP="008F397D">
      <w:pPr>
        <w:spacing w:after="0" w:line="240" w:lineRule="auto"/>
        <w:ind w:right="52"/>
        <w:rPr>
          <w:rFonts w:ascii="Verdana" w:eastAsia="Times New Roman" w:hAnsi="Verdana" w:cs="Times New Roman"/>
          <w:sz w:val="20"/>
          <w:szCs w:val="20"/>
        </w:rPr>
      </w:pPr>
      <w:r w:rsidRPr="008F397D">
        <w:rPr>
          <w:rFonts w:ascii="Verdana" w:eastAsia="Times New Roman" w:hAnsi="Verdana" w:cs="Tahoma"/>
          <w:i/>
          <w:iCs/>
          <w:sz w:val="20"/>
          <w:szCs w:val="20"/>
        </w:rPr>
        <w:t> </w:t>
      </w:r>
    </w:p>
    <w:p w:rsidR="008F397D" w:rsidRPr="008F397D" w:rsidRDefault="008F397D" w:rsidP="008F397D">
      <w:pPr>
        <w:spacing w:after="0" w:line="240" w:lineRule="auto"/>
        <w:ind w:right="52"/>
        <w:rPr>
          <w:rFonts w:ascii="Verdana" w:eastAsia="Times New Roman" w:hAnsi="Verdana" w:cs="Times New Roman"/>
          <w:sz w:val="20"/>
          <w:szCs w:val="20"/>
        </w:rPr>
      </w:pPr>
      <w:r w:rsidRPr="008F397D">
        <w:rPr>
          <w:rFonts w:ascii="Verdana" w:eastAsia="Times New Roman" w:hAnsi="Verdana" w:cs="Tahoma"/>
          <w:i/>
          <w:iCs/>
          <w:sz w:val="20"/>
          <w:szCs w:val="20"/>
        </w:rPr>
        <w:t xml:space="preserve">* Les exploitants agricoles imposables sont dispensés du versement d'acomptes provisionnels au cours de leur premier exercice d'imposition.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La loi de finances n° 110-13 pour l'année budgétaire 2014 a modifié les dispositions de l'article 46 relative à la définition des revenus agricoles et précisé que sont "considérés comme </w:t>
      </w:r>
      <w:r w:rsidRPr="008F397D">
        <w:rPr>
          <w:rFonts w:ascii="Verdana" w:eastAsia="Times New Roman" w:hAnsi="Verdana" w:cs="Tahoma"/>
          <w:sz w:val="20"/>
          <w:szCs w:val="20"/>
          <w:u w:val="single"/>
        </w:rPr>
        <w:t>revenus agricoles,</w:t>
      </w:r>
      <w:r w:rsidRPr="008F397D">
        <w:rPr>
          <w:rFonts w:ascii="Verdana" w:eastAsia="Times New Roman" w:hAnsi="Verdana" w:cs="Tahoma"/>
          <w:sz w:val="20"/>
          <w:szCs w:val="20"/>
        </w:rPr>
        <w:t xml:space="preserve"> </w:t>
      </w:r>
      <w:r w:rsidRPr="008F397D">
        <w:rPr>
          <w:rFonts w:ascii="Verdana" w:eastAsia="Times New Roman" w:hAnsi="Verdana" w:cs="Tahoma"/>
          <w:b/>
          <w:bCs/>
          <w:sz w:val="20"/>
          <w:szCs w:val="20"/>
        </w:rPr>
        <w:t>les bénéfices réalisés par un agriculteur et/ou éleveur</w:t>
      </w:r>
      <w:r w:rsidRPr="008F397D">
        <w:rPr>
          <w:rFonts w:ascii="Verdana" w:eastAsia="Times New Roman" w:hAnsi="Verdana" w:cs="Tahoma"/>
          <w:sz w:val="20"/>
          <w:szCs w:val="20"/>
        </w:rPr>
        <w:t xml:space="preserve"> et provenant de toute activité inhérente à l'exploitation d'un cycle de </w:t>
      </w:r>
      <w:r w:rsidRPr="008F397D">
        <w:rPr>
          <w:rFonts w:ascii="Verdana" w:eastAsia="Times New Roman" w:hAnsi="Verdana" w:cs="Tahoma"/>
          <w:b/>
          <w:bCs/>
          <w:sz w:val="20"/>
          <w:szCs w:val="20"/>
        </w:rPr>
        <w:t>production végétale et/ou animale</w:t>
      </w:r>
      <w:r w:rsidRPr="008F397D">
        <w:rPr>
          <w:rFonts w:ascii="Verdana" w:eastAsia="Times New Roman" w:hAnsi="Verdana" w:cs="Tahoma"/>
          <w:sz w:val="20"/>
          <w:szCs w:val="20"/>
        </w:rPr>
        <w:t xml:space="preserve"> </w:t>
      </w:r>
      <w:r w:rsidRPr="008F397D">
        <w:rPr>
          <w:rFonts w:ascii="Verdana" w:eastAsia="Times New Roman" w:hAnsi="Verdana" w:cs="Tahoma"/>
          <w:b/>
          <w:bCs/>
          <w:sz w:val="20"/>
          <w:szCs w:val="20"/>
        </w:rPr>
        <w:t>dont les produits sont destinés à l'alimentation humaine et/ou animale</w:t>
      </w:r>
      <w:r w:rsidRPr="008F397D">
        <w:rPr>
          <w:rFonts w:ascii="Verdana" w:eastAsia="Times New Roman" w:hAnsi="Verdana" w:cs="Tahoma"/>
          <w:sz w:val="20"/>
          <w:szCs w:val="20"/>
        </w:rPr>
        <w:t>, ainsi que des activités de traitement desdits produits à l'exception des activités de transformation réalisées par des moyens industriels.</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Au sens du présent code, est considérée comme production animale celle relative à l'élevage des bovins, ovins, caprins et camélidés.</w:t>
      </w:r>
    </w:p>
    <w:p w:rsidR="008F397D" w:rsidRPr="008F397D" w:rsidRDefault="008F397D" w:rsidP="008F397D">
      <w:pPr>
        <w:spacing w:after="0" w:line="240" w:lineRule="auto"/>
        <w:ind w:right="52"/>
        <w:jc w:val="both"/>
        <w:rPr>
          <w:rFonts w:ascii="Verdana" w:eastAsia="Times New Roman" w:hAnsi="Verdana" w:cs="Times New Roman"/>
          <w:sz w:val="20"/>
          <w:szCs w:val="20"/>
        </w:rPr>
      </w:pPr>
      <w:r w:rsidRPr="008F397D">
        <w:rPr>
          <w:rFonts w:ascii="Verdana" w:eastAsia="Times New Roman" w:hAnsi="Verdana" w:cs="Tahoma"/>
          <w:b/>
          <w:bCs/>
          <w:sz w:val="20"/>
          <w:szCs w:val="20"/>
        </w:rPr>
        <w:t>- Les indemnités de retard</w:t>
      </w:r>
      <w:r w:rsidRPr="008F397D">
        <w:rPr>
          <w:rFonts w:ascii="Verdana" w:eastAsia="Times New Roman" w:hAnsi="Verdana" w:cs="Tahoma"/>
          <w:sz w:val="20"/>
          <w:szCs w:val="20"/>
        </w:rPr>
        <w:t xml:space="preserve"> prévues par la loi n° 15-95 formant code de commerce ne sont pas considérées comme des charges non déductibles pour les montants payés et recouvrés à compter du 1</w:t>
      </w:r>
      <w:r w:rsidRPr="008F397D">
        <w:rPr>
          <w:rFonts w:ascii="Verdana" w:eastAsia="Times New Roman" w:hAnsi="Verdana" w:cs="Tahoma"/>
          <w:sz w:val="20"/>
          <w:szCs w:val="20"/>
          <w:vertAlign w:val="superscript"/>
        </w:rPr>
        <w:t>er</w:t>
      </w:r>
      <w:r w:rsidRPr="008F397D">
        <w:rPr>
          <w:rFonts w:ascii="Verdana" w:eastAsia="Times New Roman" w:hAnsi="Verdana" w:cs="Tahoma"/>
          <w:sz w:val="20"/>
          <w:szCs w:val="20"/>
        </w:rPr>
        <w:t xml:space="preserve"> janvier 2014 (article 11 du C.G.I);</w:t>
      </w:r>
    </w:p>
    <w:p w:rsidR="008F397D" w:rsidRPr="008F397D" w:rsidRDefault="008F397D" w:rsidP="008F397D">
      <w:pPr>
        <w:spacing w:after="0" w:line="240" w:lineRule="auto"/>
        <w:ind w:right="54"/>
        <w:jc w:val="both"/>
        <w:rPr>
          <w:rFonts w:ascii="Verdana" w:eastAsia="Times New Roman" w:hAnsi="Verdana" w:cs="Times New Roman"/>
          <w:sz w:val="20"/>
          <w:szCs w:val="20"/>
        </w:rPr>
      </w:pPr>
      <w:r w:rsidRPr="008F397D">
        <w:rPr>
          <w:rFonts w:ascii="Verdana" w:eastAsia="Times New Roman" w:hAnsi="Verdana" w:cs="Tahoma"/>
          <w:b/>
          <w:bCs/>
          <w:sz w:val="20"/>
          <w:szCs w:val="20"/>
        </w:rPr>
        <w:t>- Pour les pensions et rentes viagères,</w:t>
      </w:r>
      <w:r w:rsidRPr="008F397D">
        <w:rPr>
          <w:rFonts w:ascii="Verdana" w:eastAsia="Times New Roman" w:hAnsi="Verdana" w:cs="Tahoma"/>
          <w:sz w:val="20"/>
          <w:szCs w:val="20"/>
        </w:rPr>
        <w:t xml:space="preserve"> l'abattement de 55% prévu à l'article 60-I du C.G.I s'applique uniquement au m</w:t>
      </w:r>
      <w:r w:rsidRPr="008F397D">
        <w:rPr>
          <w:rFonts w:ascii="Verdana" w:eastAsia="Times New Roman" w:hAnsi="Verdana" w:cs="Tahoma"/>
          <w:spacing w:val="-1"/>
          <w:sz w:val="20"/>
          <w:szCs w:val="20"/>
        </w:rPr>
        <w:t>o</w:t>
      </w:r>
      <w:r w:rsidRPr="008F397D">
        <w:rPr>
          <w:rFonts w:ascii="Verdana" w:eastAsia="Times New Roman" w:hAnsi="Verdana" w:cs="Tahoma"/>
          <w:sz w:val="20"/>
          <w:szCs w:val="20"/>
        </w:rPr>
        <w:t>ntant</w:t>
      </w:r>
      <w:r w:rsidRPr="008F397D">
        <w:rPr>
          <w:rFonts w:ascii="Verdana" w:eastAsia="Times New Roman" w:hAnsi="Verdana" w:cs="Tahoma"/>
          <w:spacing w:val="2"/>
          <w:sz w:val="20"/>
          <w:szCs w:val="20"/>
        </w:rPr>
        <w:t xml:space="preserve"> </w:t>
      </w:r>
      <w:r w:rsidRPr="008F397D">
        <w:rPr>
          <w:rFonts w:ascii="Verdana" w:eastAsia="Times New Roman" w:hAnsi="Verdana" w:cs="Tahoma"/>
          <w:sz w:val="20"/>
          <w:szCs w:val="20"/>
        </w:rPr>
        <w:t>brut qui ne dépasse pas annuellement 168.000 dirhams. Au delà c'est l'abattement de 40% qui s'applique (</w:t>
      </w:r>
      <w:r w:rsidRPr="008F397D">
        <w:rPr>
          <w:rFonts w:ascii="Verdana" w:eastAsia="Times New Roman" w:hAnsi="Verdana" w:cs="Tahoma"/>
          <w:i/>
          <w:iCs/>
          <w:sz w:val="20"/>
          <w:szCs w:val="20"/>
        </w:rPr>
        <w:t>pensions et rentes viagères acquises à compter du 1er janvier 2014);</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lastRenderedPageBreak/>
        <w:t xml:space="preserve">- Les revenus provenant de la </w:t>
      </w:r>
      <w:r w:rsidRPr="008F397D">
        <w:rPr>
          <w:rFonts w:ascii="Verdana" w:eastAsia="Times New Roman" w:hAnsi="Verdana" w:cs="Tahoma"/>
          <w:b/>
          <w:bCs/>
          <w:sz w:val="20"/>
          <w:szCs w:val="20"/>
        </w:rPr>
        <w:t>location</w:t>
      </w:r>
      <w:r w:rsidRPr="008F397D">
        <w:rPr>
          <w:rFonts w:ascii="Verdana" w:eastAsia="Times New Roman" w:hAnsi="Verdana" w:cs="Tahoma"/>
          <w:sz w:val="20"/>
          <w:szCs w:val="20"/>
        </w:rPr>
        <w:t xml:space="preserve"> des constructions nouvelles et additions de construction, pendant les </w:t>
      </w:r>
      <w:r w:rsidRPr="008F397D">
        <w:rPr>
          <w:rFonts w:ascii="Verdana" w:eastAsia="Times New Roman" w:hAnsi="Verdana" w:cs="Tahoma"/>
          <w:b/>
          <w:bCs/>
          <w:sz w:val="20"/>
          <w:szCs w:val="20"/>
        </w:rPr>
        <w:t>3 années</w:t>
      </w:r>
      <w:r w:rsidRPr="008F397D">
        <w:rPr>
          <w:rFonts w:ascii="Verdana" w:eastAsia="Times New Roman" w:hAnsi="Verdana" w:cs="Tahoma"/>
          <w:sz w:val="20"/>
          <w:szCs w:val="20"/>
        </w:rPr>
        <w:t xml:space="preserve"> qui suivent celle de l'achèvement desdites constructions, </w:t>
      </w:r>
      <w:r w:rsidRPr="008F397D">
        <w:rPr>
          <w:rFonts w:ascii="Verdana" w:eastAsia="Times New Roman" w:hAnsi="Verdana" w:cs="Tahoma"/>
          <w:b/>
          <w:bCs/>
          <w:sz w:val="20"/>
          <w:szCs w:val="20"/>
        </w:rPr>
        <w:t>ne sont plus exonérés</w:t>
      </w:r>
      <w:r w:rsidRPr="008F397D">
        <w:rPr>
          <w:rFonts w:ascii="Verdana" w:eastAsia="Times New Roman" w:hAnsi="Verdana" w:cs="Tahoma"/>
          <w:sz w:val="20"/>
          <w:szCs w:val="20"/>
        </w:rPr>
        <w:t xml:space="preserve"> ( article 63 du C.G.I) et deviennent donc </w:t>
      </w:r>
      <w:r w:rsidRPr="008F397D">
        <w:rPr>
          <w:rFonts w:ascii="Verdana" w:eastAsia="Times New Roman" w:hAnsi="Verdana" w:cs="Tahoma"/>
          <w:b/>
          <w:bCs/>
          <w:sz w:val="20"/>
          <w:szCs w:val="20"/>
        </w:rPr>
        <w:t>imposables</w:t>
      </w:r>
      <w:r w:rsidRPr="008F397D">
        <w:rPr>
          <w:rFonts w:ascii="Verdana" w:eastAsia="Times New Roman" w:hAnsi="Verdana" w:cs="Tahoma"/>
          <w:sz w:val="20"/>
          <w:szCs w:val="20"/>
        </w:rPr>
        <w:t xml:space="preserve"> comme revenus fonciers quand ils sont acquis à compter du 1</w:t>
      </w:r>
      <w:r w:rsidRPr="008F397D">
        <w:rPr>
          <w:rFonts w:ascii="Verdana" w:eastAsia="Times New Roman" w:hAnsi="Verdana" w:cs="Tahoma"/>
          <w:sz w:val="20"/>
          <w:szCs w:val="20"/>
          <w:vertAlign w:val="superscript"/>
        </w:rPr>
        <w:t>er</w:t>
      </w:r>
      <w:r w:rsidRPr="008F397D">
        <w:rPr>
          <w:rFonts w:ascii="Verdana" w:eastAsia="Times New Roman" w:hAnsi="Verdana" w:cs="Tahoma"/>
          <w:sz w:val="20"/>
          <w:szCs w:val="20"/>
        </w:rPr>
        <w:t xml:space="preserve"> janvier 2014;</w:t>
      </w:r>
    </w:p>
    <w:p w:rsidR="008F397D" w:rsidRPr="008F397D" w:rsidRDefault="008F397D" w:rsidP="008F397D">
      <w:pPr>
        <w:overflowPunct w:val="0"/>
        <w:autoSpaceDN w:val="0"/>
        <w:spacing w:after="0" w:line="240" w:lineRule="auto"/>
        <w:ind w:right="72"/>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La loi de finances n° 110-13 pour l'année budgétaire 2014  a complété l'article 73-II-G-7° par l'introduction de l'adjectif </w:t>
      </w:r>
      <w:r w:rsidRPr="008F397D">
        <w:rPr>
          <w:rFonts w:ascii="Verdana" w:eastAsia="Times New Roman" w:hAnsi="Verdana" w:cs="Tahoma"/>
          <w:b/>
          <w:bCs/>
          <w:sz w:val="20"/>
          <w:szCs w:val="20"/>
        </w:rPr>
        <w:t xml:space="preserve">"onéreux" </w:t>
      </w:r>
      <w:r w:rsidRPr="008F397D">
        <w:rPr>
          <w:rFonts w:ascii="Verdana" w:eastAsia="Times New Roman" w:hAnsi="Verdana" w:cs="Tahoma"/>
          <w:sz w:val="20"/>
          <w:szCs w:val="20"/>
        </w:rPr>
        <w:t>en ce qui concerne la première cession d'immeubles non bâtis inclus dans le périmètre urbain, à compter du 1</w:t>
      </w:r>
      <w:r w:rsidRPr="008F397D">
        <w:rPr>
          <w:rFonts w:ascii="Verdana" w:eastAsia="Times New Roman" w:hAnsi="Verdana" w:cs="Tahoma"/>
          <w:sz w:val="20"/>
          <w:szCs w:val="20"/>
          <w:vertAlign w:val="superscript"/>
        </w:rPr>
        <w:t>er</w:t>
      </w:r>
      <w:r w:rsidRPr="008F397D">
        <w:rPr>
          <w:rFonts w:ascii="Verdana" w:eastAsia="Times New Roman" w:hAnsi="Verdana" w:cs="Tahoma"/>
          <w:sz w:val="20"/>
          <w:szCs w:val="20"/>
        </w:rPr>
        <w:t xml:space="preserve"> janvier 2013, ou de la cession de droits réels immobiliers portant sur de tels immeubles;</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 </w:t>
      </w:r>
      <w:r w:rsidRPr="008F397D">
        <w:rPr>
          <w:rFonts w:ascii="Verdana" w:eastAsia="Times New Roman" w:hAnsi="Verdana" w:cs="Tahoma"/>
          <w:sz w:val="20"/>
          <w:szCs w:val="20"/>
        </w:rPr>
        <w:t>La loi de finances n° 110-13 pour l'année budgétaire 2014 a complété l'article 73 par un paragraphe III qui a institué 2 taux applicables à l'auto-entrepreneur prévu à l'article 42 bis du C.G.I : </w:t>
      </w:r>
    </w:p>
    <w:tbl>
      <w:tblPr>
        <w:tblW w:w="0" w:type="auto"/>
        <w:tblCellMar>
          <w:left w:w="0" w:type="dxa"/>
          <w:right w:w="0" w:type="dxa"/>
        </w:tblCellMar>
        <w:tblLook w:val="04A0"/>
      </w:tblPr>
      <w:tblGrid>
        <w:gridCol w:w="4606"/>
        <w:gridCol w:w="4606"/>
      </w:tblGrid>
      <w:tr w:rsidR="008F397D" w:rsidRPr="008F397D" w:rsidTr="008F397D">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activités commerciales, industrielles et artisanales</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1 %</w:t>
            </w:r>
            <w:r w:rsidRPr="008F397D">
              <w:rPr>
                <w:rFonts w:ascii="Verdana" w:eastAsia="Times New Roman" w:hAnsi="Verdana" w:cs="Tahoma"/>
                <w:sz w:val="20"/>
                <w:szCs w:val="20"/>
              </w:rPr>
              <w:t xml:space="preserve"> du chiffre d'affaires encaissé et dont le montant ne dépasse pas </w:t>
            </w:r>
            <w:r w:rsidRPr="008F397D">
              <w:rPr>
                <w:rFonts w:ascii="Verdana" w:eastAsia="Times New Roman" w:hAnsi="Verdana" w:cs="Tahoma"/>
                <w:b/>
                <w:bCs/>
                <w:sz w:val="20"/>
                <w:szCs w:val="20"/>
              </w:rPr>
              <w:t>500.000 dirhams</w:t>
            </w:r>
          </w:p>
        </w:tc>
      </w:tr>
      <w:tr w:rsidR="008F397D" w:rsidRPr="008F397D" w:rsidTr="008F397D">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prestataires de services</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2 %</w:t>
            </w:r>
            <w:r w:rsidRPr="008F397D">
              <w:rPr>
                <w:rFonts w:ascii="Verdana" w:eastAsia="Times New Roman" w:hAnsi="Verdana" w:cs="Tahoma"/>
                <w:sz w:val="20"/>
                <w:szCs w:val="20"/>
              </w:rPr>
              <w:t xml:space="preserve"> du chiffre d'affaires encaissé et dont le montant ne dépasse pas </w:t>
            </w:r>
            <w:r w:rsidRPr="008F397D">
              <w:rPr>
                <w:rFonts w:ascii="Verdana" w:eastAsia="Times New Roman" w:hAnsi="Verdana" w:cs="Tahoma"/>
                <w:b/>
                <w:bCs/>
                <w:sz w:val="20"/>
                <w:szCs w:val="20"/>
              </w:rPr>
              <w:t>200.000 dirhams</w:t>
            </w:r>
          </w:p>
        </w:tc>
      </w:tr>
    </w:tbl>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Ces taux de 1% et 2% sont libératoires de l'I.R.;</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La loi de finances n° 110-13 pour l'année budgétaire 2014 a modifié l'article 86 du C.G.I en précisant que les contribuables </w:t>
      </w:r>
      <w:r w:rsidRPr="008F397D">
        <w:rPr>
          <w:rFonts w:ascii="Verdana" w:eastAsia="Times New Roman" w:hAnsi="Verdana" w:cs="Tahoma"/>
          <w:b/>
          <w:bCs/>
          <w:sz w:val="20"/>
          <w:szCs w:val="20"/>
        </w:rPr>
        <w:t>ne disposant que de revenus agricoles exonérés</w:t>
      </w:r>
      <w:r w:rsidRPr="008F397D">
        <w:rPr>
          <w:rFonts w:ascii="Verdana" w:eastAsia="Times New Roman" w:hAnsi="Verdana" w:cs="Tahoma"/>
          <w:sz w:val="20"/>
          <w:szCs w:val="20"/>
        </w:rPr>
        <w:t xml:space="preserve"> sont </w:t>
      </w:r>
      <w:r w:rsidRPr="008F397D">
        <w:rPr>
          <w:rFonts w:ascii="Verdana" w:eastAsia="Times New Roman" w:hAnsi="Verdana" w:cs="Tahoma"/>
          <w:b/>
          <w:bCs/>
          <w:sz w:val="20"/>
          <w:szCs w:val="20"/>
        </w:rPr>
        <w:t>dispensés de la déclaration annuelle du revenu global,</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 Taxe sur la valeur ajoutée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2-1 : Taux de la TVA :</w:t>
      </w: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p>
    <w:tbl>
      <w:tblPr>
        <w:tblW w:w="0" w:type="auto"/>
        <w:tblCellMar>
          <w:left w:w="0" w:type="dxa"/>
          <w:right w:w="0" w:type="dxa"/>
        </w:tblCellMar>
        <w:tblLook w:val="04A0"/>
      </w:tblPr>
      <w:tblGrid>
        <w:gridCol w:w="2303"/>
        <w:gridCol w:w="612"/>
        <w:gridCol w:w="2190"/>
        <w:gridCol w:w="722"/>
        <w:gridCol w:w="2207"/>
      </w:tblGrid>
      <w:tr w:rsidR="008F397D" w:rsidRPr="008F397D" w:rsidTr="008F397D">
        <w:tc>
          <w:tcPr>
            <w:tcW w:w="2303"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Avant l'entrée en vigueur de la loi de finances 2014</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Après l'entrée en vigueur de la loi de finances 2014</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certains matériels destinés à usage exclusivement agricole étaient exonérés de TVA</w:t>
            </w:r>
          </w:p>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bénéficient </w:t>
            </w:r>
            <w:r w:rsidRPr="008F397D">
              <w:rPr>
                <w:rFonts w:ascii="Verdana" w:eastAsia="Times New Roman" w:hAnsi="Verdana" w:cs="Tahoma"/>
                <w:b/>
                <w:bCs/>
                <w:sz w:val="20"/>
                <w:szCs w:val="20"/>
              </w:rPr>
              <w:t>plus de l’exonération</w:t>
            </w:r>
            <w:r w:rsidRPr="008F397D">
              <w:rPr>
                <w:rFonts w:ascii="Verdana" w:eastAsia="Times New Roman" w:hAnsi="Verdana" w:cs="Tahoma"/>
                <w:sz w:val="20"/>
                <w:szCs w:val="20"/>
              </w:rPr>
              <w:t xml:space="preserve"> de la TVA</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soumis au taux de </w:t>
            </w:r>
            <w:r w:rsidRPr="008F397D">
              <w:rPr>
                <w:rFonts w:ascii="Verdana" w:eastAsia="Times New Roman" w:hAnsi="Verdana" w:cs="Tahoma"/>
                <w:b/>
                <w:bCs/>
                <w:sz w:val="20"/>
                <w:szCs w:val="20"/>
              </w:rPr>
              <w:t>10%</w:t>
            </w:r>
            <w:r w:rsidRPr="008F397D">
              <w:rPr>
                <w:rFonts w:ascii="Verdana" w:eastAsia="Times New Roman" w:hAnsi="Verdana" w:cs="Tahoma"/>
                <w:sz w:val="20"/>
                <w:szCs w:val="20"/>
              </w:rPr>
              <w:t xml:space="preserve"> avec droit à déduction (article 99-2°).</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les aliments destinés à l'alimentation du bétail et des animaux de basse-cour ainsi que les tourteaux servant à leur fabrication à l'exclusion des autres aliments simples tels que céréales, issues, pulpes, drêches et pailles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w:t>
            </w:r>
            <w:r w:rsidRPr="008F397D">
              <w:rPr>
                <w:rFonts w:ascii="Verdana" w:eastAsia="Times New Roman" w:hAnsi="Verdana" w:cs="Tahoma"/>
                <w:b/>
                <w:bCs/>
                <w:sz w:val="20"/>
                <w:szCs w:val="20"/>
              </w:rPr>
              <w:t>bénéficient plus de la taxation à 7%</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soumis au taux de </w:t>
            </w:r>
            <w:r w:rsidRPr="008F397D">
              <w:rPr>
                <w:rFonts w:ascii="Verdana" w:eastAsia="Times New Roman" w:hAnsi="Verdana" w:cs="Tahoma"/>
                <w:b/>
                <w:bCs/>
                <w:sz w:val="20"/>
                <w:szCs w:val="20"/>
              </w:rPr>
              <w:t>10%</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les bois en grumes, écorcés ou simplement équarris, le liège à l'état naturel, les bois de feu en fagots ou sciés à </w:t>
            </w:r>
            <w:r w:rsidRPr="008F397D">
              <w:rPr>
                <w:rFonts w:ascii="Verdana" w:eastAsia="Times New Roman" w:hAnsi="Verdana" w:cs="Tahoma"/>
                <w:sz w:val="20"/>
                <w:szCs w:val="20"/>
              </w:rPr>
              <w:lastRenderedPageBreak/>
              <w:t xml:space="preserve">petite longueur et le charbon de bois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lastRenderedPageBreak/>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bénéficient </w:t>
            </w:r>
            <w:r w:rsidRPr="008F397D">
              <w:rPr>
                <w:rFonts w:ascii="Verdana" w:eastAsia="Times New Roman" w:hAnsi="Verdana" w:cs="Tahoma"/>
                <w:b/>
                <w:bCs/>
                <w:sz w:val="20"/>
                <w:szCs w:val="20"/>
              </w:rPr>
              <w:t>plus de l’exonération</w:t>
            </w:r>
            <w:r w:rsidRPr="008F397D">
              <w:rPr>
                <w:rFonts w:ascii="Verdana" w:eastAsia="Times New Roman" w:hAnsi="Verdana" w:cs="Tahoma"/>
                <w:sz w:val="20"/>
                <w:szCs w:val="20"/>
              </w:rPr>
              <w:t xml:space="preserve"> de la TVA</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soumis au taux de </w:t>
            </w:r>
            <w:r w:rsidRPr="008F397D">
              <w:rPr>
                <w:rFonts w:ascii="Verdana" w:eastAsia="Times New Roman" w:hAnsi="Verdana" w:cs="Tahoma"/>
                <w:b/>
                <w:bCs/>
                <w:sz w:val="20"/>
                <w:szCs w:val="20"/>
              </w:rPr>
              <w:t>10%</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spacing w:after="0" w:line="240" w:lineRule="auto"/>
              <w:ind w:right="56"/>
              <w:rPr>
                <w:rFonts w:ascii="Verdana" w:eastAsia="Times New Roman" w:hAnsi="Verdana" w:cs="Times New Roman"/>
                <w:sz w:val="20"/>
                <w:szCs w:val="20"/>
              </w:rPr>
            </w:pPr>
            <w:r w:rsidRPr="008F397D">
              <w:rPr>
                <w:rFonts w:ascii="Verdana" w:eastAsia="Times New Roman" w:hAnsi="Verdana" w:cs="Tahoma"/>
                <w:sz w:val="20"/>
                <w:szCs w:val="20"/>
              </w:rPr>
              <w:lastRenderedPageBreak/>
              <w:t xml:space="preserve">- les prestations de restauration fournies directement par l'entreprise à son personnel salarié et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w:t>
            </w:r>
            <w:r w:rsidRPr="008F397D">
              <w:rPr>
                <w:rFonts w:ascii="Verdana" w:eastAsia="Times New Roman" w:hAnsi="Verdana" w:cs="Tahoma"/>
                <w:b/>
                <w:bCs/>
                <w:sz w:val="20"/>
                <w:szCs w:val="20"/>
              </w:rPr>
              <w:t>bénéficient plus de l'exonération</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sont désormais taxées </w:t>
            </w:r>
            <w:r w:rsidRPr="008F397D">
              <w:rPr>
                <w:rFonts w:ascii="Verdana" w:eastAsia="Times New Roman" w:hAnsi="Verdana" w:cs="Tahoma"/>
                <w:b/>
                <w:bCs/>
                <w:sz w:val="20"/>
                <w:szCs w:val="20"/>
              </w:rPr>
              <w:t>à 10%</w:t>
            </w:r>
            <w:r w:rsidRPr="008F397D">
              <w:rPr>
                <w:rFonts w:ascii="Verdana" w:eastAsia="Times New Roman" w:hAnsi="Verdana" w:cs="Tahoma"/>
                <w:sz w:val="20"/>
                <w:szCs w:val="20"/>
              </w:rPr>
              <w:t xml:space="preserve"> avec droit à déduction à l'instar des opérations de restauration fournies par les prestataires de services au personnel salarié des entreprises;</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spacing w:after="0" w:line="240" w:lineRule="auto"/>
              <w:ind w:right="56"/>
              <w:rPr>
                <w:rFonts w:ascii="Verdana" w:eastAsia="Times New Roman" w:hAnsi="Verdana" w:cs="Times New Roman"/>
                <w:sz w:val="20"/>
                <w:szCs w:val="20"/>
              </w:rPr>
            </w:pPr>
            <w:r w:rsidRPr="008F397D">
              <w:rPr>
                <w:rFonts w:ascii="Verdana" w:eastAsia="Times New Roman" w:hAnsi="Verdana" w:cs="Tahoma"/>
                <w:sz w:val="20"/>
                <w:szCs w:val="20"/>
              </w:rPr>
              <w:t xml:space="preserve">- les engins et filets de pêche, les rogues de morues et appâts, destinés aux bateaux pêcheurs ainsi que les appareils aéronautiques destinés aux armateurs et aux professionnels de la pêche en haute mer et utilisés exclusivement pour le repérage des bancs de poissons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ne sont plus éligibles à l’exonération de la TVA</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soumis au taux de 20%</w:t>
            </w:r>
            <w:r w:rsidRPr="008F397D">
              <w:rPr>
                <w:rFonts w:ascii="Verdana" w:eastAsia="Times New Roman" w:hAnsi="Verdana" w:cs="Tahoma"/>
                <w:sz w:val="20"/>
                <w:szCs w:val="20"/>
              </w:rPr>
              <w:t>.</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spacing w:after="0" w:line="240" w:lineRule="auto"/>
              <w:ind w:right="56"/>
              <w:rPr>
                <w:rFonts w:ascii="Verdana" w:eastAsia="Times New Roman" w:hAnsi="Verdana" w:cs="Times New Roman"/>
                <w:sz w:val="20"/>
                <w:szCs w:val="20"/>
              </w:rPr>
            </w:pPr>
            <w:r w:rsidRPr="008F397D">
              <w:rPr>
                <w:rFonts w:ascii="Verdana" w:eastAsia="Times New Roman" w:hAnsi="Verdana" w:cs="Tahoma"/>
                <w:sz w:val="20"/>
                <w:szCs w:val="20"/>
              </w:rPr>
              <w:t xml:space="preserve">- les margarines et saindoux ainsi que les graisses alimentaires (animales et végétales)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w:t>
            </w:r>
            <w:r w:rsidRPr="008F397D">
              <w:rPr>
                <w:rFonts w:ascii="Verdana" w:eastAsia="Times New Roman" w:hAnsi="Verdana" w:cs="Tahoma"/>
                <w:b/>
                <w:bCs/>
                <w:sz w:val="20"/>
                <w:szCs w:val="20"/>
              </w:rPr>
              <w:t>bénéficient plus de la taxation à 14%</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sont taxés au taux de </w:t>
            </w:r>
            <w:r w:rsidRPr="008F397D">
              <w:rPr>
                <w:rFonts w:ascii="Verdana" w:eastAsia="Times New Roman" w:hAnsi="Verdana" w:cs="Tahoma"/>
                <w:b/>
                <w:bCs/>
                <w:sz w:val="20"/>
                <w:szCs w:val="20"/>
              </w:rPr>
              <w:t>20%</w:t>
            </w:r>
            <w:r w:rsidRPr="008F397D">
              <w:rPr>
                <w:rFonts w:ascii="Verdana" w:eastAsia="Times New Roman" w:hAnsi="Verdana" w:cs="Tahoma"/>
                <w:sz w:val="20"/>
                <w:szCs w:val="20"/>
              </w:rPr>
              <w:t xml:space="preserve"> </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spacing w:after="0" w:line="240" w:lineRule="auto"/>
              <w:ind w:right="56"/>
              <w:rPr>
                <w:rFonts w:ascii="Verdana" w:eastAsia="Times New Roman" w:hAnsi="Verdana" w:cs="Times New Roman"/>
                <w:sz w:val="20"/>
                <w:szCs w:val="20"/>
              </w:rPr>
            </w:pPr>
            <w:r w:rsidRPr="008F397D">
              <w:rPr>
                <w:rFonts w:ascii="Verdana" w:eastAsia="Times New Roman" w:hAnsi="Verdana" w:cs="Tahoma"/>
                <w:sz w:val="20"/>
                <w:szCs w:val="20"/>
              </w:rPr>
              <w:t xml:space="preserve">Le véhicule automobile pour le transport de marchandises dit « véhicule utilitaire léger économique » et le cyclomoteur dit « cyclomoteur économique » ainsi que tous les produits et matières entrant dans leur fabrication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w:t>
            </w:r>
            <w:r w:rsidRPr="008F397D">
              <w:rPr>
                <w:rFonts w:ascii="Verdana" w:eastAsia="Times New Roman" w:hAnsi="Verdana" w:cs="Tahoma"/>
                <w:b/>
                <w:bCs/>
                <w:sz w:val="20"/>
                <w:szCs w:val="20"/>
              </w:rPr>
              <w:t>bénéficient plus de la taxation à 14%</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sont taxés au taux de </w:t>
            </w:r>
            <w:r w:rsidRPr="008F397D">
              <w:rPr>
                <w:rFonts w:ascii="Verdana" w:eastAsia="Times New Roman" w:hAnsi="Verdana" w:cs="Tahoma"/>
                <w:b/>
                <w:bCs/>
                <w:sz w:val="20"/>
                <w:szCs w:val="20"/>
              </w:rPr>
              <w:t>20%</w:t>
            </w:r>
          </w:p>
        </w:tc>
      </w:tr>
      <w:tr w:rsidR="008F397D" w:rsidRPr="008F397D" w:rsidTr="008F397D">
        <w:tc>
          <w:tcPr>
            <w:tcW w:w="2303" w:type="dxa"/>
            <w:tcMar>
              <w:top w:w="0" w:type="dxa"/>
              <w:left w:w="108" w:type="dxa"/>
              <w:bottom w:w="0" w:type="dxa"/>
              <w:right w:w="108" w:type="dxa"/>
            </w:tcMar>
            <w:hideMark/>
          </w:tcPr>
          <w:p w:rsidR="008F397D" w:rsidRPr="008F397D" w:rsidRDefault="008F397D" w:rsidP="008F397D">
            <w:pPr>
              <w:spacing w:after="0" w:line="240" w:lineRule="auto"/>
              <w:ind w:right="56"/>
              <w:rPr>
                <w:rFonts w:ascii="Verdana" w:eastAsia="Times New Roman" w:hAnsi="Verdana" w:cs="Times New Roman"/>
                <w:sz w:val="20"/>
                <w:szCs w:val="20"/>
              </w:rPr>
            </w:pPr>
            <w:r w:rsidRPr="008F397D">
              <w:rPr>
                <w:rFonts w:ascii="Verdana" w:eastAsia="Times New Roman" w:hAnsi="Verdana" w:cs="Tahoma"/>
                <w:sz w:val="20"/>
                <w:szCs w:val="20"/>
              </w:rPr>
              <w:t xml:space="preserve">Les acquisitions de biens, matériel et outillages effectuées </w:t>
            </w:r>
            <w:r w:rsidRPr="008F397D">
              <w:rPr>
                <w:rFonts w:ascii="Verdana" w:eastAsia="Times New Roman" w:hAnsi="Verdana" w:cs="Tahoma"/>
                <w:b/>
                <w:bCs/>
                <w:sz w:val="20"/>
                <w:szCs w:val="20"/>
              </w:rPr>
              <w:t>par l’Université Al Akhawayn</w:t>
            </w:r>
            <w:r w:rsidRPr="008F397D">
              <w:rPr>
                <w:rFonts w:ascii="Verdana" w:eastAsia="Times New Roman" w:hAnsi="Verdana" w:cs="Tahoma"/>
                <w:sz w:val="20"/>
                <w:szCs w:val="20"/>
              </w:rPr>
              <w:t xml:space="preserve"> </w:t>
            </w:r>
          </w:p>
        </w:tc>
        <w:tc>
          <w:tcPr>
            <w:tcW w:w="61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190"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w:t>
            </w:r>
            <w:r w:rsidRPr="008F397D">
              <w:rPr>
                <w:rFonts w:ascii="Verdana" w:eastAsia="Times New Roman" w:hAnsi="Verdana" w:cs="Tahoma"/>
                <w:b/>
                <w:bCs/>
                <w:sz w:val="20"/>
                <w:szCs w:val="20"/>
              </w:rPr>
              <w:t>sont plus éligibles à l'exonération de TVA</w:t>
            </w:r>
          </w:p>
        </w:tc>
        <w:tc>
          <w:tcPr>
            <w:tcW w:w="722" w:type="dxa"/>
            <w:tcMar>
              <w:top w:w="0" w:type="dxa"/>
              <w:left w:w="108" w:type="dxa"/>
              <w:bottom w:w="0" w:type="dxa"/>
              <w:right w:w="108" w:type="dxa"/>
            </w:tcMar>
            <w:vAlign w:val="center"/>
            <w:hideMark/>
          </w:tcPr>
          <w:p w:rsidR="008F397D" w:rsidRPr="008F397D" w:rsidRDefault="008F397D" w:rsidP="008F397D">
            <w:pPr>
              <w:overflowPunct w:val="0"/>
              <w:autoSpaceDN w:val="0"/>
              <w:spacing w:after="0" w:line="240" w:lineRule="auto"/>
              <w:ind w:right="-4"/>
              <w:jc w:val="center"/>
              <w:textAlignment w:val="baseline"/>
              <w:rPr>
                <w:rFonts w:ascii="Verdana" w:eastAsia="Times New Roman" w:hAnsi="Verdana" w:cs="Times New Roman"/>
                <w:sz w:val="20"/>
                <w:szCs w:val="20"/>
              </w:rPr>
            </w:pPr>
            <w:r w:rsidRPr="008F397D">
              <w:rPr>
                <w:rFonts w:ascii="Garamond" w:eastAsia="Times New Roman" w:hAnsi="Garamond" w:cs="Times New Roman"/>
                <w:b/>
                <w:bCs/>
                <w:sz w:val="20"/>
                <w:szCs w:val="20"/>
              </w:rPr>
              <w:t>→</w:t>
            </w:r>
          </w:p>
        </w:tc>
        <w:tc>
          <w:tcPr>
            <w:tcW w:w="2207" w:type="dxa"/>
            <w:tcMar>
              <w:top w:w="0" w:type="dxa"/>
              <w:left w:w="108" w:type="dxa"/>
              <w:bottom w:w="0" w:type="dxa"/>
              <w:right w:w="108" w:type="dxa"/>
            </w:tcMar>
            <w:hideMark/>
          </w:tcPr>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sont assujetties au taux de </w:t>
            </w:r>
            <w:r w:rsidRPr="008F397D">
              <w:rPr>
                <w:rFonts w:ascii="Verdana" w:eastAsia="Times New Roman" w:hAnsi="Verdana" w:cs="Tahoma"/>
                <w:b/>
                <w:bCs/>
                <w:sz w:val="20"/>
                <w:szCs w:val="20"/>
              </w:rPr>
              <w:t>20%</w:t>
            </w:r>
            <w:r w:rsidRPr="008F397D">
              <w:rPr>
                <w:rFonts w:ascii="Verdana" w:eastAsia="Times New Roman" w:hAnsi="Verdana" w:cs="Tahoma"/>
                <w:sz w:val="20"/>
                <w:szCs w:val="20"/>
              </w:rPr>
              <w:t xml:space="preserve"> </w:t>
            </w:r>
          </w:p>
        </w:tc>
      </w:tr>
    </w:tbl>
    <w:p w:rsidR="008F397D" w:rsidRPr="008F397D" w:rsidRDefault="008F397D" w:rsidP="008F397D">
      <w:pPr>
        <w:overflowPunct w:val="0"/>
        <w:autoSpaceDN w:val="0"/>
        <w:spacing w:after="0" w:line="240" w:lineRule="auto"/>
        <w:ind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2-2 : Déductions et remboursement de TVA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lastRenderedPageBreak/>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2-2-1 : Déductions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L'article 101 a été modifié suite à la </w:t>
      </w:r>
      <w:r w:rsidRPr="008F397D">
        <w:rPr>
          <w:rFonts w:ascii="Verdana" w:eastAsia="Times New Roman" w:hAnsi="Verdana" w:cs="Tahoma"/>
          <w:b/>
          <w:bCs/>
          <w:sz w:val="20"/>
          <w:szCs w:val="20"/>
        </w:rPr>
        <w:t>suppression de la règle du décalage d'un mois</w:t>
      </w:r>
      <w:r w:rsidRPr="008F397D">
        <w:rPr>
          <w:rFonts w:ascii="Verdana" w:eastAsia="Times New Roman" w:hAnsi="Verdana" w:cs="Tahoma"/>
          <w:sz w:val="20"/>
          <w:szCs w:val="20"/>
        </w:rPr>
        <w:t xml:space="preserve">. Désormais le droit à déduction de la TVA </w:t>
      </w:r>
      <w:r w:rsidRPr="008F397D">
        <w:rPr>
          <w:rFonts w:ascii="Verdana" w:eastAsia="Times New Roman" w:hAnsi="Verdana" w:cs="Tahoma"/>
          <w:b/>
          <w:bCs/>
          <w:sz w:val="20"/>
          <w:szCs w:val="20"/>
        </w:rPr>
        <w:t xml:space="preserve">prend naissance à la fin du mois du paiement </w:t>
      </w:r>
      <w:r w:rsidRPr="008F397D">
        <w:rPr>
          <w:rFonts w:ascii="Verdana" w:eastAsia="Times New Roman" w:hAnsi="Verdana" w:cs="Tahoma"/>
          <w:sz w:val="20"/>
          <w:szCs w:val="20"/>
        </w:rPr>
        <w:t>partiel ou total des factures. Cependant pour le mois de décembre 2013, si le montant de la taxe n'excède pas 30.000 dhs, celle-ci peut-être récupérée sur le mois de janvier 2014. En revanche si le montant de la taxe est supérieur à 30.000 dhs, la TVA du mois de décembre 2013 ouvrant droit à déduction</w:t>
      </w:r>
      <w:r w:rsidRPr="008F397D">
        <w:rPr>
          <w:rFonts w:ascii="Verdana" w:eastAsia="Times New Roman" w:hAnsi="Verdana" w:cs="Tahoma"/>
          <w:b/>
          <w:bCs/>
          <w:sz w:val="20"/>
          <w:szCs w:val="20"/>
        </w:rPr>
        <w:t xml:space="preserve"> en janvier 2014 </w:t>
      </w:r>
      <w:r w:rsidRPr="008F397D">
        <w:rPr>
          <w:rFonts w:ascii="Verdana" w:eastAsia="Times New Roman" w:hAnsi="Verdana" w:cs="Tahoma"/>
          <w:sz w:val="20"/>
          <w:szCs w:val="20"/>
        </w:rPr>
        <w:t xml:space="preserve">ne peut être déduite que sur une période étalée </w:t>
      </w:r>
      <w:r w:rsidRPr="008F397D">
        <w:rPr>
          <w:rFonts w:ascii="Verdana" w:eastAsia="Times New Roman" w:hAnsi="Verdana" w:cs="Tahoma"/>
          <w:b/>
          <w:bCs/>
          <w:sz w:val="20"/>
          <w:szCs w:val="20"/>
        </w:rPr>
        <w:t xml:space="preserve">sur 5 années à concurrence d'1/5 </w:t>
      </w:r>
      <w:r w:rsidRPr="008F397D">
        <w:rPr>
          <w:rFonts w:ascii="Verdana" w:eastAsia="Times New Roman" w:hAnsi="Verdana" w:cs="Tahoma"/>
          <w:sz w:val="20"/>
          <w:szCs w:val="20"/>
        </w:rPr>
        <w:t xml:space="preserve">dudit montant. Cette déduction est à opérer comme suit :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bl>
      <w:tblPr>
        <w:tblW w:w="0" w:type="auto"/>
        <w:tblCellMar>
          <w:left w:w="0" w:type="dxa"/>
          <w:right w:w="0" w:type="dxa"/>
        </w:tblCellMar>
        <w:tblLook w:val="04A0"/>
      </w:tblPr>
      <w:tblGrid>
        <w:gridCol w:w="3168"/>
        <w:gridCol w:w="4320"/>
      </w:tblGrid>
      <w:tr w:rsidR="008F397D" w:rsidRPr="008F397D" w:rsidTr="008F397D">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ind w:left="540"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Janvier 2014</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ind w:left="540" w:right="-4"/>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20% de la TVA du mois 12/2013</w:t>
            </w:r>
          </w:p>
        </w:tc>
      </w:tr>
      <w:tr w:rsidR="008F397D" w:rsidRPr="008F397D" w:rsidTr="008F397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ind w:left="540"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Janvier 2015</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left="540"/>
              <w:jc w:val="center"/>
              <w:rPr>
                <w:rFonts w:ascii="Verdana" w:eastAsia="Times New Roman" w:hAnsi="Verdana" w:cs="Times New Roman"/>
                <w:sz w:val="20"/>
                <w:szCs w:val="20"/>
              </w:rPr>
            </w:pPr>
            <w:r w:rsidRPr="008F397D">
              <w:rPr>
                <w:rFonts w:ascii="Verdana" w:eastAsia="Times New Roman" w:hAnsi="Verdana" w:cs="Tahoma"/>
                <w:sz w:val="20"/>
                <w:szCs w:val="20"/>
              </w:rPr>
              <w:t>20% de la TVA du mois 12/2013</w:t>
            </w:r>
          </w:p>
        </w:tc>
      </w:tr>
      <w:tr w:rsidR="008F397D" w:rsidRPr="008F397D" w:rsidTr="008F397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ind w:left="540"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Janvier 2016</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left="540"/>
              <w:jc w:val="center"/>
              <w:rPr>
                <w:rFonts w:ascii="Verdana" w:eastAsia="Times New Roman" w:hAnsi="Verdana" w:cs="Times New Roman"/>
                <w:sz w:val="20"/>
                <w:szCs w:val="20"/>
              </w:rPr>
            </w:pPr>
            <w:r w:rsidRPr="008F397D">
              <w:rPr>
                <w:rFonts w:ascii="Verdana" w:eastAsia="Times New Roman" w:hAnsi="Verdana" w:cs="Tahoma"/>
                <w:sz w:val="20"/>
                <w:szCs w:val="20"/>
              </w:rPr>
              <w:t>20% de la TVA du mois 12/2013</w:t>
            </w:r>
          </w:p>
        </w:tc>
      </w:tr>
      <w:tr w:rsidR="008F397D" w:rsidRPr="008F397D" w:rsidTr="008F397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ind w:left="540"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Janvier 2017</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left="540"/>
              <w:jc w:val="center"/>
              <w:rPr>
                <w:rFonts w:ascii="Verdana" w:eastAsia="Times New Roman" w:hAnsi="Verdana" w:cs="Times New Roman"/>
                <w:sz w:val="20"/>
                <w:szCs w:val="20"/>
              </w:rPr>
            </w:pPr>
            <w:r w:rsidRPr="008F397D">
              <w:rPr>
                <w:rFonts w:ascii="Verdana" w:eastAsia="Times New Roman" w:hAnsi="Verdana" w:cs="Tahoma"/>
                <w:sz w:val="20"/>
                <w:szCs w:val="20"/>
              </w:rPr>
              <w:t>20% de la TVA du mois 12/2013</w:t>
            </w:r>
          </w:p>
        </w:tc>
      </w:tr>
      <w:tr w:rsidR="008F397D" w:rsidRPr="008F397D" w:rsidTr="008F397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ind w:left="540" w:right="-4"/>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Janvier 2018</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spacing w:after="0" w:line="240" w:lineRule="auto"/>
              <w:ind w:left="540"/>
              <w:jc w:val="center"/>
              <w:rPr>
                <w:rFonts w:ascii="Verdana" w:eastAsia="Times New Roman" w:hAnsi="Verdana" w:cs="Times New Roman"/>
                <w:sz w:val="20"/>
                <w:szCs w:val="20"/>
              </w:rPr>
            </w:pPr>
            <w:r w:rsidRPr="008F397D">
              <w:rPr>
                <w:rFonts w:ascii="Verdana" w:eastAsia="Times New Roman" w:hAnsi="Verdana" w:cs="Tahoma"/>
                <w:sz w:val="20"/>
                <w:szCs w:val="20"/>
              </w:rPr>
              <w:t>20% de la TVA du mois 12/2013</w:t>
            </w:r>
          </w:p>
        </w:tc>
      </w:tr>
    </w:tbl>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spacing w:after="0" w:line="240" w:lineRule="auto"/>
        <w:ind w:right="51"/>
        <w:jc w:val="both"/>
        <w:rPr>
          <w:rFonts w:ascii="Verdana" w:eastAsia="Times New Roman" w:hAnsi="Verdana" w:cs="Times New Roman"/>
          <w:sz w:val="20"/>
          <w:szCs w:val="20"/>
        </w:rPr>
      </w:pPr>
      <w:r w:rsidRPr="008F397D">
        <w:rPr>
          <w:rFonts w:ascii="Verdana" w:eastAsia="Times New Roman" w:hAnsi="Verdana" w:cs="Tahoma"/>
          <w:sz w:val="20"/>
          <w:szCs w:val="20"/>
        </w:rPr>
        <w:t xml:space="preserve">Pour bénéficier de cette récupération, il y a lieu de déposer </w:t>
      </w:r>
      <w:r w:rsidRPr="008F397D">
        <w:rPr>
          <w:rFonts w:ascii="Verdana" w:eastAsia="Times New Roman" w:hAnsi="Verdana" w:cs="Tahoma"/>
          <w:b/>
          <w:bCs/>
          <w:sz w:val="20"/>
          <w:szCs w:val="20"/>
        </w:rPr>
        <w:t>avant le 1</w:t>
      </w:r>
      <w:r w:rsidRPr="008F397D">
        <w:rPr>
          <w:rFonts w:ascii="Verdana" w:eastAsia="Times New Roman" w:hAnsi="Verdana" w:cs="Tahoma"/>
          <w:b/>
          <w:bCs/>
          <w:sz w:val="20"/>
          <w:szCs w:val="20"/>
          <w:vertAlign w:val="superscript"/>
        </w:rPr>
        <w:t>er</w:t>
      </w:r>
      <w:r w:rsidRPr="008F397D">
        <w:rPr>
          <w:rFonts w:ascii="Verdana" w:eastAsia="Times New Roman" w:hAnsi="Verdana" w:cs="Tahoma"/>
          <w:b/>
          <w:bCs/>
          <w:sz w:val="20"/>
          <w:szCs w:val="20"/>
        </w:rPr>
        <w:t xml:space="preserve"> février 2014,</w:t>
      </w:r>
      <w:r w:rsidRPr="008F397D">
        <w:rPr>
          <w:rFonts w:ascii="Verdana" w:eastAsia="Times New Roman" w:hAnsi="Verdana" w:cs="Tahoma"/>
          <w:sz w:val="20"/>
          <w:szCs w:val="20"/>
        </w:rPr>
        <w:t xml:space="preserve"> au service local des impôts dont ils relèvent, </w:t>
      </w:r>
      <w:r w:rsidRPr="008F397D">
        <w:rPr>
          <w:rFonts w:ascii="Verdana" w:eastAsia="Times New Roman" w:hAnsi="Verdana" w:cs="Tahoma"/>
          <w:b/>
          <w:bCs/>
          <w:sz w:val="20"/>
          <w:szCs w:val="20"/>
        </w:rPr>
        <w:t>un relevé de déduction comportant la liste des factures d'achat des produits et services dont le paiement partiel ou total est effectué au cours du mois de décembre 2013.</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2-2-2 : Remboursement de TVA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Par dérogation aux dispositions de l'article 103 du C.G.I, </w:t>
      </w:r>
      <w:r w:rsidRPr="008F397D">
        <w:rPr>
          <w:rFonts w:ascii="Verdana" w:eastAsia="Times New Roman" w:hAnsi="Verdana" w:cs="Tahoma"/>
          <w:b/>
          <w:bCs/>
          <w:sz w:val="20"/>
          <w:szCs w:val="20"/>
        </w:rPr>
        <w:t>le crédit de taxe sur la valeur ajoutée,</w:t>
      </w:r>
      <w:r w:rsidRPr="008F397D">
        <w:rPr>
          <w:rFonts w:ascii="Verdana" w:eastAsia="Times New Roman" w:hAnsi="Verdana" w:cs="Tahoma"/>
          <w:sz w:val="20"/>
          <w:szCs w:val="20"/>
        </w:rPr>
        <w:t xml:space="preserve"> </w:t>
      </w:r>
      <w:r w:rsidRPr="008F397D">
        <w:rPr>
          <w:rFonts w:ascii="Verdana" w:eastAsia="Times New Roman" w:hAnsi="Verdana" w:cs="Tahoma"/>
          <w:b/>
          <w:bCs/>
          <w:sz w:val="20"/>
          <w:szCs w:val="20"/>
        </w:rPr>
        <w:t>cumulé à la date du 31 décembre 2013</w:t>
      </w:r>
      <w:r w:rsidRPr="008F397D">
        <w:rPr>
          <w:rFonts w:ascii="Verdana" w:eastAsia="Times New Roman" w:hAnsi="Verdana" w:cs="Tahoma"/>
          <w:sz w:val="20"/>
          <w:szCs w:val="20"/>
        </w:rPr>
        <w:t xml:space="preserve">, </w:t>
      </w:r>
      <w:r w:rsidRPr="008F397D">
        <w:rPr>
          <w:rFonts w:ascii="Verdana" w:eastAsia="Times New Roman" w:hAnsi="Verdana" w:cs="Tahoma"/>
          <w:sz w:val="20"/>
          <w:szCs w:val="20"/>
          <w:u w:val="single"/>
        </w:rPr>
        <w:t>est éligible au remboursement</w:t>
      </w:r>
      <w:r w:rsidRPr="008F397D">
        <w:rPr>
          <w:rFonts w:ascii="Verdana" w:eastAsia="Times New Roman" w:hAnsi="Verdana" w:cs="Tahoma"/>
          <w:sz w:val="20"/>
          <w:szCs w:val="20"/>
        </w:rPr>
        <w:t xml:space="preserve"> selon les conditions et les modalités fixées par </w:t>
      </w:r>
      <w:r w:rsidRPr="008F397D">
        <w:rPr>
          <w:rFonts w:ascii="Verdana" w:eastAsia="Times New Roman" w:hAnsi="Verdana" w:cs="Tahoma"/>
          <w:b/>
          <w:bCs/>
          <w:sz w:val="20"/>
          <w:szCs w:val="20"/>
        </w:rPr>
        <w:t>voie réglementaire</w:t>
      </w:r>
      <w:r w:rsidRPr="008F397D">
        <w:rPr>
          <w:rFonts w:ascii="Verdana" w:eastAsia="Times New Roman" w:hAnsi="Verdana" w:cs="Tahoma"/>
          <w:sz w:val="20"/>
          <w:szCs w:val="20"/>
        </w:rPr>
        <w:t xml:space="preserve"> précisant le mode, le calendrier ainsi que les plafonds des crédits. Il s'agit du crédit né à compter du </w:t>
      </w:r>
      <w:r w:rsidRPr="008F397D">
        <w:rPr>
          <w:rFonts w:ascii="Verdana" w:eastAsia="Times New Roman" w:hAnsi="Verdana" w:cs="Tahoma"/>
          <w:b/>
          <w:bCs/>
          <w:sz w:val="20"/>
          <w:szCs w:val="20"/>
        </w:rPr>
        <w:t>1</w:t>
      </w:r>
      <w:r w:rsidRPr="008F397D">
        <w:rPr>
          <w:rFonts w:ascii="Verdana" w:eastAsia="Times New Roman" w:hAnsi="Verdana" w:cs="Tahoma"/>
          <w:b/>
          <w:bCs/>
          <w:sz w:val="20"/>
          <w:szCs w:val="20"/>
          <w:vertAlign w:val="superscript"/>
        </w:rPr>
        <w:t>er</w:t>
      </w:r>
      <w:r w:rsidRPr="008F397D">
        <w:rPr>
          <w:rFonts w:ascii="Verdana" w:eastAsia="Times New Roman" w:hAnsi="Verdana" w:cs="Tahoma"/>
          <w:b/>
          <w:bCs/>
          <w:sz w:val="20"/>
          <w:szCs w:val="20"/>
        </w:rPr>
        <w:t xml:space="preserve"> janvier 2004</w:t>
      </w:r>
      <w:r w:rsidRPr="008F397D">
        <w:rPr>
          <w:rFonts w:ascii="Verdana" w:eastAsia="Times New Roman" w:hAnsi="Verdana" w:cs="Tahoma"/>
          <w:sz w:val="20"/>
          <w:szCs w:val="20"/>
        </w:rPr>
        <w:t xml:space="preserve">. Les entreprises concernées doivent dans </w:t>
      </w:r>
      <w:r w:rsidRPr="008F397D">
        <w:rPr>
          <w:rFonts w:ascii="Verdana" w:eastAsia="Times New Roman" w:hAnsi="Verdana" w:cs="Tahoma"/>
          <w:b/>
          <w:bCs/>
          <w:sz w:val="20"/>
          <w:szCs w:val="20"/>
        </w:rPr>
        <w:t>les 2 mois</w:t>
      </w:r>
      <w:r w:rsidRPr="008F397D">
        <w:rPr>
          <w:rFonts w:ascii="Verdana" w:eastAsia="Times New Roman" w:hAnsi="Verdana" w:cs="Tahoma"/>
          <w:sz w:val="20"/>
          <w:szCs w:val="20"/>
        </w:rPr>
        <w:t xml:space="preserve"> </w:t>
      </w:r>
      <w:r w:rsidRPr="008F397D">
        <w:rPr>
          <w:rFonts w:ascii="Verdana" w:eastAsia="Times New Roman" w:hAnsi="Verdana" w:cs="Tahoma"/>
          <w:b/>
          <w:bCs/>
          <w:sz w:val="20"/>
          <w:szCs w:val="20"/>
        </w:rPr>
        <w:t>qui suivent celui de la publication au Bulletin officiel du décret</w:t>
      </w:r>
      <w:r w:rsidRPr="008F397D">
        <w:rPr>
          <w:rFonts w:ascii="Verdana" w:eastAsia="Times New Roman" w:hAnsi="Verdana" w:cs="Tahoma"/>
          <w:sz w:val="20"/>
          <w:szCs w:val="20"/>
        </w:rPr>
        <w:t xml:space="preserve"> déposer une demande de remboursement du crédit de taxe et doit procéder à l'annulation du crédit de taxe au titre de la déclaration de chiffre d'affaires qui suit le mois ou le trimestre du dépôt de la demande.</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2-2-3 : Retenue à la source de la TVA due au titre des opérations effectuées par les non-résidents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Les articles 115 et 117 du C.G.I ont été modifiés et ont précisé que le client d'une personne non résidente, exclue du champ d'application de la TVA, est tenu de procéder au recouvrement de ladite taxe due au nom et pour le compte de la personne non résidente par voie de retenue à la source.</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En revanche lorsque le client de la personne non-résidente est passible de la TVA, il doit déclarer le montant HT de l'opération sur sa propre déclaration de la TVA, calculer la TVA exigible et procéder en même temps à la déduction du montant de ladite taxe ainsi déclarée.</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2-3 : Dispositions communes à l'I.S et à l'I.R au titre des revenus professionnels et agricoles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 montant minimum de la cotisation minimale a été porté à </w:t>
      </w:r>
      <w:r w:rsidRPr="008F397D">
        <w:rPr>
          <w:rFonts w:ascii="Verdana" w:eastAsia="Times New Roman" w:hAnsi="Verdana" w:cs="Tahoma"/>
          <w:b/>
          <w:bCs/>
          <w:sz w:val="20"/>
          <w:szCs w:val="20"/>
        </w:rPr>
        <w:t>3.000 dhs pour les contribuables soumis à l'I.S</w:t>
      </w:r>
      <w:r w:rsidRPr="008F397D">
        <w:rPr>
          <w:rFonts w:ascii="Verdana" w:eastAsia="Times New Roman" w:hAnsi="Verdana" w:cs="Tahoma"/>
          <w:sz w:val="20"/>
          <w:szCs w:val="20"/>
        </w:rPr>
        <w:t xml:space="preserve"> ( alors que le montant minimum était de 1.500 dhs avant l'entrée de la LF 2014).  Pour </w:t>
      </w:r>
      <w:r w:rsidRPr="008F397D">
        <w:rPr>
          <w:rFonts w:ascii="Verdana" w:eastAsia="Times New Roman" w:hAnsi="Verdana" w:cs="Tahoma"/>
          <w:b/>
          <w:bCs/>
          <w:sz w:val="20"/>
          <w:szCs w:val="20"/>
        </w:rPr>
        <w:t>les contribuables soumis à l'I.R</w:t>
      </w:r>
      <w:r w:rsidRPr="008F397D">
        <w:rPr>
          <w:rFonts w:ascii="Verdana" w:eastAsia="Times New Roman" w:hAnsi="Verdana" w:cs="Tahoma"/>
          <w:sz w:val="20"/>
          <w:szCs w:val="20"/>
        </w:rPr>
        <w:t xml:space="preserve"> :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au titre des revenus professionnels déterminés selon le régime du résultat net réel ou celui du résultat net simplifié </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lastRenderedPageBreak/>
        <w:t xml:space="preserve">- au titre des revenus agricoles déterminés d'après le régime du résultat net réel, </w:t>
      </w:r>
    </w:p>
    <w:p w:rsidR="008F397D" w:rsidRPr="008F397D" w:rsidRDefault="008F397D" w:rsidP="008F397D">
      <w:pPr>
        <w:overflowPunct w:val="0"/>
        <w:autoSpaceDN w:val="0"/>
        <w:spacing w:after="0" w:line="240" w:lineRule="auto"/>
        <w:ind w:left="540"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 montant minimum de la cotisation minimale ne peut être inférieur à </w:t>
      </w:r>
      <w:r w:rsidRPr="008F397D">
        <w:rPr>
          <w:rFonts w:ascii="Verdana" w:eastAsia="Times New Roman" w:hAnsi="Verdana" w:cs="Tahoma"/>
          <w:b/>
          <w:bCs/>
          <w:sz w:val="20"/>
          <w:szCs w:val="20"/>
        </w:rPr>
        <w:t>1.500 dhs.</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2-4 : Télédéclaration et télépaiement :</w:t>
      </w:r>
    </w:p>
    <w:p w:rsidR="008F397D" w:rsidRPr="008F397D" w:rsidRDefault="008F397D" w:rsidP="008F397D">
      <w:pPr>
        <w:overflowPunct w:val="0"/>
        <w:autoSpaceDN w:val="0"/>
        <w:spacing w:after="0" w:line="240" w:lineRule="auto"/>
        <w:ind w:right="-4"/>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Les contribuables exerçant </w:t>
      </w:r>
      <w:r w:rsidRPr="008F397D">
        <w:rPr>
          <w:rFonts w:ascii="Verdana" w:eastAsia="Times New Roman" w:hAnsi="Verdana" w:cs="Tahoma"/>
          <w:b/>
          <w:bCs/>
          <w:sz w:val="20"/>
          <w:szCs w:val="20"/>
        </w:rPr>
        <w:t>des professions libérales dont la liste est fixée par voie réglementaire</w:t>
      </w:r>
      <w:r w:rsidRPr="008F397D">
        <w:rPr>
          <w:rFonts w:ascii="Verdana" w:eastAsia="Times New Roman" w:hAnsi="Verdana" w:cs="Tahoma"/>
          <w:sz w:val="20"/>
          <w:szCs w:val="20"/>
        </w:rPr>
        <w:t xml:space="preserve"> doivent obligatoirement souscrire par procédé électronique les déclarations prévues par le C.G.I. De même qu'ils doivent également verser par procédé électronique le montant de l'impôt et les versements prévus par le C.G.I.</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2-5 : Secret professionnel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L'article 246 prévoit que le secret professionnel est levé au profit de l'Administration des Douanes et des Impôts Indirects, de la Trésorerie Générale du Royaume, de l'Office des Changes et de la Caisse Nationale de Sécurité Sociale.</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2-6 : Dispositions transitoires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Avantages accordés aux bailleurs de logements sociaux (article 247-XVI-B bis)</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Suppression de l'obligation de produire un cahier des charges en ce qui concerne la première année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Avantages accordés aux acquéreurs de logements destinés à la classe moyenne (article 247-XXII-A)</w:t>
      </w:r>
    </w:p>
    <w:p w:rsidR="008F397D" w:rsidRPr="008F397D" w:rsidRDefault="008F397D" w:rsidP="008F397D">
      <w:pPr>
        <w:spacing w:after="0" w:line="240" w:lineRule="auto"/>
        <w:ind w:left="550" w:right="58"/>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b/>
          <w:bCs/>
          <w:sz w:val="20"/>
          <w:szCs w:val="20"/>
        </w:rPr>
        <w:t> -</w:t>
      </w:r>
      <w:r w:rsidRPr="008F397D">
        <w:rPr>
          <w:rFonts w:ascii="Verdana" w:eastAsia="Times New Roman" w:hAnsi="Verdana" w:cs="Tahoma"/>
          <w:sz w:val="20"/>
          <w:szCs w:val="20"/>
        </w:rPr>
        <w:t xml:space="preserve"> le prix de vente du mètre carré couvert doit s'entendre HT et non TTC</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spacing w:after="0" w:line="240" w:lineRule="auto"/>
        <w:ind w:right="58"/>
        <w:jc w:val="both"/>
        <w:rPr>
          <w:rFonts w:ascii="Verdana" w:eastAsia="Times New Roman" w:hAnsi="Verdana" w:cs="Times New Roman"/>
          <w:sz w:val="20"/>
          <w:szCs w:val="20"/>
        </w:rPr>
      </w:pPr>
      <w:r w:rsidRPr="008F397D">
        <w:rPr>
          <w:rFonts w:ascii="Verdana" w:eastAsia="Times New Roman" w:hAnsi="Verdana" w:cs="Tahoma"/>
          <w:b/>
          <w:bCs/>
          <w:sz w:val="20"/>
          <w:szCs w:val="20"/>
        </w:rPr>
        <w:t>-</w:t>
      </w:r>
      <w:r w:rsidRPr="008F397D">
        <w:rPr>
          <w:rFonts w:ascii="Verdana" w:eastAsia="Times New Roman" w:hAnsi="Verdana" w:cs="Tahoma"/>
          <w:sz w:val="20"/>
          <w:szCs w:val="20"/>
        </w:rPr>
        <w:t xml:space="preserve"> la superficie couverte doit être comprise entre 80 et 150 mètres carrés au lieu de 80 et 120 mètres carrés.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spacing w:after="0" w:line="240" w:lineRule="auto"/>
        <w:ind w:right="58"/>
        <w:jc w:val="both"/>
        <w:rPr>
          <w:rFonts w:ascii="Verdana" w:eastAsia="Times New Roman" w:hAnsi="Verdana" w:cs="Times New Roman"/>
          <w:sz w:val="20"/>
          <w:szCs w:val="20"/>
        </w:rPr>
      </w:pPr>
      <w:r w:rsidRPr="008F397D">
        <w:rPr>
          <w:rFonts w:ascii="Verdana" w:eastAsia="Times New Roman" w:hAnsi="Verdana" w:cs="Tahoma"/>
          <w:b/>
          <w:bCs/>
          <w:sz w:val="20"/>
          <w:szCs w:val="20"/>
        </w:rPr>
        <w:t>Institution d'avantages fiscaux accordés suite à l'apport de l'ensemble des titres de capital par des personnes physiques à une société holding résidente soumise à l'IS ( article 247-XXIV)</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b/>
          <w:bCs/>
          <w:sz w:val="20"/>
          <w:szCs w:val="20"/>
        </w:rPr>
        <w:t>Personnes concernées :</w:t>
      </w:r>
      <w:r w:rsidRPr="008F397D">
        <w:rPr>
          <w:rFonts w:ascii="Verdana" w:eastAsia="Times New Roman" w:hAnsi="Verdana" w:cs="Tahoma"/>
          <w:sz w:val="20"/>
          <w:szCs w:val="20"/>
        </w:rPr>
        <w:t xml:space="preserve"> personnes physiques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spacing w:after="0" w:line="240" w:lineRule="auto"/>
        <w:ind w:right="58"/>
        <w:jc w:val="both"/>
        <w:rPr>
          <w:rFonts w:ascii="Verdana" w:eastAsia="Times New Roman" w:hAnsi="Verdana" w:cs="Times New Roman"/>
          <w:sz w:val="20"/>
          <w:szCs w:val="20"/>
        </w:rPr>
      </w:pPr>
      <w:r w:rsidRPr="008F397D">
        <w:rPr>
          <w:rFonts w:ascii="Verdana" w:eastAsia="Times New Roman" w:hAnsi="Verdana" w:cs="Tahoma"/>
          <w:b/>
          <w:bCs/>
          <w:sz w:val="20"/>
          <w:szCs w:val="20"/>
        </w:rPr>
        <w:t>Modalités :</w:t>
      </w:r>
      <w:r w:rsidRPr="008F397D">
        <w:rPr>
          <w:rFonts w:ascii="Verdana" w:eastAsia="Times New Roman" w:hAnsi="Verdana" w:cs="Tahoma"/>
          <w:sz w:val="20"/>
          <w:szCs w:val="20"/>
        </w:rPr>
        <w:t xml:space="preserve"> par voie d'apport de l'ensemble des titres de capital détenus dans une ou plusieurs sociétés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b/>
          <w:bCs/>
          <w:sz w:val="20"/>
          <w:szCs w:val="20"/>
        </w:rPr>
        <w:t>Bénéficiaire :</w:t>
      </w:r>
      <w:r w:rsidRPr="008F397D">
        <w:rPr>
          <w:rFonts w:ascii="Verdana" w:eastAsia="Times New Roman" w:hAnsi="Verdana" w:cs="Tahoma"/>
          <w:sz w:val="20"/>
          <w:szCs w:val="20"/>
        </w:rPr>
        <w:t xml:space="preserve"> société holding résidente soumise à l'impôt sur les sociétés, </w:t>
      </w:r>
    </w:p>
    <w:p w:rsidR="008F397D" w:rsidRPr="008F397D" w:rsidRDefault="008F397D" w:rsidP="008F397D">
      <w:pPr>
        <w:spacing w:after="0" w:line="240" w:lineRule="auto"/>
        <w:ind w:right="58"/>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spacing w:after="0" w:line="240" w:lineRule="auto"/>
        <w:ind w:right="58"/>
        <w:jc w:val="both"/>
        <w:rPr>
          <w:rFonts w:ascii="Verdana" w:eastAsia="Times New Roman" w:hAnsi="Verdana" w:cs="Times New Roman"/>
          <w:sz w:val="20"/>
          <w:szCs w:val="20"/>
        </w:rPr>
      </w:pPr>
      <w:r w:rsidRPr="008F397D">
        <w:rPr>
          <w:rFonts w:ascii="Verdana" w:eastAsia="Times New Roman" w:hAnsi="Verdana" w:cs="Tahoma"/>
          <w:b/>
          <w:bCs/>
          <w:sz w:val="20"/>
          <w:szCs w:val="20"/>
        </w:rPr>
        <w:t>Avantages :</w:t>
      </w:r>
      <w:r w:rsidRPr="008F397D">
        <w:rPr>
          <w:rFonts w:ascii="Verdana" w:eastAsia="Times New Roman" w:hAnsi="Verdana" w:cs="Tahoma"/>
          <w:sz w:val="20"/>
          <w:szCs w:val="20"/>
        </w:rPr>
        <w:t xml:space="preserve"> non imposition au titre de la plus-value nette réalisée suite à l'apport, sous réserve du respect des conditions suivantes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bl>
      <w:tblPr>
        <w:tblW w:w="0" w:type="auto"/>
        <w:tblCellMar>
          <w:left w:w="0" w:type="dxa"/>
          <w:right w:w="0" w:type="dxa"/>
        </w:tblCellMar>
        <w:tblLook w:val="04A0"/>
      </w:tblPr>
      <w:tblGrid>
        <w:gridCol w:w="4606"/>
        <w:gridCol w:w="4606"/>
      </w:tblGrid>
      <w:tr w:rsidR="008F397D" w:rsidRPr="008F397D" w:rsidTr="008F397D">
        <w:tc>
          <w:tcPr>
            <w:tcW w:w="46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Conditions à respecter pour la non imposition de la plus-value nette réalisée suite à l'apport par des personnes physiques de l'ensemble de leurs titres de capital à une société </w:t>
            </w:r>
            <w:r w:rsidRPr="008F397D">
              <w:rPr>
                <w:rFonts w:ascii="Verdana" w:eastAsia="Times New Roman" w:hAnsi="Verdana" w:cs="Tahoma"/>
                <w:b/>
                <w:bCs/>
                <w:sz w:val="20"/>
                <w:szCs w:val="20"/>
              </w:rPr>
              <w:lastRenderedPageBreak/>
              <w:t>holding résidente soumise à l'I.S</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lastRenderedPageBreak/>
              <w:t>1/</w:t>
            </w:r>
            <w:r w:rsidRPr="008F397D">
              <w:rPr>
                <w:rFonts w:ascii="Verdana" w:eastAsia="Times New Roman" w:hAnsi="Verdana" w:cs="Tahoma"/>
                <w:sz w:val="20"/>
                <w:szCs w:val="20"/>
              </w:rPr>
              <w:t xml:space="preserve">apport doit être effectué entre le </w:t>
            </w:r>
            <w:r w:rsidRPr="008F397D">
              <w:rPr>
                <w:rFonts w:ascii="Verdana" w:eastAsia="Times New Roman" w:hAnsi="Verdana" w:cs="Tahoma"/>
                <w:b/>
                <w:bCs/>
                <w:sz w:val="20"/>
                <w:szCs w:val="20"/>
              </w:rPr>
              <w:t>1</w:t>
            </w:r>
            <w:r w:rsidRPr="008F397D">
              <w:rPr>
                <w:rFonts w:ascii="Verdana" w:eastAsia="Times New Roman" w:hAnsi="Verdana" w:cs="Tahoma"/>
                <w:b/>
                <w:bCs/>
                <w:sz w:val="20"/>
                <w:szCs w:val="20"/>
                <w:vertAlign w:val="superscript"/>
              </w:rPr>
              <w:t>er</w:t>
            </w:r>
            <w:r w:rsidRPr="008F397D">
              <w:rPr>
                <w:rFonts w:ascii="Verdana" w:eastAsia="Times New Roman" w:hAnsi="Verdana" w:cs="Tahoma"/>
                <w:b/>
                <w:bCs/>
                <w:sz w:val="20"/>
                <w:szCs w:val="20"/>
              </w:rPr>
              <w:t xml:space="preserve"> janvier 2014 et le 31 décembre 2015</w:t>
            </w:r>
          </w:p>
        </w:tc>
      </w:tr>
      <w:tr w:rsidR="008F397D" w:rsidRPr="008F397D" w:rsidTr="008F397D">
        <w:tc>
          <w:tcPr>
            <w:tcW w:w="0" w:type="auto"/>
            <w:vMerge/>
            <w:tcBorders>
              <w:top w:val="single" w:sz="8" w:space="0" w:color="auto"/>
              <w:left w:val="single" w:sz="8" w:space="0" w:color="auto"/>
              <w:bottom w:val="single" w:sz="8" w:space="0" w:color="auto"/>
              <w:right w:val="single" w:sz="8" w:space="0" w:color="auto"/>
            </w:tcBorders>
            <w:vAlign w:val="center"/>
            <w:hideMark/>
          </w:tcPr>
          <w:p w:rsidR="008F397D" w:rsidRPr="008F397D" w:rsidRDefault="008F397D" w:rsidP="008F397D">
            <w:pPr>
              <w:spacing w:after="0" w:line="240" w:lineRule="auto"/>
              <w:rPr>
                <w:rFonts w:ascii="Verdana" w:eastAsia="Times New Roman" w:hAnsi="Verdana" w:cs="Times New Roman"/>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w:t>
            </w:r>
            <w:r w:rsidRPr="008F397D">
              <w:rPr>
                <w:rFonts w:ascii="Verdana" w:eastAsia="Times New Roman" w:hAnsi="Verdana" w:cs="Tahoma"/>
                <w:sz w:val="20"/>
                <w:szCs w:val="20"/>
              </w:rPr>
              <w:t>titres de capital apportés doivent être évalués par un commissaire aux apports</w:t>
            </w:r>
          </w:p>
        </w:tc>
      </w:tr>
      <w:tr w:rsidR="008F397D" w:rsidRPr="008F397D" w:rsidTr="008F397D">
        <w:tc>
          <w:tcPr>
            <w:tcW w:w="0" w:type="auto"/>
            <w:vMerge/>
            <w:tcBorders>
              <w:top w:val="single" w:sz="8" w:space="0" w:color="auto"/>
              <w:left w:val="single" w:sz="8" w:space="0" w:color="auto"/>
              <w:bottom w:val="single" w:sz="8" w:space="0" w:color="auto"/>
              <w:right w:val="single" w:sz="8" w:space="0" w:color="auto"/>
            </w:tcBorders>
            <w:vAlign w:val="center"/>
            <w:hideMark/>
          </w:tcPr>
          <w:p w:rsidR="008F397D" w:rsidRPr="008F397D" w:rsidRDefault="008F397D" w:rsidP="008F397D">
            <w:pPr>
              <w:spacing w:after="0" w:line="240" w:lineRule="auto"/>
              <w:rPr>
                <w:rFonts w:ascii="Verdana" w:eastAsia="Times New Roman" w:hAnsi="Verdana" w:cs="Times New Roman"/>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3/</w:t>
            </w:r>
            <w:r w:rsidRPr="008F397D">
              <w:rPr>
                <w:rFonts w:ascii="Verdana" w:eastAsia="Times New Roman" w:hAnsi="Verdana" w:cs="Tahoma"/>
                <w:sz w:val="20"/>
                <w:szCs w:val="20"/>
              </w:rPr>
              <w:t xml:space="preserve">la société bénéficiaire de l'apport s'engage dans l'acte d'apport à conserver les titres reçus pendant une durée d'au moins 4 ans. En cas de cession au-delà de la période de 4 ans, la plus-value nette est déterminée par la différence entre le prix de cession et la valeur des titres au </w:t>
            </w:r>
            <w:r w:rsidRPr="008F397D">
              <w:rPr>
                <w:rFonts w:ascii="Verdana" w:eastAsia="Times New Roman" w:hAnsi="Verdana" w:cs="Tahoma"/>
                <w:sz w:val="20"/>
                <w:szCs w:val="20"/>
              </w:rPr>
              <w:lastRenderedPageBreak/>
              <w:t>moment de l'apport</w:t>
            </w:r>
          </w:p>
        </w:tc>
      </w:tr>
      <w:tr w:rsidR="008F397D" w:rsidRPr="008F397D" w:rsidTr="008F397D">
        <w:tc>
          <w:tcPr>
            <w:tcW w:w="0" w:type="auto"/>
            <w:vMerge/>
            <w:tcBorders>
              <w:top w:val="single" w:sz="8" w:space="0" w:color="auto"/>
              <w:left w:val="single" w:sz="8" w:space="0" w:color="auto"/>
              <w:bottom w:val="single" w:sz="8" w:space="0" w:color="auto"/>
              <w:right w:val="single" w:sz="8" w:space="0" w:color="auto"/>
            </w:tcBorders>
            <w:vAlign w:val="center"/>
            <w:hideMark/>
          </w:tcPr>
          <w:p w:rsidR="008F397D" w:rsidRPr="008F397D" w:rsidRDefault="008F397D" w:rsidP="008F397D">
            <w:pPr>
              <w:spacing w:after="0" w:line="240" w:lineRule="auto"/>
              <w:rPr>
                <w:rFonts w:ascii="Verdana" w:eastAsia="Times New Roman" w:hAnsi="Verdana" w:cs="Times New Roman"/>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4/</w:t>
            </w:r>
            <w:r w:rsidRPr="008F397D">
              <w:rPr>
                <w:rFonts w:ascii="Verdana" w:eastAsia="Times New Roman" w:hAnsi="Verdana" w:cs="Tahoma"/>
                <w:sz w:val="20"/>
                <w:szCs w:val="20"/>
              </w:rPr>
              <w:t>la personne physique ayant procédé à l'apport de l'ensemble de ses titres de capital s'engage dans l'acte d'apport à payer l'impôt sur le revenu au titre de la plus-value nette résultant de l'opération d'apport, lors de la cession partielle ou totale ultérieure des titres reçus en contrepartie de l'opération d'apport.</w:t>
            </w:r>
          </w:p>
          <w:p w:rsidR="008F397D" w:rsidRPr="008F397D" w:rsidRDefault="008F397D" w:rsidP="008F397D">
            <w:pPr>
              <w:overflowPunct w:val="0"/>
              <w:autoSpaceDN w:val="0"/>
              <w:spacing w:after="0" w:line="240" w:lineRule="auto"/>
              <w:ind w:right="400"/>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r>
    </w:tbl>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2-7 : Taxe sur les véhicules dont la valeur hors taxe est supérieure à 400.000 dhs (article 252)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La loi de finances 2014 a institué une taxe</w:t>
      </w:r>
      <w:r w:rsidRPr="008F397D">
        <w:rPr>
          <w:rFonts w:ascii="Verdana" w:eastAsia="Times New Roman" w:hAnsi="Verdana" w:cs="Tahoma"/>
          <w:sz w:val="20"/>
          <w:szCs w:val="20"/>
        </w:rPr>
        <w:t xml:space="preserve">, lors de leur première immatriculation au Maroc, sur les véhicules à moteur assujettis à la taxe spéciale annuelle sur les véhicules automobiles, aux taux ci-après </w:t>
      </w:r>
    </w:p>
    <w:p w:rsidR="008F397D" w:rsidRPr="008F397D" w:rsidRDefault="008F397D" w:rsidP="008F397D">
      <w:pPr>
        <w:overflowPunct w:val="0"/>
        <w:autoSpaceDN w:val="0"/>
        <w:spacing w:after="0" w:line="240" w:lineRule="auto"/>
        <w:ind w:left="36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bl>
      <w:tblPr>
        <w:tblW w:w="0" w:type="auto"/>
        <w:tblInd w:w="523" w:type="dxa"/>
        <w:tblCellMar>
          <w:left w:w="0" w:type="dxa"/>
          <w:right w:w="0" w:type="dxa"/>
        </w:tblCellMar>
        <w:tblLook w:val="04A0"/>
      </w:tblPr>
      <w:tblGrid>
        <w:gridCol w:w="4928"/>
        <w:gridCol w:w="1550"/>
      </w:tblGrid>
      <w:tr w:rsidR="008F397D" w:rsidRPr="008F397D" w:rsidTr="008F397D">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Valeur du véhicule, hors taxe sur la valeur ajoutée</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Taux</w:t>
            </w:r>
          </w:p>
        </w:tc>
      </w:tr>
      <w:tr w:rsidR="008F397D" w:rsidRPr="008F397D" w:rsidTr="008F397D">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De 400 000 à 600 000 DH</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5%</w:t>
            </w:r>
          </w:p>
        </w:tc>
      </w:tr>
      <w:tr w:rsidR="008F397D" w:rsidRPr="008F397D" w:rsidTr="008F397D">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De 600 001 à 800 000 DH</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10%</w:t>
            </w:r>
          </w:p>
        </w:tc>
      </w:tr>
      <w:tr w:rsidR="008F397D" w:rsidRPr="008F397D" w:rsidTr="008F397D">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De 800 001 à 1 000 000 DH</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15%</w:t>
            </w:r>
          </w:p>
        </w:tc>
      </w:tr>
      <w:tr w:rsidR="008F397D" w:rsidRPr="008F397D" w:rsidTr="008F397D">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Supérieur à 1 000 000 DH</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sz w:val="20"/>
                <w:szCs w:val="20"/>
              </w:rPr>
              <w:t>20%</w:t>
            </w:r>
          </w:p>
        </w:tc>
      </w:tr>
    </w:tbl>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2-8 : Régime de l'auto entrepreneur : (articles 42 bis, 42 ter, 82 bis)</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Les personnes physiques exerçant une activité professionnelle à titre individuel en tant qu'auto-entrepreneurs sont soumises à l'impôt sur le revenu en appliquant, au chiffre d'affaires annuel encaissé selon l'un des taux suivants libératoires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bl>
      <w:tblPr>
        <w:tblW w:w="0" w:type="auto"/>
        <w:tblCellMar>
          <w:left w:w="0" w:type="dxa"/>
          <w:right w:w="0" w:type="dxa"/>
        </w:tblCellMar>
        <w:tblLook w:val="04A0"/>
      </w:tblPr>
      <w:tblGrid>
        <w:gridCol w:w="4606"/>
        <w:gridCol w:w="4606"/>
      </w:tblGrid>
      <w:tr w:rsidR="008F397D" w:rsidRPr="008F397D" w:rsidTr="008F397D">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activités commerciales, industrielles et artisanales</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1 %</w:t>
            </w:r>
            <w:r w:rsidRPr="008F397D">
              <w:rPr>
                <w:rFonts w:ascii="Verdana" w:eastAsia="Times New Roman" w:hAnsi="Verdana" w:cs="Tahoma"/>
                <w:sz w:val="20"/>
                <w:szCs w:val="20"/>
              </w:rPr>
              <w:t xml:space="preserve"> du chiffre d'affaires encaissé et dont le montant ne dépasse pas </w:t>
            </w:r>
            <w:r w:rsidRPr="008F397D">
              <w:rPr>
                <w:rFonts w:ascii="Verdana" w:eastAsia="Times New Roman" w:hAnsi="Verdana" w:cs="Tahoma"/>
                <w:b/>
                <w:bCs/>
                <w:sz w:val="20"/>
                <w:szCs w:val="20"/>
              </w:rPr>
              <w:t>500.000 dirhams</w:t>
            </w:r>
          </w:p>
        </w:tc>
      </w:tr>
      <w:tr w:rsidR="008F397D" w:rsidRPr="008F397D" w:rsidTr="008F397D">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prestataires de services.</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2 %</w:t>
            </w:r>
            <w:r w:rsidRPr="008F397D">
              <w:rPr>
                <w:rFonts w:ascii="Verdana" w:eastAsia="Times New Roman" w:hAnsi="Verdana" w:cs="Tahoma"/>
                <w:sz w:val="20"/>
                <w:szCs w:val="20"/>
              </w:rPr>
              <w:t xml:space="preserve"> du chiffre d'affaires encaissé et dont le montant ne dépasse pas </w:t>
            </w:r>
            <w:r w:rsidRPr="008F397D">
              <w:rPr>
                <w:rFonts w:ascii="Verdana" w:eastAsia="Times New Roman" w:hAnsi="Verdana" w:cs="Tahoma"/>
                <w:b/>
                <w:bCs/>
                <w:sz w:val="20"/>
                <w:szCs w:val="20"/>
              </w:rPr>
              <w:t>200.000 dirhams</w:t>
            </w:r>
          </w:p>
        </w:tc>
      </w:tr>
    </w:tbl>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Le contribuable soumis à l'impôt sous le régime de l'auto-entrepreneur est tenu de déclarer mensuellement ou trimestriellement son chiffre d'affaires encaissé. Le versement de l'impôt doit être effectué auprès d'un organisme désigné à cet effet. </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V - Institution d'une taxe aérienne pour la solidarité et la promotion touristique</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A compter du </w:t>
      </w:r>
      <w:r w:rsidRPr="008F397D">
        <w:rPr>
          <w:rFonts w:ascii="Verdana" w:eastAsia="Times New Roman" w:hAnsi="Verdana" w:cs="Tahoma"/>
          <w:b/>
          <w:bCs/>
          <w:sz w:val="20"/>
          <w:szCs w:val="20"/>
        </w:rPr>
        <w:t>1</w:t>
      </w:r>
      <w:r w:rsidRPr="008F397D">
        <w:rPr>
          <w:rFonts w:ascii="Verdana" w:eastAsia="Times New Roman" w:hAnsi="Verdana" w:cs="Tahoma"/>
          <w:b/>
          <w:bCs/>
          <w:sz w:val="20"/>
          <w:szCs w:val="20"/>
          <w:vertAlign w:val="superscript"/>
        </w:rPr>
        <w:t>er</w:t>
      </w:r>
      <w:r w:rsidRPr="008F397D">
        <w:rPr>
          <w:rFonts w:ascii="Verdana" w:eastAsia="Times New Roman" w:hAnsi="Verdana" w:cs="Tahoma"/>
          <w:b/>
          <w:bCs/>
          <w:sz w:val="20"/>
          <w:szCs w:val="20"/>
        </w:rPr>
        <w:t xml:space="preserve"> avril 2014</w:t>
      </w:r>
      <w:r w:rsidRPr="008F397D">
        <w:rPr>
          <w:rFonts w:ascii="Verdana" w:eastAsia="Times New Roman" w:hAnsi="Verdana" w:cs="Tahoma"/>
          <w:sz w:val="20"/>
          <w:szCs w:val="20"/>
        </w:rPr>
        <w:t xml:space="preserve">, il est institué une taxe sur les billets d'avion, quelle qu'en soit la forme, supportée par les voyageurs en plus du prix des billets. Cette taxe est appliquée aux billets d'avions concernant les vols </w:t>
      </w:r>
      <w:r w:rsidRPr="008F397D">
        <w:rPr>
          <w:rFonts w:ascii="Verdana" w:eastAsia="Times New Roman" w:hAnsi="Verdana" w:cs="Tahoma"/>
          <w:b/>
          <w:bCs/>
          <w:sz w:val="20"/>
          <w:szCs w:val="20"/>
        </w:rPr>
        <w:t>en partance des aéroports marocains</w:t>
      </w:r>
      <w:r w:rsidRPr="008F397D">
        <w:rPr>
          <w:rFonts w:ascii="Verdana" w:eastAsia="Times New Roman" w:hAnsi="Verdana" w:cs="Tahoma"/>
          <w:sz w:val="20"/>
          <w:szCs w:val="20"/>
        </w:rPr>
        <w:t>.</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Ne sont pas assujettis à la taxe principalement :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les membres de l'équipage responsables du vol, les agents de sûreté ou de police et les responsables du fret;</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les enfants de moins de 2 ans;</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lastRenderedPageBreak/>
        <w:t>- les passagers transitant par les aéroports marocains, dont la durée d'arrêt ne dépasse pas 24 heures.</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Le tarif de la taxe est appliqué comme suit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bl>
      <w:tblPr>
        <w:tblW w:w="0" w:type="auto"/>
        <w:tblCellMar>
          <w:left w:w="0" w:type="dxa"/>
          <w:right w:w="0" w:type="dxa"/>
        </w:tblCellMar>
        <w:tblLook w:val="04A0"/>
      </w:tblPr>
      <w:tblGrid>
        <w:gridCol w:w="4606"/>
        <w:gridCol w:w="4606"/>
      </w:tblGrid>
      <w:tr w:rsidR="008F397D" w:rsidRPr="008F397D" w:rsidTr="008F397D">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billets de la classe économique</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100 dhs</w:t>
            </w:r>
          </w:p>
        </w:tc>
      </w:tr>
      <w:tr w:rsidR="008F397D" w:rsidRPr="008F397D" w:rsidTr="008F397D">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pour la première classe / classe affaires</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400 dhs</w:t>
            </w:r>
          </w:p>
        </w:tc>
      </w:tr>
    </w:tbl>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VI - Contribution libératoire au titre des avoirs et liquidités détenus à l'étranger</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i/>
          <w:iCs/>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Il est institué une contribution libératoire au titre </w:t>
      </w:r>
      <w:r w:rsidRPr="008F397D">
        <w:rPr>
          <w:rFonts w:ascii="Verdana" w:eastAsia="Times New Roman" w:hAnsi="Verdana" w:cs="Tahoma"/>
          <w:b/>
          <w:bCs/>
          <w:sz w:val="20"/>
          <w:szCs w:val="20"/>
        </w:rPr>
        <w:t>des avoirs et liquidités détenus à l'étranger</w:t>
      </w:r>
      <w:r w:rsidRPr="008F397D">
        <w:rPr>
          <w:rFonts w:ascii="Verdana" w:eastAsia="Times New Roman" w:hAnsi="Verdana" w:cs="Tahoma"/>
          <w:sz w:val="20"/>
          <w:szCs w:val="20"/>
        </w:rPr>
        <w:t xml:space="preserve"> avant le </w:t>
      </w:r>
      <w:r w:rsidRPr="008F397D">
        <w:rPr>
          <w:rFonts w:ascii="Verdana" w:eastAsia="Times New Roman" w:hAnsi="Verdana" w:cs="Tahoma"/>
          <w:b/>
          <w:bCs/>
          <w:sz w:val="20"/>
          <w:szCs w:val="20"/>
        </w:rPr>
        <w:t>1</w:t>
      </w:r>
      <w:r w:rsidRPr="008F397D">
        <w:rPr>
          <w:rFonts w:ascii="Verdana" w:eastAsia="Times New Roman" w:hAnsi="Verdana" w:cs="Tahoma"/>
          <w:b/>
          <w:bCs/>
          <w:sz w:val="20"/>
          <w:szCs w:val="20"/>
          <w:vertAlign w:val="superscript"/>
        </w:rPr>
        <w:t>er</w:t>
      </w:r>
      <w:r w:rsidRPr="008F397D">
        <w:rPr>
          <w:rFonts w:ascii="Verdana" w:eastAsia="Times New Roman" w:hAnsi="Verdana" w:cs="Tahoma"/>
          <w:b/>
          <w:bCs/>
          <w:sz w:val="20"/>
          <w:szCs w:val="20"/>
        </w:rPr>
        <w:t xml:space="preserve"> janvier 2014</w:t>
      </w:r>
      <w:r w:rsidRPr="008F397D">
        <w:rPr>
          <w:rFonts w:ascii="Verdana" w:eastAsia="Times New Roman" w:hAnsi="Verdana" w:cs="Tahoma"/>
          <w:sz w:val="20"/>
          <w:szCs w:val="20"/>
        </w:rPr>
        <w:t xml:space="preserve"> par les personnes physiques et morales ayant une résidence, un siège social ou un domicile fiscal au Maroc et qui ont commis des infractions de change et des infractions fiscales.</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Cette contribution libératoire concerne les  infractions de change et les infractions fiscales ci-dessous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tbl>
      <w:tblPr>
        <w:tblW w:w="0" w:type="auto"/>
        <w:tblCellMar>
          <w:left w:w="0" w:type="dxa"/>
          <w:right w:w="0" w:type="dxa"/>
        </w:tblCellMar>
        <w:tblLook w:val="04A0"/>
      </w:tblPr>
      <w:tblGrid>
        <w:gridCol w:w="4606"/>
        <w:gridCol w:w="4606"/>
      </w:tblGrid>
      <w:tr w:rsidR="008F397D" w:rsidRPr="008F397D" w:rsidTr="008F397D">
        <w:tc>
          <w:tcPr>
            <w:tcW w:w="46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Infractions de change</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constitution d'avoirs à l'étranger sous forme de </w:t>
            </w:r>
            <w:r w:rsidRPr="008F397D">
              <w:rPr>
                <w:rFonts w:ascii="Verdana" w:eastAsia="Times New Roman" w:hAnsi="Verdana" w:cs="Tahoma"/>
                <w:b/>
                <w:bCs/>
                <w:sz w:val="20"/>
                <w:szCs w:val="20"/>
              </w:rPr>
              <w:t>biens immeubles</w:t>
            </w:r>
            <w:r w:rsidRPr="008F397D">
              <w:rPr>
                <w:rFonts w:ascii="Verdana" w:eastAsia="Times New Roman" w:hAnsi="Verdana" w:cs="Tahoma"/>
                <w:sz w:val="20"/>
                <w:szCs w:val="20"/>
              </w:rPr>
              <w:t xml:space="preserve"> détenus </w:t>
            </w:r>
            <w:r w:rsidRPr="008F397D">
              <w:rPr>
                <w:rFonts w:ascii="Verdana" w:eastAsia="Times New Roman" w:hAnsi="Verdana" w:cs="Tahoma"/>
                <w:b/>
                <w:bCs/>
                <w:sz w:val="20"/>
                <w:szCs w:val="20"/>
              </w:rPr>
              <w:t>sous quelque forme à l'étranger</w:t>
            </w:r>
          </w:p>
        </w:tc>
      </w:tr>
      <w:tr w:rsidR="008F397D" w:rsidRPr="008F397D" w:rsidTr="008F397D">
        <w:tc>
          <w:tcPr>
            <w:tcW w:w="0" w:type="auto"/>
            <w:vMerge/>
            <w:tcBorders>
              <w:top w:val="single" w:sz="8" w:space="0" w:color="auto"/>
              <w:left w:val="single" w:sz="8" w:space="0" w:color="auto"/>
              <w:bottom w:val="single" w:sz="8" w:space="0" w:color="auto"/>
              <w:right w:val="single" w:sz="8" w:space="0" w:color="auto"/>
            </w:tcBorders>
            <w:vAlign w:val="center"/>
            <w:hideMark/>
          </w:tcPr>
          <w:p w:rsidR="008F397D" w:rsidRPr="008F397D" w:rsidRDefault="008F397D" w:rsidP="008F397D">
            <w:pPr>
              <w:spacing w:after="0" w:line="240" w:lineRule="auto"/>
              <w:rPr>
                <w:rFonts w:ascii="Verdana" w:eastAsia="Times New Roman" w:hAnsi="Verdana" w:cs="Times New Roman"/>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constitution d'avoirs à l'étranger sous forme </w:t>
            </w:r>
            <w:r w:rsidRPr="008F397D">
              <w:rPr>
                <w:rFonts w:ascii="Verdana" w:eastAsia="Times New Roman" w:hAnsi="Verdana" w:cs="Tahoma"/>
                <w:b/>
                <w:bCs/>
                <w:sz w:val="20"/>
                <w:szCs w:val="20"/>
              </w:rPr>
              <w:t>d'actifs</w:t>
            </w:r>
            <w:r w:rsidRPr="008F397D">
              <w:rPr>
                <w:rFonts w:ascii="Verdana" w:eastAsia="Times New Roman" w:hAnsi="Verdana" w:cs="Tahoma"/>
                <w:b/>
                <w:bCs/>
                <w:i/>
                <w:iCs/>
                <w:sz w:val="20"/>
                <w:szCs w:val="20"/>
              </w:rPr>
              <w:t xml:space="preserve"> </w:t>
            </w:r>
            <w:r w:rsidRPr="008F397D">
              <w:rPr>
                <w:rFonts w:ascii="Verdana" w:eastAsia="Times New Roman" w:hAnsi="Verdana" w:cs="Tahoma"/>
                <w:b/>
                <w:bCs/>
                <w:sz w:val="20"/>
                <w:szCs w:val="20"/>
              </w:rPr>
              <w:t>financiers et de valeurs mobilières et autres titres de capital et de créances détenus à l'étranger</w:t>
            </w:r>
          </w:p>
        </w:tc>
      </w:tr>
      <w:tr w:rsidR="008F397D" w:rsidRPr="008F397D" w:rsidTr="008F397D">
        <w:tc>
          <w:tcPr>
            <w:tcW w:w="0" w:type="auto"/>
            <w:vMerge/>
            <w:tcBorders>
              <w:top w:val="single" w:sz="8" w:space="0" w:color="auto"/>
              <w:left w:val="single" w:sz="8" w:space="0" w:color="auto"/>
              <w:bottom w:val="single" w:sz="8" w:space="0" w:color="auto"/>
              <w:right w:val="single" w:sz="8" w:space="0" w:color="auto"/>
            </w:tcBorders>
            <w:vAlign w:val="center"/>
            <w:hideMark/>
          </w:tcPr>
          <w:p w:rsidR="008F397D" w:rsidRPr="008F397D" w:rsidRDefault="008F397D" w:rsidP="008F397D">
            <w:pPr>
              <w:spacing w:after="0" w:line="240" w:lineRule="auto"/>
              <w:rPr>
                <w:rFonts w:ascii="Verdana" w:eastAsia="Times New Roman" w:hAnsi="Verdana" w:cs="Times New Roman"/>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 constitution d'avoirs à l'étranger sous forme </w:t>
            </w:r>
            <w:r w:rsidRPr="008F397D">
              <w:rPr>
                <w:rFonts w:ascii="Verdana" w:eastAsia="Times New Roman" w:hAnsi="Verdana" w:cs="Tahoma"/>
                <w:b/>
                <w:bCs/>
                <w:sz w:val="20"/>
                <w:szCs w:val="20"/>
              </w:rPr>
              <w:t>d'avoirs liquides déposés dans des comptes ouverts auprès d'organismes financiers, d'organismes de crédit ou de banques situés à l'étranger</w:t>
            </w:r>
          </w:p>
        </w:tc>
      </w:tr>
      <w:tr w:rsidR="008F397D" w:rsidRPr="008F397D" w:rsidTr="008F397D">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jc w:val="center"/>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Infractions fiscales</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défaut de déclaration </w:t>
            </w:r>
            <w:r w:rsidRPr="008F397D">
              <w:rPr>
                <w:rFonts w:ascii="Verdana" w:eastAsia="Times New Roman" w:hAnsi="Verdana" w:cs="Tahoma"/>
                <w:sz w:val="20"/>
                <w:szCs w:val="20"/>
              </w:rPr>
              <w:t xml:space="preserve">des revenus, produits, bénéfices et plus-values relatifs aux avoirs immobiliers et mobiliers ainsi qu'aux disponibilités en devises détenues à l'étranger </w:t>
            </w:r>
          </w:p>
        </w:tc>
      </w:tr>
    </w:tbl>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Pour bénéficier </w:t>
      </w:r>
      <w:r w:rsidRPr="008F397D">
        <w:rPr>
          <w:rFonts w:ascii="Verdana" w:eastAsia="Times New Roman" w:hAnsi="Verdana" w:cs="Tahoma"/>
          <w:b/>
          <w:bCs/>
          <w:sz w:val="20"/>
          <w:szCs w:val="20"/>
        </w:rPr>
        <w:t>de la non-application des sanctions</w:t>
      </w:r>
      <w:r w:rsidRPr="008F397D">
        <w:rPr>
          <w:rFonts w:ascii="Verdana" w:eastAsia="Times New Roman" w:hAnsi="Verdana" w:cs="Tahoma"/>
          <w:sz w:val="20"/>
          <w:szCs w:val="20"/>
        </w:rPr>
        <w:t xml:space="preserve"> relatives aux infractions de change, ainsi qu'aux infractions fiscales visées ci-dessus, les personnes doivent entre le 1</w:t>
      </w:r>
      <w:r w:rsidRPr="008F397D">
        <w:rPr>
          <w:rFonts w:ascii="Verdana" w:eastAsia="Times New Roman" w:hAnsi="Verdana" w:cs="Tahoma"/>
          <w:sz w:val="20"/>
          <w:szCs w:val="20"/>
          <w:vertAlign w:val="superscript"/>
        </w:rPr>
        <w:t>er</w:t>
      </w:r>
      <w:r w:rsidRPr="008F397D">
        <w:rPr>
          <w:rFonts w:ascii="Verdana" w:eastAsia="Times New Roman" w:hAnsi="Verdana" w:cs="Tahoma"/>
          <w:sz w:val="20"/>
          <w:szCs w:val="20"/>
        </w:rPr>
        <w:t xml:space="preserve"> janvier 2014 et le 31 décembre 2014 respecter les conditions suivantes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a) </w:t>
      </w:r>
      <w:r w:rsidRPr="008F397D">
        <w:rPr>
          <w:rFonts w:ascii="Verdana" w:eastAsia="Times New Roman" w:hAnsi="Verdana" w:cs="Tahoma"/>
          <w:b/>
          <w:bCs/>
          <w:sz w:val="20"/>
          <w:szCs w:val="20"/>
        </w:rPr>
        <w:t>déposer auprès d'un établissement de crédit ayant le statut de banque une déclaration</w:t>
      </w:r>
      <w:r w:rsidRPr="008F397D">
        <w:rPr>
          <w:rFonts w:ascii="Verdana" w:eastAsia="Times New Roman" w:hAnsi="Verdana" w:cs="Tahoma"/>
          <w:sz w:val="20"/>
          <w:szCs w:val="20"/>
        </w:rPr>
        <w:t xml:space="preserve"> rédigée sur un imprimé modèle établi par l'administration faisant ressortir la nature des avoirs détenus à l'étranger Cette déclaration doit être accompagnée des documents justifiant la valeur d'acquisition des avoirs et des derniers relevés bancaires faisant ressortir le montant des avoirs liquides.</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b) </w:t>
      </w:r>
      <w:r w:rsidRPr="008F397D">
        <w:rPr>
          <w:rFonts w:ascii="Verdana" w:eastAsia="Times New Roman" w:hAnsi="Verdana" w:cs="Tahoma"/>
          <w:b/>
          <w:bCs/>
          <w:sz w:val="20"/>
          <w:szCs w:val="20"/>
        </w:rPr>
        <w:t>rapatrier les liquidités en devises ainsi que leur revenu et produits et céder au moins 25% de ces liquidités sur le marché des changes au Maroc contre des dirhams avec possibilité de déposer le reliquat dans des comptes en devises ou en dirhams convertibles</w:t>
      </w:r>
      <w:r w:rsidRPr="008F397D">
        <w:rPr>
          <w:rFonts w:ascii="Verdana" w:eastAsia="Times New Roman" w:hAnsi="Verdana" w:cs="Tahoma"/>
          <w:sz w:val="20"/>
          <w:szCs w:val="20"/>
        </w:rPr>
        <w:t xml:space="preserve"> auprès des établissements de crédit ayant le statut de banque, situés au Maroc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p w:rsidR="008F397D" w:rsidRPr="008F397D" w:rsidRDefault="008F397D" w:rsidP="008F397D">
      <w:pPr>
        <w:overflowPunct w:val="0"/>
        <w:autoSpaceDN w:val="0"/>
        <w:spacing w:after="0" w:line="240" w:lineRule="auto"/>
        <w:ind w:left="540"/>
        <w:jc w:val="both"/>
        <w:textAlignment w:val="baseline"/>
        <w:rPr>
          <w:rFonts w:ascii="Verdana" w:eastAsia="Times New Roman" w:hAnsi="Verdana" w:cs="Times New Roman"/>
          <w:sz w:val="20"/>
          <w:szCs w:val="20"/>
        </w:rPr>
      </w:pPr>
      <w:r w:rsidRPr="008F397D">
        <w:rPr>
          <w:rFonts w:ascii="Verdana" w:eastAsia="Times New Roman" w:hAnsi="Verdana" w:cs="Tahoma"/>
          <w:sz w:val="20"/>
          <w:szCs w:val="20"/>
        </w:rPr>
        <w:t xml:space="preserve">c) </w:t>
      </w:r>
      <w:r w:rsidRPr="008F397D">
        <w:rPr>
          <w:rFonts w:ascii="Verdana" w:eastAsia="Times New Roman" w:hAnsi="Verdana" w:cs="Tahoma"/>
          <w:b/>
          <w:bCs/>
          <w:sz w:val="20"/>
          <w:szCs w:val="20"/>
        </w:rPr>
        <w:t>procéder au paiement d'une contribution libératoire</w:t>
      </w:r>
      <w:r w:rsidRPr="008F397D">
        <w:rPr>
          <w:rFonts w:ascii="Verdana" w:eastAsia="Times New Roman" w:hAnsi="Verdana" w:cs="Tahoma"/>
          <w:sz w:val="20"/>
          <w:szCs w:val="20"/>
        </w:rPr>
        <w:t xml:space="preserve"> prélevée à la source par la banque selon les taux fixés ci-dessous : </w:t>
      </w:r>
    </w:p>
    <w:p w:rsidR="008F397D" w:rsidRPr="008F397D" w:rsidRDefault="008F397D" w:rsidP="008F397D">
      <w:pPr>
        <w:overflowPunct w:val="0"/>
        <w:autoSpaceDN w:val="0"/>
        <w:spacing w:after="0" w:line="240" w:lineRule="auto"/>
        <w:ind w:left="540"/>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bl>
      <w:tblPr>
        <w:tblW w:w="0" w:type="auto"/>
        <w:tblInd w:w="540" w:type="dxa"/>
        <w:tblCellMar>
          <w:left w:w="0" w:type="dxa"/>
          <w:right w:w="0" w:type="dxa"/>
        </w:tblCellMar>
        <w:tblLook w:val="04A0"/>
      </w:tblPr>
      <w:tblGrid>
        <w:gridCol w:w="4355"/>
        <w:gridCol w:w="4393"/>
      </w:tblGrid>
      <w:tr w:rsidR="008F397D" w:rsidRPr="008F397D" w:rsidTr="008F397D">
        <w:tc>
          <w:tcPr>
            <w:tcW w:w="43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lastRenderedPageBreak/>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 xml:space="preserve">10% </w:t>
            </w:r>
          </w:p>
        </w:tc>
        <w:tc>
          <w:tcPr>
            <w:tcW w:w="4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de la valeur d'acquisition des biens immeubles détenus à l'étranger;</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r>
      <w:tr w:rsidR="008F397D" w:rsidRPr="008F397D" w:rsidTr="008F397D">
        <w:tc>
          <w:tcPr>
            <w:tcW w:w="0" w:type="auto"/>
            <w:vMerge/>
            <w:tcBorders>
              <w:top w:val="single" w:sz="8" w:space="0" w:color="auto"/>
              <w:left w:val="single" w:sz="8" w:space="0" w:color="auto"/>
              <w:bottom w:val="single" w:sz="8" w:space="0" w:color="auto"/>
              <w:right w:val="single" w:sz="8" w:space="0" w:color="auto"/>
            </w:tcBorders>
            <w:vAlign w:val="center"/>
            <w:hideMark/>
          </w:tcPr>
          <w:p w:rsidR="008F397D" w:rsidRPr="008F397D" w:rsidRDefault="008F397D" w:rsidP="008F397D">
            <w:pPr>
              <w:spacing w:after="0" w:line="240" w:lineRule="auto"/>
              <w:rPr>
                <w:rFonts w:ascii="Verdana" w:eastAsia="Times New Roman" w:hAnsi="Verdana" w:cs="Times New Roman"/>
                <w:sz w:val="20"/>
                <w:szCs w:val="20"/>
              </w:rPr>
            </w:pP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de la valeur de souscription ou d'acquisition des actifs financiers et des valeurs mobilières et autres titres de capital ou de créances détenus à l'étranger;</w:t>
            </w:r>
          </w:p>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 </w:t>
            </w:r>
          </w:p>
        </w:tc>
      </w:tr>
      <w:tr w:rsidR="008F397D" w:rsidRPr="008F397D" w:rsidTr="008F397D">
        <w:tc>
          <w:tcPr>
            <w:tcW w:w="4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5%</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du montant des avoirs liquides en devises rapatriés au Maroc et déposés dans des comptes en devises ou en dirhams convertibles</w:t>
            </w:r>
          </w:p>
        </w:tc>
      </w:tr>
      <w:tr w:rsidR="008F397D" w:rsidRPr="008F397D" w:rsidTr="008F397D">
        <w:tc>
          <w:tcPr>
            <w:tcW w:w="4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b/>
                <w:bCs/>
                <w:sz w:val="20"/>
                <w:szCs w:val="20"/>
              </w:rPr>
              <w:t>2%</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8F397D" w:rsidRPr="008F397D" w:rsidRDefault="008F397D" w:rsidP="008F397D">
            <w:pPr>
              <w:overflowPunct w:val="0"/>
              <w:autoSpaceDN w:val="0"/>
              <w:spacing w:after="0" w:line="240" w:lineRule="auto"/>
              <w:textAlignment w:val="baseline"/>
              <w:rPr>
                <w:rFonts w:ascii="Verdana" w:eastAsia="Times New Roman" w:hAnsi="Verdana" w:cs="Times New Roman"/>
                <w:sz w:val="20"/>
                <w:szCs w:val="20"/>
              </w:rPr>
            </w:pPr>
            <w:r w:rsidRPr="008F397D">
              <w:rPr>
                <w:rFonts w:ascii="Verdana" w:eastAsia="Times New Roman" w:hAnsi="Verdana" w:cs="Tahoma"/>
                <w:sz w:val="20"/>
                <w:szCs w:val="20"/>
              </w:rPr>
              <w:t>des liquidités en devises rapatriées au Maroc et cédées sur le marché des changes contre le dirham.</w:t>
            </w:r>
          </w:p>
        </w:tc>
      </w:tr>
    </w:tbl>
    <w:p w:rsidR="00397FBC" w:rsidRPr="008F397D" w:rsidRDefault="00397FBC" w:rsidP="008F397D">
      <w:pPr>
        <w:spacing w:after="0"/>
        <w:rPr>
          <w:rFonts w:ascii="Verdana" w:hAnsi="Verdana"/>
          <w:sz w:val="20"/>
          <w:szCs w:val="20"/>
        </w:rPr>
      </w:pPr>
    </w:p>
    <w:sectPr w:rsidR="00397FBC" w:rsidRPr="008F397D" w:rsidSect="004F4DEF">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F9E" w:rsidRDefault="00A85F9E" w:rsidP="008F397D">
      <w:pPr>
        <w:spacing w:after="0" w:line="240" w:lineRule="auto"/>
      </w:pPr>
      <w:r>
        <w:separator/>
      </w:r>
    </w:p>
  </w:endnote>
  <w:endnote w:type="continuationSeparator" w:id="1">
    <w:p w:rsidR="00A85F9E" w:rsidRDefault="00A85F9E" w:rsidP="008F3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F9E" w:rsidRDefault="00A85F9E" w:rsidP="008F397D">
      <w:pPr>
        <w:spacing w:after="0" w:line="240" w:lineRule="auto"/>
      </w:pPr>
      <w:r>
        <w:separator/>
      </w:r>
    </w:p>
  </w:footnote>
  <w:footnote w:type="continuationSeparator" w:id="1">
    <w:p w:rsidR="00A85F9E" w:rsidRDefault="00A85F9E" w:rsidP="008F39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7D" w:rsidRPr="008F397D" w:rsidRDefault="008F397D" w:rsidP="008F397D">
    <w:pPr>
      <w:pStyle w:val="En-tte"/>
      <w:jc w:val="center"/>
      <w:rPr>
        <w:rFonts w:ascii="Verdana" w:hAnsi="Verdana"/>
        <w:b/>
        <w:sz w:val="32"/>
      </w:rPr>
    </w:pPr>
    <w:r w:rsidRPr="008F397D">
      <w:rPr>
        <w:rFonts w:ascii="Verdana" w:hAnsi="Verdana"/>
        <w:b/>
        <w:sz w:val="32"/>
      </w:rPr>
      <w:t>Lois de finance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F397D"/>
    <w:rsid w:val="00397FBC"/>
    <w:rsid w:val="004F4DEF"/>
    <w:rsid w:val="008F397D"/>
    <w:rsid w:val="00A85F9E"/>
    <w:rsid w:val="00CC14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8F3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2">
    <w:name w:val="characterstyle2"/>
    <w:basedOn w:val="Policepardfaut"/>
    <w:rsid w:val="008F397D"/>
  </w:style>
  <w:style w:type="character" w:customStyle="1" w:styleId="characterstyle20">
    <w:name w:val="characterstyle20"/>
    <w:basedOn w:val="Policepardfaut"/>
    <w:rsid w:val="008F397D"/>
  </w:style>
  <w:style w:type="paragraph" w:customStyle="1" w:styleId="style1">
    <w:name w:val="style1"/>
    <w:basedOn w:val="Normal"/>
    <w:rsid w:val="008F39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Normal"/>
    <w:rsid w:val="008F397D"/>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8F397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397D"/>
  </w:style>
  <w:style w:type="paragraph" w:styleId="Pieddepage">
    <w:name w:val="footer"/>
    <w:basedOn w:val="Normal"/>
    <w:link w:val="PieddepageCar"/>
    <w:uiPriority w:val="99"/>
    <w:semiHidden/>
    <w:unhideWhenUsed/>
    <w:rsid w:val="008F397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F397D"/>
  </w:style>
</w:styles>
</file>

<file path=word/webSettings.xml><?xml version="1.0" encoding="utf-8"?>
<w:webSettings xmlns:r="http://schemas.openxmlformats.org/officeDocument/2006/relationships" xmlns:w="http://schemas.openxmlformats.org/wordprocessingml/2006/main">
  <w:divs>
    <w:div w:id="13648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3224</Words>
  <Characters>17738</Characters>
  <Application>Microsoft Office Word</Application>
  <DocSecurity>0</DocSecurity>
  <Lines>147</Lines>
  <Paragraphs>41</Paragraphs>
  <ScaleCrop>false</ScaleCrop>
  <Company/>
  <LinksUpToDate>false</LinksUpToDate>
  <CharactersWithSpaces>20921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dc:creator>
  <cp:keywords/>
  <dc:description/>
  <cp:lastModifiedBy>Administrateur</cp:lastModifiedBy>
  <cp:revision>2</cp:revision>
  <cp:lastPrinted>2014-01-08T12:17:00Z</cp:lastPrinted>
  <dcterms:created xsi:type="dcterms:W3CDTF">2014-01-30T11:53:00Z</dcterms:created>
  <dcterms:modified xsi:type="dcterms:W3CDTF">2014-01-30T11:53:00Z</dcterms:modified>
</cp:coreProperties>
</file>