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D16" w:rsidRDefault="00102D16" w:rsidP="00102D16">
      <w:pPr>
        <w:pStyle w:val="Titre2"/>
        <w:spacing w:line="360" w:lineRule="auto"/>
        <w:jc w:val="both"/>
        <w:rPr>
          <w:rFonts w:ascii="Times New Roman" w:hAnsi="Times New Roman" w:cs="Times New Roman"/>
          <w:color w:val="auto"/>
          <w:sz w:val="24"/>
          <w:szCs w:val="24"/>
        </w:rPr>
      </w:pPr>
      <w:bookmarkStart w:id="0" w:name="_Toc378080482"/>
      <w:r w:rsidRPr="006E081C">
        <w:rPr>
          <w:rFonts w:ascii="Times New Roman" w:hAnsi="Times New Roman" w:cs="Times New Roman"/>
          <w:color w:val="auto"/>
          <w:sz w:val="24"/>
          <w:szCs w:val="24"/>
        </w:rPr>
        <w:t>Vierge à l’</w:t>
      </w:r>
      <w:r>
        <w:rPr>
          <w:rFonts w:ascii="Times New Roman" w:hAnsi="Times New Roman" w:cs="Times New Roman"/>
          <w:color w:val="auto"/>
          <w:sz w:val="24"/>
          <w:szCs w:val="24"/>
        </w:rPr>
        <w:t>E</w:t>
      </w:r>
      <w:r w:rsidRPr="006E081C">
        <w:rPr>
          <w:rFonts w:ascii="Times New Roman" w:hAnsi="Times New Roman" w:cs="Times New Roman"/>
          <w:color w:val="auto"/>
          <w:sz w:val="24"/>
          <w:szCs w:val="24"/>
        </w:rPr>
        <w:t>nfant</w:t>
      </w:r>
      <w:bookmarkStart w:id="1" w:name="_GoBack"/>
      <w:bookmarkEnd w:id="0"/>
      <w:bookmarkEnd w:id="1"/>
    </w:p>
    <w:p w:rsidR="00721884" w:rsidRPr="00721884" w:rsidRDefault="00721884" w:rsidP="00721884">
      <w:r>
        <w:rPr>
          <w:noProof/>
          <w:lang w:eastAsia="fr-CA"/>
        </w:rPr>
        <w:drawing>
          <wp:inline distT="0" distB="0" distL="0" distR="0">
            <wp:extent cx="5971540" cy="413131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_ff.17v-18_L.jpg"/>
                    <pic:cNvPicPr/>
                  </pic:nvPicPr>
                  <pic:blipFill>
                    <a:blip r:embed="rId7">
                      <a:extLst>
                        <a:ext uri="{28A0092B-C50C-407E-A947-70E740481C1C}">
                          <a14:useLocalDpi xmlns:a14="http://schemas.microsoft.com/office/drawing/2010/main" val="0"/>
                        </a:ext>
                      </a:extLst>
                    </a:blip>
                    <a:stretch>
                      <a:fillRect/>
                    </a:stretch>
                  </pic:blipFill>
                  <pic:spPr>
                    <a:xfrm>
                      <a:off x="0" y="0"/>
                      <a:ext cx="5971540" cy="4131310"/>
                    </a:xfrm>
                    <a:prstGeom prst="rect">
                      <a:avLst/>
                    </a:prstGeom>
                  </pic:spPr>
                </pic:pic>
              </a:graphicData>
            </a:graphic>
          </wp:inline>
        </w:drawing>
      </w:r>
    </w:p>
    <w:p w:rsidR="00102D16" w:rsidRPr="006467F9" w:rsidRDefault="00102D16" w:rsidP="00102D16">
      <w:pPr>
        <w:pStyle w:val="Titre3"/>
        <w:spacing w:line="360" w:lineRule="auto"/>
        <w:jc w:val="both"/>
        <w:rPr>
          <w:rFonts w:ascii="Times New Roman" w:hAnsi="Times New Roman" w:cs="Times New Roman"/>
          <w:b w:val="0"/>
          <w:i/>
          <w:color w:val="auto"/>
          <w:u w:val="single"/>
        </w:rPr>
      </w:pPr>
      <w:bookmarkStart w:id="2" w:name="_Toc378080483"/>
      <w:r w:rsidRPr="006467F9">
        <w:rPr>
          <w:rFonts w:ascii="Times New Roman" w:hAnsi="Times New Roman" w:cs="Times New Roman"/>
          <w:b w:val="0"/>
          <w:i/>
          <w:color w:val="auto"/>
          <w:u w:val="single"/>
        </w:rPr>
        <w:t>Description</w:t>
      </w:r>
      <w:bookmarkEnd w:id="2"/>
    </w:p>
    <w:p w:rsidR="00102D16" w:rsidRDefault="00102D16" w:rsidP="00102D16">
      <w:pPr>
        <w:spacing w:line="360" w:lineRule="auto"/>
        <w:ind w:firstLine="708"/>
        <w:jc w:val="both"/>
      </w:pPr>
      <w:r>
        <w:t>La première image à analyser est celle de la Vierge à l’enfant du folio 17v qui introduit la prière « </w:t>
      </w:r>
      <w:proofErr w:type="spellStart"/>
      <w:r>
        <w:t>Obsecro</w:t>
      </w:r>
      <w:proofErr w:type="spellEnd"/>
      <w:r>
        <w:t xml:space="preserve"> te ». Cette </w:t>
      </w:r>
      <w:r w:rsidR="00AF1837">
        <w:t>représentation</w:t>
      </w:r>
      <w:r>
        <w:t xml:space="preserve"> a été choisie puisqu’il s’agit d’un thème iconographique très </w:t>
      </w:r>
      <w:proofErr w:type="gramStart"/>
      <w:r>
        <w:t>important</w:t>
      </w:r>
      <w:proofErr w:type="gramEnd"/>
      <w:r>
        <w:t xml:space="preserve"> en Europe médiévale. En même temps, le thème de </w:t>
      </w:r>
      <w:r w:rsidR="00AF1837">
        <w:t xml:space="preserve">celle-ci </w:t>
      </w:r>
      <w:r>
        <w:t xml:space="preserve">est également combiné avec </w:t>
      </w:r>
      <w:r w:rsidR="00AF1837">
        <w:t>celui de la Vierge en majesté. Il</w:t>
      </w:r>
      <w:r>
        <w:t xml:space="preserve"> se nomme d’ailleurs la </w:t>
      </w:r>
      <w:proofErr w:type="spellStart"/>
      <w:r>
        <w:rPr>
          <w:i/>
        </w:rPr>
        <w:t>Maesta</w:t>
      </w:r>
      <w:proofErr w:type="spellEnd"/>
      <w:r>
        <w:t xml:space="preserve"> selon son appellation italienne. On y retrouve habituellement Marie assise sur un trône entouré par des anges. Gaston </w:t>
      </w:r>
      <w:proofErr w:type="spellStart"/>
      <w:r>
        <w:t>Duchet-Suchaux</w:t>
      </w:r>
      <w:proofErr w:type="spellEnd"/>
      <w:r>
        <w:t xml:space="preserve"> et Michel Pastoureau expliquent bien ce fait quand ils écrivent : </w:t>
      </w:r>
    </w:p>
    <w:p w:rsidR="00102D16" w:rsidRPr="00DD55CE" w:rsidRDefault="00102D16" w:rsidP="00102D16">
      <w:pPr>
        <w:spacing w:line="360" w:lineRule="auto"/>
        <w:ind w:left="1134" w:right="1134"/>
        <w:jc w:val="both"/>
        <w:rPr>
          <w:sz w:val="20"/>
          <w:szCs w:val="20"/>
        </w:rPr>
      </w:pPr>
      <w:r w:rsidRPr="00DD55CE">
        <w:rPr>
          <w:sz w:val="20"/>
          <w:szCs w:val="20"/>
        </w:rPr>
        <w:t xml:space="preserve">L’un des types les plus célèbres est celui de la Vierge à l’Enfant, qui connaît de multiples avatars. La </w:t>
      </w:r>
      <w:r w:rsidRPr="00DD55CE">
        <w:rPr>
          <w:i/>
          <w:sz w:val="20"/>
          <w:szCs w:val="20"/>
        </w:rPr>
        <w:t>Vierge en Majesté</w:t>
      </w:r>
      <w:r w:rsidRPr="00DD55CE">
        <w:rPr>
          <w:sz w:val="20"/>
          <w:szCs w:val="20"/>
        </w:rPr>
        <w:t>, assise sur un trône avec l’Enfant Jésus sur son sein, apparaît au IV</w:t>
      </w:r>
      <w:r w:rsidRPr="00DD55CE">
        <w:rPr>
          <w:sz w:val="20"/>
          <w:szCs w:val="20"/>
          <w:vertAlign w:val="superscript"/>
        </w:rPr>
        <w:t>e</w:t>
      </w:r>
      <w:r w:rsidRPr="00DD55CE">
        <w:rPr>
          <w:sz w:val="20"/>
          <w:szCs w:val="20"/>
        </w:rPr>
        <w:t xml:space="preserve"> siècle. Elle a un développement considérable et des savants ont pu étudier l’identification de la Vierge-Reine à l’Église. […] Les Vierges à l’Enfant placées </w:t>
      </w:r>
      <w:r w:rsidRPr="00DD55CE">
        <w:rPr>
          <w:sz w:val="20"/>
          <w:szCs w:val="20"/>
        </w:rPr>
        <w:lastRenderedPageBreak/>
        <w:t>sous le signe de la tendresse se multiplient à partir du XIII</w:t>
      </w:r>
      <w:r w:rsidRPr="00DD55CE">
        <w:rPr>
          <w:sz w:val="20"/>
          <w:szCs w:val="20"/>
          <w:vertAlign w:val="superscript"/>
        </w:rPr>
        <w:t>e</w:t>
      </w:r>
      <w:r w:rsidRPr="00DD55CE">
        <w:rPr>
          <w:sz w:val="20"/>
          <w:szCs w:val="20"/>
        </w:rPr>
        <w:t xml:space="preserve"> siècle et connaissent une fortune immense jusqu’aux XIX</w:t>
      </w:r>
      <w:r w:rsidRPr="00DD55CE">
        <w:rPr>
          <w:sz w:val="20"/>
          <w:szCs w:val="20"/>
          <w:vertAlign w:val="superscript"/>
        </w:rPr>
        <w:t>e</w:t>
      </w:r>
      <w:r w:rsidRPr="00DD55CE">
        <w:rPr>
          <w:sz w:val="20"/>
          <w:szCs w:val="20"/>
        </w:rPr>
        <w:t xml:space="preserve"> et XX</w:t>
      </w:r>
      <w:r w:rsidRPr="00DD55CE">
        <w:rPr>
          <w:sz w:val="20"/>
          <w:szCs w:val="20"/>
          <w:vertAlign w:val="superscript"/>
        </w:rPr>
        <w:t>e</w:t>
      </w:r>
      <w:r w:rsidRPr="00DD55CE">
        <w:rPr>
          <w:sz w:val="20"/>
          <w:szCs w:val="20"/>
        </w:rPr>
        <w:t xml:space="preserve"> siècles</w:t>
      </w:r>
      <w:r w:rsidRPr="00DD55CE">
        <w:rPr>
          <w:rStyle w:val="Appelnotedebasdep"/>
          <w:sz w:val="20"/>
          <w:szCs w:val="20"/>
        </w:rPr>
        <w:footnoteReference w:id="1"/>
      </w:r>
      <w:r w:rsidRPr="00DD55CE">
        <w:rPr>
          <w:sz w:val="20"/>
          <w:szCs w:val="20"/>
        </w:rPr>
        <w:t xml:space="preserve">. </w:t>
      </w:r>
    </w:p>
    <w:p w:rsidR="00102D16" w:rsidRDefault="00102D16" w:rsidP="00102D16">
      <w:pPr>
        <w:spacing w:line="360" w:lineRule="auto"/>
        <w:jc w:val="both"/>
      </w:pPr>
      <w:r>
        <w:t xml:space="preserve">Ici, l’enluminure est beaucoup plus sobre puisque le trône et la cour des anges sont représentés </w:t>
      </w:r>
      <w:r w:rsidR="00CF4DEF">
        <w:t>seulement p</w:t>
      </w:r>
      <w:r>
        <w:t>ar la couronne que porte la Vierge Marie ce qui</w:t>
      </w:r>
      <w:r w:rsidR="00FE7478">
        <w:t xml:space="preserve"> est une référence évidente </w:t>
      </w:r>
      <w:r>
        <w:t xml:space="preserve"> </w:t>
      </w:r>
      <w:r w:rsidR="00FE7478">
        <w:t>à son couronnement lors de</w:t>
      </w:r>
      <w:r>
        <w:t xml:space="preserve"> son arrivée au Paradis. </w:t>
      </w:r>
      <w:r w:rsidR="00FE7478">
        <w:t xml:space="preserve">La </w:t>
      </w:r>
      <w:r>
        <w:t>Vierge à l’enfant nous rappelle l’enfance du Christ, la maternité de la Vierge Marie et, encore plus important, surtout dans le cadre de ce mémoire, tout l’amour qu’elle portait à son enfant. Il faudra se rappeler cette dernière affirmation quand il sera question de la couleur des hab</w:t>
      </w:r>
      <w:r w:rsidR="00FE7478">
        <w:t xml:space="preserve">its de la mère du Christ. Mais, </w:t>
      </w:r>
      <w:r>
        <w:t xml:space="preserve">il serait plus important de débuter avec une </w:t>
      </w:r>
      <w:r w:rsidR="00FE7478">
        <w:t>description de cette image pour commencer.</w:t>
      </w:r>
    </w:p>
    <w:p w:rsidR="00102D16" w:rsidRDefault="00102D16" w:rsidP="00102D16">
      <w:pPr>
        <w:spacing w:line="360" w:lineRule="auto"/>
        <w:ind w:firstLine="708"/>
        <w:jc w:val="both"/>
      </w:pPr>
      <w:r>
        <w:t xml:space="preserve">Tout d’abord, on retrouve la figure principale de l’image en son centre, soit la Vierge Marie qui porte sa couronne en or, symbole de sa souveraineté au Paradis au côté de son fils. Elle porte une cape bleue avec une robe grise. Évidemment, puisqu’il s’agit du thème de la Vierge à l’enfant, le Christ est également présent dans les bras de sa mère. Étrangement, il porte une tunique rouge alors qu’il est habituellement nu. De toute façon, cette tunique rouge nous est d’une très grande utilité quant à l’analyse de la symbolique des couleurs dans cette enluminure. Ensuite, on retrouve une aura jaune qui englobe la mère et son fils. Il ne faut </w:t>
      </w:r>
      <w:r w:rsidR="00FE7478">
        <w:t xml:space="preserve"> certainement </w:t>
      </w:r>
      <w:r>
        <w:t xml:space="preserve">pas oublier les bordures qui sont aussi sujettes à l’analyse. On observe la présence d’un jardin ce qui est assez typique dans les livres d’Heures. Comme l’écrivent Viviane </w:t>
      </w:r>
      <w:proofErr w:type="spellStart"/>
      <w:r>
        <w:t>Huchard</w:t>
      </w:r>
      <w:proofErr w:type="spellEnd"/>
      <w:r>
        <w:t xml:space="preserve"> et Pascale Bourgain :</w:t>
      </w:r>
    </w:p>
    <w:p w:rsidR="00102D16" w:rsidRDefault="00102D16" w:rsidP="00102D16">
      <w:pPr>
        <w:spacing w:line="360" w:lineRule="auto"/>
        <w:ind w:left="1134" w:right="1134"/>
        <w:jc w:val="both"/>
        <w:rPr>
          <w:sz w:val="20"/>
          <w:szCs w:val="20"/>
        </w:rPr>
      </w:pPr>
      <w:r w:rsidRPr="00DD55CE">
        <w:rPr>
          <w:sz w:val="20"/>
          <w:szCs w:val="20"/>
        </w:rPr>
        <w:t>Rares au XII</w:t>
      </w:r>
      <w:r w:rsidRPr="00DD55CE">
        <w:rPr>
          <w:sz w:val="20"/>
          <w:szCs w:val="20"/>
          <w:vertAlign w:val="superscript"/>
        </w:rPr>
        <w:t>e</w:t>
      </w:r>
      <w:r w:rsidRPr="00DD55CE">
        <w:rPr>
          <w:sz w:val="20"/>
          <w:szCs w:val="20"/>
        </w:rPr>
        <w:t xml:space="preserve"> siècle, ces bordures deviennent délicates, exubérantes, raffinées aux XIII</w:t>
      </w:r>
      <w:r w:rsidRPr="00DD55CE">
        <w:rPr>
          <w:sz w:val="20"/>
          <w:szCs w:val="20"/>
          <w:vertAlign w:val="superscript"/>
        </w:rPr>
        <w:t>e</w:t>
      </w:r>
      <w:r w:rsidRPr="00DD55CE">
        <w:rPr>
          <w:sz w:val="20"/>
          <w:szCs w:val="20"/>
        </w:rPr>
        <w:t xml:space="preserve"> et XIV</w:t>
      </w:r>
      <w:r w:rsidRPr="00DD55CE">
        <w:rPr>
          <w:sz w:val="20"/>
          <w:szCs w:val="20"/>
          <w:vertAlign w:val="superscript"/>
        </w:rPr>
        <w:t>e</w:t>
      </w:r>
      <w:r w:rsidRPr="00DD55CE">
        <w:rPr>
          <w:sz w:val="20"/>
          <w:szCs w:val="20"/>
        </w:rPr>
        <w:t xml:space="preserve"> siècles, en particulier dans les </w:t>
      </w:r>
      <w:r w:rsidRPr="00DD55CE">
        <w:rPr>
          <w:i/>
          <w:sz w:val="20"/>
          <w:szCs w:val="20"/>
        </w:rPr>
        <w:t>Livres d’Heures</w:t>
      </w:r>
      <w:r w:rsidRPr="00DD55CE">
        <w:rPr>
          <w:sz w:val="20"/>
          <w:szCs w:val="20"/>
        </w:rPr>
        <w:t xml:space="preserve"> précieux où elles se peuplent de petits personnages et de saynètes. Dans les premières années du XV</w:t>
      </w:r>
      <w:r w:rsidRPr="00DD55CE">
        <w:rPr>
          <w:sz w:val="20"/>
          <w:szCs w:val="20"/>
          <w:vertAlign w:val="superscript"/>
        </w:rPr>
        <w:t>e</w:t>
      </w:r>
      <w:r w:rsidRPr="00DD55CE">
        <w:rPr>
          <w:sz w:val="20"/>
          <w:szCs w:val="20"/>
        </w:rPr>
        <w:t xml:space="preserve"> siècle, les grands artistes attachés aux cours princières, les frères de Limbourg, le Maître de Bedford ou le Maître de Boucicaut, ne les négligent pas au profit des pages peintes. Peu à peu, le naturalisme prend le dessus sur la fantaisie et les marges florales n’ont alors rien à e</w:t>
      </w:r>
      <w:r w:rsidR="00FE7478">
        <w:rPr>
          <w:sz w:val="20"/>
          <w:szCs w:val="20"/>
        </w:rPr>
        <w:t>nvier aux traités de botanique</w:t>
      </w:r>
      <w:r w:rsidRPr="00DD55CE">
        <w:rPr>
          <w:rStyle w:val="Appelnotedebasdep"/>
          <w:sz w:val="20"/>
          <w:szCs w:val="20"/>
        </w:rPr>
        <w:footnoteReference w:id="2"/>
      </w:r>
      <w:r w:rsidRPr="00DD55CE">
        <w:rPr>
          <w:sz w:val="20"/>
          <w:szCs w:val="20"/>
        </w:rPr>
        <w:t>.</w:t>
      </w:r>
    </w:p>
    <w:p w:rsidR="00102D16" w:rsidRDefault="00102D16" w:rsidP="00102D16">
      <w:pPr>
        <w:spacing w:line="360" w:lineRule="auto"/>
        <w:jc w:val="both"/>
      </w:pPr>
      <w:r>
        <w:t xml:space="preserve">Jean </w:t>
      </w:r>
      <w:proofErr w:type="spellStart"/>
      <w:r>
        <w:t>Wirth</w:t>
      </w:r>
      <w:proofErr w:type="spellEnd"/>
      <w:r>
        <w:t xml:space="preserve"> confirme le même fait. Un changement s’est effectué au 13</w:t>
      </w:r>
      <w:r>
        <w:rPr>
          <w:vertAlign w:val="superscript"/>
        </w:rPr>
        <w:t>e</w:t>
      </w:r>
      <w:r>
        <w:t xml:space="preserve"> siècle où les bordures presque vides se sont graduellement remplies et ce qu’il appelle des drôleries a été de moins en </w:t>
      </w:r>
      <w:r>
        <w:lastRenderedPageBreak/>
        <w:t>moins utilisé, sans pour autant disparaître</w:t>
      </w:r>
      <w:r>
        <w:rPr>
          <w:rStyle w:val="Appelnotedebasdep"/>
        </w:rPr>
        <w:footnoteReference w:id="3"/>
      </w:r>
      <w:r>
        <w:t xml:space="preserve">. Également, le style du maître de Jean d’Albret est d’utiliser des formes géométriques. Ici, on retrouve justement des losanges qui sont soit blanc ou or. Dans la bordure, on peut remarquer un oiseau jaune et un animal vert et brun qui est </w:t>
      </w:r>
      <w:r w:rsidR="00FE7478">
        <w:t xml:space="preserve">fort </w:t>
      </w:r>
      <w:r>
        <w:t>probablement un démon.</w:t>
      </w:r>
    </w:p>
    <w:p w:rsidR="00102D16" w:rsidRPr="006467F9" w:rsidRDefault="00102D16" w:rsidP="00102D16">
      <w:pPr>
        <w:pStyle w:val="Titre3"/>
        <w:spacing w:line="360" w:lineRule="auto"/>
        <w:jc w:val="both"/>
        <w:rPr>
          <w:b w:val="0"/>
          <w:i/>
          <w:color w:val="auto"/>
          <w:u w:val="single"/>
        </w:rPr>
      </w:pPr>
      <w:bookmarkStart w:id="3" w:name="_Toc378080484"/>
      <w:r w:rsidRPr="006467F9">
        <w:rPr>
          <w:b w:val="0"/>
          <w:i/>
          <w:color w:val="auto"/>
          <w:u w:val="single"/>
        </w:rPr>
        <w:t>Bleu</w:t>
      </w:r>
      <w:r>
        <w:rPr>
          <w:b w:val="0"/>
          <w:i/>
          <w:color w:val="auto"/>
          <w:u w:val="single"/>
        </w:rPr>
        <w:t xml:space="preserve"> de la Vierge</w:t>
      </w:r>
      <w:bookmarkEnd w:id="3"/>
    </w:p>
    <w:p w:rsidR="00102D16" w:rsidRDefault="00102D16" w:rsidP="00102D16">
      <w:pPr>
        <w:spacing w:line="360" w:lineRule="auto"/>
        <w:ind w:firstLine="708"/>
        <w:jc w:val="both"/>
      </w:pPr>
      <w:r>
        <w:t xml:space="preserve">J’aimerais commencer l’analyse des couleurs de cette image par la cape de la Vierge Marie. </w:t>
      </w:r>
      <w:r w:rsidR="00FE7478">
        <w:t>Celle</w:t>
      </w:r>
      <w:r>
        <w:t xml:space="preserve">-ci est bleue et cette couleur est </w:t>
      </w:r>
      <w:r w:rsidR="00FE7478">
        <w:t>très</w:t>
      </w:r>
      <w:r>
        <w:t xml:space="preserve"> i</w:t>
      </w:r>
      <w:r w:rsidR="00FE7478">
        <w:t>ntéressante à analyser puisqu</w:t>
      </w:r>
      <w:r w:rsidR="00CF4DEF">
        <w:t>’</w:t>
      </w:r>
      <w:r>
        <w:t>elle n’était presque pas utilisée dans les teintures, les peintures et les enluminures</w:t>
      </w:r>
      <w:r w:rsidR="00FE7478">
        <w:t xml:space="preserve"> avant le 11</w:t>
      </w:r>
      <w:r w:rsidR="00FE7478" w:rsidRPr="00B375DD">
        <w:rPr>
          <w:vertAlign w:val="superscript"/>
        </w:rPr>
        <w:t>e</w:t>
      </w:r>
      <w:r w:rsidR="00FE7478">
        <w:t xml:space="preserve"> siècle</w:t>
      </w:r>
      <w:r>
        <w:t>. Comme l’explique Michel Pastoureau, cette couleur était mal vue et peu valorisée à l’époque romaine</w:t>
      </w:r>
      <w:r>
        <w:rPr>
          <w:rStyle w:val="Appelnotedebasdep"/>
        </w:rPr>
        <w:footnoteReference w:id="4"/>
      </w:r>
      <w:r>
        <w:t>. Les Romains possédaient une affection particulière pour le rouge, le blanc et, bien évidemment, le pourpre impérial</w:t>
      </w:r>
      <w:r>
        <w:rPr>
          <w:rStyle w:val="Appelnotedebasdep"/>
        </w:rPr>
        <w:footnoteReference w:id="5"/>
      </w:r>
      <w:r>
        <w:t xml:space="preserve">. Le bleu était principalement utilisé par les peuples germaniques qui habitaient au-delà du Rhin et du Danube. Ceux-ci étaient appelés les barbares par les Romains. On comprend alors pourquoi cette couleur était peu appréciée puisqu’on associait </w:t>
      </w:r>
      <w:r w:rsidR="00FE7478">
        <w:t xml:space="preserve">le </w:t>
      </w:r>
      <w:r>
        <w:t xml:space="preserve">bleu au barbarisme à cette époque. Toutefois, lorsque ces « barbares » ont pris le pouvoir </w:t>
      </w:r>
      <w:r w:rsidR="00FE7478">
        <w:t xml:space="preserve">lorsque </w:t>
      </w:r>
      <w:r>
        <w:t xml:space="preserve">l’Empire romain d’Occident a chuté, le bleu était utilisé dans les teintures des vêtements, car </w:t>
      </w:r>
      <w:r w:rsidR="00FE7478">
        <w:t>l’élite dirigeante</w:t>
      </w:r>
      <w:r>
        <w:t xml:space="preserve"> était constituée principalement de «</w:t>
      </w:r>
      <w:r w:rsidR="00FE7478">
        <w:t>barbares</w:t>
      </w:r>
      <w:r>
        <w:t>»</w:t>
      </w:r>
      <w:r w:rsidR="00FE7478">
        <w:t xml:space="preserve"> bien qu’elle fût depuis longtemps romanisée</w:t>
      </w:r>
      <w:r>
        <w:t>. Pastoureau affirme justement que les Mérovingiens, une dynastie royale franque, utilisaient des vêtements bleus à cause de leur héritage germanique</w:t>
      </w:r>
      <w:r>
        <w:rPr>
          <w:rStyle w:val="Appelnotedebasdep"/>
        </w:rPr>
        <w:footnoteReference w:id="6"/>
      </w:r>
      <w:r>
        <w:t xml:space="preserve">. À l’époque de la dynastie carolingienne, où on désirait revenir à un style de vie </w:t>
      </w:r>
      <w:r w:rsidR="00FE7478">
        <w:t>romain</w:t>
      </w:r>
      <w:r>
        <w:t>, le bleu subissait un recul</w:t>
      </w:r>
      <w:r w:rsidR="00FE7478">
        <w:t xml:space="preserve"> dans son utilisation</w:t>
      </w:r>
      <w:r>
        <w:rPr>
          <w:rStyle w:val="Appelnotedebasdep"/>
        </w:rPr>
        <w:footnoteReference w:id="7"/>
      </w:r>
      <w:r>
        <w:t>. Il va falloir attendre le 11</w:t>
      </w:r>
      <w:r w:rsidRPr="00076DC0">
        <w:rPr>
          <w:vertAlign w:val="superscript"/>
        </w:rPr>
        <w:t>e</w:t>
      </w:r>
      <w:r>
        <w:t xml:space="preserve"> siècle pour </w:t>
      </w:r>
      <w:r w:rsidR="00FE7478">
        <w:t xml:space="preserve">qu’il amorce </w:t>
      </w:r>
      <w:r>
        <w:t>son grand retour et, cette fois-ci, pour de bon puisqu’il est devenu une des couleurs les plus populaires, même jusqu’à aujourd’hui. En plus, elle deviendra la couleur de la Vierge Marie à partir du 12</w:t>
      </w:r>
      <w:r w:rsidRPr="005C274F">
        <w:rPr>
          <w:vertAlign w:val="superscript"/>
        </w:rPr>
        <w:t>e</w:t>
      </w:r>
      <w:r w:rsidR="00FE7478">
        <w:t xml:space="preserve"> siècle ce qui a aidé</w:t>
      </w:r>
      <w:r>
        <w:t xml:space="preserve"> grandement sa mo</w:t>
      </w:r>
      <w:r w:rsidR="00FE7478">
        <w:t xml:space="preserve">ntée en popularité. Par contre, </w:t>
      </w:r>
      <w:r>
        <w:t>la Vierge était généralement habillée de noir</w:t>
      </w:r>
      <w:r w:rsidR="00FE7478">
        <w:t xml:space="preserve"> à cet</w:t>
      </w:r>
      <w:r w:rsidR="00CF4DEF">
        <w:t xml:space="preserve">te </w:t>
      </w:r>
      <w:r w:rsidR="00FE7478">
        <w:t>époque</w:t>
      </w:r>
      <w:r>
        <w:rPr>
          <w:rStyle w:val="Appelnotedebasdep"/>
        </w:rPr>
        <w:footnoteReference w:id="8"/>
      </w:r>
      <w:r>
        <w:t>. Il ne fait aucun doute, puisque c’est encore le cas aujourd’hui, qu’il s’agit de la couleur du deu</w:t>
      </w:r>
      <w:r w:rsidR="00FE7478">
        <w:t>il. Même à l’époque romaine, une famille qui avait perdu</w:t>
      </w:r>
      <w:r>
        <w:t xml:space="preserve"> un membre devait s’habiller de noir pendant un certain nombre de jours. Un des faits pour laquelle la Vierge est la plus reconnue est qu’elle a perdu son fils. On ne mettait jamais accès l’emphase sur l’amour que </w:t>
      </w:r>
      <w:r>
        <w:lastRenderedPageBreak/>
        <w:t>portait Marie à son fils et à sa douleur lorsqu’il est mort sur la croix. Il y a donc eu une mutation à un certain moment où la Vierge Marie n’est plus habillée de noir mais de bleu</w:t>
      </w:r>
      <w:r w:rsidR="00FE7478">
        <w:t xml:space="preserve"> foncé</w:t>
      </w:r>
      <w:r>
        <w:t>. Le changement a commencé vers le 11</w:t>
      </w:r>
      <w:r w:rsidRPr="005C274F">
        <w:rPr>
          <w:vertAlign w:val="superscript"/>
        </w:rPr>
        <w:t>e</w:t>
      </w:r>
      <w:r>
        <w:t xml:space="preserve"> siècle, mais le bleu a pris tout de même un certain temps avant de s’imposer. Il faut comprendre que </w:t>
      </w:r>
      <w:r w:rsidR="00FE7478">
        <w:t>cette couleur était</w:t>
      </w:r>
      <w:r>
        <w:t xml:space="preserve"> complémentaire au noir. Il s’agit d’un noir éclairci et, au 11</w:t>
      </w:r>
      <w:r w:rsidRPr="005C274F">
        <w:rPr>
          <w:vertAlign w:val="superscript"/>
        </w:rPr>
        <w:t>e</w:t>
      </w:r>
      <w:r>
        <w:t xml:space="preserve"> siècle, le bleu commence à faire office de remplaçant au noir sans toutefois le faire disparaître complètement. On peut prendre exemple de Cimabue, un peintre italien du 13</w:t>
      </w:r>
      <w:r w:rsidRPr="005C274F">
        <w:rPr>
          <w:vertAlign w:val="superscript"/>
        </w:rPr>
        <w:t>e</w:t>
      </w:r>
      <w:r>
        <w:t xml:space="preserve"> siècle, qui a peint deux Vierges en majesté vers 1280. Dans celle qui se trouve à la Galerie des Offices à Florence, la </w:t>
      </w:r>
      <w:proofErr w:type="spellStart"/>
      <w:r>
        <w:rPr>
          <w:i/>
        </w:rPr>
        <w:t>Maesta</w:t>
      </w:r>
      <w:proofErr w:type="spellEnd"/>
      <w:r>
        <w:rPr>
          <w:i/>
        </w:rPr>
        <w:t xml:space="preserve"> di Santa </w:t>
      </w:r>
      <w:proofErr w:type="spellStart"/>
      <w:r>
        <w:rPr>
          <w:i/>
        </w:rPr>
        <w:t>Trinita</w:t>
      </w:r>
      <w:proofErr w:type="spellEnd"/>
      <w:r>
        <w:t xml:space="preserve">, on y voit la Vierge Marie en noir alors que celle qui est au Musée du Louvre, la </w:t>
      </w:r>
      <w:proofErr w:type="spellStart"/>
      <w:r>
        <w:rPr>
          <w:i/>
        </w:rPr>
        <w:t>Maesta</w:t>
      </w:r>
      <w:proofErr w:type="spellEnd"/>
      <w:r>
        <w:rPr>
          <w:i/>
        </w:rPr>
        <w:t xml:space="preserve"> du </w:t>
      </w:r>
      <w:r w:rsidRPr="00E04EFF">
        <w:t>Louvre</w:t>
      </w:r>
      <w:r>
        <w:t xml:space="preserve">, </w:t>
      </w:r>
      <w:r w:rsidRPr="00E04EFF">
        <w:t>elle</w:t>
      </w:r>
      <w:r>
        <w:t xml:space="preserve"> est en bleu. </w:t>
      </w:r>
    </w:p>
    <w:p w:rsidR="00102D16" w:rsidRDefault="00102D16" w:rsidP="00102D16">
      <w:pPr>
        <w:spacing w:line="360" w:lineRule="auto"/>
        <w:ind w:firstLine="708"/>
        <w:jc w:val="both"/>
      </w:pPr>
      <w:r>
        <w:t>On peut donc se demander qu’est-ce qui a bien pu effectuer ce changement alors que la couleur bleue est presque omniprésente dans les vêtements de la Vierge Marie au 15</w:t>
      </w:r>
      <w:r w:rsidRPr="00E04EFF">
        <w:rPr>
          <w:vertAlign w:val="superscript"/>
        </w:rPr>
        <w:t>e</w:t>
      </w:r>
      <w:r>
        <w:t xml:space="preserve"> siècle. Le bleu s’est même éclairci après le 12</w:t>
      </w:r>
      <w:r w:rsidRPr="00E04EFF">
        <w:rPr>
          <w:vertAlign w:val="superscript"/>
        </w:rPr>
        <w:t>e</w:t>
      </w:r>
      <w:r>
        <w:t xml:space="preserve"> siècle car, avant cette époque, la Vierge Marie</w:t>
      </w:r>
      <w:r w:rsidR="00FE7478">
        <w:t xml:space="preserve"> était habillée de bleu foncé et i</w:t>
      </w:r>
      <w:r>
        <w:t xml:space="preserve">l s’éloigne de plus en plus de son rôle de remplaçant du noir. La réponse nous est donnée implicitement par Pastoureau dans ces deux livres </w:t>
      </w:r>
      <w:r>
        <w:rPr>
          <w:i/>
        </w:rPr>
        <w:t>Bleu : Histoire d’une couleur</w:t>
      </w:r>
      <w:r>
        <w:t xml:space="preserve"> et </w:t>
      </w:r>
      <w:r>
        <w:rPr>
          <w:i/>
        </w:rPr>
        <w:t>Noir : Histoire d’une couleur</w:t>
      </w:r>
      <w:r>
        <w:t>. Il affirme dans ce dernier livre que le noir est de moins en moins utilisé après l’an mil et qu’il perd « son ambivalence symbolique »</w:t>
      </w:r>
      <w:r>
        <w:rPr>
          <w:rStyle w:val="Appelnotedebasdep"/>
        </w:rPr>
        <w:footnoteReference w:id="9"/>
      </w:r>
      <w:r>
        <w:t>. À la fois bon et mauvais, le noir devient principalement mauvais. C’est le contraire pour le bleu. À ce moment, le bleu possède principalement des aspects négatifs, ceux du barbarisme et du deuil. Mais, le sujet n’est plus d’actualité au 11</w:t>
      </w:r>
      <w:r w:rsidRPr="00E05A2E">
        <w:rPr>
          <w:vertAlign w:val="superscript"/>
        </w:rPr>
        <w:t>e</w:t>
      </w:r>
      <w:r>
        <w:t xml:space="preserve"> siècle pour le barbarisme et la symbolique du deuil est implicitement attachée au bleu </w:t>
      </w:r>
      <w:r w:rsidR="00FE7478">
        <w:t xml:space="preserve">foncé </w:t>
      </w:r>
      <w:r>
        <w:t xml:space="preserve">à cause de son association à la couleur noire. On peut donc dire que le bleu est pauvre dans sa force symbolique négative et encore plus dans le positif puisqu’elle est inexistante. D’autre part, seuls les moines de Cluny ont persisté à utiliser le noir pour leur vêtement. D’ailleurs, ce sont eux qui ont donné </w:t>
      </w:r>
      <w:r w:rsidR="00FE7478">
        <w:t xml:space="preserve">au noir </w:t>
      </w:r>
      <w:r>
        <w:t>ces aspects symboliques soit humilité, tempérance, autorité et dignité</w:t>
      </w:r>
      <w:r>
        <w:rPr>
          <w:rStyle w:val="Appelnotedebasdep"/>
        </w:rPr>
        <w:footnoteReference w:id="10"/>
      </w:r>
      <w:r>
        <w:t>. Après l’an mil, seul l’aspect négatif reste. Il ne fait aucun doute pour personne, même aujourd’hui, que le noir est lié aux ténèbres et, pour cette raison, on ne l’utilisait presque plus à partir du 11</w:t>
      </w:r>
      <w:r w:rsidRPr="00154FEA">
        <w:rPr>
          <w:vertAlign w:val="superscript"/>
        </w:rPr>
        <w:t>e</w:t>
      </w:r>
      <w:r>
        <w:t xml:space="preserve"> siècle. Il existe également une raison vestimentaire. On créait difficilement une teinture noire qui tenait de façon efficace sur une étoffe. En plus, le noir n’était pas complètement noir</w:t>
      </w:r>
      <w:r w:rsidR="00FE7478">
        <w:t xml:space="preserve"> justement à cause des difficultés de production</w:t>
      </w:r>
      <w:r>
        <w:t xml:space="preserve">. Il paraissait plutôt bleu ou mauve. La même chose était valable pour les autres couleurs comme le blanc. Les </w:t>
      </w:r>
      <w:r>
        <w:lastRenderedPageBreak/>
        <w:t xml:space="preserve">Cisterciens, surnommés les moines blancs, n’étaient pas tout à fait habillés de blanc. Leur vêtement n’était tout simplement pas teint. Alors, au lieu de parler de </w:t>
      </w:r>
      <w:r w:rsidR="00920993">
        <w:t>l’opposition entre l</w:t>
      </w:r>
      <w:r>
        <w:t xml:space="preserve">es moines noirs et blancs comme l’historiographie s’en </w:t>
      </w:r>
      <w:r w:rsidR="00CF4DEF">
        <w:t>souvient</w:t>
      </w:r>
      <w:r>
        <w:t xml:space="preserve">, on devrait </w:t>
      </w:r>
      <w:r w:rsidR="00920993">
        <w:t xml:space="preserve">plutôt discuter </w:t>
      </w:r>
      <w:r>
        <w:t xml:space="preserve">de la querelle des moines bleu foncé et gris. En résumé, la différence entre le bleu et le noir était minime à cette époque et ces deux couleurs pouvaient facilement être </w:t>
      </w:r>
      <w:r w:rsidR="00920993">
        <w:t>inversées</w:t>
      </w:r>
      <w:r>
        <w:t xml:space="preserve"> l’un et l’autre. Ce que je crois c’est qu’il y eut un choix après l’an mil quant à l’utilisation du noir et du bleu. Déjà, la symbolique du noir et du bleu foncé sont liés, mais il existe tout de même une différence fondamentale entre ces deux couleurs. Le bleu, même foncé, laisse traverser la lumière, un véritable cadeau divin, lorsqu’on l’utilisait dans les vitraux. Cet aspect devient très important dans les églises puisqu’elles se doivent d’être </w:t>
      </w:r>
      <w:proofErr w:type="gramStart"/>
      <w:r>
        <w:t>le plus illuminées possible</w:t>
      </w:r>
      <w:proofErr w:type="gramEnd"/>
      <w:r>
        <w:t xml:space="preserve"> et le noir ne rempli</w:t>
      </w:r>
      <w:r w:rsidR="00920993">
        <w:t>ssai</w:t>
      </w:r>
      <w:r>
        <w:t>t pas cette fonction. Nous verrons cet aspect beaucoup plus en détail quand il sera question du problème de l’or. C’est d’ailleurs un des reproches de Bernard de Clairvaux à l’encontre des moines clunisiens. Il utilise une couleur</w:t>
      </w:r>
      <w:r w:rsidR="00920993">
        <w:t xml:space="preserve">, le noir, </w:t>
      </w:r>
      <w:r>
        <w:t>qui cache la véritable nature des choses créées par Dieu</w:t>
      </w:r>
      <w:r w:rsidR="00920993">
        <w:t>, raison pour laquelle les Cisterciens ne teignaient pas leur vêtement</w:t>
      </w:r>
      <w:r>
        <w:t>. Il va même plus loin affirmant qu’il s’agit de « la couleur du Diable et de l’enfer, celle de la mort et du péché »</w:t>
      </w:r>
      <w:r>
        <w:rPr>
          <w:rStyle w:val="Appelnotedebasdep"/>
        </w:rPr>
        <w:footnoteReference w:id="11"/>
      </w:r>
      <w:r>
        <w:t>. Ce choix ne s’est pas fait en l’espace d’un instant, mais il a</w:t>
      </w:r>
      <w:r w:rsidR="00920993">
        <w:t xml:space="preserve"> fallu</w:t>
      </w:r>
      <w:r>
        <w:t xml:space="preserve"> des siècles pour se propager localement et à travers l’Europe dans des circonstances probablement trop difficiles à analyser. Mais, un fait s’impose, le bleu remplace le noir à cause de sa mauvaise presse à partir du 11</w:t>
      </w:r>
      <w:r w:rsidRPr="0095687B">
        <w:rPr>
          <w:vertAlign w:val="superscript"/>
        </w:rPr>
        <w:t>e</w:t>
      </w:r>
      <w:r>
        <w:t xml:space="preserve"> siècle dans les vêtements de la Vierge Marie et il s’éclaircit pour devenir un beau bleu clair comme on peut le remarquer dans l’enluminure du folio 17v du livre d’Heures du Maître de Jean d’Albret.</w:t>
      </w:r>
    </w:p>
    <w:p w:rsidR="00102D16" w:rsidRDefault="00102D16" w:rsidP="00102D16">
      <w:pPr>
        <w:spacing w:line="360" w:lineRule="auto"/>
        <w:ind w:firstLine="708"/>
        <w:jc w:val="both"/>
      </w:pPr>
      <w:r>
        <w:t xml:space="preserve">En s’éclaircissant, le bleu s’est éloigné de la symbolique principale d’un vêtement noir. À la fin du Moyen Âge, on ne met plus tant l’accent sur le deuil et la tristesse de la Vierge Marie mais </w:t>
      </w:r>
      <w:r w:rsidR="00920993">
        <w:t>plutôt sur l’amour qu’elle portait</w:t>
      </w:r>
      <w:r>
        <w:t xml:space="preserve"> à son fils. C’est une évidence qui a déjà été expliquée, le bleu ne possédait pas d’aspects positifs à cause de son manque d’utilisation avant le 11</w:t>
      </w:r>
      <w:r w:rsidRPr="00F333D8">
        <w:rPr>
          <w:vertAlign w:val="superscript"/>
        </w:rPr>
        <w:t>e</w:t>
      </w:r>
      <w:r>
        <w:t xml:space="preserve"> siècle. Son aspect négatif lié à l</w:t>
      </w:r>
      <w:r w:rsidR="00920993">
        <w:t>a barbarie est plutôt vieillot à ce moment</w:t>
      </w:r>
      <w:r>
        <w:t>, car elle provient de la fin de l’Antiquité. On peut donc</w:t>
      </w:r>
      <w:r w:rsidR="00920993">
        <w:t xml:space="preserve"> affirmer que le bleu ne possédait</w:t>
      </w:r>
      <w:r>
        <w:t xml:space="preserve"> pas d’aspects symboliques importants vers l’an mil. Si je reviens à ce que j’ai écrit à propos du lien entre le noir et le bleu, on comprend que c’était un moindre mal de choisir le bleu plutôt que le noir dans les différents aspects de la religion. Le noir était de plus en plus mal vu alors qu’on n’avait pas de problème apparent avec le </w:t>
      </w:r>
      <w:r>
        <w:lastRenderedPageBreak/>
        <w:t xml:space="preserve">manque de symbolique de la couleur bleue. Mais, il est assez clair que les aspects que l’on se rappelle le plus chez la Vierge Marie, amour, loyauté, et aide, sont devenus les aspects symboliques du bleu pendant la seconde moitié du Moyen Âge. </w:t>
      </w:r>
      <w:r w:rsidR="00920993">
        <w:t>C’est elle qui a rempli le vide symbolique du bleu. Donc, la couleur de sa cape est le symbole de l’amour ce qui forme un net contraste avec aujourd’hui puisque c’est le rouge la couleur de l’amour. Au final, p</w:t>
      </w:r>
      <w:r>
        <w:t>arler de la Vierge Marie et du bleu, c’était devenu du pareil au même.</w:t>
      </w:r>
    </w:p>
    <w:p w:rsidR="00102D16" w:rsidRPr="000B3FF5" w:rsidRDefault="00102D16" w:rsidP="00102D16">
      <w:pPr>
        <w:pStyle w:val="Titre3"/>
        <w:spacing w:line="360" w:lineRule="auto"/>
        <w:jc w:val="both"/>
        <w:rPr>
          <w:rFonts w:ascii="Times New Roman" w:hAnsi="Times New Roman" w:cs="Times New Roman"/>
          <w:b w:val="0"/>
          <w:i/>
          <w:color w:val="auto"/>
          <w:u w:val="single"/>
        </w:rPr>
      </w:pPr>
      <w:bookmarkStart w:id="4" w:name="_Toc378080485"/>
      <w:r w:rsidRPr="000B3FF5">
        <w:rPr>
          <w:rFonts w:ascii="Times New Roman" w:hAnsi="Times New Roman" w:cs="Times New Roman"/>
          <w:b w:val="0"/>
          <w:i/>
          <w:color w:val="auto"/>
          <w:u w:val="single"/>
        </w:rPr>
        <w:t>Rouge</w:t>
      </w:r>
      <w:r>
        <w:rPr>
          <w:rFonts w:ascii="Times New Roman" w:hAnsi="Times New Roman" w:cs="Times New Roman"/>
          <w:b w:val="0"/>
          <w:i/>
          <w:color w:val="auto"/>
          <w:u w:val="single"/>
        </w:rPr>
        <w:t xml:space="preserve"> du Christ</w:t>
      </w:r>
      <w:bookmarkEnd w:id="4"/>
    </w:p>
    <w:p w:rsidR="00102D16" w:rsidRDefault="00102D16" w:rsidP="00102D16">
      <w:pPr>
        <w:spacing w:line="360" w:lineRule="auto"/>
        <w:ind w:firstLine="708"/>
        <w:jc w:val="both"/>
      </w:pPr>
      <w:r>
        <w:t xml:space="preserve">En ce qui a trait à la tunique rouge du Christ, beaucoup peut être écrit à ce sujet. Pour nous, associer le rouge au sang versé par le Christ lors de sa crucifixion semble être une évidence. D’ailleurs, le pape Innocent III, avant qu’il le devienne, avait écrit un ouvrage, le </w:t>
      </w:r>
      <w:r>
        <w:rPr>
          <w:i/>
        </w:rPr>
        <w:t xml:space="preserve">De </w:t>
      </w:r>
      <w:proofErr w:type="spellStart"/>
      <w:r>
        <w:rPr>
          <w:i/>
        </w:rPr>
        <w:t>sancrosancti</w:t>
      </w:r>
      <w:proofErr w:type="spellEnd"/>
      <w:r>
        <w:rPr>
          <w:i/>
        </w:rPr>
        <w:t xml:space="preserve"> </w:t>
      </w:r>
      <w:proofErr w:type="spellStart"/>
      <w:r>
        <w:rPr>
          <w:i/>
        </w:rPr>
        <w:t>altaris</w:t>
      </w:r>
      <w:proofErr w:type="spellEnd"/>
      <w:r>
        <w:rPr>
          <w:i/>
        </w:rPr>
        <w:t xml:space="preserve"> </w:t>
      </w:r>
      <w:proofErr w:type="spellStart"/>
      <w:r>
        <w:rPr>
          <w:i/>
        </w:rPr>
        <w:t>mysterio</w:t>
      </w:r>
      <w:proofErr w:type="spellEnd"/>
      <w:r>
        <w:t>,  vers la fin du 12</w:t>
      </w:r>
      <w:r w:rsidRPr="00DE0DFD">
        <w:rPr>
          <w:vertAlign w:val="superscript"/>
        </w:rPr>
        <w:t>e</w:t>
      </w:r>
      <w:r>
        <w:t xml:space="preserve"> siècle au sujet des couleurs à utiliser lors des cérémonies liturgiques. Il s’agit d’une œuvre de compilation </w:t>
      </w:r>
      <w:r w:rsidR="00E42FC6">
        <w:t xml:space="preserve">et </w:t>
      </w:r>
      <w:r>
        <w:t>d’une synthèse de ce qui avait été écrit auparavant</w:t>
      </w:r>
      <w:r>
        <w:rPr>
          <w:rStyle w:val="Appelnotedebasdep"/>
        </w:rPr>
        <w:footnoteReference w:id="12"/>
      </w:r>
      <w:r>
        <w:t xml:space="preserve"> d’où son utilité pour ce mémoire. L’important dans ce manuscrit est que le futur pape Innocent III rapporte que le rouge devait être utilisé lors des cérémonies </w:t>
      </w:r>
      <w:r w:rsidR="00CF4DEF">
        <w:t>célébrant l</w:t>
      </w:r>
      <w:r>
        <w:t>es fêtes des apôtres et des martyrs en lien avec leur sacrifice</w:t>
      </w:r>
      <w:r>
        <w:rPr>
          <w:rStyle w:val="Appelnotedebasdep"/>
        </w:rPr>
        <w:footnoteReference w:id="13"/>
      </w:r>
      <w:r>
        <w:t>. Pour cette raison, le rouge symbolise souvent la force, le courage et le devoir du sacrifice pour le bien d’autrui. Ce sont évidemment toutes des qualités attachées à la personne du Christ et des martyrs. Le Christ savait qu’il était sur le point de se faire exécuter. Pourtant, il a tout de même affronté ce moment pour sauver l’humanité du péché originel</w:t>
      </w:r>
      <w:r w:rsidR="00E42FC6">
        <w:t xml:space="preserve">. </w:t>
      </w:r>
      <w:r>
        <w:t xml:space="preserve">Bon nombre de crucifix aujourd’hui font en sorte que l’on voit les souffrances du Christ et son sang coulé de ses plaies présentes sur son corps. Toutefois, il n’en a pas toujours été ainsi. </w:t>
      </w:r>
      <w:r w:rsidR="00E42FC6">
        <w:t>Pendant le Haut</w:t>
      </w:r>
      <w:r w:rsidR="00CF4DEF">
        <w:t xml:space="preserve"> </w:t>
      </w:r>
      <w:r>
        <w:t xml:space="preserve">Moyen Âge, quand on regarde les crucifix, les peintures ou tous les autres supports iconographiques représentant la Passion, on ne voit pas un Christ souffrant. Non, on remarque plutôt un Christ en gloire, sans blessure, comme si Dieu lui-même avait été présent sur la croix. Il ne s’agit pas tant d’un moment de souffrance qu’un </w:t>
      </w:r>
      <w:r w:rsidR="00E42FC6">
        <w:t>instant</w:t>
      </w:r>
      <w:r>
        <w:t xml:space="preserve"> de gloire. Tout est axé sur le fait qu’il s’agit du moment le plus important dans l’histoire de la chrétienté. </w:t>
      </w:r>
      <w:proofErr w:type="spellStart"/>
      <w:r>
        <w:t>Duchet-Suchaux</w:t>
      </w:r>
      <w:proofErr w:type="spellEnd"/>
      <w:r>
        <w:t xml:space="preserve"> et Pastoureau confirment ce fait quand ils écrivent : </w:t>
      </w:r>
    </w:p>
    <w:p w:rsidR="00102D16" w:rsidRPr="00552CFA" w:rsidRDefault="00102D16" w:rsidP="00102D16">
      <w:pPr>
        <w:spacing w:line="360" w:lineRule="auto"/>
        <w:ind w:left="1134" w:right="1134"/>
        <w:jc w:val="both"/>
        <w:rPr>
          <w:sz w:val="20"/>
          <w:szCs w:val="20"/>
        </w:rPr>
      </w:pPr>
      <w:r w:rsidRPr="00552CFA">
        <w:rPr>
          <w:sz w:val="20"/>
          <w:szCs w:val="20"/>
        </w:rPr>
        <w:t>Le Christ, barbu, est vêtu d’un simple pagne. Les yeux ouverts, il ne paraît pas souffrir. […] Les représentations se multiplient au VI</w:t>
      </w:r>
      <w:r w:rsidRPr="00552CFA">
        <w:rPr>
          <w:sz w:val="20"/>
          <w:szCs w:val="20"/>
          <w:vertAlign w:val="superscript"/>
        </w:rPr>
        <w:t>e</w:t>
      </w:r>
      <w:r w:rsidRPr="00552CFA">
        <w:rPr>
          <w:sz w:val="20"/>
          <w:szCs w:val="20"/>
        </w:rPr>
        <w:t xml:space="preserve"> siècle et mettent l’accent sur la glorification du Christ. […] Le type du Christ mort, les yeux clos, et coiffé de la </w:t>
      </w:r>
      <w:r w:rsidRPr="00552CFA">
        <w:rPr>
          <w:sz w:val="20"/>
          <w:szCs w:val="20"/>
        </w:rPr>
        <w:lastRenderedPageBreak/>
        <w:t>couronne d’épines, commence à se répandre en France du Nord et dans l’Allemagne rhénane à partir du XI</w:t>
      </w:r>
      <w:r w:rsidRPr="00552CFA">
        <w:rPr>
          <w:sz w:val="20"/>
          <w:szCs w:val="20"/>
          <w:vertAlign w:val="superscript"/>
        </w:rPr>
        <w:t>e</w:t>
      </w:r>
      <w:r w:rsidRPr="00552CFA">
        <w:rPr>
          <w:sz w:val="20"/>
          <w:szCs w:val="20"/>
        </w:rPr>
        <w:t xml:space="preserve"> siècle (nouveauté attesté</w:t>
      </w:r>
      <w:r>
        <w:rPr>
          <w:sz w:val="20"/>
          <w:szCs w:val="20"/>
        </w:rPr>
        <w:t xml:space="preserve">e </w:t>
      </w:r>
      <w:r w:rsidRPr="00552CFA">
        <w:rPr>
          <w:sz w:val="20"/>
          <w:szCs w:val="20"/>
        </w:rPr>
        <w:t>au XII</w:t>
      </w:r>
      <w:r w:rsidRPr="00552CFA">
        <w:rPr>
          <w:sz w:val="20"/>
          <w:szCs w:val="20"/>
          <w:vertAlign w:val="superscript"/>
        </w:rPr>
        <w:t>e</w:t>
      </w:r>
      <w:r w:rsidRPr="00552CFA">
        <w:rPr>
          <w:sz w:val="20"/>
          <w:szCs w:val="20"/>
        </w:rPr>
        <w:t xml:space="preserve"> siècle par un vitrail de la cathédrale de Chartres). Ce changement frappant est attribué par Louis </w:t>
      </w:r>
      <w:proofErr w:type="spellStart"/>
      <w:r w:rsidRPr="00552CFA">
        <w:rPr>
          <w:sz w:val="20"/>
          <w:szCs w:val="20"/>
        </w:rPr>
        <w:t>Réau</w:t>
      </w:r>
      <w:proofErr w:type="spellEnd"/>
      <w:r w:rsidRPr="00552CFA">
        <w:rPr>
          <w:sz w:val="20"/>
          <w:szCs w:val="20"/>
        </w:rPr>
        <w:t xml:space="preserve"> à une modification de la sensibilité religieuse, sous l’influence franciscaine ; cette mutation annonce de loin la vogue du Christ en pitié, les </w:t>
      </w:r>
      <w:r w:rsidRPr="00552CFA">
        <w:rPr>
          <w:i/>
          <w:sz w:val="20"/>
          <w:szCs w:val="20"/>
        </w:rPr>
        <w:t>Pietà</w:t>
      </w:r>
      <w:r w:rsidRPr="00552CFA">
        <w:rPr>
          <w:sz w:val="20"/>
          <w:szCs w:val="20"/>
        </w:rPr>
        <w:t xml:space="preserve"> de la fin du Moyen Âge. L’influence littéraire ne doit pas être négligée ici</w:t>
      </w:r>
      <w:r>
        <w:rPr>
          <w:rStyle w:val="Appelnotedebasdep"/>
          <w:sz w:val="20"/>
          <w:szCs w:val="20"/>
        </w:rPr>
        <w:footnoteReference w:id="14"/>
      </w:r>
      <w:r w:rsidRPr="00552CFA">
        <w:rPr>
          <w:sz w:val="20"/>
          <w:szCs w:val="20"/>
        </w:rPr>
        <w:t>.</w:t>
      </w:r>
    </w:p>
    <w:p w:rsidR="00102D16" w:rsidRDefault="00102D16" w:rsidP="00102D16">
      <w:pPr>
        <w:spacing w:line="360" w:lineRule="auto"/>
        <w:jc w:val="both"/>
      </w:pPr>
      <w:r>
        <w:t xml:space="preserve">Alors comment peut-on associer le rouge aux souffrances du Christ lors de la Passion alors qu’il n’y avait pas de sang auparavant? Une partie de la réponse est apportée par Patrizia </w:t>
      </w:r>
      <w:proofErr w:type="spellStart"/>
      <w:r>
        <w:t>Carmassi</w:t>
      </w:r>
      <w:proofErr w:type="spellEnd"/>
      <w:r>
        <w:t xml:space="preserve"> dans un chapitre qu’elle a écrit dans le cadre d’un colloque qui se nomme </w:t>
      </w:r>
      <w:proofErr w:type="spellStart"/>
      <w:r>
        <w:rPr>
          <w:i/>
        </w:rPr>
        <w:t>Purpurismum</w:t>
      </w:r>
      <w:proofErr w:type="spellEnd"/>
      <w:r>
        <w:rPr>
          <w:i/>
        </w:rPr>
        <w:t xml:space="preserve"> in </w:t>
      </w:r>
      <w:proofErr w:type="spellStart"/>
      <w:r>
        <w:rPr>
          <w:i/>
        </w:rPr>
        <w:t>martyrio</w:t>
      </w:r>
      <w:proofErr w:type="spellEnd"/>
      <w:r>
        <w:rPr>
          <w:i/>
        </w:rPr>
        <w:t xml:space="preserve"> : Die </w:t>
      </w:r>
      <w:proofErr w:type="spellStart"/>
      <w:r>
        <w:rPr>
          <w:i/>
        </w:rPr>
        <w:t>Farbe</w:t>
      </w:r>
      <w:proofErr w:type="spellEnd"/>
      <w:r>
        <w:rPr>
          <w:i/>
        </w:rPr>
        <w:t xml:space="preserve"> des Blutes in </w:t>
      </w:r>
      <w:proofErr w:type="spellStart"/>
      <w:r>
        <w:rPr>
          <w:i/>
        </w:rPr>
        <w:t>mittelalterlichen</w:t>
      </w:r>
      <w:proofErr w:type="spellEnd"/>
      <w:r>
        <w:rPr>
          <w:i/>
        </w:rPr>
        <w:t xml:space="preserve"> </w:t>
      </w:r>
      <w:proofErr w:type="spellStart"/>
      <w:r>
        <w:rPr>
          <w:i/>
        </w:rPr>
        <w:t>Handschriften</w:t>
      </w:r>
      <w:proofErr w:type="spellEnd"/>
      <w:r>
        <w:t xml:space="preserve">. Elle y explique que la réponse des Carolingiens à la crise iconoclaste de l’Empire byzantin a changé la donne. Les iconoclastes rejetaient l’utilisation de l’image parce qu’elle pouvait être sujette à la vénération. À ce moment,  </w:t>
      </w:r>
      <w:r w:rsidR="00E42FC6">
        <w:t>il y avait de graves</w:t>
      </w:r>
      <w:r>
        <w:t xml:space="preserve"> problèmes à ce sujet, car les gens considéraient les supports iconographiques des saints comme les saints eux-mêmes. En réalité, le saint en personne peut être vénéré mais pas son image. En Occident, on a compris que les reliques étaient indispensables et elles pouvaient être acceptées comme objet </w:t>
      </w:r>
      <w:r w:rsidR="00E42FC6">
        <w:t>de vénération puisqu’on retrouvait</w:t>
      </w:r>
      <w:r>
        <w:t xml:space="preserve"> une partie réelle du saint dans le support iconographique. On a rejeté toutes les autres formes d’images. Dans la réalité, surtout dans la population laïque, cela ne s’est pas passé comme tel, mais les intellectuels ont été forcés à réfléchir sur de nouvelles méthodes de vénération. Les images mentales sont donc devenues une solution viable. Dans les poèmes de Raban Maur, un des pères de la renaissance carolingienne, une attention particulière est donnée aux souffrances du Christ</w:t>
      </w:r>
      <w:r>
        <w:rPr>
          <w:rStyle w:val="Appelnotedebasdep"/>
        </w:rPr>
        <w:footnoteReference w:id="15"/>
      </w:r>
      <w:r>
        <w:t xml:space="preserve">. Beaucoup d’accent a été mis sur le sang versé par lui. Ainsi, pour former des images mentales cohérentes, les textes sont devenus de plus en plus précis et descriptifs, non seulement sur la Passion mais dans tous les autres thèmes chrétiens. Comme l’écrit </w:t>
      </w:r>
      <w:proofErr w:type="spellStart"/>
      <w:r>
        <w:t>Carmassi</w:t>
      </w:r>
      <w:proofErr w:type="spellEnd"/>
      <w:r>
        <w:t xml:space="preserve">, « die </w:t>
      </w:r>
      <w:proofErr w:type="spellStart"/>
      <w:r>
        <w:t>Wortkomposition</w:t>
      </w:r>
      <w:proofErr w:type="spellEnd"/>
      <w:r>
        <w:t xml:space="preserve"> [</w:t>
      </w:r>
      <w:proofErr w:type="spellStart"/>
      <w:r>
        <w:t>wird</w:t>
      </w:r>
      <w:proofErr w:type="spellEnd"/>
      <w:r>
        <w:t xml:space="preserve">] </w:t>
      </w:r>
      <w:proofErr w:type="spellStart"/>
      <w:r>
        <w:t>selbst</w:t>
      </w:r>
      <w:proofErr w:type="spellEnd"/>
      <w:r>
        <w:t xml:space="preserve"> </w:t>
      </w:r>
      <w:proofErr w:type="spellStart"/>
      <w:r>
        <w:t>Bild</w:t>
      </w:r>
      <w:proofErr w:type="spellEnd"/>
      <w:r>
        <w:t> »</w:t>
      </w:r>
      <w:r>
        <w:rPr>
          <w:rStyle w:val="Appelnotedebasdep"/>
        </w:rPr>
        <w:footnoteReference w:id="16"/>
      </w:r>
      <w:r>
        <w:t xml:space="preserve"> (la </w:t>
      </w:r>
      <w:r w:rsidRPr="00327E15">
        <w:t>composition du mot devient l’art elle-même). Ainsi, vers le 9</w:t>
      </w:r>
      <w:r w:rsidRPr="00327E15">
        <w:rPr>
          <w:vertAlign w:val="superscript"/>
        </w:rPr>
        <w:t>e</w:t>
      </w:r>
      <w:r w:rsidRPr="00327E15">
        <w:t xml:space="preserve"> siècle, on commençait à associer le sang du Christ à la couleur rouge dans la littérature. Vers le 11</w:t>
      </w:r>
      <w:r w:rsidRPr="00327E15">
        <w:rPr>
          <w:vertAlign w:val="superscript"/>
        </w:rPr>
        <w:t>e</w:t>
      </w:r>
      <w:r w:rsidRPr="00327E15">
        <w:t xml:space="preserve"> siècle, l’Église a entamé une restructuration de ses méthodes de prédication par l’utilisation d’images concrète pour rendre les croyants encore plus attachés à leur religion. Et où elle a bien pu prendre </w:t>
      </w:r>
      <w:r w:rsidRPr="00327E15">
        <w:lastRenderedPageBreak/>
        <w:t xml:space="preserve">ces idées? La citation précédente de </w:t>
      </w:r>
      <w:proofErr w:type="spellStart"/>
      <w:r w:rsidRPr="00327E15">
        <w:t>Duchet-Suchaux</w:t>
      </w:r>
      <w:proofErr w:type="spellEnd"/>
      <w:r w:rsidRPr="00327E15">
        <w:t xml:space="preserve"> et de Pastoureau apporte la réponse puisqu’ils disent : « L’influence littéraire ne doit pas être négligée ici »</w:t>
      </w:r>
      <w:r>
        <w:rPr>
          <w:rStyle w:val="Appelnotedebasdep"/>
        </w:rPr>
        <w:footnoteReference w:id="17"/>
      </w:r>
      <w:r>
        <w:t xml:space="preserve">. Souvent, on a remarqué que les thèmes littéraires se sont transférés vers l’iconographie et c’est exactement </w:t>
      </w:r>
      <w:r w:rsidR="00E42FC6">
        <w:t xml:space="preserve">ce qui est arrivé </w:t>
      </w:r>
      <w:r>
        <w:t xml:space="preserve">sur le cas de la Passion du Christ d’où l’apparition plus fréquente de crucifix et d’images où l’on voit le Christ souffrir atrocement sur la croix et perdre de son sang. De plus, il était beaucoup plus facile pour la population de croyants de s’associer à un Christ souffrant plutôt qu’à un Christ Roi. En résumé, dans cette image, le Christ enfant dans sa tunique rouge fait référence à son futur, à son sacrifice pour sauver l’humanité et au sang </w:t>
      </w:r>
      <w:r w:rsidR="00E42FC6">
        <w:t xml:space="preserve">qu’il a versé </w:t>
      </w:r>
      <w:r>
        <w:t xml:space="preserve">pour nous tous. Il s’agit d’une couleur qui témoigne de tout le courage et </w:t>
      </w:r>
      <w:r w:rsidR="00E42FC6">
        <w:t xml:space="preserve">de </w:t>
      </w:r>
      <w:r>
        <w:t>la force de caractère que possédait cet homme.</w:t>
      </w:r>
    </w:p>
    <w:p w:rsidR="00102D16" w:rsidRPr="003D2335" w:rsidRDefault="00102D16" w:rsidP="00102D16">
      <w:pPr>
        <w:pStyle w:val="Titre3"/>
        <w:spacing w:line="360" w:lineRule="auto"/>
        <w:jc w:val="both"/>
        <w:rPr>
          <w:b w:val="0"/>
          <w:i/>
          <w:color w:val="auto"/>
          <w:u w:val="single"/>
        </w:rPr>
      </w:pPr>
      <w:bookmarkStart w:id="5" w:name="_Toc378080486"/>
      <w:r w:rsidRPr="003D2335">
        <w:rPr>
          <w:b w:val="0"/>
          <w:i/>
          <w:color w:val="auto"/>
          <w:u w:val="single"/>
        </w:rPr>
        <w:t>Bleu et rouge</w:t>
      </w:r>
      <w:r>
        <w:rPr>
          <w:b w:val="0"/>
          <w:i/>
          <w:color w:val="auto"/>
          <w:u w:val="single"/>
        </w:rPr>
        <w:t> : association de deux personnages</w:t>
      </w:r>
      <w:bookmarkEnd w:id="5"/>
    </w:p>
    <w:p w:rsidR="00102D16" w:rsidRDefault="00102D16" w:rsidP="00102D16">
      <w:pPr>
        <w:spacing w:line="360" w:lineRule="auto"/>
        <w:ind w:firstLine="708"/>
        <w:jc w:val="both"/>
      </w:pPr>
      <w:r>
        <w:t>J’aimerais faire une petite parenthèse sur l’association entre les couleurs rouge et bleu. Selon Pastoureau, ces couleurs sont des contraires. Mais, il discute de ce fait en se basant sur la fabrication des teintures. Le monde de la teinturerie est très divisé. Ce n’est pas n’importe quelle personne qui a le droit de faire n’importe quoi. Pastoureau écrit d’ailleurs : « Les règlements interdisent de teindre une étoffe ou d’opérer dans une gamme de couleurs pour laquelle on n’a pas de licence »</w:t>
      </w:r>
      <w:r>
        <w:rPr>
          <w:rStyle w:val="Appelnotedebasdep"/>
        </w:rPr>
        <w:footnoteReference w:id="18"/>
      </w:r>
      <w:r>
        <w:t xml:space="preserve">. La couleur bleue est ainsi produite aux endroits où on fabriquait habituellement des teintures plus foncées et le rouge se trouve où sont les couleurs </w:t>
      </w:r>
      <w:r w:rsidR="00E42FC6">
        <w:t xml:space="preserve">les </w:t>
      </w:r>
      <w:r>
        <w:t xml:space="preserve">plus claires. Par contre, quand on se fie à ce qui se fait dans les peintures, les sculptures, les manuscrits, etc., on remarque que ces deux couleurs sont complémentaires l’une et l’autre par leur association effectuée par la Vierge Marie et Jésus. Comme on peut le voir dans le livre d’Heures choisi pour ce mémoire, la Vierge est presque toujours habillée d’une cape bleue et d’une robe rouge. Dans le cas de l’image ici étudiée, on observe un habillement différent puisque Marie porte une robe grise. Toutefois, le Christ porte une tunique rouge. On comprend ainsi l’association de ces deux couleurs, car le bleu de sa cape est sa propre couleur, mais la robe rouge démontre son affiliation avec son enfant. De plus, il s’agit du vêtement le plus proche d’elle, celui qui lui colle carrément à la peau, et il est enveloppé par la cape bleue. Pour moi, il s’agit d’une métaphore impliquant que la Vierge Marie a porté en elle le Christ. Pour confirmer ce fait, nous avons qu’à observer l’image du folio 124v où on y voit la Vierge pendant son enfance avec sa </w:t>
      </w:r>
      <w:r>
        <w:lastRenderedPageBreak/>
        <w:t>mère sainte Anne. On remarque qu’elle est simplement habillée d’une robe bleue ce qui signifie qu’elle n’a pas encore porté le Christ en elle. Dans l’image de la Vierge à l’enfant, il n’est d’aucune utilité pour elle de porter une robe rouge, car son enfant est déjà présent dans l’image avec sa tunique rouge afin de remplir cette fonction. On ne peut donc dissocier ces deux couleurs quand il est question de religion. D’ailleurs, dans la plupart des images, le Christ est lui-même souvent habillé de rouge et de bleu pour l’associer à sa mère. Un peu plus tard, il sera question de ce que j’appelle la triade religieuse des couleurs puisque les trois couleurs les plus importantes dans la religion chrétienne de la fin du Moyen Âge sont le rouge, le bleu et, évidemment, l’or.</w:t>
      </w:r>
    </w:p>
    <w:p w:rsidR="00102D16" w:rsidRPr="007730B2" w:rsidRDefault="00102D16" w:rsidP="00102D16">
      <w:pPr>
        <w:pStyle w:val="Titre3"/>
        <w:spacing w:line="360" w:lineRule="auto"/>
        <w:jc w:val="both"/>
        <w:rPr>
          <w:rFonts w:ascii="Times New Roman" w:hAnsi="Times New Roman" w:cs="Times New Roman"/>
          <w:b w:val="0"/>
          <w:i/>
          <w:color w:val="auto"/>
          <w:u w:val="single"/>
        </w:rPr>
      </w:pPr>
      <w:bookmarkStart w:id="6" w:name="_Toc378080487"/>
      <w:r w:rsidRPr="007730B2">
        <w:rPr>
          <w:rFonts w:ascii="Times New Roman" w:hAnsi="Times New Roman" w:cs="Times New Roman"/>
          <w:b w:val="0"/>
          <w:i/>
          <w:color w:val="auto"/>
          <w:u w:val="single"/>
        </w:rPr>
        <w:t>Or</w:t>
      </w:r>
      <w:r>
        <w:rPr>
          <w:rFonts w:ascii="Times New Roman" w:hAnsi="Times New Roman" w:cs="Times New Roman"/>
          <w:b w:val="0"/>
          <w:i/>
          <w:color w:val="auto"/>
          <w:u w:val="single"/>
        </w:rPr>
        <w:t xml:space="preserve"> divin</w:t>
      </w:r>
      <w:bookmarkEnd w:id="6"/>
    </w:p>
    <w:p w:rsidR="00102D16" w:rsidRDefault="00102D16" w:rsidP="00102D16">
      <w:pPr>
        <w:spacing w:line="360" w:lineRule="auto"/>
        <w:jc w:val="both"/>
      </w:pPr>
      <w:r>
        <w:tab/>
        <w:t xml:space="preserve"> </w:t>
      </w:r>
      <w:r w:rsidR="00E42FC6">
        <w:t>Discutons maintenant de l’or puisqu’</w:t>
      </w:r>
      <w:r>
        <w:t>il s’agit probablement de la plus importante des couleurs. Comme l’affirme Pastoureau, « Temple de la couleur, l’église est aussi temple de l’or. Il y est présent dès l’époque paléochrétienne et, au fil des siècles sous la double influence byzantine et germanique, cette présence va en s’accentuant »</w:t>
      </w:r>
      <w:r>
        <w:rPr>
          <w:rStyle w:val="Appelnotedebasdep"/>
        </w:rPr>
        <w:footnoteReference w:id="19"/>
      </w:r>
      <w:r>
        <w:t>. Il s’agit de la couleur par excellence, celle qui reflète le mieux la lumière divine. Elle joue un rôle primordial dans les églises, car elle les remplit de lumière. De plus, « Au Moyen Âge, plus blanc que blanc, c’est l’or »</w:t>
      </w:r>
      <w:r>
        <w:rPr>
          <w:rStyle w:val="Appelnotedebasdep"/>
        </w:rPr>
        <w:footnoteReference w:id="20"/>
      </w:r>
      <w:r>
        <w:t>. Quand on sait que le blanc était la couleur de la pureté, une qualité essentielle à tout le monde pour atteindre le Paradis, on comprend à quel point l’or devait être important. C’est la couleur de la « super-pureté ». Bien qu’elle soit critiquée par bon nombre de contemporains, tels que Bernard de Clairvaux ou des groupes hérétiques jugeant qu’elle correspond trop à la luxure, elle est utilisée presque partout</w:t>
      </w:r>
      <w:r w:rsidR="00E42FC6">
        <w:t xml:space="preserve">. Si on a de l’or, on ne se gênait pas de l’utiliser et de </w:t>
      </w:r>
      <w:r>
        <w:t xml:space="preserve">le montrer. Il s’agit de la couleur qui représente le mieux la majesté divine et le Paradis qui est rempli de lumière. Dieu peut donc être représenté symboliquement par cette couleur. Dans notre enluminure, Dieu est justement représenté par l’aura qui émane de l’association de la Vierge Marie et de son enfant. Même s’il est jaune, le fait reste le même puisque l’or est </w:t>
      </w:r>
      <w:r w:rsidR="00E42FC6">
        <w:t>un type de</w:t>
      </w:r>
      <w:r>
        <w:t xml:space="preserve"> jaune. Par manque de moyen monétaire, on remplaçait généralement l’or par ce substitut.</w:t>
      </w:r>
      <w:r w:rsidR="00F901CE">
        <w:t xml:space="preserve"> Parmi les vivants, l’or est donc l’intermédiaire entre le monde spirituel et le monde terrestre. Nous pouvons comprendre cela en nous fiant </w:t>
      </w:r>
      <w:r>
        <w:t xml:space="preserve">à la couronne en or présente sur la tête de Marie. Cet objet est lié à son couronnement quand elle est arrivée au Paradis. </w:t>
      </w:r>
      <w:r w:rsidR="00F901CE">
        <w:t xml:space="preserve">La mère de Jésus fait ainsi office d’intermédiaire entre les croyants et le monde divin, un rôle qu’elle a effectivement rempli </w:t>
      </w:r>
      <w:r w:rsidR="00F901CE">
        <w:lastRenderedPageBreak/>
        <w:t xml:space="preserve">pendant le Bas Moyen Âge avec le développement de son culte. </w:t>
      </w:r>
      <w:r>
        <w:t>D</w:t>
      </w:r>
      <w:r w:rsidR="00F901CE">
        <w:t>’autre part, d</w:t>
      </w:r>
      <w:r>
        <w:t xml:space="preserve">ans la religion chrétienne,  l’or doit donc être plus considéré pour son aspect divin que pour sa valeur monétaire. D’ailleurs, le meilleur exemple pour prouver ces affirmations se trouve dans les écrits de l’abbé Suger. Ce dernier fut abbé de Saint-Denis de 1122 à 1151. Dans son ouvrage, le </w:t>
      </w:r>
      <w:r>
        <w:rPr>
          <w:i/>
        </w:rPr>
        <w:t xml:space="preserve">De </w:t>
      </w:r>
      <w:proofErr w:type="spellStart"/>
      <w:r>
        <w:rPr>
          <w:i/>
        </w:rPr>
        <w:t>Consecratione</w:t>
      </w:r>
      <w:proofErr w:type="spellEnd"/>
      <w:r>
        <w:t>, il est question des rénovations de l’abbaye de Saint-Denis. Suger avait décidé de la rénover, surtout dans le but de l’agrandir pour qu’elle accueille plus de fidèles. Mais, il avait également d’autres buts. Il voulait que l’église soit la plus illuminée possible, suivant ainsi les principes du pseudo-Denys l’Aréopagite. Il n’y avait rien de trop beau pour cette abbaye. Le fait le plus intéressant qu’il y a eu différents miracles durant les rénovations qui ont facilité les différentes étapes de la construction. Exemple</w:t>
      </w:r>
      <w:r w:rsidR="00F901CE">
        <w:t>s</w:t>
      </w:r>
      <w:proofErr w:type="gramStart"/>
      <w:r>
        <w:t>,(</w:t>
      </w:r>
      <w:proofErr w:type="gramEnd"/>
      <w:r>
        <w:t>citation</w:t>
      </w:r>
      <w:r w:rsidR="00F901CE">
        <w:t>s</w:t>
      </w:r>
      <w:r>
        <w:t xml:space="preserve"> de Suger). Suger démontre ainsi que Dieu lui-même acceptait l’utilisation du beau dans les églises. L’or sert donc d’intermédiaire entre le divin et le fidèle. Il permet à la lumière divine d’envahir les églises. Il s’agit dans un sens </w:t>
      </w:r>
      <w:r w:rsidR="00F901CE">
        <w:t>d’</w:t>
      </w:r>
      <w:r>
        <w:t xml:space="preserve">un messager. </w:t>
      </w:r>
    </w:p>
    <w:p w:rsidR="00102D16" w:rsidRDefault="00102D16" w:rsidP="00102D16">
      <w:pPr>
        <w:spacing w:line="360" w:lineRule="auto"/>
        <w:ind w:firstLine="708"/>
        <w:jc w:val="both"/>
      </w:pPr>
      <w:r>
        <w:t>Sur ce point, on retrouve un oiseau en jaune dans la bordure de l’enluminure de la Vierge à l’enfant. Son identification ici est problématique. Comme l’explique Pastoureau dans son livre portant sur les bestiaires, l’identification des oiseaux est difficile. Il nous présente une image où une hirondelle est semblable à une pie</w:t>
      </w:r>
      <w:r>
        <w:rPr>
          <w:rStyle w:val="Appelnotedebasdep"/>
        </w:rPr>
        <w:footnoteReference w:id="21"/>
      </w:r>
      <w:r>
        <w:t>. Comme il s’agit d’un bestiaire, le nom des animaux est bien évidemment écrit dans le texte associé à l’image. Dans un livre d’Heures, cela est tout simplement impossible à cause de la nature des textes. Par contre, il existe tout de même une symbolique récurrente associée à l’oiseau. Il préfère être dans le ciel ou, comme l’écrit Pastoureau, « [Il] préfère les bienfaits du ciel au confort terrestre »</w:t>
      </w:r>
      <w:r>
        <w:rPr>
          <w:rStyle w:val="Appelnotedebasdep"/>
        </w:rPr>
        <w:footnoteReference w:id="22"/>
      </w:r>
      <w:r>
        <w:t xml:space="preserve">. Il s’agit également d’un messager. En effet, à l’époque, les oiseaux étaient utilisés pour envoyer des messages vers autrui. </w:t>
      </w:r>
      <w:r w:rsidR="00F901CE">
        <w:t xml:space="preserve">On peut même spéculer quant à savoir s’il s’agit du Saint-Esprit. Cela renforcerait encore plus l’argumentation au sujet de l’oiseau messager. </w:t>
      </w:r>
      <w:r>
        <w:t xml:space="preserve">Dans mon analyse de cette enluminure, je peux facilement faire un lien entre l’oiseau et la couronne de la Vierge Marie. Cet objet est le symbole de son accession au Paradis. En même temps, cela fait d’elle une intermédiaire ou une messagère. Dieu et Jésus étant considérés comme inaccessibles par la majorité des fidèles au Moyen Âge, ils se sont tournés vers la Vierge Marie dans la plupart de leur prière et suffrage. Ainsi, l’oiseau et la Vierge font office de messagers entre le monde terrestre et spirituel et cela est accentué par </w:t>
      </w:r>
      <w:r>
        <w:lastRenderedPageBreak/>
        <w:t>l’utilisation des couleurs or et jaune qui possèdent souvent les mêmes fonctions.</w:t>
      </w:r>
      <w:r w:rsidR="00F901CE">
        <w:t xml:space="preserve"> Pour ce qui est du démon, je reviendrai sur le sujet quand il sera question des créatures chimériques.</w:t>
      </w:r>
    </w:p>
    <w:p w:rsidR="00102D16" w:rsidRDefault="00102D16" w:rsidP="00102D16">
      <w:pPr>
        <w:spacing w:line="360" w:lineRule="auto"/>
        <w:ind w:firstLine="708"/>
        <w:jc w:val="both"/>
      </w:pPr>
      <w:r>
        <w:t xml:space="preserve">En plus, il ne faut pas oublier les couleurs présentes dans les bordures. On y retrouve encore de l’or quand on observe l’enluminure de la Vierge à l’enfant. Il faut comprendre que les bordures possédaient une fonction bien précise que nos yeux ne sont pas capables de voir. Les bordures étaient </w:t>
      </w:r>
      <w:r w:rsidR="00F901CE">
        <w:t xml:space="preserve">principalement </w:t>
      </w:r>
      <w:r>
        <w:t xml:space="preserve">utilisées pour créer du mouvement dans l’image principale. Mais, la bordure encadre également spirituellement l’image. Elle fait office d’église ou du Paradis qui supervise les évènements représentés dans les images. Ce n’est pas pour rien qu’on retrouve généralement de l’or dans les bordures. C’est carrément la couleur qui représente le mieux les principes fondamentaux de la religion chrétienne du Moyen Âge. Par contre, certaines bordures présentes dans le livre d’Heures du maître de Jean d’Albret ne contiennent pas d’or. Il serait important de se demander pourquoi. Je vais ainsi </w:t>
      </w:r>
      <w:r w:rsidR="00F901CE">
        <w:t>discuter d’</w:t>
      </w:r>
      <w:r>
        <w:t>un concept que j’ai moi-même théorisé pour ce travail </w:t>
      </w:r>
      <w:r w:rsidR="00F901CE">
        <w:t xml:space="preserve">à partir des travaux de Michel Pastoureau </w:t>
      </w:r>
      <w:r>
        <w:t>: « la triade religieuse des couleurs ».</w:t>
      </w:r>
    </w:p>
    <w:p w:rsidR="00102D16" w:rsidRDefault="00102D16" w:rsidP="00102D16">
      <w:pPr>
        <w:pStyle w:val="Titre3"/>
        <w:spacing w:line="360" w:lineRule="auto"/>
        <w:jc w:val="both"/>
        <w:rPr>
          <w:b w:val="0"/>
          <w:i/>
          <w:color w:val="auto"/>
          <w:u w:val="single"/>
        </w:rPr>
      </w:pPr>
      <w:bookmarkStart w:id="7" w:name="_Toc378080488"/>
      <w:r w:rsidRPr="00592B35">
        <w:rPr>
          <w:b w:val="0"/>
          <w:i/>
          <w:color w:val="auto"/>
          <w:u w:val="single"/>
        </w:rPr>
        <w:t>La triade religieuse des couleurs</w:t>
      </w:r>
      <w:bookmarkEnd w:id="7"/>
    </w:p>
    <w:p w:rsidR="008C7938" w:rsidRDefault="00102D16" w:rsidP="00102D16">
      <w:pPr>
        <w:spacing w:line="360" w:lineRule="auto"/>
        <w:jc w:val="both"/>
      </w:pPr>
      <w:r>
        <w:tab/>
        <w:t>Dans cette enluminure, on retrouve un autre concept qui possède une grande importance et qui peut être généralisé à l’ensemble de la chrétienté. Il s’agit de la notion que je nomme « la triade religieuse des couleurs ». Pastoureau discute dans ses ouvrages que les trois couleurs les plus importantes et les plus utilisées du Moyen Âge sont le rouge, le noir et le blanc ce qu’il appelle « la triade des couleurs ». Par la suite, le bleu a rejoint ce groupe en concurrençant fortement le rouge. Mais, il est surtout question ici pour Pastoureau d’héraldique et de teinture. Les nobles utilisaient principalement ces couleurs sur leur vêtement et emblème. Quand il est question de religion, le noir et le blanc, même s’ils demeurent importants, sont néanmoins déclassés par une autre couleur : l’or. Comme on l’a vu dans les dernières pages, l’or est la couleur la plus importante du Moyen Âge. Elle est la couleur de Dieu et du Paradis. J’ai déjà défini  la symbolique de l’association du bleu et du rouge. Maintenant, il est temps de rajouter l’or à cette définition. Quand on observe l’image de la Vierge Marie en bleu, du Christ en rouge et de l’aura jaune qui représente Dieu, on remarque que les trois personnages les plus importants de la religion sur quatre sont présents. Le quatrième est bien sûr le Saint-Esprit</w:t>
      </w:r>
      <w:r w:rsidR="00F901CE">
        <w:t xml:space="preserve"> qui peut faire également parti</w:t>
      </w:r>
      <w:r w:rsidR="00CF4DEF">
        <w:t xml:space="preserve">e </w:t>
      </w:r>
      <w:r w:rsidR="00F901CE">
        <w:t>de cette image</w:t>
      </w:r>
      <w:r>
        <w:t xml:space="preserve">. Cette enluminure est la définition de la religion chrétienne. On </w:t>
      </w:r>
      <w:r>
        <w:lastRenderedPageBreak/>
        <w:t xml:space="preserve">peut donc affirmer que l’association des trois couleurs attachées à ces trois personnes symbolise carrément la religion chrétienne. Quand on y réfléchit un peu, on retrouve cette triade religieuse des couleurs un peu partout dans l’art et dans l’architecture. Les églises sont construites de manière à ce qu’il y ait le plus de lumière possible qui entre dans le bâtiment d’où la présence de l’or. Des statues de la Vierge Marie en bleu sont également présentes. Il ne faut certes pas oublier le crucifix où on y voit le Christ ensanglanté. Un autre exemple valable est celui du retable de Van </w:t>
      </w:r>
      <w:proofErr w:type="spellStart"/>
      <w:r>
        <w:t>Eyck</w:t>
      </w:r>
      <w:proofErr w:type="spellEnd"/>
      <w:r>
        <w:t>, l’</w:t>
      </w:r>
      <w:r>
        <w:rPr>
          <w:i/>
        </w:rPr>
        <w:t>Adoration de l’agneau mystique</w:t>
      </w:r>
      <w:r>
        <w:t xml:space="preserve">. On y retrouve également ces éléments. Dans le milieu, il y a Jésus. Il existe une controverse au sujet de ce personnage puisque son identité n’a pas encore été établie de façon concrète. D’après mes précédentes analyses, tout me porte à croire qu’il s’agit bel et bien de Jésus puisqu’il porte un vêtement rouge. </w:t>
      </w:r>
      <w:r w:rsidR="00C949B7">
        <w:t>Cependant, certains pourrai</w:t>
      </w:r>
      <w:r w:rsidR="00CF4DEF">
        <w:t>ent</w:t>
      </w:r>
      <w:r w:rsidR="00C949B7">
        <w:t xml:space="preserve"> me contredire en affirmant que Dieu est parfois habillé de rouge, mais la barbe brune appui</w:t>
      </w:r>
      <w:r w:rsidR="00CF4DEF">
        <w:t xml:space="preserve">e </w:t>
      </w:r>
      <w:r w:rsidR="00C949B7">
        <w:t xml:space="preserve">mon affirmation puisque Dieu a généralement la barbe blanche pour le différencier de Jésus. </w:t>
      </w:r>
      <w:r>
        <w:t>À sa droite, la Vierge Marie est présente avec son vêtement bleu et, bien évidemment, ils sont entourés d’or supportant l’idée qu’ils sont supervisés par Dieu. Il ne faut cependant pas oublier qu’il existe une hiérarchie dans la triade religieuse des couleurs. L’or possède une plus grande importance que les deux autres couleurs. On peut l’observer dans les bordures du livre d’Heures du maître de Jean d’Albret. Quand il y a de l’or, le bleu et le rouge sont absents et le contraire est également valable. Il n’y a qu’un exemple dans ce livre d’Heures où on retrouve les trois couleurs dans une même bordure : celle de sainte Catherine au folio 125v.</w:t>
      </w:r>
    </w:p>
    <w:sectPr w:rsidR="008C7938" w:rsidSect="00E15AA1">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8D9" w:rsidRDefault="007628D9" w:rsidP="00102D16">
      <w:pPr>
        <w:spacing w:after="0" w:line="240" w:lineRule="auto"/>
      </w:pPr>
      <w:r>
        <w:separator/>
      </w:r>
    </w:p>
  </w:endnote>
  <w:endnote w:type="continuationSeparator" w:id="0">
    <w:p w:rsidR="007628D9" w:rsidRDefault="007628D9" w:rsidP="0010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D16" w:rsidRDefault="00102D1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753470"/>
      <w:docPartObj>
        <w:docPartGallery w:val="Page Numbers (Bottom of Page)"/>
        <w:docPartUnique/>
      </w:docPartObj>
    </w:sdtPr>
    <w:sdtContent>
      <w:p w:rsidR="00102D16" w:rsidRDefault="00102D16">
        <w:pPr>
          <w:pStyle w:val="Pieddepage"/>
          <w:jc w:val="right"/>
        </w:pPr>
        <w:r>
          <w:fldChar w:fldCharType="begin"/>
        </w:r>
        <w:r>
          <w:instrText>PAGE   \* MERGEFORMAT</w:instrText>
        </w:r>
        <w:r>
          <w:fldChar w:fldCharType="separate"/>
        </w:r>
        <w:r w:rsidR="00721884" w:rsidRPr="00721884">
          <w:rPr>
            <w:noProof/>
            <w:lang w:val="fr-FR"/>
          </w:rPr>
          <w:t>1</w:t>
        </w:r>
        <w:r>
          <w:fldChar w:fldCharType="end"/>
        </w:r>
      </w:p>
    </w:sdtContent>
  </w:sdt>
  <w:p w:rsidR="00102D16" w:rsidRDefault="00102D1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D16" w:rsidRDefault="00102D1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8D9" w:rsidRDefault="007628D9" w:rsidP="00102D16">
      <w:pPr>
        <w:spacing w:after="0" w:line="240" w:lineRule="auto"/>
      </w:pPr>
      <w:r>
        <w:separator/>
      </w:r>
    </w:p>
  </w:footnote>
  <w:footnote w:type="continuationSeparator" w:id="0">
    <w:p w:rsidR="007628D9" w:rsidRDefault="007628D9" w:rsidP="00102D16">
      <w:pPr>
        <w:spacing w:after="0" w:line="240" w:lineRule="auto"/>
      </w:pPr>
      <w:r>
        <w:continuationSeparator/>
      </w:r>
    </w:p>
  </w:footnote>
  <w:footnote w:id="1">
    <w:p w:rsidR="00102D16" w:rsidRPr="00345460" w:rsidRDefault="00102D16" w:rsidP="00102D16">
      <w:pPr>
        <w:pStyle w:val="Notedebasdepage"/>
        <w:jc w:val="both"/>
      </w:pPr>
      <w:r w:rsidRPr="00345460">
        <w:rPr>
          <w:rStyle w:val="Appelnotedebasdep"/>
        </w:rPr>
        <w:footnoteRef/>
      </w:r>
      <w:r w:rsidRPr="00345460">
        <w:t xml:space="preserve"> Gaston </w:t>
      </w:r>
      <w:proofErr w:type="spellStart"/>
      <w:r w:rsidRPr="00345460">
        <w:t>Duchet-Suchaux</w:t>
      </w:r>
      <w:proofErr w:type="spellEnd"/>
      <w:r w:rsidRPr="00345460">
        <w:t xml:space="preserve"> et Michel Pastoureau. </w:t>
      </w:r>
      <w:r w:rsidRPr="00345460">
        <w:rPr>
          <w:i/>
        </w:rPr>
        <w:t>La Bible et les saints : Guide iconographique.</w:t>
      </w:r>
      <w:r w:rsidRPr="00345460">
        <w:t xml:space="preserve"> Paris, Flammarion, 2000. p.236.</w:t>
      </w:r>
    </w:p>
  </w:footnote>
  <w:footnote w:id="2">
    <w:p w:rsidR="00102D16" w:rsidRPr="00345460" w:rsidRDefault="00102D16" w:rsidP="00102D16">
      <w:pPr>
        <w:pStyle w:val="Notedebasdepage"/>
        <w:jc w:val="both"/>
      </w:pPr>
      <w:r w:rsidRPr="00345460">
        <w:rPr>
          <w:rStyle w:val="Appelnotedebasdep"/>
        </w:rPr>
        <w:footnoteRef/>
      </w:r>
      <w:r w:rsidRPr="00345460">
        <w:t xml:space="preserve"> Viviane </w:t>
      </w:r>
      <w:proofErr w:type="spellStart"/>
      <w:r w:rsidRPr="00345460">
        <w:t>Huchard</w:t>
      </w:r>
      <w:proofErr w:type="spellEnd"/>
      <w:r w:rsidRPr="00345460">
        <w:t xml:space="preserve"> et Pascale Bourgain. </w:t>
      </w:r>
      <w:r w:rsidRPr="00345460">
        <w:rPr>
          <w:i/>
        </w:rPr>
        <w:t>Le jardin médiéval : un musée imaginaire</w:t>
      </w:r>
      <w:r w:rsidRPr="00345460">
        <w:t>. Paris, Presses universitaires de France, 2002. p.15.</w:t>
      </w:r>
    </w:p>
  </w:footnote>
  <w:footnote w:id="3">
    <w:p w:rsidR="00102D16" w:rsidRPr="00345460" w:rsidRDefault="00102D16" w:rsidP="00102D16">
      <w:pPr>
        <w:pStyle w:val="Notedebasdepage"/>
        <w:jc w:val="both"/>
      </w:pPr>
      <w:r w:rsidRPr="00345460">
        <w:rPr>
          <w:rStyle w:val="Appelnotedebasdep"/>
        </w:rPr>
        <w:footnoteRef/>
      </w:r>
      <w:r w:rsidRPr="00345460">
        <w:t xml:space="preserve"> Jean </w:t>
      </w:r>
      <w:proofErr w:type="spellStart"/>
      <w:r w:rsidRPr="00345460">
        <w:t>Wirth</w:t>
      </w:r>
      <w:proofErr w:type="spellEnd"/>
      <w:r w:rsidRPr="00345460">
        <w:t xml:space="preserve">. </w:t>
      </w:r>
      <w:r w:rsidRPr="00345460">
        <w:rPr>
          <w:i/>
        </w:rPr>
        <w:t>Les marges à drôleries des manuscrits gothiques</w:t>
      </w:r>
      <w:r w:rsidRPr="00345460">
        <w:t>. Genève, Librairie Droz, 2008. p.71-74.</w:t>
      </w:r>
    </w:p>
  </w:footnote>
  <w:footnote w:id="4">
    <w:p w:rsidR="00102D16" w:rsidRPr="00345460" w:rsidRDefault="00102D16" w:rsidP="00102D16">
      <w:pPr>
        <w:pStyle w:val="Notedebasdepage"/>
        <w:jc w:val="both"/>
      </w:pPr>
      <w:r w:rsidRPr="00345460">
        <w:rPr>
          <w:rStyle w:val="Appelnotedebasdep"/>
        </w:rPr>
        <w:footnoteRef/>
      </w:r>
      <w:r w:rsidRPr="00345460">
        <w:t xml:space="preserve"> Michel Pastoureau. </w:t>
      </w:r>
      <w:r w:rsidRPr="00345460">
        <w:rPr>
          <w:i/>
        </w:rPr>
        <w:t>Bleu : Histoire d’une couleur</w:t>
      </w:r>
      <w:r w:rsidRPr="00345460">
        <w:t>. Paris, Éditions du Seuil, 2006. p.31.</w:t>
      </w:r>
    </w:p>
  </w:footnote>
  <w:footnote w:id="5">
    <w:p w:rsidR="00102D16" w:rsidRPr="00345460" w:rsidRDefault="00102D16" w:rsidP="00102D16">
      <w:pPr>
        <w:pStyle w:val="Notedebasdepage"/>
        <w:jc w:val="both"/>
        <w:rPr>
          <w:lang w:val="en-CA"/>
        </w:rPr>
      </w:pPr>
      <w:r w:rsidRPr="00345460">
        <w:rPr>
          <w:rStyle w:val="Appelnotedebasdep"/>
        </w:rPr>
        <w:footnoteRef/>
      </w:r>
      <w:r w:rsidRPr="00345460">
        <w:rPr>
          <w:lang w:val="en-CA"/>
        </w:rPr>
        <w:t xml:space="preserve"> </w:t>
      </w:r>
      <w:proofErr w:type="gramStart"/>
      <w:r w:rsidRPr="00345460">
        <w:rPr>
          <w:i/>
          <w:lang w:val="en-CA"/>
        </w:rPr>
        <w:t>Ibid.</w:t>
      </w:r>
      <w:r w:rsidRPr="00345460">
        <w:rPr>
          <w:lang w:val="en-CA"/>
        </w:rPr>
        <w:t>,</w:t>
      </w:r>
      <w:proofErr w:type="gramEnd"/>
      <w:r w:rsidRPr="00345460">
        <w:rPr>
          <w:lang w:val="en-CA"/>
        </w:rPr>
        <w:t xml:space="preserve"> p.32.</w:t>
      </w:r>
    </w:p>
  </w:footnote>
  <w:footnote w:id="6">
    <w:p w:rsidR="00102D16" w:rsidRPr="00345460" w:rsidRDefault="00102D16" w:rsidP="00102D16">
      <w:pPr>
        <w:pStyle w:val="Notedebasdepage"/>
        <w:jc w:val="both"/>
        <w:rPr>
          <w:lang w:val="en-CA"/>
        </w:rPr>
      </w:pPr>
      <w:r w:rsidRPr="00345460">
        <w:rPr>
          <w:rStyle w:val="Appelnotedebasdep"/>
        </w:rPr>
        <w:footnoteRef/>
      </w:r>
      <w:r w:rsidRPr="00345460">
        <w:rPr>
          <w:lang w:val="en-CA"/>
        </w:rPr>
        <w:t xml:space="preserve"> </w:t>
      </w:r>
      <w:proofErr w:type="gramStart"/>
      <w:r w:rsidRPr="00345460">
        <w:rPr>
          <w:i/>
          <w:lang w:val="en-CA"/>
        </w:rPr>
        <w:t>Ibid.</w:t>
      </w:r>
      <w:r w:rsidRPr="00345460">
        <w:rPr>
          <w:lang w:val="en-CA"/>
        </w:rPr>
        <w:t>,</w:t>
      </w:r>
      <w:proofErr w:type="gramEnd"/>
      <w:r w:rsidRPr="00345460">
        <w:rPr>
          <w:lang w:val="en-CA"/>
        </w:rPr>
        <w:t xml:space="preserve"> p.31.</w:t>
      </w:r>
    </w:p>
  </w:footnote>
  <w:footnote w:id="7">
    <w:p w:rsidR="00102D16" w:rsidRPr="00345460" w:rsidRDefault="00102D16" w:rsidP="00102D16">
      <w:pPr>
        <w:pStyle w:val="Notedebasdepage"/>
        <w:jc w:val="both"/>
        <w:rPr>
          <w:lang w:val="en-CA"/>
        </w:rPr>
      </w:pPr>
      <w:r w:rsidRPr="00345460">
        <w:rPr>
          <w:rStyle w:val="Appelnotedebasdep"/>
        </w:rPr>
        <w:footnoteRef/>
      </w:r>
      <w:r w:rsidRPr="00345460">
        <w:rPr>
          <w:lang w:val="en-CA"/>
        </w:rPr>
        <w:t xml:space="preserve"> </w:t>
      </w:r>
      <w:proofErr w:type="gramStart"/>
      <w:r w:rsidRPr="00345460">
        <w:rPr>
          <w:i/>
          <w:lang w:val="en-CA"/>
        </w:rPr>
        <w:t>Ibid.</w:t>
      </w:r>
      <w:r w:rsidRPr="00345460">
        <w:rPr>
          <w:lang w:val="en-CA"/>
        </w:rPr>
        <w:t>,</w:t>
      </w:r>
      <w:proofErr w:type="gramEnd"/>
      <w:r w:rsidRPr="00345460">
        <w:rPr>
          <w:lang w:val="en-CA"/>
        </w:rPr>
        <w:t xml:space="preserve"> p.32.</w:t>
      </w:r>
    </w:p>
  </w:footnote>
  <w:footnote w:id="8">
    <w:p w:rsidR="00102D16" w:rsidRPr="00345460" w:rsidRDefault="00102D16" w:rsidP="00102D16">
      <w:pPr>
        <w:pStyle w:val="Notedebasdepage"/>
        <w:jc w:val="both"/>
      </w:pPr>
      <w:r w:rsidRPr="00345460">
        <w:rPr>
          <w:rStyle w:val="Appelnotedebasdep"/>
        </w:rPr>
        <w:footnoteRef/>
      </w:r>
      <w:r w:rsidRPr="00345460">
        <w:t xml:space="preserve"> </w:t>
      </w:r>
      <w:r w:rsidRPr="00345460">
        <w:rPr>
          <w:i/>
        </w:rPr>
        <w:t>Ibid.</w:t>
      </w:r>
      <w:r w:rsidRPr="00345460">
        <w:t>, p.44.</w:t>
      </w:r>
    </w:p>
  </w:footnote>
  <w:footnote w:id="9">
    <w:p w:rsidR="00102D16" w:rsidRPr="00345460" w:rsidRDefault="00102D16" w:rsidP="00102D16">
      <w:pPr>
        <w:pStyle w:val="Notedebasdepage"/>
        <w:jc w:val="both"/>
      </w:pPr>
      <w:r w:rsidRPr="00345460">
        <w:rPr>
          <w:rStyle w:val="Appelnotedebasdep"/>
        </w:rPr>
        <w:footnoteRef/>
      </w:r>
      <w:r w:rsidRPr="00345460">
        <w:t xml:space="preserve"> Michel Pastoureau. </w:t>
      </w:r>
      <w:r w:rsidRPr="00345460">
        <w:rPr>
          <w:i/>
        </w:rPr>
        <w:t>Noir : Histoire d’une couleur</w:t>
      </w:r>
      <w:r w:rsidRPr="00345460">
        <w:t>. Paris, Éditions du Seuil, 2008. p.57.</w:t>
      </w:r>
    </w:p>
  </w:footnote>
  <w:footnote w:id="10">
    <w:p w:rsidR="00102D16" w:rsidRPr="00345460" w:rsidRDefault="00102D16" w:rsidP="00102D16">
      <w:pPr>
        <w:pStyle w:val="Notedebasdepage"/>
        <w:jc w:val="both"/>
      </w:pPr>
      <w:r w:rsidRPr="00345460">
        <w:rPr>
          <w:rStyle w:val="Appelnotedebasdep"/>
        </w:rPr>
        <w:footnoteRef/>
      </w:r>
      <w:r w:rsidRPr="00345460">
        <w:t xml:space="preserve"> </w:t>
      </w:r>
      <w:r w:rsidRPr="00345460">
        <w:rPr>
          <w:i/>
        </w:rPr>
        <w:t>Idem</w:t>
      </w:r>
    </w:p>
  </w:footnote>
  <w:footnote w:id="11">
    <w:p w:rsidR="00102D16" w:rsidRPr="00345460" w:rsidRDefault="00102D16" w:rsidP="00102D16">
      <w:pPr>
        <w:pStyle w:val="Notedebasdepage"/>
        <w:jc w:val="both"/>
      </w:pPr>
      <w:r w:rsidRPr="00345460">
        <w:rPr>
          <w:rStyle w:val="Appelnotedebasdep"/>
        </w:rPr>
        <w:footnoteRef/>
      </w:r>
      <w:r w:rsidRPr="00345460">
        <w:t xml:space="preserve"> Michel Pastoureau. </w:t>
      </w:r>
      <w:r w:rsidRPr="00345460">
        <w:rPr>
          <w:i/>
        </w:rPr>
        <w:t>Noir : Histoire d’une couleur</w:t>
      </w:r>
      <w:r w:rsidRPr="00345460">
        <w:t>. Paris, Éditions du Seuil, 2008. p.80</w:t>
      </w:r>
    </w:p>
  </w:footnote>
  <w:footnote w:id="12">
    <w:p w:rsidR="00102D16" w:rsidRPr="00345460" w:rsidRDefault="00102D16" w:rsidP="00102D16">
      <w:pPr>
        <w:pStyle w:val="Notedebasdepage"/>
        <w:jc w:val="both"/>
      </w:pPr>
      <w:r w:rsidRPr="00345460">
        <w:rPr>
          <w:rStyle w:val="Appelnotedebasdep"/>
        </w:rPr>
        <w:footnoteRef/>
      </w:r>
      <w:r w:rsidRPr="00345460">
        <w:t xml:space="preserve"> Michel Pastoureau. </w:t>
      </w:r>
      <w:r w:rsidRPr="00345460">
        <w:rPr>
          <w:i/>
        </w:rPr>
        <w:t>Une histoire symbolique du Moyen Âge occidental</w:t>
      </w:r>
      <w:r w:rsidRPr="00345460">
        <w:t>. Paris, Éditions du Seuil, 2004. p.167.</w:t>
      </w:r>
    </w:p>
  </w:footnote>
  <w:footnote w:id="13">
    <w:p w:rsidR="00102D16" w:rsidRPr="00345460" w:rsidRDefault="00102D16" w:rsidP="00102D16">
      <w:pPr>
        <w:pStyle w:val="Notedebasdepage"/>
        <w:jc w:val="both"/>
      </w:pPr>
      <w:r w:rsidRPr="00345460">
        <w:rPr>
          <w:rStyle w:val="Appelnotedebasdep"/>
        </w:rPr>
        <w:footnoteRef/>
      </w:r>
      <w:r w:rsidRPr="00345460">
        <w:t xml:space="preserve"> </w:t>
      </w:r>
      <w:r w:rsidRPr="00345460">
        <w:rPr>
          <w:i/>
        </w:rPr>
        <w:t>Ibid.</w:t>
      </w:r>
      <w:r w:rsidRPr="00345460">
        <w:t>, p.168.</w:t>
      </w:r>
    </w:p>
  </w:footnote>
  <w:footnote w:id="14">
    <w:p w:rsidR="00102D16" w:rsidRPr="00365A7E" w:rsidRDefault="00102D16" w:rsidP="00102D16">
      <w:pPr>
        <w:pStyle w:val="Notedebasdepage"/>
        <w:jc w:val="both"/>
        <w:rPr>
          <w:lang w:val="de-DE"/>
        </w:rPr>
      </w:pPr>
      <w:r w:rsidRPr="00345460">
        <w:rPr>
          <w:rStyle w:val="Appelnotedebasdep"/>
        </w:rPr>
        <w:footnoteRef/>
      </w:r>
      <w:r w:rsidRPr="00345460">
        <w:t xml:space="preserve"> Gaston </w:t>
      </w:r>
      <w:proofErr w:type="spellStart"/>
      <w:r w:rsidRPr="00345460">
        <w:t>Duchet-Suchaux</w:t>
      </w:r>
      <w:proofErr w:type="spellEnd"/>
      <w:r w:rsidRPr="00345460">
        <w:t xml:space="preserve"> et Michel Pastoureau. </w:t>
      </w:r>
      <w:r w:rsidRPr="00345460">
        <w:rPr>
          <w:i/>
        </w:rPr>
        <w:t>La Bible et les saints : Guide iconographique.</w:t>
      </w:r>
      <w:r w:rsidRPr="00345460">
        <w:t xml:space="preserve"> </w:t>
      </w:r>
      <w:r w:rsidRPr="00365A7E">
        <w:rPr>
          <w:lang w:val="de-DE"/>
        </w:rPr>
        <w:t>Paris, Flammarion, 2000. p.108.</w:t>
      </w:r>
    </w:p>
  </w:footnote>
  <w:footnote w:id="15">
    <w:p w:rsidR="00102D16" w:rsidRPr="00327E15" w:rsidRDefault="00102D16" w:rsidP="00102D16">
      <w:pPr>
        <w:pStyle w:val="Notedebasdepage"/>
        <w:jc w:val="both"/>
        <w:rPr>
          <w:lang w:val="de-DE"/>
        </w:rPr>
      </w:pPr>
      <w:r>
        <w:rPr>
          <w:rStyle w:val="Appelnotedebasdep"/>
        </w:rPr>
        <w:footnoteRef/>
      </w:r>
      <w:r w:rsidRPr="00327E15">
        <w:rPr>
          <w:lang w:val="de-DE"/>
        </w:rPr>
        <w:t xml:space="preserve"> </w:t>
      </w:r>
      <w:r w:rsidRPr="00345460">
        <w:rPr>
          <w:lang w:val="de-DE"/>
        </w:rPr>
        <w:t xml:space="preserve">Patrizia </w:t>
      </w:r>
      <w:proofErr w:type="spellStart"/>
      <w:r w:rsidRPr="00345460">
        <w:rPr>
          <w:lang w:val="de-DE"/>
        </w:rPr>
        <w:t>Carmassi</w:t>
      </w:r>
      <w:proofErr w:type="spellEnd"/>
      <w:r w:rsidRPr="00345460">
        <w:rPr>
          <w:lang w:val="de-DE"/>
        </w:rPr>
        <w:t>. « </w:t>
      </w:r>
      <w:proofErr w:type="spellStart"/>
      <w:r w:rsidRPr="00345460">
        <w:rPr>
          <w:lang w:val="de-DE"/>
        </w:rPr>
        <w:t>Purpurismum</w:t>
      </w:r>
      <w:proofErr w:type="spellEnd"/>
      <w:r w:rsidRPr="00345460">
        <w:rPr>
          <w:lang w:val="de-DE"/>
        </w:rPr>
        <w:t xml:space="preserve"> in </w:t>
      </w:r>
      <w:proofErr w:type="spellStart"/>
      <w:r w:rsidRPr="00345460">
        <w:rPr>
          <w:lang w:val="de-DE"/>
        </w:rPr>
        <w:t>martyrio</w:t>
      </w:r>
      <w:proofErr w:type="spellEnd"/>
      <w:r w:rsidRPr="00345460">
        <w:rPr>
          <w:lang w:val="de-DE"/>
        </w:rPr>
        <w:t xml:space="preserve"> : Die Farbe des Blutes in mittelalterlichen Handschriften », </w:t>
      </w:r>
      <w:proofErr w:type="spellStart"/>
      <w:r w:rsidRPr="00345460">
        <w:rPr>
          <w:lang w:val="de-DE"/>
        </w:rPr>
        <w:t>dans</w:t>
      </w:r>
      <w:proofErr w:type="spellEnd"/>
      <w:r w:rsidRPr="00345460">
        <w:rPr>
          <w:lang w:val="de-DE"/>
        </w:rPr>
        <w:t xml:space="preserve"> </w:t>
      </w:r>
      <w:r w:rsidRPr="00345460">
        <w:rPr>
          <w:shd w:val="clear" w:color="auto" w:fill="FFFFFF"/>
          <w:lang w:val="de-DE"/>
        </w:rPr>
        <w:t xml:space="preserve">Ingrid Bennewitz et Andrea Schindler, </w:t>
      </w:r>
      <w:r w:rsidRPr="00345460">
        <w:rPr>
          <w:bCs/>
          <w:i/>
          <w:lang w:val="de-DE"/>
        </w:rPr>
        <w:t>Farbe im Mittelalter: Materialität - Medialität – Semantik</w:t>
      </w:r>
      <w:r w:rsidRPr="00345460">
        <w:rPr>
          <w:bCs/>
          <w:lang w:val="de-DE"/>
        </w:rPr>
        <w:t>, Tome I,</w:t>
      </w:r>
      <w:r w:rsidRPr="00345460">
        <w:rPr>
          <w:shd w:val="clear" w:color="auto" w:fill="FFFFFF"/>
          <w:lang w:val="de-DE"/>
        </w:rPr>
        <w:t xml:space="preserve"> Berlin, Akademie Verlag, 2011</w:t>
      </w:r>
      <w:r w:rsidRPr="00345460">
        <w:rPr>
          <w:bCs/>
          <w:lang w:val="de-DE"/>
        </w:rPr>
        <w:t>, p</w:t>
      </w:r>
      <w:r>
        <w:rPr>
          <w:bCs/>
          <w:lang w:val="de-DE"/>
        </w:rPr>
        <w:t>255.</w:t>
      </w:r>
    </w:p>
  </w:footnote>
  <w:footnote w:id="16">
    <w:p w:rsidR="00102D16" w:rsidRPr="00365A7E" w:rsidRDefault="00102D16" w:rsidP="00102D16">
      <w:pPr>
        <w:pStyle w:val="Titre1"/>
        <w:shd w:val="clear" w:color="auto" w:fill="FFFFFF"/>
        <w:spacing w:before="0"/>
        <w:jc w:val="both"/>
        <w:rPr>
          <w:rFonts w:ascii="Times New Roman" w:hAnsi="Times New Roman" w:cs="Times New Roman"/>
          <w:b w:val="0"/>
          <w:bCs w:val="0"/>
          <w:color w:val="auto"/>
          <w:sz w:val="20"/>
          <w:szCs w:val="20"/>
        </w:rPr>
      </w:pPr>
      <w:r w:rsidRPr="00345460">
        <w:rPr>
          <w:rStyle w:val="Appelnotedebasdep"/>
          <w:rFonts w:ascii="Times New Roman" w:hAnsi="Times New Roman" w:cs="Times New Roman"/>
          <w:b w:val="0"/>
          <w:color w:val="auto"/>
          <w:sz w:val="20"/>
          <w:szCs w:val="20"/>
        </w:rPr>
        <w:footnoteRef/>
      </w:r>
      <w:r w:rsidRPr="00365A7E">
        <w:rPr>
          <w:rFonts w:ascii="Times New Roman" w:hAnsi="Times New Roman" w:cs="Times New Roman"/>
          <w:b w:val="0"/>
          <w:color w:val="auto"/>
          <w:sz w:val="20"/>
          <w:szCs w:val="20"/>
        </w:rPr>
        <w:t xml:space="preserve"> </w:t>
      </w:r>
      <w:r w:rsidRPr="00345460">
        <w:rPr>
          <w:rFonts w:ascii="Times New Roman" w:hAnsi="Times New Roman" w:cs="Times New Roman"/>
          <w:b w:val="0"/>
          <w:i/>
          <w:color w:val="auto"/>
          <w:sz w:val="20"/>
          <w:szCs w:val="20"/>
        </w:rPr>
        <w:t>Ibid.</w:t>
      </w:r>
      <w:r w:rsidRPr="00345460">
        <w:rPr>
          <w:rFonts w:ascii="Times New Roman" w:hAnsi="Times New Roman" w:cs="Times New Roman"/>
          <w:b w:val="0"/>
          <w:color w:val="auto"/>
          <w:sz w:val="20"/>
          <w:szCs w:val="20"/>
        </w:rPr>
        <w:t>, p.</w:t>
      </w:r>
      <w:r w:rsidRPr="00365A7E">
        <w:rPr>
          <w:rFonts w:ascii="Times New Roman" w:hAnsi="Times New Roman" w:cs="Times New Roman"/>
          <w:b w:val="0"/>
          <w:bCs w:val="0"/>
          <w:color w:val="auto"/>
          <w:sz w:val="20"/>
          <w:szCs w:val="20"/>
        </w:rPr>
        <w:t>253.</w:t>
      </w:r>
    </w:p>
  </w:footnote>
  <w:footnote w:id="17">
    <w:p w:rsidR="00102D16" w:rsidRPr="003D2335" w:rsidRDefault="00102D16" w:rsidP="00102D16">
      <w:pPr>
        <w:pStyle w:val="Notedebasdepage"/>
        <w:jc w:val="both"/>
      </w:pPr>
      <w:r>
        <w:rPr>
          <w:rStyle w:val="Appelnotedebasdep"/>
        </w:rPr>
        <w:footnoteRef/>
      </w:r>
      <w:r>
        <w:t xml:space="preserve"> </w:t>
      </w:r>
      <w:proofErr w:type="spellStart"/>
      <w:r w:rsidRPr="00345460">
        <w:t>Duchet-Suchaux</w:t>
      </w:r>
      <w:proofErr w:type="spellEnd"/>
      <w:r>
        <w:t xml:space="preserve"> et </w:t>
      </w:r>
      <w:r w:rsidRPr="00345460">
        <w:t>Pastoureau</w:t>
      </w:r>
      <w:r>
        <w:t xml:space="preserve">, </w:t>
      </w:r>
      <w:r>
        <w:rPr>
          <w:i/>
        </w:rPr>
        <w:t>op.cit.</w:t>
      </w:r>
      <w:r>
        <w:t>, p.108.</w:t>
      </w:r>
    </w:p>
  </w:footnote>
  <w:footnote w:id="18">
    <w:p w:rsidR="00102D16" w:rsidRDefault="00102D16" w:rsidP="00102D16">
      <w:pPr>
        <w:pStyle w:val="Notedebasdepage"/>
        <w:jc w:val="both"/>
      </w:pPr>
      <w:r>
        <w:rPr>
          <w:rStyle w:val="Appelnotedebasdep"/>
        </w:rPr>
        <w:footnoteRef/>
      </w:r>
      <w:r>
        <w:t xml:space="preserve"> </w:t>
      </w:r>
      <w:r w:rsidRPr="00345460">
        <w:t xml:space="preserve">Michel Pastoureau. </w:t>
      </w:r>
      <w:r w:rsidRPr="00345460">
        <w:rPr>
          <w:i/>
        </w:rPr>
        <w:t>Une histoire symbolique du Moyen Âge occidental</w:t>
      </w:r>
      <w:r w:rsidRPr="00345460">
        <w:t>. Paris, Éditions du Seuil, 2004. p.</w:t>
      </w:r>
      <w:r>
        <w:t>197.</w:t>
      </w:r>
    </w:p>
  </w:footnote>
  <w:footnote w:id="19">
    <w:p w:rsidR="00102D16" w:rsidRDefault="00102D16" w:rsidP="00102D16">
      <w:pPr>
        <w:pStyle w:val="Notedebasdepage"/>
        <w:jc w:val="both"/>
      </w:pPr>
      <w:r>
        <w:rPr>
          <w:rStyle w:val="Appelnotedebasdep"/>
        </w:rPr>
        <w:footnoteRef/>
      </w:r>
      <w:r>
        <w:t xml:space="preserve"> </w:t>
      </w:r>
      <w:r w:rsidRPr="00345460">
        <w:t xml:space="preserve">Michel Pastoureau. </w:t>
      </w:r>
      <w:r w:rsidRPr="00345460">
        <w:rPr>
          <w:i/>
        </w:rPr>
        <w:t>Une histoire symbolique du Moyen Âge occidental</w:t>
      </w:r>
      <w:r w:rsidRPr="00345460">
        <w:t>. Paris, Éditions du Seuil, 2004. p.</w:t>
      </w:r>
      <w:r>
        <w:t>163.</w:t>
      </w:r>
    </w:p>
  </w:footnote>
  <w:footnote w:id="20">
    <w:p w:rsidR="00102D16" w:rsidRDefault="00102D16" w:rsidP="00102D16">
      <w:pPr>
        <w:pStyle w:val="Notedebasdepage"/>
        <w:jc w:val="both"/>
      </w:pPr>
      <w:r>
        <w:rPr>
          <w:rStyle w:val="Appelnotedebasdep"/>
        </w:rPr>
        <w:footnoteRef/>
      </w:r>
      <w:r>
        <w:t xml:space="preserve"> </w:t>
      </w:r>
      <w:r w:rsidRPr="00345460">
        <w:rPr>
          <w:i/>
        </w:rPr>
        <w:t>Ibid.</w:t>
      </w:r>
      <w:r w:rsidRPr="00345460">
        <w:t>, p</w:t>
      </w:r>
      <w:r>
        <w:t>.165.</w:t>
      </w:r>
    </w:p>
  </w:footnote>
  <w:footnote w:id="21">
    <w:p w:rsidR="00102D16" w:rsidRPr="00EA7B09" w:rsidRDefault="00102D16" w:rsidP="00102D16">
      <w:pPr>
        <w:pStyle w:val="Notedebasdepage"/>
      </w:pPr>
      <w:r>
        <w:rPr>
          <w:rStyle w:val="Appelnotedebasdep"/>
        </w:rPr>
        <w:footnoteRef/>
      </w:r>
      <w:r>
        <w:t xml:space="preserve"> Michel Pastoureau. </w:t>
      </w:r>
      <w:r>
        <w:rPr>
          <w:i/>
        </w:rPr>
        <w:t>Bestiaires du Moyen Âge</w:t>
      </w:r>
      <w:r>
        <w:t>. Paris, Éditions du Seuil, 2011. p.19.</w:t>
      </w:r>
    </w:p>
  </w:footnote>
  <w:footnote w:id="22">
    <w:p w:rsidR="00102D16" w:rsidRPr="001329B6" w:rsidRDefault="00102D16" w:rsidP="00102D16">
      <w:pPr>
        <w:pStyle w:val="Notedebasdepage"/>
        <w:rPr>
          <w:i/>
        </w:rPr>
      </w:pPr>
      <w:r>
        <w:rPr>
          <w:rStyle w:val="Appelnotedebasdep"/>
        </w:rPr>
        <w:footnoteRef/>
      </w:r>
      <w:r>
        <w:t xml:space="preserve"> </w:t>
      </w:r>
      <w:r>
        <w:rPr>
          <w:i/>
        </w:rPr>
        <w:t>Idem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D16" w:rsidRDefault="00102D1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D16" w:rsidRDefault="00102D1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D16" w:rsidRDefault="00102D1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16"/>
    <w:rsid w:val="00102D16"/>
    <w:rsid w:val="002C16FC"/>
    <w:rsid w:val="00721884"/>
    <w:rsid w:val="007628D9"/>
    <w:rsid w:val="008A250A"/>
    <w:rsid w:val="008C7938"/>
    <w:rsid w:val="00920993"/>
    <w:rsid w:val="00992178"/>
    <w:rsid w:val="00AF1837"/>
    <w:rsid w:val="00C949B7"/>
    <w:rsid w:val="00CF4DEF"/>
    <w:rsid w:val="00E15AA1"/>
    <w:rsid w:val="00E42FC6"/>
    <w:rsid w:val="00F901CE"/>
    <w:rsid w:val="00FE747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D16"/>
    <w:rPr>
      <w:rFonts w:cs="Times New Roman"/>
      <w:szCs w:val="24"/>
    </w:rPr>
  </w:style>
  <w:style w:type="paragraph" w:styleId="Titre1">
    <w:name w:val="heading 1"/>
    <w:basedOn w:val="Normal"/>
    <w:next w:val="Normal"/>
    <w:link w:val="Titre1Car"/>
    <w:uiPriority w:val="9"/>
    <w:qFormat/>
    <w:rsid w:val="00102D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102D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02D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2D1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102D1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02D16"/>
    <w:rPr>
      <w:rFonts w:asciiTheme="majorHAnsi" w:eastAsiaTheme="majorEastAsia" w:hAnsiTheme="majorHAnsi" w:cstheme="majorBidi"/>
      <w:b/>
      <w:bCs/>
      <w:color w:val="4F81BD" w:themeColor="accent1"/>
      <w:szCs w:val="24"/>
    </w:rPr>
  </w:style>
  <w:style w:type="paragraph" w:styleId="Notedebasdepage">
    <w:name w:val="footnote text"/>
    <w:basedOn w:val="Normal"/>
    <w:link w:val="NotedebasdepageCar"/>
    <w:uiPriority w:val="99"/>
    <w:semiHidden/>
    <w:unhideWhenUsed/>
    <w:rsid w:val="00102D1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02D16"/>
    <w:rPr>
      <w:rFonts w:cs="Times New Roman"/>
      <w:sz w:val="20"/>
      <w:szCs w:val="20"/>
    </w:rPr>
  </w:style>
  <w:style w:type="character" w:styleId="Appelnotedebasdep">
    <w:name w:val="footnote reference"/>
    <w:basedOn w:val="Policepardfaut"/>
    <w:uiPriority w:val="99"/>
    <w:semiHidden/>
    <w:unhideWhenUsed/>
    <w:rsid w:val="00102D16"/>
    <w:rPr>
      <w:vertAlign w:val="superscript"/>
    </w:rPr>
  </w:style>
  <w:style w:type="paragraph" w:styleId="En-tte">
    <w:name w:val="header"/>
    <w:basedOn w:val="Normal"/>
    <w:link w:val="En-tteCar"/>
    <w:uiPriority w:val="99"/>
    <w:unhideWhenUsed/>
    <w:rsid w:val="00102D16"/>
    <w:pPr>
      <w:tabs>
        <w:tab w:val="center" w:pos="4320"/>
        <w:tab w:val="right" w:pos="8640"/>
      </w:tabs>
      <w:spacing w:after="0" w:line="240" w:lineRule="auto"/>
    </w:pPr>
  </w:style>
  <w:style w:type="character" w:customStyle="1" w:styleId="En-tteCar">
    <w:name w:val="En-tête Car"/>
    <w:basedOn w:val="Policepardfaut"/>
    <w:link w:val="En-tte"/>
    <w:uiPriority w:val="99"/>
    <w:rsid w:val="00102D16"/>
    <w:rPr>
      <w:rFonts w:cs="Times New Roman"/>
      <w:szCs w:val="24"/>
    </w:rPr>
  </w:style>
  <w:style w:type="paragraph" w:styleId="Pieddepage">
    <w:name w:val="footer"/>
    <w:basedOn w:val="Normal"/>
    <w:link w:val="PieddepageCar"/>
    <w:uiPriority w:val="99"/>
    <w:unhideWhenUsed/>
    <w:rsid w:val="00102D1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02D16"/>
    <w:rPr>
      <w:rFonts w:cs="Times New Roman"/>
      <w:szCs w:val="24"/>
    </w:rPr>
  </w:style>
  <w:style w:type="paragraph" w:styleId="Textedebulles">
    <w:name w:val="Balloon Text"/>
    <w:basedOn w:val="Normal"/>
    <w:link w:val="TextedebullesCar"/>
    <w:uiPriority w:val="99"/>
    <w:semiHidden/>
    <w:unhideWhenUsed/>
    <w:rsid w:val="007218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18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D16"/>
    <w:rPr>
      <w:rFonts w:cs="Times New Roman"/>
      <w:szCs w:val="24"/>
    </w:rPr>
  </w:style>
  <w:style w:type="paragraph" w:styleId="Titre1">
    <w:name w:val="heading 1"/>
    <w:basedOn w:val="Normal"/>
    <w:next w:val="Normal"/>
    <w:link w:val="Titre1Car"/>
    <w:uiPriority w:val="9"/>
    <w:qFormat/>
    <w:rsid w:val="00102D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102D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02D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2D1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102D1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02D16"/>
    <w:rPr>
      <w:rFonts w:asciiTheme="majorHAnsi" w:eastAsiaTheme="majorEastAsia" w:hAnsiTheme="majorHAnsi" w:cstheme="majorBidi"/>
      <w:b/>
      <w:bCs/>
      <w:color w:val="4F81BD" w:themeColor="accent1"/>
      <w:szCs w:val="24"/>
    </w:rPr>
  </w:style>
  <w:style w:type="paragraph" w:styleId="Notedebasdepage">
    <w:name w:val="footnote text"/>
    <w:basedOn w:val="Normal"/>
    <w:link w:val="NotedebasdepageCar"/>
    <w:uiPriority w:val="99"/>
    <w:semiHidden/>
    <w:unhideWhenUsed/>
    <w:rsid w:val="00102D1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02D16"/>
    <w:rPr>
      <w:rFonts w:cs="Times New Roman"/>
      <w:sz w:val="20"/>
      <w:szCs w:val="20"/>
    </w:rPr>
  </w:style>
  <w:style w:type="character" w:styleId="Appelnotedebasdep">
    <w:name w:val="footnote reference"/>
    <w:basedOn w:val="Policepardfaut"/>
    <w:uiPriority w:val="99"/>
    <w:semiHidden/>
    <w:unhideWhenUsed/>
    <w:rsid w:val="00102D16"/>
    <w:rPr>
      <w:vertAlign w:val="superscript"/>
    </w:rPr>
  </w:style>
  <w:style w:type="paragraph" w:styleId="En-tte">
    <w:name w:val="header"/>
    <w:basedOn w:val="Normal"/>
    <w:link w:val="En-tteCar"/>
    <w:uiPriority w:val="99"/>
    <w:unhideWhenUsed/>
    <w:rsid w:val="00102D16"/>
    <w:pPr>
      <w:tabs>
        <w:tab w:val="center" w:pos="4320"/>
        <w:tab w:val="right" w:pos="8640"/>
      </w:tabs>
      <w:spacing w:after="0" w:line="240" w:lineRule="auto"/>
    </w:pPr>
  </w:style>
  <w:style w:type="character" w:customStyle="1" w:styleId="En-tteCar">
    <w:name w:val="En-tête Car"/>
    <w:basedOn w:val="Policepardfaut"/>
    <w:link w:val="En-tte"/>
    <w:uiPriority w:val="99"/>
    <w:rsid w:val="00102D16"/>
    <w:rPr>
      <w:rFonts w:cs="Times New Roman"/>
      <w:szCs w:val="24"/>
    </w:rPr>
  </w:style>
  <w:style w:type="paragraph" w:styleId="Pieddepage">
    <w:name w:val="footer"/>
    <w:basedOn w:val="Normal"/>
    <w:link w:val="PieddepageCar"/>
    <w:uiPriority w:val="99"/>
    <w:unhideWhenUsed/>
    <w:rsid w:val="00102D1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02D16"/>
    <w:rPr>
      <w:rFonts w:cs="Times New Roman"/>
      <w:szCs w:val="24"/>
    </w:rPr>
  </w:style>
  <w:style w:type="paragraph" w:styleId="Textedebulles">
    <w:name w:val="Balloon Text"/>
    <w:basedOn w:val="Normal"/>
    <w:link w:val="TextedebullesCar"/>
    <w:uiPriority w:val="99"/>
    <w:semiHidden/>
    <w:unhideWhenUsed/>
    <w:rsid w:val="007218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18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4482</Words>
  <Characters>24651</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dc:creator>
  <cp:lastModifiedBy>Wayne</cp:lastModifiedBy>
  <cp:revision>6</cp:revision>
  <cp:lastPrinted>2014-01-31T14:05:00Z</cp:lastPrinted>
  <dcterms:created xsi:type="dcterms:W3CDTF">2014-01-31T13:08:00Z</dcterms:created>
  <dcterms:modified xsi:type="dcterms:W3CDTF">2014-01-31T14:05:00Z</dcterms:modified>
</cp:coreProperties>
</file>