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8310E" w14:textId="77777777" w:rsidR="00BF6408" w:rsidRDefault="00BF6408" w:rsidP="00BF6408">
      <w:pPr>
        <w:widowControl w:val="0"/>
        <w:autoSpaceDE w:val="0"/>
        <w:autoSpaceDN w:val="0"/>
        <w:adjustRightInd w:val="0"/>
        <w:spacing w:after="300"/>
        <w:jc w:val="center"/>
        <w:rPr>
          <w:rFonts w:ascii="Times New Roman" w:hAnsi="Times New Roman" w:cs="Verdana"/>
          <w:b/>
          <w:bCs/>
          <w:color w:val="3E3E3E"/>
          <w:sz w:val="28"/>
          <w:szCs w:val="28"/>
        </w:rPr>
      </w:pPr>
      <w:r>
        <w:rPr>
          <w:rFonts w:ascii="Times New Roman" w:hAnsi="Times New Roman" w:cs="Verdana"/>
          <w:b/>
          <w:bCs/>
          <w:color w:val="3E3E3E"/>
          <w:sz w:val="28"/>
          <w:szCs w:val="28"/>
        </w:rPr>
        <w:t>PLAN DE COURS PROCÉDURE PÉNALE</w:t>
      </w:r>
    </w:p>
    <w:p w14:paraId="62CED2A8" w14:textId="77777777" w:rsidR="00BF6408" w:rsidRPr="00BF6408" w:rsidRDefault="00BF6408" w:rsidP="00BF6408">
      <w:pPr>
        <w:widowControl w:val="0"/>
        <w:autoSpaceDE w:val="0"/>
        <w:autoSpaceDN w:val="0"/>
        <w:adjustRightInd w:val="0"/>
        <w:spacing w:after="300"/>
        <w:jc w:val="center"/>
        <w:rPr>
          <w:rFonts w:ascii="Times New Roman" w:hAnsi="Times New Roman" w:cs="Verdana"/>
          <w:b/>
          <w:bCs/>
          <w:color w:val="3E3E3E"/>
        </w:rPr>
      </w:pPr>
      <w:r>
        <w:rPr>
          <w:rFonts w:ascii="Times New Roman" w:hAnsi="Times New Roman" w:cs="Verdana"/>
          <w:b/>
          <w:bCs/>
          <w:color w:val="3E3E3E"/>
        </w:rPr>
        <w:t>COURS 1</w:t>
      </w:r>
    </w:p>
    <w:p w14:paraId="33745884"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b/>
          <w:bCs/>
          <w:color w:val="3E3E3E"/>
          <w:sz w:val="22"/>
          <w:szCs w:val="22"/>
        </w:rPr>
        <w:t>Chapitre préliminaire : Introduction</w:t>
      </w:r>
    </w:p>
    <w:p w14:paraId="11747F7F"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1) Définir la procédure pénale</w:t>
      </w:r>
    </w:p>
    <w:p w14:paraId="3D4BDFD0"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p>
    <w:p w14:paraId="22D5FCA4"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2) Droit v. Réalité</w:t>
      </w:r>
    </w:p>
    <w:p w14:paraId="0649DD66"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p>
    <w:p w14:paraId="5ABF3FE9"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3) L’organisation du cours</w:t>
      </w:r>
    </w:p>
    <w:p w14:paraId="7603ADC6"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w:t>
      </w:r>
    </w:p>
    <w:p w14:paraId="062E86DC" w14:textId="77777777" w:rsidR="00BF6408" w:rsidRPr="006E799C" w:rsidRDefault="00BF6408" w:rsidP="00BF6408">
      <w:pPr>
        <w:widowControl w:val="0"/>
        <w:autoSpaceDE w:val="0"/>
        <w:autoSpaceDN w:val="0"/>
        <w:adjustRightInd w:val="0"/>
        <w:spacing w:after="300"/>
        <w:rPr>
          <w:rFonts w:ascii="Times New Roman" w:hAnsi="Times New Roman" w:cs="Verdana"/>
          <w:i/>
          <w:color w:val="3E3E3E"/>
          <w:sz w:val="22"/>
          <w:szCs w:val="22"/>
        </w:rPr>
      </w:pPr>
      <w:r w:rsidRPr="00BF6408">
        <w:rPr>
          <w:rFonts w:ascii="Times New Roman" w:hAnsi="Times New Roman" w:cs="Verdana"/>
          <w:b/>
          <w:bCs/>
          <w:color w:val="3E3E3E"/>
          <w:sz w:val="22"/>
          <w:szCs w:val="22"/>
        </w:rPr>
        <w:t>Section I.       Les sources de la procédure pénale</w:t>
      </w:r>
      <w:r w:rsidR="006E799C">
        <w:rPr>
          <w:rFonts w:ascii="Times New Roman" w:hAnsi="Times New Roman" w:cs="Verdana"/>
          <w:b/>
          <w:bCs/>
          <w:color w:val="3E3E3E"/>
          <w:sz w:val="22"/>
          <w:szCs w:val="22"/>
        </w:rPr>
        <w:t xml:space="preserve"> (</w:t>
      </w:r>
      <w:r w:rsidR="006E799C">
        <w:rPr>
          <w:rFonts w:ascii="Times New Roman" w:hAnsi="Times New Roman" w:cs="Verdana"/>
          <w:bCs/>
          <w:i/>
          <w:color w:val="3E3E3E"/>
          <w:sz w:val="22"/>
          <w:szCs w:val="22"/>
        </w:rPr>
        <w:t>p.4 notes de cours)</w:t>
      </w:r>
    </w:p>
    <w:p w14:paraId="41F85833" w14:textId="77777777" w:rsidR="00BF6408" w:rsidRDefault="00BF6408" w:rsidP="006E799C">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§1. Les sources textuelles</w:t>
      </w:r>
    </w:p>
    <w:p w14:paraId="6F5C71CB" w14:textId="77777777" w:rsidR="00BF6408" w:rsidRPr="006E799C" w:rsidRDefault="006E799C" w:rsidP="006E799C">
      <w:pPr>
        <w:pStyle w:val="Paragraphedeliste"/>
        <w:widowControl w:val="0"/>
        <w:numPr>
          <w:ilvl w:val="0"/>
          <w:numId w:val="1"/>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LC 1867, art. 91</w:t>
      </w:r>
    </w:p>
    <w:p w14:paraId="48866DB5" w14:textId="77777777" w:rsidR="006E799C" w:rsidRPr="006E799C" w:rsidRDefault="006E799C" w:rsidP="006E799C">
      <w:pPr>
        <w:pStyle w:val="Paragraphedeliste"/>
        <w:widowControl w:val="0"/>
        <w:numPr>
          <w:ilvl w:val="0"/>
          <w:numId w:val="1"/>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Charte Can, art. 7, 10, 11 (entre autres)</w:t>
      </w:r>
    </w:p>
    <w:p w14:paraId="682BA76C" w14:textId="77777777" w:rsidR="006E799C" w:rsidRPr="006E799C" w:rsidRDefault="006E799C" w:rsidP="006E799C">
      <w:pPr>
        <w:pStyle w:val="Paragraphedeliste"/>
        <w:widowControl w:val="0"/>
        <w:numPr>
          <w:ilvl w:val="0"/>
          <w:numId w:val="1"/>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Droit statutaire (C.cr., Inf provinciale, etc.).</w:t>
      </w:r>
    </w:p>
    <w:p w14:paraId="6DC2BEEF" w14:textId="77777777" w:rsidR="006E799C" w:rsidRPr="006E799C" w:rsidRDefault="006E799C" w:rsidP="006E799C">
      <w:pPr>
        <w:pStyle w:val="Paragraphedeliste"/>
        <w:widowControl w:val="0"/>
        <w:numPr>
          <w:ilvl w:val="0"/>
          <w:numId w:val="1"/>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Loi sur la preuve.</w:t>
      </w:r>
    </w:p>
    <w:p w14:paraId="6323DBD2"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xml:space="preserve">§2. La </w:t>
      </w:r>
      <w:r w:rsidRPr="00BF6408">
        <w:rPr>
          <w:rFonts w:ascii="Times New Roman" w:hAnsi="Times New Roman" w:cs="Verdana"/>
          <w:i/>
          <w:iCs/>
          <w:color w:val="3E3E3E"/>
          <w:sz w:val="22"/>
          <w:szCs w:val="22"/>
        </w:rPr>
        <w:t>common law</w:t>
      </w:r>
    </w:p>
    <w:p w14:paraId="71B4F103" w14:textId="77777777" w:rsidR="00BF6408" w:rsidRPr="006E799C" w:rsidRDefault="006E799C" w:rsidP="006E799C">
      <w:pPr>
        <w:pStyle w:val="Paragraphedeliste"/>
        <w:widowControl w:val="0"/>
        <w:numPr>
          <w:ilvl w:val="0"/>
          <w:numId w:val="2"/>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Majeur partie des pouvoirs policiers avant le procès.</w:t>
      </w:r>
    </w:p>
    <w:p w14:paraId="458EE53E" w14:textId="77777777" w:rsidR="006E799C" w:rsidRPr="006E799C" w:rsidRDefault="006E799C" w:rsidP="006E799C">
      <w:pPr>
        <w:pStyle w:val="Paragraphedeliste"/>
        <w:widowControl w:val="0"/>
        <w:autoSpaceDE w:val="0"/>
        <w:autoSpaceDN w:val="0"/>
        <w:adjustRightInd w:val="0"/>
        <w:spacing w:after="300"/>
        <w:ind w:left="775"/>
        <w:rPr>
          <w:rFonts w:ascii="Times New Roman" w:hAnsi="Times New Roman" w:cs="Verdana"/>
          <w:color w:val="3E3E3E"/>
          <w:sz w:val="22"/>
          <w:szCs w:val="22"/>
        </w:rPr>
      </w:pPr>
    </w:p>
    <w:p w14:paraId="15FD5DC2"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b/>
          <w:bCs/>
          <w:color w:val="3E3E3E"/>
          <w:sz w:val="22"/>
          <w:szCs w:val="22"/>
        </w:rPr>
        <w:t>Section II.      Les acteurs</w:t>
      </w:r>
    </w:p>
    <w:p w14:paraId="340293F9"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§1. La police</w:t>
      </w:r>
      <w:r>
        <w:rPr>
          <w:rFonts w:ascii="Times New Roman" w:hAnsi="Times New Roman" w:cs="Verdana"/>
          <w:color w:val="3E3E3E"/>
          <w:sz w:val="22"/>
          <w:szCs w:val="22"/>
        </w:rPr>
        <w:t> ;</w:t>
      </w:r>
    </w:p>
    <w:p w14:paraId="61F38FA5" w14:textId="77777777" w:rsidR="00BF6408" w:rsidRDefault="006E799C" w:rsidP="006E799C">
      <w:pPr>
        <w:pStyle w:val="Paragraphedeliste"/>
        <w:widowControl w:val="0"/>
        <w:numPr>
          <w:ilvl w:val="0"/>
          <w:numId w:val="2"/>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GRC</w:t>
      </w:r>
    </w:p>
    <w:p w14:paraId="57DAA520" w14:textId="77777777" w:rsidR="006E799C" w:rsidRDefault="006E799C" w:rsidP="006E799C">
      <w:pPr>
        <w:pStyle w:val="Paragraphedeliste"/>
        <w:widowControl w:val="0"/>
        <w:numPr>
          <w:ilvl w:val="0"/>
          <w:numId w:val="2"/>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SQ</w:t>
      </w:r>
    </w:p>
    <w:p w14:paraId="79FDA3F3" w14:textId="77777777" w:rsidR="006E799C" w:rsidRPr="006E799C" w:rsidRDefault="006E799C" w:rsidP="006E799C">
      <w:pPr>
        <w:pStyle w:val="Paragraphedeliste"/>
        <w:widowControl w:val="0"/>
        <w:numPr>
          <w:ilvl w:val="0"/>
          <w:numId w:val="2"/>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Corps de polices municipaux</w:t>
      </w:r>
    </w:p>
    <w:p w14:paraId="12878DA0"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§2. Le Ministère public</w:t>
      </w:r>
      <w:r>
        <w:rPr>
          <w:rFonts w:ascii="Times New Roman" w:hAnsi="Times New Roman" w:cs="Verdana"/>
          <w:color w:val="3E3E3E"/>
          <w:sz w:val="22"/>
          <w:szCs w:val="22"/>
        </w:rPr>
        <w:t> ;</w:t>
      </w:r>
    </w:p>
    <w:p w14:paraId="7550FFC6" w14:textId="77777777" w:rsidR="00BF6408" w:rsidRPr="006E799C" w:rsidRDefault="006E799C"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DPCP (depuis 2007</w:t>
      </w:r>
    </w:p>
    <w:p w14:paraId="3F71482A"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§3. L’accusé</w:t>
      </w:r>
      <w:r w:rsidR="006E799C">
        <w:rPr>
          <w:rFonts w:ascii="Times New Roman" w:hAnsi="Times New Roman" w:cs="Verdana"/>
          <w:color w:val="3E3E3E"/>
          <w:sz w:val="22"/>
          <w:szCs w:val="22"/>
        </w:rPr>
        <w:t xml:space="preserve"> (rôle passif)</w:t>
      </w:r>
      <w:r>
        <w:rPr>
          <w:rFonts w:ascii="Times New Roman" w:hAnsi="Times New Roman" w:cs="Verdana"/>
          <w:color w:val="3E3E3E"/>
          <w:sz w:val="22"/>
          <w:szCs w:val="22"/>
        </w:rPr>
        <w:t> ;</w:t>
      </w:r>
    </w:p>
    <w:p w14:paraId="77EA4933" w14:textId="77777777" w:rsidR="00BF6408" w:rsidRDefault="006E799C"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Droit à l’assistance d’un avocat</w:t>
      </w:r>
    </w:p>
    <w:p w14:paraId="7207107A" w14:textId="77777777" w:rsidR="006E799C" w:rsidRDefault="006E799C"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lastRenderedPageBreak/>
        <w:t>Droit au silence</w:t>
      </w:r>
    </w:p>
    <w:p w14:paraId="14100857" w14:textId="77777777" w:rsidR="006E799C" w:rsidRDefault="006E799C"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Droit à ne pas s’incriminer.</w:t>
      </w:r>
    </w:p>
    <w:p w14:paraId="461CBA5C" w14:textId="77777777" w:rsidR="006E799C" w:rsidRDefault="006E799C"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color w:val="3E3E3E"/>
          <w:sz w:val="20"/>
          <w:szCs w:val="20"/>
        </w:rPr>
        <w:t>Droit à une défense pleine et entière</w:t>
      </w:r>
    </w:p>
    <w:p w14:paraId="57264392" w14:textId="77777777" w:rsidR="00017B84" w:rsidRPr="006E799C" w:rsidRDefault="00017B84" w:rsidP="006E799C">
      <w:pPr>
        <w:pStyle w:val="Paragraphedeliste"/>
        <w:widowControl w:val="0"/>
        <w:numPr>
          <w:ilvl w:val="0"/>
          <w:numId w:val="3"/>
        </w:numPr>
        <w:autoSpaceDE w:val="0"/>
        <w:autoSpaceDN w:val="0"/>
        <w:adjustRightInd w:val="0"/>
        <w:spacing w:after="300"/>
        <w:rPr>
          <w:rFonts w:ascii="Times New Roman" w:hAnsi="Times New Roman" w:cs="Verdana"/>
          <w:color w:val="3E3E3E"/>
          <w:sz w:val="20"/>
          <w:szCs w:val="20"/>
        </w:rPr>
      </w:pPr>
      <w:r>
        <w:rPr>
          <w:rFonts w:ascii="Times New Roman" w:hAnsi="Times New Roman" w:cs="Verdana"/>
          <w:i/>
          <w:color w:val="3E3E3E"/>
          <w:sz w:val="20"/>
          <w:szCs w:val="20"/>
        </w:rPr>
        <w:t>Etc.</w:t>
      </w:r>
    </w:p>
    <w:p w14:paraId="71FB244F" w14:textId="77777777"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§4. La victime</w:t>
      </w:r>
      <w:r w:rsidR="00017B84">
        <w:rPr>
          <w:rFonts w:ascii="Times New Roman" w:hAnsi="Times New Roman" w:cs="Verdana"/>
          <w:color w:val="3E3E3E"/>
          <w:sz w:val="22"/>
          <w:szCs w:val="22"/>
        </w:rPr>
        <w:t> </w:t>
      </w:r>
      <w:r>
        <w:rPr>
          <w:rFonts w:ascii="Times New Roman" w:hAnsi="Times New Roman" w:cs="Verdana"/>
          <w:color w:val="3E3E3E"/>
          <w:sz w:val="22"/>
          <w:szCs w:val="22"/>
        </w:rPr>
        <w:t>;</w:t>
      </w:r>
    </w:p>
    <w:p w14:paraId="4AACD698" w14:textId="77777777" w:rsidR="00BF6408" w:rsidRPr="00017B84" w:rsidRDefault="00017B84" w:rsidP="00017B84">
      <w:pPr>
        <w:pStyle w:val="Paragraphedeliste"/>
        <w:widowControl w:val="0"/>
        <w:numPr>
          <w:ilvl w:val="0"/>
          <w:numId w:val="4"/>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Complètement à l’écart du système criminel. Cependant, elle peut bénéficier de l’IVAC (</w:t>
      </w:r>
      <w:r>
        <w:rPr>
          <w:rFonts w:ascii="Times New Roman" w:hAnsi="Times New Roman" w:cs="Verdana"/>
          <w:i/>
          <w:color w:val="3E3E3E"/>
          <w:sz w:val="20"/>
          <w:szCs w:val="20"/>
        </w:rPr>
        <w:t>aide aux victimes d’acte criminel).</w:t>
      </w:r>
    </w:p>
    <w:p w14:paraId="63B174A3"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w:t>
      </w:r>
    </w:p>
    <w:p w14:paraId="29D46EE0"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b/>
          <w:bCs/>
          <w:color w:val="3E3E3E"/>
          <w:sz w:val="22"/>
          <w:szCs w:val="22"/>
        </w:rPr>
        <w:t>Section III.     L’organisation judiciaire</w:t>
      </w:r>
    </w:p>
    <w:p w14:paraId="55AE6329"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§1. Les tribunaux</w:t>
      </w:r>
      <w:r>
        <w:rPr>
          <w:rFonts w:ascii="Times New Roman" w:hAnsi="Times New Roman" w:cs="Verdana"/>
          <w:color w:val="3E3E3E"/>
          <w:sz w:val="22"/>
          <w:szCs w:val="22"/>
        </w:rPr>
        <w:t> ;</w:t>
      </w:r>
    </w:p>
    <w:p w14:paraId="1E1F094B"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§2. La compétence des tribunaux</w:t>
      </w:r>
      <w:r>
        <w:rPr>
          <w:rFonts w:ascii="Times New Roman" w:hAnsi="Times New Roman" w:cs="Verdana"/>
          <w:color w:val="3E3E3E"/>
          <w:sz w:val="22"/>
          <w:szCs w:val="22"/>
        </w:rPr>
        <w:t> ;</w:t>
      </w:r>
    </w:p>
    <w:p w14:paraId="27B43D37"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w:t>
      </w:r>
    </w:p>
    <w:p w14:paraId="489D3EF2" w14:textId="77777777" w:rsidR="0058475B" w:rsidRDefault="00BF6408" w:rsidP="00BF6408">
      <w:pPr>
        <w:jc w:val="center"/>
        <w:rPr>
          <w:rFonts w:ascii="Times New Roman" w:hAnsi="Times New Roman" w:cs="Verdana"/>
          <w:b/>
          <w:bCs/>
          <w:color w:val="3E3E3E"/>
          <w:sz w:val="22"/>
          <w:szCs w:val="22"/>
        </w:rPr>
      </w:pPr>
      <w:r w:rsidRPr="00BF6408">
        <w:rPr>
          <w:rFonts w:ascii="Times New Roman" w:hAnsi="Times New Roman" w:cs="Verdana"/>
          <w:b/>
          <w:bCs/>
          <w:color w:val="3E3E3E"/>
          <w:sz w:val="22"/>
          <w:szCs w:val="22"/>
        </w:rPr>
        <w:t>Section IV.     Un aperçu du processus criminel canadien</w:t>
      </w:r>
    </w:p>
    <w:p w14:paraId="5384AD31" w14:textId="77777777" w:rsidR="00BF6408" w:rsidRPr="00017B84" w:rsidRDefault="00017B84" w:rsidP="00017B84">
      <w:pPr>
        <w:pStyle w:val="Paragraphedeliste"/>
        <w:numPr>
          <w:ilvl w:val="0"/>
          <w:numId w:val="4"/>
        </w:numPr>
        <w:jc w:val="both"/>
        <w:rPr>
          <w:rFonts w:ascii="Times New Roman" w:hAnsi="Times New Roman" w:cs="Verdana"/>
          <w:bCs/>
          <w:color w:val="3E3E3E"/>
          <w:sz w:val="20"/>
          <w:szCs w:val="20"/>
        </w:rPr>
      </w:pPr>
      <w:r w:rsidRPr="00017B84">
        <w:rPr>
          <w:rFonts w:ascii="Times New Roman" w:hAnsi="Times New Roman" w:cs="Verdana"/>
          <w:bCs/>
          <w:i/>
          <w:color w:val="3E3E3E"/>
          <w:sz w:val="20"/>
          <w:szCs w:val="20"/>
        </w:rPr>
        <w:t>Vu supra</w:t>
      </w:r>
    </w:p>
    <w:p w14:paraId="23F5247E" w14:textId="77777777" w:rsidR="00BF6408" w:rsidRDefault="00BF6408" w:rsidP="00BF6408">
      <w:pPr>
        <w:jc w:val="center"/>
        <w:rPr>
          <w:rFonts w:ascii="Times New Roman" w:hAnsi="Times New Roman" w:cs="Verdana"/>
          <w:b/>
          <w:bCs/>
          <w:color w:val="3E3E3E"/>
          <w:sz w:val="22"/>
          <w:szCs w:val="22"/>
        </w:rPr>
      </w:pPr>
    </w:p>
    <w:p w14:paraId="0E85BAA3" w14:textId="77777777" w:rsidR="00BF6408" w:rsidRDefault="00BF6408" w:rsidP="00017B84">
      <w:pPr>
        <w:rPr>
          <w:rFonts w:ascii="Times New Roman" w:hAnsi="Times New Roman" w:cs="Verdana"/>
          <w:b/>
          <w:bCs/>
          <w:color w:val="3E3E3E"/>
          <w:sz w:val="22"/>
          <w:szCs w:val="22"/>
        </w:rPr>
      </w:pPr>
    </w:p>
    <w:p w14:paraId="3B55AFEB" w14:textId="77777777" w:rsidR="00017B84" w:rsidRDefault="00017B84" w:rsidP="00017B84">
      <w:pPr>
        <w:rPr>
          <w:rFonts w:ascii="Times New Roman" w:hAnsi="Times New Roman" w:cs="Verdana"/>
          <w:b/>
          <w:bCs/>
          <w:color w:val="3E3E3E"/>
          <w:sz w:val="22"/>
          <w:szCs w:val="22"/>
        </w:rPr>
      </w:pPr>
    </w:p>
    <w:p w14:paraId="614AA6C2" w14:textId="77777777" w:rsidR="00BF6408" w:rsidRDefault="00BF6408" w:rsidP="00BF6408">
      <w:pPr>
        <w:jc w:val="center"/>
        <w:rPr>
          <w:rFonts w:ascii="Times New Roman" w:hAnsi="Times New Roman" w:cs="Verdana"/>
          <w:b/>
          <w:bCs/>
          <w:color w:val="3E3E3E"/>
          <w:sz w:val="22"/>
          <w:szCs w:val="22"/>
        </w:rPr>
      </w:pPr>
    </w:p>
    <w:p w14:paraId="07EC38E5" w14:textId="77777777" w:rsidR="00BF6408" w:rsidRDefault="00BF6408" w:rsidP="00BF6408">
      <w:pPr>
        <w:jc w:val="center"/>
        <w:rPr>
          <w:rFonts w:ascii="Times New Roman" w:hAnsi="Times New Roman" w:cs="Verdana"/>
          <w:b/>
          <w:bCs/>
          <w:color w:val="3E3E3E"/>
        </w:rPr>
      </w:pPr>
      <w:r>
        <w:rPr>
          <w:rFonts w:ascii="Times New Roman" w:hAnsi="Times New Roman" w:cs="Verdana"/>
          <w:b/>
          <w:bCs/>
          <w:color w:val="3E3E3E"/>
        </w:rPr>
        <w:t>COURS 2</w:t>
      </w:r>
    </w:p>
    <w:p w14:paraId="49B886F6" w14:textId="77777777" w:rsidR="000F2E3C" w:rsidRDefault="000F2E3C" w:rsidP="00BF6408">
      <w:pPr>
        <w:widowControl w:val="0"/>
        <w:autoSpaceDE w:val="0"/>
        <w:autoSpaceDN w:val="0"/>
        <w:adjustRightInd w:val="0"/>
        <w:spacing w:after="300"/>
        <w:jc w:val="both"/>
        <w:rPr>
          <w:rFonts w:ascii="Times New Roman" w:hAnsi="Times New Roman" w:cs="Verdana"/>
          <w:b/>
          <w:bCs/>
          <w:color w:val="3E3E3E"/>
          <w:sz w:val="22"/>
          <w:szCs w:val="22"/>
        </w:rPr>
      </w:pPr>
    </w:p>
    <w:p w14:paraId="5D91478C" w14:textId="352F51F1" w:rsidR="00BF6408" w:rsidRPr="000F2E3C"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Partie I.          L’enquête criminelle</w:t>
      </w:r>
      <w:r w:rsidR="000F2E3C">
        <w:rPr>
          <w:rFonts w:ascii="Times New Roman" w:hAnsi="Times New Roman" w:cs="Verdana"/>
          <w:b/>
          <w:bCs/>
          <w:color w:val="3E3E3E"/>
          <w:sz w:val="22"/>
          <w:szCs w:val="22"/>
        </w:rPr>
        <w:t xml:space="preserve"> (</w:t>
      </w:r>
      <w:r w:rsidR="000F2E3C">
        <w:rPr>
          <w:rFonts w:ascii="Times New Roman" w:hAnsi="Times New Roman" w:cs="Verdana"/>
          <w:bCs/>
          <w:color w:val="3E3E3E"/>
          <w:sz w:val="22"/>
          <w:szCs w:val="22"/>
        </w:rPr>
        <w:t>p. 1 notes de cours #2)</w:t>
      </w:r>
    </w:p>
    <w:p w14:paraId="2972B355"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Chapitre I. Détention et Arrestation</w:t>
      </w:r>
    </w:p>
    <w:p w14:paraId="305685D1" w14:textId="3D7F427F"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Introduction</w:t>
      </w:r>
      <w:r w:rsidR="000F2E3C">
        <w:rPr>
          <w:rFonts w:ascii="Times New Roman" w:hAnsi="Times New Roman" w:cs="Verdana"/>
          <w:color w:val="3E3E3E"/>
          <w:sz w:val="22"/>
          <w:szCs w:val="22"/>
        </w:rPr>
        <w:t> :</w:t>
      </w:r>
    </w:p>
    <w:p w14:paraId="025876C6" w14:textId="6F7DF00A" w:rsidR="00BF6408" w:rsidRPr="000F2E3C" w:rsidRDefault="000F2E3C" w:rsidP="000F2E3C">
      <w:pPr>
        <w:pStyle w:val="Paragraphedeliste"/>
        <w:widowControl w:val="0"/>
        <w:numPr>
          <w:ilvl w:val="0"/>
          <w:numId w:val="4"/>
        </w:numPr>
        <w:autoSpaceDE w:val="0"/>
        <w:autoSpaceDN w:val="0"/>
        <w:adjustRightInd w:val="0"/>
        <w:spacing w:after="300"/>
        <w:jc w:val="both"/>
        <w:rPr>
          <w:rFonts w:ascii="Times New Roman" w:hAnsi="Times New Roman" w:cs="Verdana"/>
          <w:b/>
          <w:bCs/>
          <w:color w:val="3E3E3E"/>
          <w:sz w:val="22"/>
          <w:szCs w:val="22"/>
        </w:rPr>
      </w:pPr>
      <w:r>
        <w:rPr>
          <w:rFonts w:ascii="Times New Roman" w:hAnsi="Times New Roman" w:cs="Verdana"/>
          <w:bCs/>
          <w:i/>
          <w:color w:val="3E3E3E"/>
          <w:sz w:val="20"/>
          <w:szCs w:val="20"/>
        </w:rPr>
        <w:t>Mise en contexte avec l’arrêt Hall [2002]</w:t>
      </w:r>
    </w:p>
    <w:p w14:paraId="16D14739"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p>
    <w:p w14:paraId="75A61F83"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Section I.       La protection de la liberté avant la Charte : Historique de la détention et de l’arrestation</w:t>
      </w:r>
    </w:p>
    <w:p w14:paraId="0113D237" w14:textId="555A3338" w:rsidR="00BF6408" w:rsidRPr="0037672B" w:rsidRDefault="000F2E3C" w:rsidP="000F2E3C">
      <w:pPr>
        <w:pStyle w:val="Paragraphedeliste"/>
        <w:widowControl w:val="0"/>
        <w:numPr>
          <w:ilvl w:val="0"/>
          <w:numId w:val="4"/>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i/>
          <w:color w:val="3E3E3E"/>
          <w:sz w:val="20"/>
          <w:szCs w:val="20"/>
        </w:rPr>
        <w:t xml:space="preserve">L’article 39 de la </w:t>
      </w:r>
      <w:r>
        <w:rPr>
          <w:rFonts w:ascii="Times New Roman" w:hAnsi="Times New Roman" w:cs="Verdana"/>
          <w:b/>
          <w:i/>
          <w:color w:val="3E3E3E"/>
          <w:sz w:val="20"/>
          <w:szCs w:val="20"/>
        </w:rPr>
        <w:t>Magna Carta</w:t>
      </w:r>
    </w:p>
    <w:p w14:paraId="283E9EB3" w14:textId="102392CE" w:rsidR="0037672B" w:rsidRPr="0037672B" w:rsidRDefault="0037672B" w:rsidP="000F2E3C">
      <w:pPr>
        <w:pStyle w:val="Paragraphedeliste"/>
        <w:widowControl w:val="0"/>
        <w:numPr>
          <w:ilvl w:val="0"/>
          <w:numId w:val="4"/>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i/>
          <w:color w:val="3E3E3E"/>
          <w:sz w:val="20"/>
          <w:szCs w:val="20"/>
        </w:rPr>
        <w:t>Quelques arrêts canadiens</w:t>
      </w:r>
    </w:p>
    <w:p w14:paraId="0DD06E49" w14:textId="3FC3A9B9" w:rsidR="0037672B" w:rsidRPr="000F2E3C" w:rsidRDefault="0037672B" w:rsidP="000F2E3C">
      <w:pPr>
        <w:pStyle w:val="Paragraphedeliste"/>
        <w:widowControl w:val="0"/>
        <w:numPr>
          <w:ilvl w:val="0"/>
          <w:numId w:val="4"/>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i/>
          <w:color w:val="3E3E3E"/>
          <w:sz w:val="20"/>
          <w:szCs w:val="20"/>
        </w:rPr>
        <w:t>La déclaration des droits</w:t>
      </w:r>
    </w:p>
    <w:p w14:paraId="39F90EB6"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p>
    <w:p w14:paraId="22B61E35"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 xml:space="preserve">Section II.      Les limites constitutionnelles à la détention et à l’arrestation : article 9 de la </w:t>
      </w:r>
      <w:r w:rsidRPr="00BF6408">
        <w:rPr>
          <w:rFonts w:ascii="Times New Roman" w:hAnsi="Times New Roman" w:cs="Verdana"/>
          <w:b/>
          <w:bCs/>
          <w:i/>
          <w:iCs/>
          <w:color w:val="3E3E3E"/>
          <w:sz w:val="22"/>
          <w:szCs w:val="22"/>
        </w:rPr>
        <w:t>Charte</w:t>
      </w:r>
    </w:p>
    <w:p w14:paraId="1A54ABE6" w14:textId="4B69DD75"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w:t>
      </w:r>
      <w:r w:rsidRPr="00BF6408">
        <w:rPr>
          <w:rFonts w:ascii="Times New Roman" w:hAnsi="Times New Roman" w:cs="Verdana"/>
          <w:b/>
          <w:color w:val="3E3E3E"/>
          <w:sz w:val="22"/>
          <w:szCs w:val="22"/>
        </w:rPr>
        <w:t>Article 9</w:t>
      </w:r>
      <w:r w:rsidRPr="00BF6408">
        <w:rPr>
          <w:rFonts w:ascii="Times New Roman" w:hAnsi="Times New Roman" w:cs="Verdana"/>
          <w:color w:val="3E3E3E"/>
          <w:sz w:val="22"/>
          <w:szCs w:val="22"/>
        </w:rPr>
        <w:t xml:space="preserve"> de la </w:t>
      </w:r>
      <w:r w:rsidRPr="00BF6408">
        <w:rPr>
          <w:rFonts w:ascii="Times New Roman" w:hAnsi="Times New Roman" w:cs="Verdana"/>
          <w:i/>
          <w:iCs/>
          <w:color w:val="3E3E3E"/>
          <w:sz w:val="22"/>
          <w:szCs w:val="22"/>
        </w:rPr>
        <w:t>Charte</w:t>
      </w:r>
      <w:r w:rsidR="0037672B">
        <w:rPr>
          <w:rFonts w:ascii="Times New Roman" w:hAnsi="Times New Roman" w:cs="Verdana"/>
          <w:i/>
          <w:iCs/>
          <w:color w:val="3E3E3E"/>
          <w:sz w:val="22"/>
          <w:szCs w:val="22"/>
        </w:rPr>
        <w:t xml:space="preserve"> (p. 2 notes de cours #2)</w:t>
      </w:r>
    </w:p>
    <w:p w14:paraId="3D53611C"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§1. L’histoire de l’article 9 de la </w:t>
      </w:r>
      <w:r w:rsidRPr="00BF6408">
        <w:rPr>
          <w:rFonts w:ascii="Times New Roman" w:hAnsi="Times New Roman" w:cs="Verdana"/>
          <w:i/>
          <w:iCs/>
          <w:color w:val="3E3E3E"/>
          <w:sz w:val="22"/>
          <w:szCs w:val="22"/>
        </w:rPr>
        <w:t>Charte</w:t>
      </w:r>
    </w:p>
    <w:p w14:paraId="42C13EBF" w14:textId="0B0E7E08" w:rsidR="00BF6408" w:rsidRPr="0037672B" w:rsidRDefault="0037672B" w:rsidP="0037672B">
      <w:pPr>
        <w:pStyle w:val="Paragraphedeliste"/>
        <w:widowControl w:val="0"/>
        <w:numPr>
          <w:ilvl w:val="0"/>
          <w:numId w:val="5"/>
        </w:numPr>
        <w:autoSpaceDE w:val="0"/>
        <w:autoSpaceDN w:val="0"/>
        <w:adjustRightInd w:val="0"/>
        <w:spacing w:after="300"/>
        <w:jc w:val="both"/>
        <w:rPr>
          <w:rFonts w:ascii="Times New Roman" w:hAnsi="Times New Roman" w:cs="Verdana"/>
          <w:color w:val="3E3E3E"/>
          <w:sz w:val="20"/>
          <w:szCs w:val="20"/>
        </w:rPr>
      </w:pPr>
      <w:r>
        <w:rPr>
          <w:rFonts w:ascii="Times New Roman" w:hAnsi="Times New Roman" w:cs="Verdana"/>
          <w:i/>
          <w:color w:val="3E3E3E"/>
          <w:sz w:val="20"/>
          <w:szCs w:val="20"/>
        </w:rPr>
        <w:t xml:space="preserve">Son objet (Arrêt Grant 2009) : </w:t>
      </w:r>
      <w:r>
        <w:rPr>
          <w:rFonts w:ascii="Times New Roman" w:hAnsi="Times New Roman" w:cs="Verdana"/>
          <w:color w:val="3E3E3E"/>
          <w:sz w:val="20"/>
          <w:szCs w:val="20"/>
        </w:rPr>
        <w:t xml:space="preserve">Sert à protégé la liberté individuelle contre l’ingérence injustifiée de l’État. Cette liberté comprend la </w:t>
      </w:r>
      <w:r>
        <w:rPr>
          <w:rFonts w:ascii="Times New Roman" w:hAnsi="Times New Roman" w:cs="Verdana"/>
          <w:b/>
          <w:color w:val="3E3E3E"/>
          <w:sz w:val="20"/>
          <w:szCs w:val="20"/>
        </w:rPr>
        <w:t>liberté physique et la liberté psychologique.</w:t>
      </w:r>
    </w:p>
    <w:p w14:paraId="770C6C35" w14:textId="1073590E" w:rsidR="00BF6408" w:rsidRPr="003636CA" w:rsidRDefault="0037672B" w:rsidP="00BF6408">
      <w:pPr>
        <w:pStyle w:val="Paragraphedeliste"/>
        <w:widowControl w:val="0"/>
        <w:numPr>
          <w:ilvl w:val="0"/>
          <w:numId w:val="5"/>
        </w:numPr>
        <w:autoSpaceDE w:val="0"/>
        <w:autoSpaceDN w:val="0"/>
        <w:adjustRightInd w:val="0"/>
        <w:spacing w:after="300"/>
        <w:jc w:val="both"/>
        <w:rPr>
          <w:rFonts w:ascii="Times New Roman" w:hAnsi="Times New Roman" w:cs="Verdana"/>
          <w:color w:val="3E3E3E"/>
          <w:sz w:val="20"/>
          <w:szCs w:val="20"/>
        </w:rPr>
      </w:pPr>
      <w:r>
        <w:rPr>
          <w:rFonts w:ascii="Times New Roman" w:hAnsi="Times New Roman" w:cs="Verdana"/>
          <w:i/>
          <w:color w:val="3E3E3E"/>
          <w:sz w:val="20"/>
          <w:szCs w:val="20"/>
        </w:rPr>
        <w:t xml:space="preserve">Ses précurseur et fondements : </w:t>
      </w:r>
      <w:r>
        <w:rPr>
          <w:rFonts w:ascii="Times New Roman" w:hAnsi="Times New Roman" w:cs="Verdana"/>
          <w:color w:val="3E3E3E"/>
          <w:sz w:val="20"/>
          <w:szCs w:val="20"/>
        </w:rPr>
        <w:t>Déclaration canadienne des droits, déclaration unverselle des droits de l’homme, etc.</w:t>
      </w:r>
    </w:p>
    <w:p w14:paraId="424DDDAB" w14:textId="02E3591A"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§2. Les éléments de l’article 9 de la </w:t>
      </w:r>
      <w:r w:rsidRPr="00BF6408">
        <w:rPr>
          <w:rFonts w:ascii="Times New Roman" w:hAnsi="Times New Roman" w:cs="Verdana"/>
          <w:i/>
          <w:iCs/>
          <w:color w:val="3E3E3E"/>
          <w:sz w:val="22"/>
          <w:szCs w:val="22"/>
        </w:rPr>
        <w:t>Charte</w:t>
      </w:r>
    </w:p>
    <w:p w14:paraId="1EC02E45" w14:textId="4D8AEA27" w:rsidR="00BF6408" w:rsidRPr="003636CA" w:rsidRDefault="00BF6408" w:rsidP="00BF6408">
      <w:pPr>
        <w:widowControl w:val="0"/>
        <w:autoSpaceDE w:val="0"/>
        <w:autoSpaceDN w:val="0"/>
        <w:adjustRightInd w:val="0"/>
        <w:spacing w:after="300"/>
        <w:jc w:val="both"/>
        <w:rPr>
          <w:rFonts w:ascii="Times New Roman" w:hAnsi="Times New Roman" w:cs="Verdana"/>
          <w:iCs/>
          <w:color w:val="3E3E3E"/>
          <w:sz w:val="22"/>
          <w:szCs w:val="22"/>
        </w:rPr>
      </w:pPr>
      <w:r w:rsidRPr="00BF6408">
        <w:rPr>
          <w:rFonts w:ascii="Times New Roman" w:hAnsi="Times New Roman" w:cs="Verdana"/>
          <w:color w:val="3E3E3E"/>
          <w:sz w:val="22"/>
          <w:szCs w:val="22"/>
        </w:rPr>
        <w:t xml:space="preserve">§3. La mise en œuvre de l’article 9 de la </w:t>
      </w:r>
      <w:r w:rsidRPr="00BF6408">
        <w:rPr>
          <w:rFonts w:ascii="Times New Roman" w:hAnsi="Times New Roman" w:cs="Verdana"/>
          <w:i/>
          <w:iCs/>
          <w:color w:val="3E3E3E"/>
          <w:sz w:val="22"/>
          <w:szCs w:val="22"/>
        </w:rPr>
        <w:t>Charte</w:t>
      </w:r>
      <w:r w:rsidR="0037672B">
        <w:rPr>
          <w:rFonts w:ascii="Times New Roman" w:hAnsi="Times New Roman" w:cs="Verdana"/>
          <w:i/>
          <w:iCs/>
          <w:color w:val="3E3E3E"/>
          <w:sz w:val="22"/>
          <w:szCs w:val="22"/>
        </w:rPr>
        <w:t xml:space="preserve"> (p. 3 notes de cours #2).</w:t>
      </w:r>
    </w:p>
    <w:p w14:paraId="4DBBDD64"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A. La notion d’emprisonnement</w:t>
      </w:r>
      <w:r>
        <w:rPr>
          <w:rFonts w:ascii="Times New Roman" w:hAnsi="Times New Roman" w:cs="Verdana"/>
          <w:color w:val="3E3E3E"/>
          <w:sz w:val="22"/>
          <w:szCs w:val="22"/>
        </w:rPr>
        <w:t> ;</w:t>
      </w:r>
    </w:p>
    <w:p w14:paraId="3B291461" w14:textId="2F997FA2" w:rsidR="00BF6408" w:rsidRPr="003636CA" w:rsidRDefault="003636CA" w:rsidP="003636CA">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0"/>
          <w:szCs w:val="20"/>
        </w:rPr>
      </w:pPr>
      <w:r w:rsidRPr="003636CA">
        <w:rPr>
          <w:rFonts w:ascii="Times New Roman" w:hAnsi="Times New Roman" w:cs="Verdana"/>
          <w:b/>
          <w:color w:val="3E3E3E"/>
          <w:sz w:val="20"/>
          <w:szCs w:val="20"/>
        </w:rPr>
        <w:t xml:space="preserve">Arrêt Grant : </w:t>
      </w:r>
      <w:r w:rsidRPr="003636CA">
        <w:rPr>
          <w:rFonts w:ascii="Times New Roman" w:hAnsi="Times New Roman" w:cs="Times New Roman"/>
          <w:sz w:val="20"/>
          <w:szCs w:val="20"/>
        </w:rPr>
        <w:t>Le mot « emprisonnement » suggérant une perte de liberté totale ou presque, la juxtaposition de ce mot et du mot « détention » donne à penser que la détention exige une perte de liberté considérable</w:t>
      </w:r>
    </w:p>
    <w:p w14:paraId="31FF98EB"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B. La notion de détention</w:t>
      </w:r>
      <w:r>
        <w:rPr>
          <w:rFonts w:ascii="Times New Roman" w:hAnsi="Times New Roman" w:cs="Verdana"/>
          <w:color w:val="3E3E3E"/>
          <w:sz w:val="22"/>
          <w:szCs w:val="22"/>
        </w:rPr>
        <w:t> ;</w:t>
      </w:r>
    </w:p>
    <w:p w14:paraId="359A3462" w14:textId="2D93D871" w:rsidR="00BF6408" w:rsidRPr="003636CA" w:rsidRDefault="003636CA" w:rsidP="003636CA">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0"/>
          <w:szCs w:val="20"/>
        </w:rPr>
      </w:pPr>
      <w:r w:rsidRPr="003636CA">
        <w:rPr>
          <w:rFonts w:ascii="Times New Roman" w:hAnsi="Times New Roman" w:cs="Verdana"/>
          <w:color w:val="3E3E3E"/>
          <w:sz w:val="20"/>
          <w:szCs w:val="20"/>
        </w:rPr>
        <w:t>La détention amène l’intervention de la Charte dont l’article 10 notamment.</w:t>
      </w:r>
      <w:r w:rsidR="002D46F9">
        <w:rPr>
          <w:rFonts w:ascii="Times New Roman" w:hAnsi="Times New Roman" w:cs="Verdana"/>
          <w:color w:val="3E3E3E"/>
          <w:sz w:val="20"/>
          <w:szCs w:val="20"/>
        </w:rPr>
        <w:t xml:space="preserve"> (Affaire </w:t>
      </w:r>
      <w:r w:rsidR="002D46F9">
        <w:rPr>
          <w:rFonts w:ascii="Times New Roman" w:hAnsi="Times New Roman" w:cs="Verdana"/>
          <w:b/>
          <w:color w:val="3E3E3E"/>
          <w:sz w:val="20"/>
          <w:szCs w:val="20"/>
        </w:rPr>
        <w:t>Therens)</w:t>
      </w:r>
    </w:p>
    <w:p w14:paraId="77D8523D"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R. c. Grant</w:t>
      </w:r>
      <w:r w:rsidRPr="00BF6408">
        <w:rPr>
          <w:rFonts w:ascii="Times New Roman" w:hAnsi="Times New Roman" w:cs="Verdana"/>
          <w:b/>
          <w:color w:val="3E3E3E"/>
          <w:sz w:val="22"/>
          <w:szCs w:val="22"/>
        </w:rPr>
        <w:t>, [2009]</w:t>
      </w:r>
      <w:r w:rsidRPr="00BF6408">
        <w:rPr>
          <w:rFonts w:ascii="Times New Roman" w:hAnsi="Times New Roman" w:cs="Verdana"/>
          <w:color w:val="3E3E3E"/>
          <w:sz w:val="22"/>
          <w:szCs w:val="22"/>
        </w:rPr>
        <w:t xml:space="preserve"> 2 RCS 353 (</w:t>
      </w:r>
      <w:r w:rsidRPr="00BF6408">
        <w:rPr>
          <w:rFonts w:ascii="Times New Roman" w:hAnsi="Times New Roman" w:cs="Verdana"/>
          <w:i/>
          <w:color w:val="3E3E3E"/>
          <w:sz w:val="22"/>
          <w:szCs w:val="22"/>
        </w:rPr>
        <w:t>Para. 1 à 58 et 150 à 183</w:t>
      </w:r>
      <w:r w:rsidRPr="00BF6408">
        <w:rPr>
          <w:rFonts w:ascii="Times New Roman" w:hAnsi="Times New Roman" w:cs="Verdana"/>
          <w:color w:val="3E3E3E"/>
          <w:sz w:val="22"/>
          <w:szCs w:val="22"/>
        </w:rPr>
        <w:t>)</w:t>
      </w:r>
    </w:p>
    <w:p w14:paraId="40D7E8AB" w14:textId="3620AA2E" w:rsidR="00BF6408" w:rsidRPr="002D46F9" w:rsidRDefault="002D46F9" w:rsidP="002D46F9">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0"/>
          <w:szCs w:val="20"/>
        </w:rPr>
      </w:pPr>
      <w:r w:rsidRPr="002D46F9">
        <w:rPr>
          <w:rFonts w:ascii="Times New Roman" w:hAnsi="Times New Roman" w:cs="Verdana"/>
          <w:color w:val="3E3E3E"/>
          <w:sz w:val="20"/>
          <w:szCs w:val="20"/>
        </w:rPr>
        <w:t>Distinction détention physique et psychologique</w:t>
      </w:r>
    </w:p>
    <w:p w14:paraId="59448EA1" w14:textId="62676D7E" w:rsidR="002D46F9" w:rsidRPr="002D46F9" w:rsidRDefault="002D46F9" w:rsidP="002D46F9">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0"/>
          <w:szCs w:val="20"/>
        </w:rPr>
      </w:pPr>
      <w:r w:rsidRPr="002D46F9">
        <w:rPr>
          <w:rFonts w:ascii="Times New Roman" w:hAnsi="Times New Roman" w:cs="Verdana"/>
          <w:color w:val="3E3E3E"/>
          <w:sz w:val="20"/>
          <w:szCs w:val="20"/>
        </w:rPr>
        <w:t>La détention s’apprécie selon les circonstances</w:t>
      </w:r>
    </w:p>
    <w:p w14:paraId="6E3E2D94" w14:textId="6ED58DE9" w:rsidR="002D46F9" w:rsidRDefault="002D46F9" w:rsidP="002D46F9">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2"/>
          <w:szCs w:val="22"/>
        </w:rPr>
      </w:pPr>
      <w:r w:rsidRPr="002D46F9">
        <w:rPr>
          <w:rFonts w:ascii="Times New Roman" w:hAnsi="Times New Roman" w:cs="Verdana"/>
          <w:color w:val="3E3E3E"/>
          <w:sz w:val="20"/>
          <w:szCs w:val="20"/>
        </w:rPr>
        <w:t>L’exclusion de la preuve comme remède</w:t>
      </w:r>
      <w:r>
        <w:rPr>
          <w:rFonts w:ascii="Times New Roman" w:hAnsi="Times New Roman" w:cs="Verdana"/>
          <w:color w:val="3E3E3E"/>
          <w:sz w:val="22"/>
          <w:szCs w:val="22"/>
        </w:rPr>
        <w:t>.</w:t>
      </w:r>
    </w:p>
    <w:p w14:paraId="67E26DB5" w14:textId="1741BC81" w:rsidR="00F74F91" w:rsidRPr="002D46F9" w:rsidRDefault="00F74F91" w:rsidP="002D46F9">
      <w:pPr>
        <w:pStyle w:val="Paragraphedeliste"/>
        <w:widowControl w:val="0"/>
        <w:numPr>
          <w:ilvl w:val="0"/>
          <w:numId w:val="6"/>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0"/>
          <w:szCs w:val="20"/>
        </w:rPr>
        <w:t>Les deux formes de contraintes psychologique </w:t>
      </w:r>
      <w:r w:rsidRPr="00F74F91">
        <w:rPr>
          <w:rFonts w:ascii="Times New Roman" w:hAnsi="Times New Roman" w:cs="Verdana"/>
          <w:color w:val="3E3E3E"/>
          <w:sz w:val="22"/>
          <w:szCs w:val="22"/>
        </w:rPr>
        <w:t>:</w:t>
      </w:r>
      <w:r>
        <w:rPr>
          <w:rFonts w:ascii="Times New Roman" w:hAnsi="Times New Roman" w:cs="Verdana"/>
          <w:color w:val="3E3E3E"/>
          <w:sz w:val="22"/>
          <w:szCs w:val="22"/>
        </w:rPr>
        <w:t xml:space="preserve"> [para 30]</w:t>
      </w:r>
    </w:p>
    <w:p w14:paraId="3605C15D" w14:textId="66855DC4" w:rsidR="00BF6408" w:rsidRPr="002D46F9"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w:t>
      </w:r>
      <w:r w:rsidRPr="00BF6408">
        <w:rPr>
          <w:rFonts w:ascii="Times New Roman" w:hAnsi="Times New Roman" w:cs="Verdana"/>
          <w:b/>
          <w:i/>
          <w:iCs/>
          <w:color w:val="3E3E3E"/>
          <w:sz w:val="22"/>
          <w:szCs w:val="22"/>
        </w:rPr>
        <w:t>R. c. Therens</w:t>
      </w:r>
      <w:r w:rsidRPr="00BF6408">
        <w:rPr>
          <w:rFonts w:ascii="Times New Roman" w:hAnsi="Times New Roman" w:cs="Verdana"/>
          <w:b/>
          <w:color w:val="3E3E3E"/>
          <w:sz w:val="22"/>
          <w:szCs w:val="22"/>
        </w:rPr>
        <w:t>, [1985] 1 RCS 613</w:t>
      </w:r>
      <w:r w:rsidR="002D46F9">
        <w:rPr>
          <w:rFonts w:ascii="Times New Roman" w:hAnsi="Times New Roman" w:cs="Verdana"/>
          <w:b/>
          <w:color w:val="3E3E3E"/>
          <w:sz w:val="22"/>
          <w:szCs w:val="22"/>
        </w:rPr>
        <w:t xml:space="preserve"> (</w:t>
      </w:r>
      <w:r w:rsidR="002D46F9">
        <w:rPr>
          <w:rFonts w:ascii="Times New Roman" w:hAnsi="Times New Roman" w:cs="Verdana"/>
          <w:color w:val="3E3E3E"/>
          <w:sz w:val="22"/>
          <w:szCs w:val="22"/>
        </w:rPr>
        <w:t>p. 5 notes cours #2)</w:t>
      </w:r>
    </w:p>
    <w:p w14:paraId="15D7CD14" w14:textId="7BA8F57D" w:rsidR="00BF6408" w:rsidRDefault="002D46F9" w:rsidP="002D46F9">
      <w:pPr>
        <w:pStyle w:val="Paragraphedeliste"/>
        <w:widowControl w:val="0"/>
        <w:numPr>
          <w:ilvl w:val="0"/>
          <w:numId w:val="7"/>
        </w:numPr>
        <w:autoSpaceDE w:val="0"/>
        <w:autoSpaceDN w:val="0"/>
        <w:adjustRightInd w:val="0"/>
        <w:spacing w:after="300"/>
        <w:jc w:val="both"/>
        <w:rPr>
          <w:rFonts w:ascii="Times New Roman" w:hAnsi="Times New Roman" w:cs="Verdana"/>
          <w:color w:val="3E3E3E"/>
          <w:sz w:val="20"/>
          <w:szCs w:val="20"/>
        </w:rPr>
      </w:pPr>
      <w:r w:rsidRPr="002D46F9">
        <w:rPr>
          <w:rFonts w:ascii="Times New Roman" w:hAnsi="Times New Roman" w:cs="Verdana"/>
          <w:color w:val="3E3E3E"/>
          <w:sz w:val="20"/>
          <w:szCs w:val="20"/>
        </w:rPr>
        <w:t>La détention amène la divulgation, par les policiers, des droits garantis que le présumé criminel possède, notamment le droit d’être informé du droit à l’assistance d’un avocat et la compréhension de ce droit</w:t>
      </w:r>
    </w:p>
    <w:p w14:paraId="23AFC1AC" w14:textId="0CB4DBF2" w:rsidR="00DE4830" w:rsidRDefault="00DE4830" w:rsidP="00DE4830">
      <w:pPr>
        <w:pStyle w:val="Paragraphedeliste"/>
        <w:widowControl w:val="0"/>
        <w:numPr>
          <w:ilvl w:val="0"/>
          <w:numId w:val="7"/>
        </w:numPr>
        <w:autoSpaceDE w:val="0"/>
        <w:autoSpaceDN w:val="0"/>
        <w:adjustRightInd w:val="0"/>
        <w:spacing w:after="300"/>
        <w:jc w:val="both"/>
        <w:rPr>
          <w:rFonts w:ascii="Times New Roman" w:hAnsi="Times New Roman" w:cs="Verdana"/>
          <w:color w:val="3E3E3E"/>
          <w:sz w:val="20"/>
          <w:szCs w:val="20"/>
        </w:rPr>
      </w:pPr>
      <w:r>
        <w:rPr>
          <w:rFonts w:ascii="Times New Roman" w:hAnsi="Times New Roman" w:cs="Verdana"/>
          <w:color w:val="3E3E3E"/>
          <w:sz w:val="20"/>
          <w:szCs w:val="20"/>
        </w:rPr>
        <w:t>L’objectif de l’article 10 de la Charte Canadienne : [para 52]</w:t>
      </w:r>
    </w:p>
    <w:p w14:paraId="381961D9" w14:textId="7278353C" w:rsidR="00FD4B8A" w:rsidRDefault="00FD4B8A" w:rsidP="00DE4830">
      <w:pPr>
        <w:pStyle w:val="Paragraphedeliste"/>
        <w:widowControl w:val="0"/>
        <w:numPr>
          <w:ilvl w:val="0"/>
          <w:numId w:val="7"/>
        </w:numPr>
        <w:autoSpaceDE w:val="0"/>
        <w:autoSpaceDN w:val="0"/>
        <w:adjustRightInd w:val="0"/>
        <w:spacing w:after="300"/>
        <w:jc w:val="both"/>
        <w:rPr>
          <w:rFonts w:ascii="Times New Roman" w:hAnsi="Times New Roman" w:cs="Verdana"/>
          <w:color w:val="3E3E3E"/>
          <w:sz w:val="20"/>
          <w:szCs w:val="20"/>
        </w:rPr>
      </w:pPr>
      <w:r>
        <w:rPr>
          <w:rFonts w:ascii="Times New Roman" w:hAnsi="Times New Roman" w:cs="Verdana"/>
          <w:color w:val="3E3E3E"/>
          <w:sz w:val="20"/>
          <w:szCs w:val="20"/>
        </w:rPr>
        <w:t>Les exigences constitutionnelles de l’article 1 de la Charte : [p. 6 notes de cours].</w:t>
      </w:r>
    </w:p>
    <w:p w14:paraId="28CE4D9C" w14:textId="13DD9D66" w:rsidR="00FD4B8A" w:rsidRPr="00FD4B8A" w:rsidRDefault="00FD4B8A" w:rsidP="00FD4B8A">
      <w:pPr>
        <w:widowControl w:val="0"/>
        <w:autoSpaceDE w:val="0"/>
        <w:autoSpaceDN w:val="0"/>
        <w:adjustRightInd w:val="0"/>
        <w:spacing w:after="300"/>
        <w:jc w:val="both"/>
        <w:rPr>
          <w:rFonts w:ascii="Times New Roman" w:hAnsi="Times New Roman" w:cs="Verdana"/>
          <w:color w:val="3E3E3E"/>
          <w:sz w:val="22"/>
          <w:szCs w:val="22"/>
        </w:rPr>
      </w:pPr>
      <w:r w:rsidRPr="00FD4B8A">
        <w:rPr>
          <w:rFonts w:ascii="Times New Roman" w:hAnsi="Times New Roman" w:cs="Verdana"/>
          <w:b/>
          <w:color w:val="3E3E3E"/>
          <w:sz w:val="22"/>
          <w:szCs w:val="22"/>
        </w:rPr>
        <w:t>*</w:t>
      </w:r>
      <w:r w:rsidRPr="00FD4B8A">
        <w:rPr>
          <w:rFonts w:ascii="Times New Roman" w:hAnsi="Times New Roman" w:cs="Verdana"/>
          <w:b/>
          <w:i/>
          <w:color w:val="3E3E3E"/>
          <w:sz w:val="22"/>
          <w:szCs w:val="22"/>
        </w:rPr>
        <w:t>R.</w:t>
      </w:r>
      <w:r w:rsidR="004D4E29">
        <w:rPr>
          <w:rFonts w:ascii="Times New Roman" w:hAnsi="Times New Roman" w:cs="Verdana"/>
          <w:b/>
          <w:i/>
          <w:color w:val="3E3E3E"/>
          <w:sz w:val="22"/>
          <w:szCs w:val="22"/>
        </w:rPr>
        <w:t xml:space="preserve"> c.</w:t>
      </w:r>
      <w:r w:rsidRPr="00FD4B8A">
        <w:rPr>
          <w:rFonts w:ascii="Times New Roman" w:hAnsi="Times New Roman" w:cs="Verdana"/>
          <w:b/>
          <w:i/>
          <w:color w:val="3E3E3E"/>
          <w:sz w:val="22"/>
          <w:szCs w:val="22"/>
        </w:rPr>
        <w:t xml:space="preserve"> Thomsen [1988] </w:t>
      </w:r>
      <w:r w:rsidRPr="00FD4B8A">
        <w:rPr>
          <w:rFonts w:ascii="Times New Roman" w:hAnsi="Times New Roman" w:cs="Verdana"/>
          <w:color w:val="3E3E3E"/>
          <w:sz w:val="22"/>
          <w:szCs w:val="22"/>
        </w:rPr>
        <w:t>(p. 6 notes cours #2)</w:t>
      </w:r>
    </w:p>
    <w:p w14:paraId="5061F2EB" w14:textId="3F2373AA" w:rsidR="00FD4B8A" w:rsidRDefault="00FD4B8A" w:rsidP="00FD4B8A">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0"/>
          <w:szCs w:val="20"/>
        </w:rPr>
      </w:pPr>
      <w:r>
        <w:rPr>
          <w:rFonts w:ascii="Times New Roman" w:hAnsi="Times New Roman" w:cs="Verdana"/>
          <w:color w:val="3E3E3E"/>
          <w:sz w:val="20"/>
          <w:szCs w:val="20"/>
        </w:rPr>
        <w:t>On</w:t>
      </w:r>
      <w:r w:rsidR="004D4E29">
        <w:rPr>
          <w:rFonts w:ascii="Times New Roman" w:hAnsi="Times New Roman" w:cs="Verdana"/>
          <w:color w:val="3E3E3E"/>
          <w:sz w:val="20"/>
          <w:szCs w:val="20"/>
        </w:rPr>
        <w:t xml:space="preserve"> vient dire que dans le cas d’une sommation à un échantillon d’haleine sur le coin de la route sous l’article 234.(1) C.cr. la restriction imposée au droit à un avocat est justifiable aux termes de l’article 1 de la Charte canadienne.</w:t>
      </w:r>
    </w:p>
    <w:p w14:paraId="303011B1" w14:textId="2A1D65FD" w:rsidR="004D4E29" w:rsidRDefault="004D4E29" w:rsidP="004D4E29">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 xml:space="preserve">*R. c. Hufsky 1988 </w:t>
      </w:r>
      <w:r>
        <w:rPr>
          <w:rFonts w:ascii="Times New Roman" w:hAnsi="Times New Roman" w:cs="Verdana"/>
          <w:color w:val="3E3E3E"/>
          <w:sz w:val="22"/>
          <w:szCs w:val="22"/>
        </w:rPr>
        <w:t>(p. 8 notes de cours)</w:t>
      </w:r>
    </w:p>
    <w:p w14:paraId="42C5676C" w14:textId="741B0CB9" w:rsidR="004D4E29" w:rsidRPr="00F74F91" w:rsidRDefault="00F74F91" w:rsidP="004D4E29">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0"/>
          <w:szCs w:val="20"/>
        </w:rPr>
        <w:t>Application du sens du terme ‘’détention’’ de l’article 10 de la Charte à celui de l’article 9 de la Charte.</w:t>
      </w:r>
    </w:p>
    <w:p w14:paraId="0A7F1A82" w14:textId="0D2B2579" w:rsidR="00F74F91" w:rsidRDefault="00F74F91" w:rsidP="00F74F91">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 xml:space="preserve">R. c. Orbanski ; R. c. Elias [2005] </w:t>
      </w:r>
      <w:r>
        <w:rPr>
          <w:rFonts w:ascii="Times New Roman" w:hAnsi="Times New Roman" w:cs="Verdana"/>
          <w:color w:val="3E3E3E"/>
          <w:sz w:val="22"/>
          <w:szCs w:val="22"/>
        </w:rPr>
        <w:t>(p. 9 notes de cours)</w:t>
      </w:r>
    </w:p>
    <w:p w14:paraId="76148B26" w14:textId="59078C2F" w:rsidR="00F74F91" w:rsidRPr="00F74F91" w:rsidRDefault="00F74F91" w:rsidP="00F74F91">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0"/>
          <w:szCs w:val="20"/>
        </w:rPr>
        <w:t>Réaffirmation des principes énoncés dans les arrêts précités.</w:t>
      </w:r>
    </w:p>
    <w:p w14:paraId="7E3C35B9" w14:textId="699E4A3F" w:rsidR="00F74F91" w:rsidRDefault="00F74F91" w:rsidP="00F74F91">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R. c. Simmons [1988] (</w:t>
      </w:r>
      <w:r>
        <w:rPr>
          <w:rFonts w:ascii="Times New Roman" w:hAnsi="Times New Roman" w:cs="Verdana"/>
          <w:color w:val="3E3E3E"/>
          <w:sz w:val="22"/>
          <w:szCs w:val="22"/>
        </w:rPr>
        <w:t>p. 9 notes de cours)</w:t>
      </w:r>
    </w:p>
    <w:p w14:paraId="1604FF7C" w14:textId="6CB1BDB5" w:rsidR="009F39BF" w:rsidRPr="009F39BF" w:rsidRDefault="009F39BF" w:rsidP="009F39BF">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0"/>
          <w:szCs w:val="20"/>
        </w:rPr>
        <w:t>La détention et la fouille dans le cadre particulier des douanes.</w:t>
      </w:r>
    </w:p>
    <w:p w14:paraId="7645FAA9" w14:textId="4188A273" w:rsidR="009F39BF" w:rsidRDefault="009F39BF" w:rsidP="009F39BF">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b/>
          <w:color w:val="3E3E3E"/>
          <w:sz w:val="22"/>
          <w:szCs w:val="22"/>
        </w:rPr>
        <w:t>3) Contrainte psychologique ne résultant pas d’une contrainte légale</w:t>
      </w:r>
    </w:p>
    <w:p w14:paraId="23DBC7B1" w14:textId="23A45BC9" w:rsidR="009F39BF" w:rsidRDefault="009F39BF" w:rsidP="009F39BF">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i/>
          <w:color w:val="3E3E3E"/>
          <w:sz w:val="22"/>
          <w:szCs w:val="22"/>
        </w:rPr>
        <w:t xml:space="preserve">a) Le Test objectif de </w:t>
      </w:r>
      <w:r>
        <w:rPr>
          <w:rFonts w:ascii="Times New Roman" w:hAnsi="Times New Roman" w:cs="Verdana"/>
          <w:b/>
          <w:i/>
          <w:color w:val="3E3E3E"/>
          <w:sz w:val="22"/>
          <w:szCs w:val="22"/>
        </w:rPr>
        <w:t>Therens :</w:t>
      </w:r>
    </w:p>
    <w:p w14:paraId="7361EC48" w14:textId="7185ECFE" w:rsidR="009F39BF" w:rsidRDefault="009F39BF" w:rsidP="009F39BF">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b/>
          <w:color w:val="3E3E3E"/>
          <w:sz w:val="22"/>
          <w:szCs w:val="22"/>
        </w:rPr>
        <w:t>R. c. Grant [2009]</w:t>
      </w:r>
    </w:p>
    <w:p w14:paraId="0EB28430" w14:textId="2C6D1641" w:rsidR="009F39BF" w:rsidRPr="009F39BF" w:rsidRDefault="009F39BF" w:rsidP="009F39BF">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0"/>
          <w:szCs w:val="20"/>
        </w:rPr>
        <w:t xml:space="preserve">Le droit, prima facie, de toute personne de pouvoir s’en aller et de ne pas répondre aux questions des policiers [para 21] : possibilité de choisir </w:t>
      </w:r>
    </w:p>
    <w:p w14:paraId="51365524" w14:textId="1E7B0909" w:rsidR="009F39BF" w:rsidRPr="009F39BF" w:rsidRDefault="009F39BF" w:rsidP="009F39BF">
      <w:pPr>
        <w:pStyle w:val="Paragraphedeliste"/>
        <w:widowControl w:val="0"/>
        <w:numPr>
          <w:ilvl w:val="0"/>
          <w:numId w:val="8"/>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La personne doit raisonnablement se sentir obligé de rester [para 39]</w:t>
      </w:r>
    </w:p>
    <w:p w14:paraId="000C4259" w14:textId="31FB1002" w:rsidR="009F39BF" w:rsidRDefault="009F39BF" w:rsidP="009F39BF">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 xml:space="preserve">R. c. Mann [2004] </w:t>
      </w:r>
      <w:r>
        <w:rPr>
          <w:rFonts w:ascii="Times New Roman" w:hAnsi="Times New Roman" w:cs="Verdana"/>
          <w:color w:val="3E3E3E"/>
          <w:sz w:val="22"/>
          <w:szCs w:val="22"/>
        </w:rPr>
        <w:t>(p. 14 notes de cours)</w:t>
      </w:r>
    </w:p>
    <w:p w14:paraId="0BAAC959" w14:textId="3AFC265E" w:rsidR="009F39BF" w:rsidRPr="004309B3" w:rsidRDefault="004309B3" w:rsidP="009F39BF">
      <w:pPr>
        <w:pStyle w:val="Paragraphedeliste"/>
        <w:widowControl w:val="0"/>
        <w:numPr>
          <w:ilvl w:val="0"/>
          <w:numId w:val="9"/>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0"/>
          <w:szCs w:val="20"/>
        </w:rPr>
        <w:t xml:space="preserve">L’art. 9 et 10 de la Charte n’entre pas en jeu lorsque la ‘’détention’’, la ‘’retenue’’ de l’inculpé, par les policiers, n’implique pas l’application de contraintes </w:t>
      </w:r>
      <w:r>
        <w:rPr>
          <w:rFonts w:ascii="Times New Roman" w:hAnsi="Times New Roman" w:cs="Verdana"/>
          <w:b/>
          <w:color w:val="3E3E3E"/>
          <w:sz w:val="20"/>
          <w:szCs w:val="20"/>
        </w:rPr>
        <w:t>physique ou psychologiques appréciables</w:t>
      </w:r>
      <w:r>
        <w:rPr>
          <w:rFonts w:ascii="Times New Roman" w:hAnsi="Times New Roman" w:cs="Verdana"/>
          <w:color w:val="3E3E3E"/>
          <w:sz w:val="20"/>
          <w:szCs w:val="20"/>
        </w:rPr>
        <w:t>. [para 19].</w:t>
      </w:r>
    </w:p>
    <w:p w14:paraId="086134BD" w14:textId="19987CC9" w:rsidR="004309B3" w:rsidRDefault="004309B3" w:rsidP="004309B3">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Therens</w:t>
      </w:r>
    </w:p>
    <w:p w14:paraId="0F1E5466" w14:textId="62EE50F1" w:rsidR="004309B3" w:rsidRPr="004309B3" w:rsidRDefault="004309B3" w:rsidP="004309B3">
      <w:pPr>
        <w:pStyle w:val="Paragraphedeliste"/>
        <w:widowControl w:val="0"/>
        <w:numPr>
          <w:ilvl w:val="0"/>
          <w:numId w:val="9"/>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color w:val="3E3E3E"/>
          <w:sz w:val="20"/>
          <w:szCs w:val="20"/>
        </w:rPr>
        <w:t xml:space="preserve">La personne, pour être détenu psychologiquement au sens des articles 9 et 10 de la Charte, en </w:t>
      </w:r>
      <w:r>
        <w:rPr>
          <w:rFonts w:ascii="Times New Roman" w:hAnsi="Times New Roman" w:cs="Verdana"/>
          <w:b/>
          <w:color w:val="3E3E3E"/>
          <w:sz w:val="20"/>
          <w:szCs w:val="20"/>
        </w:rPr>
        <w:t xml:space="preserve">se soumettant ou acquiesçant à la privation de liberté </w:t>
      </w:r>
      <w:r>
        <w:rPr>
          <w:rFonts w:ascii="Times New Roman" w:hAnsi="Times New Roman" w:cs="Verdana"/>
          <w:b/>
          <w:color w:val="3E3E3E"/>
          <w:sz w:val="20"/>
          <w:szCs w:val="20"/>
          <w:u w:val="single"/>
        </w:rPr>
        <w:t>doit croire raisonnablement qu’elle n’a pas le choix d’agir autrement.</w:t>
      </w:r>
    </w:p>
    <w:p w14:paraId="30B1C0D9" w14:textId="77777777" w:rsidR="004309B3" w:rsidRPr="004309B3" w:rsidRDefault="004309B3" w:rsidP="004309B3">
      <w:pPr>
        <w:pStyle w:val="Paragraphedeliste"/>
        <w:widowControl w:val="0"/>
        <w:autoSpaceDE w:val="0"/>
        <w:autoSpaceDN w:val="0"/>
        <w:adjustRightInd w:val="0"/>
        <w:spacing w:after="300"/>
        <w:jc w:val="both"/>
        <w:rPr>
          <w:rFonts w:ascii="Times New Roman" w:hAnsi="Times New Roman" w:cs="Verdana"/>
          <w:i/>
          <w:color w:val="3E3E3E"/>
          <w:sz w:val="22"/>
          <w:szCs w:val="22"/>
        </w:rPr>
      </w:pPr>
    </w:p>
    <w:p w14:paraId="65472F9B" w14:textId="2EE6C555" w:rsidR="004309B3" w:rsidRDefault="004309B3" w:rsidP="004309B3">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b) l’arrêt Grant et les facteurs pertinents à considérer lors d’une détention/arrestation</w:t>
      </w:r>
      <w:r w:rsidR="00431F41">
        <w:rPr>
          <w:rFonts w:ascii="Times New Roman" w:hAnsi="Times New Roman" w:cs="Verdana"/>
          <w:i/>
          <w:color w:val="3E3E3E"/>
          <w:sz w:val="22"/>
          <w:szCs w:val="22"/>
        </w:rPr>
        <w:t xml:space="preserve"> (p. 15 notes de cours)</w:t>
      </w:r>
    </w:p>
    <w:p w14:paraId="2E401814" w14:textId="6BE88989" w:rsidR="004309B3" w:rsidRDefault="004309B3" w:rsidP="004309B3">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R. c. Grant [2009]</w:t>
      </w:r>
    </w:p>
    <w:p w14:paraId="52F1378B" w14:textId="55ED8377" w:rsidR="004309B3" w:rsidRPr="00967F5A" w:rsidRDefault="00967F5A" w:rsidP="004309B3">
      <w:pPr>
        <w:pStyle w:val="Paragraphedeliste"/>
        <w:widowControl w:val="0"/>
        <w:numPr>
          <w:ilvl w:val="0"/>
          <w:numId w:val="9"/>
        </w:numPr>
        <w:autoSpaceDE w:val="0"/>
        <w:autoSpaceDN w:val="0"/>
        <w:adjustRightInd w:val="0"/>
        <w:spacing w:after="300"/>
        <w:jc w:val="both"/>
        <w:rPr>
          <w:rFonts w:ascii="Times New Roman" w:hAnsi="Times New Roman" w:cs="Verdana"/>
          <w:b/>
          <w:color w:val="3E3E3E"/>
          <w:sz w:val="22"/>
          <w:szCs w:val="22"/>
        </w:rPr>
      </w:pPr>
      <w:r w:rsidRPr="00967F5A">
        <w:rPr>
          <w:rFonts w:ascii="Times New Roman" w:hAnsi="Times New Roman" w:cs="Verdana"/>
          <w:color w:val="3E3E3E"/>
          <w:sz w:val="22"/>
          <w:szCs w:val="22"/>
          <w:u w:val="single"/>
        </w:rPr>
        <w:t>La question à ce poser dans le cas d’une détention psychologique</w:t>
      </w:r>
      <w:r>
        <w:rPr>
          <w:rFonts w:ascii="Times New Roman" w:hAnsi="Times New Roman" w:cs="Verdana"/>
          <w:color w:val="3E3E3E"/>
          <w:sz w:val="22"/>
          <w:szCs w:val="22"/>
        </w:rPr>
        <w:t xml:space="preserve"> c’est : il faut se demander si la conduite policière inciterait une personne raisonnable à conclure qu’elle n’est </w:t>
      </w:r>
      <w:r w:rsidRPr="00967F5A">
        <w:rPr>
          <w:rFonts w:ascii="Times New Roman" w:hAnsi="Times New Roman" w:cs="Times New Roman"/>
          <w:sz w:val="22"/>
          <w:szCs w:val="22"/>
        </w:rPr>
        <w:t>pas libre de partir et qu’elle doit obtempérer à l’ordre ou à la sommation de la police</w:t>
      </w:r>
      <w:r w:rsidRPr="00A92CB2">
        <w:rPr>
          <w:rFonts w:ascii="Times New Roman" w:hAnsi="Times New Roman" w:cs="Times New Roman"/>
          <w:b/>
          <w:sz w:val="22"/>
          <w:szCs w:val="22"/>
        </w:rPr>
        <w:t>.</w:t>
      </w:r>
      <w:r w:rsidRPr="00A92CB2">
        <w:rPr>
          <w:rFonts w:ascii="Times New Roman" w:hAnsi="Times New Roman" w:cs="Times New Roman"/>
          <w:sz w:val="22"/>
          <w:szCs w:val="22"/>
        </w:rPr>
        <w:t xml:space="preserve">  </w:t>
      </w:r>
      <w:r w:rsidRPr="00967F5A">
        <w:rPr>
          <w:rFonts w:ascii="Times New Roman" w:hAnsi="Times New Roman" w:cs="Times New Roman"/>
          <w:b/>
          <w:sz w:val="22"/>
          <w:szCs w:val="22"/>
        </w:rPr>
        <w:t xml:space="preserve">Suivant </w:t>
      </w:r>
      <w:r w:rsidRPr="00967F5A">
        <w:rPr>
          <w:rFonts w:ascii="Times New Roman" w:hAnsi="Times New Roman" w:cs="Times New Roman"/>
          <w:b/>
          <w:i/>
          <w:iCs/>
          <w:sz w:val="22"/>
          <w:szCs w:val="22"/>
        </w:rPr>
        <w:t>Therens</w:t>
      </w:r>
      <w:r w:rsidRPr="00967F5A">
        <w:rPr>
          <w:rFonts w:ascii="Times New Roman" w:hAnsi="Times New Roman" w:cs="Times New Roman"/>
          <w:b/>
          <w:sz w:val="22"/>
          <w:szCs w:val="22"/>
        </w:rPr>
        <w:t>, cette question doit faire l’objet d’une évaluation objective, qui tient compte de l’ensemble des circonstances de la situation particulière, y compris de la conduite policière.</w:t>
      </w:r>
    </w:p>
    <w:p w14:paraId="13D960D2" w14:textId="627FA6FB" w:rsidR="00967F5A" w:rsidRDefault="00967F5A" w:rsidP="004309B3">
      <w:pPr>
        <w:pStyle w:val="Paragraphedeliste"/>
        <w:widowControl w:val="0"/>
        <w:numPr>
          <w:ilvl w:val="0"/>
          <w:numId w:val="9"/>
        </w:numPr>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2"/>
          <w:szCs w:val="22"/>
        </w:rPr>
        <w:t xml:space="preserve">Il faut </w:t>
      </w:r>
      <w:r w:rsidR="00431F41">
        <w:rPr>
          <w:rFonts w:ascii="Times New Roman" w:hAnsi="Times New Roman" w:cs="Verdana"/>
          <w:color w:val="3E3E3E"/>
          <w:sz w:val="22"/>
          <w:szCs w:val="22"/>
        </w:rPr>
        <w:t xml:space="preserve">éviter d’assimiler détention avec toute entrave quelle qu’elle soit : </w:t>
      </w:r>
      <w:r w:rsidR="00431F41">
        <w:rPr>
          <w:rFonts w:ascii="Times New Roman" w:hAnsi="Times New Roman" w:cs="Verdana"/>
          <w:b/>
          <w:color w:val="3E3E3E"/>
          <w:sz w:val="22"/>
          <w:szCs w:val="22"/>
        </w:rPr>
        <w:t>arrêt Mann.</w:t>
      </w:r>
    </w:p>
    <w:p w14:paraId="5635D581" w14:textId="7E9ECBFA" w:rsidR="00431F41" w:rsidRPr="00431F41" w:rsidRDefault="00431F41" w:rsidP="004309B3">
      <w:pPr>
        <w:pStyle w:val="Paragraphedeliste"/>
        <w:widowControl w:val="0"/>
        <w:numPr>
          <w:ilvl w:val="0"/>
          <w:numId w:val="9"/>
        </w:numPr>
        <w:autoSpaceDE w:val="0"/>
        <w:autoSpaceDN w:val="0"/>
        <w:adjustRightInd w:val="0"/>
        <w:spacing w:after="300"/>
        <w:jc w:val="both"/>
        <w:rPr>
          <w:rFonts w:ascii="Times New Roman" w:hAnsi="Times New Roman" w:cs="Verdana"/>
          <w:b/>
          <w:color w:val="3E3E3E"/>
          <w:sz w:val="20"/>
          <w:szCs w:val="20"/>
        </w:rPr>
      </w:pPr>
      <w:r w:rsidRPr="00431F41">
        <w:rPr>
          <w:rFonts w:ascii="Times New Roman" w:hAnsi="Times New Roman" w:cs="Times New Roman"/>
          <w:b/>
          <w:sz w:val="20"/>
          <w:szCs w:val="20"/>
        </w:rPr>
        <w:t>Pour répondre à la question de savoir s’il y a détention, il faut procéder à une évaluation réaliste de la totalité du contact tel qu’il s’est déroulé, et non à une analyse détaillée de chacun des mots prononcés et des gestes posés</w:t>
      </w:r>
      <w:r>
        <w:rPr>
          <w:rFonts w:ascii="Times New Roman" w:hAnsi="Times New Roman" w:cs="Times New Roman"/>
          <w:b/>
          <w:sz w:val="20"/>
          <w:szCs w:val="20"/>
        </w:rPr>
        <w:t xml:space="preserve">. </w:t>
      </w:r>
      <w:r>
        <w:rPr>
          <w:rFonts w:ascii="Times New Roman" w:hAnsi="Times New Roman" w:cs="Times New Roman"/>
          <w:sz w:val="20"/>
          <w:szCs w:val="20"/>
        </w:rPr>
        <w:t>[para 32]</w:t>
      </w:r>
    </w:p>
    <w:p w14:paraId="311B47D0" w14:textId="5F343417" w:rsidR="00431F41" w:rsidRDefault="00431F41" w:rsidP="00431F41">
      <w:pPr>
        <w:widowControl w:val="0"/>
        <w:autoSpaceDE w:val="0"/>
        <w:autoSpaceDN w:val="0"/>
        <w:adjustRightInd w:val="0"/>
        <w:spacing w:after="300"/>
        <w:jc w:val="both"/>
        <w:rPr>
          <w:rFonts w:ascii="Times New Roman" w:hAnsi="Times New Roman" w:cs="Verdana"/>
          <w:color w:val="3E3E3E"/>
          <w:sz w:val="22"/>
          <w:szCs w:val="22"/>
        </w:rPr>
      </w:pPr>
      <w:r w:rsidRPr="00431F41">
        <w:rPr>
          <w:rFonts w:ascii="Times New Roman" w:hAnsi="Times New Roman" w:cs="Verdana"/>
          <w:b/>
          <w:color w:val="3E3E3E"/>
          <w:sz w:val="22"/>
          <w:szCs w:val="22"/>
        </w:rPr>
        <w:t>1</w:t>
      </w:r>
      <w:r w:rsidRPr="001C62FC">
        <w:rPr>
          <w:rFonts w:ascii="Times New Roman" w:hAnsi="Times New Roman" w:cs="Verdana"/>
          <w:i/>
          <w:color w:val="3E3E3E"/>
          <w:sz w:val="22"/>
          <w:szCs w:val="22"/>
        </w:rPr>
        <w:t>. Première série de facteurs à considéré lors d’une détention</w:t>
      </w:r>
      <w:r w:rsidR="001C62FC" w:rsidRPr="001C62FC">
        <w:rPr>
          <w:rFonts w:ascii="Times New Roman" w:hAnsi="Times New Roman" w:cs="Verdana"/>
          <w:i/>
          <w:color w:val="3E3E3E"/>
          <w:sz w:val="22"/>
          <w:szCs w:val="22"/>
        </w:rPr>
        <w:t> </w:t>
      </w:r>
      <w:r w:rsidR="001C62FC">
        <w:rPr>
          <w:rFonts w:ascii="Times New Roman" w:hAnsi="Times New Roman" w:cs="Verdana"/>
          <w:color w:val="3E3E3E"/>
          <w:sz w:val="22"/>
          <w:szCs w:val="22"/>
        </w:rPr>
        <w:t>:</w:t>
      </w:r>
    </w:p>
    <w:p w14:paraId="6A275AF8" w14:textId="2D748C0C" w:rsidR="00431F41" w:rsidRPr="001C62FC" w:rsidRDefault="00431F41" w:rsidP="001C62FC">
      <w:pPr>
        <w:widowControl w:val="0"/>
        <w:autoSpaceDE w:val="0"/>
        <w:autoSpaceDN w:val="0"/>
        <w:adjustRightInd w:val="0"/>
        <w:spacing w:after="300"/>
        <w:jc w:val="both"/>
        <w:rPr>
          <w:rFonts w:ascii="Times New Roman" w:hAnsi="Times New Roman" w:cs="Verdana"/>
          <w:color w:val="3E3E3E"/>
          <w:sz w:val="22"/>
          <w:szCs w:val="22"/>
        </w:rPr>
      </w:pPr>
      <w:r w:rsidRPr="001C62FC">
        <w:rPr>
          <w:rFonts w:ascii="Times New Roman" w:hAnsi="Times New Roman" w:cs="Verdana"/>
          <w:color w:val="3E3E3E"/>
          <w:sz w:val="22"/>
          <w:szCs w:val="22"/>
          <w:u w:val="single"/>
        </w:rPr>
        <w:t>La fonction fait par le policier </w:t>
      </w:r>
      <w:r w:rsidRPr="001C62FC">
        <w:rPr>
          <w:rFonts w:ascii="Times New Roman" w:hAnsi="Times New Roman" w:cs="Verdana"/>
          <w:color w:val="3E3E3E"/>
          <w:sz w:val="22"/>
          <w:szCs w:val="22"/>
        </w:rPr>
        <w:t xml:space="preserve">: répressive ou à titre d’assistance à des membres du publics dans des circonstances de recelant aucunement les caractéristiques de la détention. Dans le cas d’un appel au 911, l’interaction des policiers restreint la liberté des témoins, mais ne justifie pas un examen basé sur la Charte car </w:t>
      </w:r>
      <w:r w:rsidRPr="001C62FC">
        <w:rPr>
          <w:rFonts w:ascii="Times New Roman" w:hAnsi="Times New Roman" w:cs="Verdana"/>
          <w:b/>
          <w:color w:val="3E3E3E"/>
          <w:sz w:val="22"/>
          <w:szCs w:val="22"/>
        </w:rPr>
        <w:t>il y a aucune conséquence juridique</w:t>
      </w:r>
      <w:r w:rsidRPr="001C62FC">
        <w:rPr>
          <w:rFonts w:ascii="Times New Roman" w:hAnsi="Times New Roman" w:cs="Verdana"/>
          <w:color w:val="3E3E3E"/>
          <w:sz w:val="22"/>
          <w:szCs w:val="22"/>
        </w:rPr>
        <w:t>. [para 36]</w:t>
      </w:r>
    </w:p>
    <w:p w14:paraId="6B2D777B" w14:textId="6BE42908" w:rsidR="00431F41" w:rsidRDefault="001C62FC" w:rsidP="001C62FC">
      <w:pPr>
        <w:widowControl w:val="0"/>
        <w:autoSpaceDE w:val="0"/>
        <w:autoSpaceDN w:val="0"/>
        <w:adjustRightInd w:val="0"/>
        <w:spacing w:after="300"/>
        <w:jc w:val="both"/>
        <w:rPr>
          <w:rFonts w:ascii="Times New Roman" w:hAnsi="Times New Roman" w:cs="Verdana"/>
          <w:b/>
          <w:color w:val="3E3E3E"/>
          <w:sz w:val="22"/>
          <w:szCs w:val="22"/>
        </w:rPr>
      </w:pPr>
      <w:r w:rsidRPr="001C62FC">
        <w:rPr>
          <w:rFonts w:ascii="Times New Roman" w:hAnsi="Times New Roman" w:cs="Verdana"/>
          <w:color w:val="3E3E3E"/>
          <w:sz w:val="22"/>
          <w:szCs w:val="22"/>
        </w:rPr>
        <w:t xml:space="preserve">Le cas des policiers qui abordent des personnes se trouvant sur les lieux d’un accident et d’un crime afin de les aidés à avancés dans leur enquête : </w:t>
      </w:r>
      <w:r w:rsidRPr="001C62FC">
        <w:rPr>
          <w:rFonts w:ascii="Times New Roman" w:hAnsi="Times New Roman" w:cs="Verdana"/>
          <w:b/>
          <w:color w:val="3E3E3E"/>
          <w:sz w:val="22"/>
          <w:szCs w:val="22"/>
        </w:rPr>
        <w:t>Il est établis qu’il peuvent quitté, sauf en des cas exceptionnelle : R. c. Grafe</w:t>
      </w:r>
      <w:r>
        <w:rPr>
          <w:rFonts w:ascii="Times New Roman" w:hAnsi="Times New Roman" w:cs="Verdana"/>
          <w:b/>
          <w:color w:val="3E3E3E"/>
          <w:sz w:val="22"/>
          <w:szCs w:val="22"/>
        </w:rPr>
        <w:t>.</w:t>
      </w:r>
    </w:p>
    <w:p w14:paraId="597D2BDA" w14:textId="324CAC0E" w:rsidR="001C62FC" w:rsidRPr="001C62FC" w:rsidRDefault="001C62F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rPr>
      </w:pPr>
      <w:r w:rsidRPr="001C62FC">
        <w:rPr>
          <w:rFonts w:ascii="Times New Roman" w:hAnsi="Times New Roman" w:cs="Verdana"/>
          <w:color w:val="3E3E3E"/>
          <w:sz w:val="22"/>
          <w:szCs w:val="22"/>
        </w:rPr>
        <w:t>Le soupçon chez un policier ne transforme pas en soi le contact en détention [para 41]</w:t>
      </w:r>
    </w:p>
    <w:p w14:paraId="42715CCB" w14:textId="01BA43C5" w:rsidR="001C62FC" w:rsidRDefault="001C62FC" w:rsidP="001C62F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color w:val="3E3E3E"/>
          <w:sz w:val="22"/>
          <w:szCs w:val="22"/>
        </w:rPr>
        <w:t>2.</w:t>
      </w:r>
      <w:r>
        <w:rPr>
          <w:rFonts w:ascii="Times New Roman" w:hAnsi="Times New Roman" w:cs="Verdana"/>
          <w:color w:val="3E3E3E"/>
          <w:sz w:val="22"/>
          <w:szCs w:val="22"/>
        </w:rPr>
        <w:t xml:space="preserve"> </w:t>
      </w:r>
      <w:r w:rsidRPr="001C62FC">
        <w:rPr>
          <w:rFonts w:ascii="Times New Roman" w:hAnsi="Times New Roman" w:cs="Verdana"/>
          <w:i/>
          <w:color w:val="3E3E3E"/>
          <w:sz w:val="22"/>
          <w:szCs w:val="22"/>
        </w:rPr>
        <w:t>Deuxième série de facteurs à considérer lors d’une détention</w:t>
      </w:r>
      <w:r>
        <w:rPr>
          <w:rFonts w:ascii="Times New Roman" w:hAnsi="Times New Roman" w:cs="Verdana"/>
          <w:i/>
          <w:color w:val="3E3E3E"/>
          <w:sz w:val="22"/>
          <w:szCs w:val="22"/>
        </w:rPr>
        <w:t xml:space="preserve"> (p.18 notes de cours)</w:t>
      </w:r>
      <w:r w:rsidRPr="001C62FC">
        <w:rPr>
          <w:rFonts w:ascii="Times New Roman" w:hAnsi="Times New Roman" w:cs="Verdana"/>
          <w:i/>
          <w:color w:val="3E3E3E"/>
          <w:sz w:val="22"/>
          <w:szCs w:val="22"/>
        </w:rPr>
        <w:t> </w:t>
      </w:r>
      <w:r>
        <w:rPr>
          <w:rFonts w:ascii="Times New Roman" w:hAnsi="Times New Roman" w:cs="Verdana"/>
          <w:color w:val="3E3E3E"/>
          <w:sz w:val="22"/>
          <w:szCs w:val="22"/>
        </w:rPr>
        <w:t>:</w:t>
      </w:r>
    </w:p>
    <w:p w14:paraId="12A5E7CC" w14:textId="7310FC5A" w:rsidR="001C62FC" w:rsidRDefault="001C62FC" w:rsidP="001C62FC">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La durée de la rencontre avec l’intéressé :</w:t>
      </w:r>
    </w:p>
    <w:p w14:paraId="6DADFCAF" w14:textId="55CA4408" w:rsidR="001C62FC" w:rsidRPr="001C62FC" w:rsidRDefault="001C62F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 xml:space="preserve">Est un facteur pertinent pour qualifier s’il y a détention ou non, mais il faut se rappeler qu’une </w:t>
      </w:r>
      <w:r>
        <w:rPr>
          <w:rFonts w:ascii="Times New Roman" w:hAnsi="Times New Roman" w:cs="Verdana"/>
          <w:b/>
          <w:color w:val="3E3E3E"/>
          <w:sz w:val="22"/>
          <w:szCs w:val="22"/>
        </w:rPr>
        <w:t xml:space="preserve">situation peut rapidement évoluer </w:t>
      </w:r>
      <w:r>
        <w:rPr>
          <w:rFonts w:ascii="Times New Roman" w:hAnsi="Times New Roman" w:cs="Verdana"/>
          <w:color w:val="3E3E3E"/>
          <w:sz w:val="22"/>
          <w:szCs w:val="22"/>
        </w:rPr>
        <w:t>[para 42].</w:t>
      </w:r>
    </w:p>
    <w:p w14:paraId="4BA0C577" w14:textId="18928D91" w:rsidR="001C62FC" w:rsidRDefault="001C62FC" w:rsidP="001C62F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color w:val="3E3E3E"/>
          <w:sz w:val="22"/>
          <w:szCs w:val="22"/>
        </w:rPr>
        <w:t xml:space="preserve">3. </w:t>
      </w:r>
      <w:r>
        <w:rPr>
          <w:rFonts w:ascii="Times New Roman" w:hAnsi="Times New Roman" w:cs="Verdana"/>
          <w:i/>
          <w:color w:val="3E3E3E"/>
          <w:sz w:val="22"/>
          <w:szCs w:val="22"/>
        </w:rPr>
        <w:t>Troisième serie de facteurs à considérer lors d’une détention</w:t>
      </w:r>
    </w:p>
    <w:p w14:paraId="7DE89A1F" w14:textId="08B1F4EB" w:rsidR="004D443C" w:rsidRDefault="004D443C" w:rsidP="001C62FC">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Le contact physique :</w:t>
      </w:r>
    </w:p>
    <w:p w14:paraId="2E0D8662" w14:textId="7A9E8AC7" w:rsidR="004D443C" w:rsidRPr="004D443C" w:rsidRDefault="004D443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[para 42]</w:t>
      </w:r>
    </w:p>
    <w:p w14:paraId="048843D2" w14:textId="44122A19" w:rsidR="004D443C" w:rsidRDefault="004D443C" w:rsidP="004D443C">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color w:val="3E3E3E"/>
          <w:sz w:val="22"/>
          <w:szCs w:val="22"/>
        </w:rPr>
        <w:t xml:space="preserve">4. </w:t>
      </w:r>
      <w:r>
        <w:rPr>
          <w:rFonts w:ascii="Times New Roman" w:hAnsi="Times New Roman" w:cs="Verdana"/>
          <w:i/>
          <w:color w:val="3E3E3E"/>
          <w:sz w:val="22"/>
          <w:szCs w:val="22"/>
        </w:rPr>
        <w:t>Quatrième série de facteurs à considérer pour savoir s’il y a détention </w:t>
      </w:r>
    </w:p>
    <w:p w14:paraId="07E5C8CB" w14:textId="6F7192A1" w:rsidR="004D443C" w:rsidRDefault="004D443C" w:rsidP="004D443C">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Les actes et les mots employés</w:t>
      </w:r>
    </w:p>
    <w:p w14:paraId="1554C0B5" w14:textId="2C5031A9" w:rsidR="004D443C" w:rsidRPr="004D443C" w:rsidRDefault="004D443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[para 42]</w:t>
      </w:r>
    </w:p>
    <w:p w14:paraId="21943B83" w14:textId="263D7376" w:rsidR="004D443C" w:rsidRDefault="004D443C" w:rsidP="004D443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color w:val="3E3E3E"/>
          <w:sz w:val="22"/>
          <w:szCs w:val="22"/>
        </w:rPr>
        <w:t xml:space="preserve">5. </w:t>
      </w:r>
      <w:r>
        <w:rPr>
          <w:rFonts w:ascii="Times New Roman" w:hAnsi="Times New Roman" w:cs="Verdana"/>
          <w:i/>
          <w:color w:val="3E3E3E"/>
          <w:sz w:val="22"/>
          <w:szCs w:val="22"/>
        </w:rPr>
        <w:t>Résumer de tous les facteurs à considérer lors de la détermination juridique, à savoir, s’il y a détention ou non. (p. 18 notes de cours)</w:t>
      </w:r>
    </w:p>
    <w:p w14:paraId="5882937D" w14:textId="246107CA" w:rsidR="004D443C" w:rsidRDefault="004D443C" w:rsidP="004D443C">
      <w:pPr>
        <w:widowControl w:val="0"/>
        <w:autoSpaceDE w:val="0"/>
        <w:autoSpaceDN w:val="0"/>
        <w:adjustRightInd w:val="0"/>
        <w:spacing w:after="300"/>
        <w:jc w:val="both"/>
        <w:rPr>
          <w:rFonts w:ascii="Times New Roman" w:hAnsi="Times New Roman" w:cs="Verdana"/>
          <w:b/>
          <w:color w:val="3E3E3E"/>
          <w:sz w:val="22"/>
          <w:szCs w:val="22"/>
          <w:u w:val="single"/>
        </w:rPr>
      </w:pPr>
      <w:r w:rsidRPr="004D443C">
        <w:rPr>
          <w:rFonts w:ascii="Times New Roman" w:hAnsi="Times New Roman" w:cs="Verdana"/>
          <w:b/>
          <w:color w:val="3E3E3E"/>
          <w:sz w:val="22"/>
          <w:szCs w:val="22"/>
          <w:u w:val="single"/>
        </w:rPr>
        <w:t>Grant [para 44]</w:t>
      </w:r>
    </w:p>
    <w:p w14:paraId="1DFB4249" w14:textId="2D3CB3F2" w:rsidR="004D443C" w:rsidRDefault="004D443C" w:rsidP="004D443C">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Et dans l’appréciation de ces facteurs le juge doit (p. 19 notes de cours)</w:t>
      </w:r>
    </w:p>
    <w:p w14:paraId="1E8346B8" w14:textId="408734A6" w:rsidR="004D443C" w:rsidRPr="004D443C" w:rsidRDefault="004D443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Prendre en considération toutes les circonstance de l’affaire [para 43]</w:t>
      </w:r>
    </w:p>
    <w:p w14:paraId="7C0E029D" w14:textId="46771590" w:rsidR="004D443C" w:rsidRPr="004D443C" w:rsidRDefault="004D443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Procéder à une évaluation réaliste de l’affaire [para 32]</w:t>
      </w:r>
    </w:p>
    <w:p w14:paraId="61DF16B5" w14:textId="5F631D63" w:rsidR="004D443C" w:rsidRPr="004D443C" w:rsidRDefault="004D443C" w:rsidP="00880034">
      <w:pPr>
        <w:pStyle w:val="Paragraphedeliste"/>
        <w:widowControl w:val="0"/>
        <w:numPr>
          <w:ilvl w:val="0"/>
          <w:numId w:val="10"/>
        </w:numPr>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rPr>
        <w:t>Faire preuve de déférence à l’égard du juge de procès [para 43]</w:t>
      </w:r>
    </w:p>
    <w:p w14:paraId="4357BADD" w14:textId="77777777" w:rsidR="004D443C" w:rsidRPr="004D443C" w:rsidRDefault="004D443C" w:rsidP="004D443C">
      <w:pPr>
        <w:widowControl w:val="0"/>
        <w:autoSpaceDE w:val="0"/>
        <w:autoSpaceDN w:val="0"/>
        <w:adjustRightInd w:val="0"/>
        <w:spacing w:after="300"/>
        <w:jc w:val="both"/>
        <w:rPr>
          <w:rFonts w:ascii="Times New Roman" w:hAnsi="Times New Roman" w:cs="Verdana"/>
          <w:color w:val="3E3E3E"/>
          <w:sz w:val="22"/>
          <w:szCs w:val="22"/>
          <w:u w:val="single"/>
        </w:rPr>
      </w:pPr>
    </w:p>
    <w:p w14:paraId="12E325E6" w14:textId="628ADF4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R. c. Suberu, [2009] 2 RCS 460</w:t>
      </w:r>
      <w:r w:rsidR="004D443C">
        <w:rPr>
          <w:rFonts w:ascii="Times New Roman" w:hAnsi="Times New Roman" w:cs="Verdana"/>
          <w:b/>
          <w:color w:val="3E3E3E"/>
          <w:sz w:val="22"/>
          <w:szCs w:val="22"/>
        </w:rPr>
        <w:t xml:space="preserve"> (</w:t>
      </w:r>
      <w:r w:rsidR="004D443C">
        <w:rPr>
          <w:rFonts w:ascii="Times New Roman" w:hAnsi="Times New Roman" w:cs="Verdana"/>
          <w:color w:val="3E3E3E"/>
          <w:sz w:val="22"/>
          <w:szCs w:val="22"/>
        </w:rPr>
        <w:t>p.20 notes de cours)</w:t>
      </w:r>
    </w:p>
    <w:p w14:paraId="04A4989D" w14:textId="418ADE51" w:rsidR="004D443C" w:rsidRPr="000F5E1B" w:rsidRDefault="004D443C" w:rsidP="00880034">
      <w:pPr>
        <w:pStyle w:val="Paragraphedeliste"/>
        <w:widowControl w:val="0"/>
        <w:numPr>
          <w:ilvl w:val="0"/>
          <w:numId w:val="11"/>
        </w:numPr>
        <w:autoSpaceDE w:val="0"/>
        <w:autoSpaceDN w:val="0"/>
        <w:adjustRightInd w:val="0"/>
        <w:spacing w:after="300"/>
        <w:jc w:val="both"/>
        <w:rPr>
          <w:rFonts w:ascii="Times New Roman" w:hAnsi="Times New Roman" w:cs="Verdana"/>
          <w:color w:val="3E3E3E"/>
          <w:sz w:val="20"/>
          <w:szCs w:val="20"/>
        </w:rPr>
      </w:pPr>
      <w:r w:rsidRPr="000F5E1B">
        <w:rPr>
          <w:rFonts w:ascii="Times New Roman" w:hAnsi="Times New Roman" w:cs="Times New Roman"/>
          <w:sz w:val="20"/>
          <w:szCs w:val="20"/>
          <w:lang w:val="fr-CA"/>
        </w:rPr>
        <w:t>L’obligation des policiers d’informer une personne de son droit à l’assistance d’un avocat garanti par l’al. 10</w:t>
      </w:r>
      <w:r w:rsidRPr="000F5E1B">
        <w:rPr>
          <w:rFonts w:ascii="Times New Roman" w:hAnsi="Times New Roman" w:cs="Times New Roman"/>
          <w:i/>
          <w:iCs/>
          <w:sz w:val="20"/>
          <w:szCs w:val="20"/>
          <w:lang w:val="fr-CA"/>
        </w:rPr>
        <w:t>b</w:t>
      </w:r>
      <w:r w:rsidRPr="000F5E1B">
        <w:rPr>
          <w:rFonts w:ascii="Times New Roman" w:hAnsi="Times New Roman" w:cs="Times New Roman"/>
          <w:sz w:val="20"/>
          <w:szCs w:val="20"/>
          <w:lang w:val="fr-CA"/>
        </w:rPr>
        <w:t xml:space="preserve">) de la </w:t>
      </w:r>
      <w:r w:rsidRPr="000F5E1B">
        <w:rPr>
          <w:rFonts w:ascii="Times New Roman" w:hAnsi="Times New Roman" w:cs="Times New Roman"/>
          <w:i/>
          <w:iCs/>
          <w:sz w:val="20"/>
          <w:szCs w:val="20"/>
          <w:lang w:val="fr-CA"/>
        </w:rPr>
        <w:t>Charte</w:t>
      </w:r>
      <w:r w:rsidRPr="000F5E1B">
        <w:rPr>
          <w:rFonts w:ascii="Times New Roman" w:hAnsi="Times New Roman" w:cs="Times New Roman"/>
          <w:sz w:val="20"/>
          <w:szCs w:val="20"/>
          <w:lang w:val="fr-CA"/>
        </w:rPr>
        <w:t xml:space="preserve"> s’applique dès le début d’une détention aux fins d’enquête.</w:t>
      </w:r>
    </w:p>
    <w:p w14:paraId="077FA059" w14:textId="034242DA" w:rsidR="004D443C" w:rsidRPr="000F5E1B" w:rsidRDefault="000F5E1B" w:rsidP="00880034">
      <w:pPr>
        <w:pStyle w:val="Paragraphedeliste"/>
        <w:widowControl w:val="0"/>
        <w:numPr>
          <w:ilvl w:val="0"/>
          <w:numId w:val="11"/>
        </w:numPr>
        <w:autoSpaceDE w:val="0"/>
        <w:autoSpaceDN w:val="0"/>
        <w:adjustRightInd w:val="0"/>
        <w:spacing w:after="300"/>
        <w:jc w:val="both"/>
        <w:rPr>
          <w:rFonts w:ascii="Times New Roman" w:hAnsi="Times New Roman" w:cs="Verdana"/>
          <w:color w:val="3E3E3E"/>
          <w:sz w:val="20"/>
          <w:szCs w:val="20"/>
        </w:rPr>
      </w:pPr>
      <w:r w:rsidRPr="000F5E1B">
        <w:rPr>
          <w:rFonts w:ascii="Times New Roman" w:hAnsi="Times New Roman" w:cs="Times New Roman"/>
          <w:sz w:val="20"/>
          <w:szCs w:val="20"/>
          <w:lang w:val="fr-CA"/>
        </w:rPr>
        <w:t xml:space="preserve">Tout contact avec les policiers ne constitue pas pour autant une détention pour l’application de la </w:t>
      </w:r>
      <w:r w:rsidRPr="000F5E1B">
        <w:rPr>
          <w:rFonts w:ascii="Times New Roman" w:hAnsi="Times New Roman" w:cs="Times New Roman"/>
          <w:i/>
          <w:iCs/>
          <w:sz w:val="20"/>
          <w:szCs w:val="20"/>
          <w:lang w:val="fr-CA"/>
        </w:rPr>
        <w:t>Charte</w:t>
      </w:r>
      <w:r w:rsidRPr="000F5E1B">
        <w:rPr>
          <w:rFonts w:ascii="Times New Roman" w:hAnsi="Times New Roman" w:cs="Times New Roman"/>
          <w:sz w:val="20"/>
          <w:szCs w:val="20"/>
          <w:lang w:val="fr-CA"/>
        </w:rPr>
        <w:t>, même lorsqu’une personne fait l’objet d’une enquête relativement à des activités criminelles, est interrogée ou est retenue physiquement par son contact avec les policiers</w:t>
      </w:r>
      <w:r>
        <w:rPr>
          <w:rFonts w:ascii="Times New Roman" w:hAnsi="Times New Roman" w:cs="Times New Roman"/>
          <w:sz w:val="20"/>
          <w:szCs w:val="20"/>
          <w:lang w:val="fr-CA"/>
        </w:rPr>
        <w:t>.</w:t>
      </w:r>
    </w:p>
    <w:p w14:paraId="23014860" w14:textId="69E45EAF" w:rsidR="000F5E1B" w:rsidRPr="000F5E1B" w:rsidRDefault="000F5E1B" w:rsidP="00880034">
      <w:pPr>
        <w:pStyle w:val="Paragraphedeliste"/>
        <w:widowControl w:val="0"/>
        <w:numPr>
          <w:ilvl w:val="0"/>
          <w:numId w:val="11"/>
        </w:numPr>
        <w:autoSpaceDE w:val="0"/>
        <w:autoSpaceDN w:val="0"/>
        <w:adjustRightInd w:val="0"/>
        <w:spacing w:after="300"/>
        <w:jc w:val="both"/>
        <w:rPr>
          <w:rFonts w:ascii="Times New Roman" w:hAnsi="Times New Roman" w:cs="Verdana"/>
          <w:color w:val="3E3E3E"/>
          <w:sz w:val="20"/>
          <w:szCs w:val="20"/>
        </w:rPr>
      </w:pPr>
      <w:r w:rsidRPr="000F5E1B">
        <w:rPr>
          <w:rFonts w:ascii="Times New Roman" w:hAnsi="Times New Roman" w:cs="Times New Roman"/>
          <w:sz w:val="20"/>
          <w:szCs w:val="20"/>
          <w:lang w:val="fr-CA"/>
        </w:rPr>
        <w:t>Il y a détention psychologique soit quand l’individu est légalement tenu d’obtempérer à la demande contraignante ou à la sommation, soit quand une personne raisonnable conclurait, compte tenu de la conduite de l’État, qu’elle n’a d’autre choix que d’obtempérer</w:t>
      </w:r>
      <w:r>
        <w:rPr>
          <w:rFonts w:ascii="Times New Roman" w:hAnsi="Times New Roman" w:cs="Times New Roman"/>
          <w:sz w:val="20"/>
          <w:szCs w:val="20"/>
          <w:lang w:val="fr-CA"/>
        </w:rPr>
        <w:t>.</w:t>
      </w:r>
    </w:p>
    <w:p w14:paraId="2F31B3C9"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p>
    <w:p w14:paraId="3D119371" w14:textId="56B67400" w:rsidR="000F5E1B" w:rsidRPr="000F5E1B" w:rsidRDefault="000F5E1B" w:rsidP="00BF6408">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color w:val="3E3E3E"/>
          <w:sz w:val="22"/>
          <w:szCs w:val="22"/>
        </w:rPr>
        <w:t>4) Contrainte physique et détention (</w:t>
      </w:r>
      <w:r>
        <w:rPr>
          <w:rFonts w:ascii="Times New Roman" w:hAnsi="Times New Roman" w:cs="Verdana"/>
          <w:color w:val="3E3E3E"/>
          <w:sz w:val="22"/>
          <w:szCs w:val="22"/>
        </w:rPr>
        <w:t>p. 25 notes de cours)</w:t>
      </w:r>
    </w:p>
    <w:p w14:paraId="66521AD5" w14:textId="155A4214" w:rsidR="000F5E1B" w:rsidRDefault="000F5E1B" w:rsidP="00BF640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Grant [2009]</w:t>
      </w:r>
    </w:p>
    <w:p w14:paraId="7D893F9C" w14:textId="56427DED" w:rsidR="000F5E1B" w:rsidRPr="00EE6A45" w:rsidRDefault="00EE6A45" w:rsidP="00880034">
      <w:pPr>
        <w:pStyle w:val="Paragraphedeliste"/>
        <w:widowControl w:val="0"/>
        <w:numPr>
          <w:ilvl w:val="0"/>
          <w:numId w:val="12"/>
        </w:numPr>
        <w:autoSpaceDE w:val="0"/>
        <w:autoSpaceDN w:val="0"/>
        <w:adjustRightInd w:val="0"/>
        <w:spacing w:after="300"/>
        <w:jc w:val="both"/>
        <w:rPr>
          <w:rFonts w:ascii="Times New Roman" w:hAnsi="Times New Roman" w:cs="Verdana"/>
          <w:i/>
          <w:color w:val="3E3E3E"/>
          <w:sz w:val="20"/>
          <w:szCs w:val="20"/>
        </w:rPr>
      </w:pPr>
      <w:r w:rsidRPr="00EE6A45">
        <w:rPr>
          <w:rFonts w:ascii="Times New Roman" w:hAnsi="Times New Roman" w:cs="Times New Roman"/>
          <w:sz w:val="20"/>
          <w:szCs w:val="20"/>
        </w:rPr>
        <w:t>Une personne est détenue lorsqu’elle « se soumet ou acquiesce à la privation de liberté et croit raisonnablement qu’elle n’a pas le choix d’agir autrement</w:t>
      </w:r>
      <w:r>
        <w:rPr>
          <w:rFonts w:ascii="Times New Roman" w:hAnsi="Times New Roman" w:cs="Times New Roman"/>
          <w:sz w:val="20"/>
          <w:szCs w:val="20"/>
        </w:rPr>
        <w:t xml:space="preserve"> [para 25]</w:t>
      </w:r>
    </w:p>
    <w:p w14:paraId="1F9C9D12" w14:textId="0A80DC64" w:rsidR="00EE6A45" w:rsidRPr="00EE6A45" w:rsidRDefault="00EE6A45" w:rsidP="00880034">
      <w:pPr>
        <w:pStyle w:val="Paragraphedeliste"/>
        <w:widowControl w:val="0"/>
        <w:numPr>
          <w:ilvl w:val="0"/>
          <w:numId w:val="12"/>
        </w:numPr>
        <w:autoSpaceDE w:val="0"/>
        <w:autoSpaceDN w:val="0"/>
        <w:adjustRightInd w:val="0"/>
        <w:spacing w:after="300"/>
        <w:jc w:val="both"/>
        <w:rPr>
          <w:rFonts w:ascii="Times New Roman" w:hAnsi="Times New Roman" w:cs="Verdana"/>
          <w:i/>
          <w:color w:val="3E3E3E"/>
          <w:sz w:val="20"/>
          <w:szCs w:val="20"/>
        </w:rPr>
      </w:pPr>
      <w:r>
        <w:rPr>
          <w:rFonts w:ascii="Times New Roman" w:hAnsi="Times New Roman" w:cs="Verdana"/>
          <w:color w:val="3E3E3E"/>
          <w:sz w:val="20"/>
          <w:szCs w:val="20"/>
        </w:rPr>
        <w:t>La durée du contact peut être un facteur pertinent [para 42]</w:t>
      </w:r>
    </w:p>
    <w:p w14:paraId="0C938F72" w14:textId="77777777" w:rsidR="00EE6A45" w:rsidRPr="00EE6A45" w:rsidRDefault="00EE6A45" w:rsidP="00EE6A45">
      <w:pPr>
        <w:widowControl w:val="0"/>
        <w:autoSpaceDE w:val="0"/>
        <w:autoSpaceDN w:val="0"/>
        <w:adjustRightInd w:val="0"/>
        <w:spacing w:after="300"/>
        <w:jc w:val="both"/>
        <w:rPr>
          <w:rFonts w:ascii="Times New Roman" w:hAnsi="Times New Roman" w:cs="Verdana"/>
          <w:i/>
          <w:color w:val="3E3E3E"/>
          <w:sz w:val="20"/>
          <w:szCs w:val="20"/>
        </w:rPr>
      </w:pPr>
    </w:p>
    <w:p w14:paraId="20CAE796"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§4. La détermination de l’arbitraire en matière de détention</w:t>
      </w:r>
    </w:p>
    <w:p w14:paraId="2323167F" w14:textId="730612FD" w:rsid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color w:val="3E3E3E"/>
          <w:sz w:val="22"/>
          <w:szCs w:val="22"/>
        </w:rPr>
        <w:t> </w:t>
      </w:r>
      <w:r w:rsidR="00EE6A45">
        <w:rPr>
          <w:rFonts w:ascii="Times New Roman" w:hAnsi="Times New Roman" w:cs="Verdana"/>
          <w:b/>
          <w:color w:val="3E3E3E"/>
          <w:sz w:val="22"/>
          <w:szCs w:val="22"/>
        </w:rPr>
        <w:t>A. La mesure privative de liberté (détention ou emprisonnement) est attaquée</w:t>
      </w:r>
    </w:p>
    <w:p w14:paraId="1A7AC5E1" w14:textId="4462EDF8" w:rsidR="00EE6A45" w:rsidRDefault="00EE6A45" w:rsidP="00BF640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Grant [2009]</w:t>
      </w:r>
    </w:p>
    <w:p w14:paraId="4B137456" w14:textId="23AFA957" w:rsidR="00EE6A45" w:rsidRPr="00EE6A45" w:rsidRDefault="00EE6A45" w:rsidP="00880034">
      <w:pPr>
        <w:pStyle w:val="Paragraphedeliste"/>
        <w:widowControl w:val="0"/>
        <w:numPr>
          <w:ilvl w:val="0"/>
          <w:numId w:val="13"/>
        </w:numPr>
        <w:autoSpaceDE w:val="0"/>
        <w:autoSpaceDN w:val="0"/>
        <w:adjustRightInd w:val="0"/>
        <w:spacing w:after="300"/>
        <w:jc w:val="both"/>
        <w:rPr>
          <w:rFonts w:ascii="Times New Roman" w:hAnsi="Times New Roman" w:cs="Times New Roman"/>
          <w:i/>
          <w:color w:val="3E3E3E"/>
          <w:sz w:val="20"/>
          <w:szCs w:val="20"/>
        </w:rPr>
      </w:pPr>
      <w:r w:rsidRPr="00EE6A45">
        <w:rPr>
          <w:rFonts w:ascii="Times New Roman" w:hAnsi="Times New Roman" w:cs="Times New Roman"/>
          <w:sz w:val="20"/>
          <w:szCs w:val="20"/>
        </w:rPr>
        <w:t>Une détention autorisée par la loi n’est pas arbitraire au sens de l’art. 9 (</w:t>
      </w:r>
      <w:r w:rsidRPr="00EE6A45">
        <w:rPr>
          <w:rFonts w:ascii="Times New Roman" w:hAnsi="Times New Roman" w:cs="Times New Roman"/>
          <w:i/>
          <w:iCs/>
          <w:sz w:val="20"/>
          <w:szCs w:val="20"/>
        </w:rPr>
        <w:t>Mann</w:t>
      </w:r>
      <w:r w:rsidRPr="00EE6A45">
        <w:rPr>
          <w:rFonts w:ascii="Times New Roman" w:hAnsi="Times New Roman" w:cs="Times New Roman"/>
          <w:sz w:val="20"/>
          <w:szCs w:val="20"/>
        </w:rPr>
        <w:t>, par. 20) à moins que la loi elle</w:t>
      </w:r>
      <w:r w:rsidRPr="00EE6A45">
        <w:rPr>
          <w:rFonts w:ascii="American Typewriter" w:hAnsi="American Typewriter" w:cs="American Typewriter"/>
          <w:sz w:val="20"/>
          <w:szCs w:val="20"/>
        </w:rPr>
        <w:t>‑</w:t>
      </w:r>
      <w:r w:rsidRPr="00EE6A45">
        <w:rPr>
          <w:rFonts w:ascii="Times New Roman" w:hAnsi="Times New Roman" w:cs="Times New Roman"/>
          <w:sz w:val="20"/>
          <w:szCs w:val="20"/>
        </w:rPr>
        <w:t>même ne le soit.  À l’inverse, la détention qui n’est pas légalement autorisée est arbitraire et elle viole l’art. 9. [para 54</w:t>
      </w:r>
    </w:p>
    <w:p w14:paraId="1422D809" w14:textId="7C07D90B" w:rsidR="00BF6408" w:rsidRPr="00EE6A45" w:rsidRDefault="00EE6A45" w:rsidP="00880034">
      <w:pPr>
        <w:pStyle w:val="Paragraphedeliste"/>
        <w:widowControl w:val="0"/>
        <w:numPr>
          <w:ilvl w:val="0"/>
          <w:numId w:val="13"/>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 xml:space="preserve">La détention non autorisé par la loi n’est pas nécessairement arbitraire car la </w:t>
      </w:r>
      <w:r>
        <w:rPr>
          <w:rFonts w:ascii="Times New Roman" w:hAnsi="Times New Roman" w:cs="Verdana"/>
          <w:b/>
          <w:color w:val="3E3E3E"/>
          <w:sz w:val="22"/>
          <w:szCs w:val="22"/>
        </w:rPr>
        <w:t xml:space="preserve">common law </w:t>
      </w:r>
      <w:r>
        <w:rPr>
          <w:rFonts w:ascii="Times New Roman" w:hAnsi="Times New Roman" w:cs="Verdana"/>
          <w:color w:val="3E3E3E"/>
          <w:sz w:val="22"/>
          <w:szCs w:val="22"/>
        </w:rPr>
        <w:t xml:space="preserve">confirme le pouvoir policier </w:t>
      </w:r>
      <w:r>
        <w:rPr>
          <w:rFonts w:ascii="Times New Roman" w:hAnsi="Times New Roman" w:cs="Verdana"/>
          <w:b/>
          <w:color w:val="3E3E3E"/>
          <w:sz w:val="22"/>
          <w:szCs w:val="22"/>
        </w:rPr>
        <w:t>de détention pour fins d’enquête</w:t>
      </w:r>
      <w:r>
        <w:rPr>
          <w:rFonts w:ascii="Times New Roman" w:hAnsi="Times New Roman" w:cs="Verdana"/>
          <w:color w:val="3E3E3E"/>
          <w:sz w:val="22"/>
          <w:szCs w:val="22"/>
        </w:rPr>
        <w:t xml:space="preserve">. </w:t>
      </w:r>
      <w:r w:rsidRPr="00EE6A45">
        <w:rPr>
          <w:rFonts w:ascii="Times New Roman" w:hAnsi="Times New Roman" w:cs="Times New Roman"/>
          <w:i/>
          <w:iCs/>
          <w:sz w:val="22"/>
          <w:szCs w:val="22"/>
        </w:rPr>
        <w:t>Mann</w:t>
      </w:r>
      <w:r w:rsidRPr="00EE6A45">
        <w:rPr>
          <w:rFonts w:ascii="Times New Roman" w:hAnsi="Times New Roman" w:cs="Times New Roman"/>
          <w:sz w:val="22"/>
          <w:szCs w:val="22"/>
        </w:rPr>
        <w:t xml:space="preserve">, en confirmant la légalité de détentions </w:t>
      </w:r>
      <w:r w:rsidRPr="00EE6A45">
        <w:rPr>
          <w:rFonts w:ascii="Times New Roman" w:hAnsi="Times New Roman" w:cs="Times New Roman"/>
          <w:b/>
          <w:sz w:val="22"/>
          <w:szCs w:val="22"/>
        </w:rPr>
        <w:t>brèves aux fins d’enquête fondées sur des « soupçons raisonnables </w:t>
      </w:r>
      <w:r w:rsidRPr="00EE6A45">
        <w:rPr>
          <w:rFonts w:ascii="Times New Roman" w:hAnsi="Times New Roman" w:cs="Times New Roman"/>
          <w:sz w:val="22"/>
          <w:szCs w:val="22"/>
        </w:rPr>
        <w:t>», a statué implicitement que, s’il n’existait pas au moins des soupçons raisonnables, la détention était illégale et, par conséquent, arbitraire au sens où il faut l’entendre pour l’application de l’art. 9.</w:t>
      </w:r>
      <w:r>
        <w:rPr>
          <w:rFonts w:ascii="Times New Roman" w:hAnsi="Times New Roman" w:cs="Times New Roman"/>
          <w:sz w:val="22"/>
          <w:szCs w:val="22"/>
        </w:rPr>
        <w:t xml:space="preserve"> [para 55]</w:t>
      </w:r>
    </w:p>
    <w:p w14:paraId="729C94DD" w14:textId="17CF1288" w:rsidR="00EE6A45" w:rsidRDefault="00EE6A45" w:rsidP="00EE6A45">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i/>
          <w:color w:val="3E3E3E"/>
          <w:sz w:val="22"/>
          <w:szCs w:val="22"/>
        </w:rPr>
        <w:t>R. c. Storrey (</w:t>
      </w:r>
      <w:r>
        <w:rPr>
          <w:rFonts w:ascii="Times New Roman" w:hAnsi="Times New Roman" w:cs="Verdana"/>
          <w:i/>
          <w:color w:val="3E3E3E"/>
          <w:sz w:val="22"/>
          <w:szCs w:val="22"/>
        </w:rPr>
        <w:t>p. 26 notes de cours)</w:t>
      </w:r>
    </w:p>
    <w:p w14:paraId="3EF9FF97" w14:textId="2D69A68B" w:rsidR="00EE6A45" w:rsidRDefault="00EE6A45" w:rsidP="00880034">
      <w:pPr>
        <w:pStyle w:val="Paragraphedeliste"/>
        <w:widowControl w:val="0"/>
        <w:numPr>
          <w:ilvl w:val="0"/>
          <w:numId w:val="14"/>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Les arrestations/détentions imputable à la race et autres peuvent devenir illégale bien qu’issu d’un fondement légale légitime.</w:t>
      </w:r>
    </w:p>
    <w:p w14:paraId="69138888" w14:textId="4A2CBB31" w:rsidR="00EE6A45" w:rsidRDefault="00EE6A45" w:rsidP="00EE6A45">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b/>
          <w:color w:val="3E3E3E"/>
          <w:sz w:val="22"/>
          <w:szCs w:val="22"/>
        </w:rPr>
        <w:t>B. Le texte légal à la base de la mesure de détention est attaqué</w:t>
      </w:r>
    </w:p>
    <w:p w14:paraId="1B133032" w14:textId="5F3C2C08" w:rsidR="00EE6A45" w:rsidRPr="00B51325" w:rsidRDefault="00B51325" w:rsidP="00EE6A45">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Charkaoui c. Canada</w:t>
      </w:r>
    </w:p>
    <w:p w14:paraId="17C69934"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Récapitulatif des lectures</w:t>
      </w:r>
    </w:p>
    <w:p w14:paraId="38F021C1"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obligatoire(s) :</w:t>
      </w:r>
    </w:p>
    <w:p w14:paraId="6F4BB5FD" w14:textId="77777777" w:rsidR="00BF6408" w:rsidRP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R. c. Grant</w:t>
      </w:r>
      <w:r w:rsidRPr="00BF6408">
        <w:rPr>
          <w:rFonts w:ascii="Times New Roman" w:hAnsi="Times New Roman" w:cs="Verdana"/>
          <w:b/>
          <w:color w:val="3E3E3E"/>
          <w:sz w:val="22"/>
          <w:szCs w:val="22"/>
        </w:rPr>
        <w:t>, [2009] 2 RCS 353</w:t>
      </w:r>
    </w:p>
    <w:p w14:paraId="469192B0" w14:textId="77777777" w:rsidR="00BF6408" w:rsidRP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R. c. Therens</w:t>
      </w:r>
      <w:r w:rsidRPr="00BF6408">
        <w:rPr>
          <w:rFonts w:ascii="Times New Roman" w:hAnsi="Times New Roman" w:cs="Verdana"/>
          <w:b/>
          <w:color w:val="3E3E3E"/>
          <w:sz w:val="22"/>
          <w:szCs w:val="22"/>
        </w:rPr>
        <w:t>, [1985] 1 RCS 613 </w:t>
      </w:r>
    </w:p>
    <w:p w14:paraId="59B53371"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optionnelle(s)</w:t>
      </w:r>
    </w:p>
    <w:p w14:paraId="17835729"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 </w:t>
      </w:r>
      <w:r w:rsidRPr="00BF6408">
        <w:rPr>
          <w:rFonts w:ascii="Times New Roman" w:hAnsi="Times New Roman" w:cs="Verdana"/>
          <w:color w:val="3E3E3E"/>
          <w:sz w:val="22"/>
          <w:szCs w:val="22"/>
        </w:rPr>
        <w:t>R. c. Suberu, [2009] 2 RCS 460</w:t>
      </w:r>
    </w:p>
    <w:p w14:paraId="24B382F5"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p>
    <w:p w14:paraId="15B3BA49" w14:textId="77777777" w:rsidR="00BF6408" w:rsidRDefault="00BF6408" w:rsidP="00BF6408">
      <w:pPr>
        <w:widowControl w:val="0"/>
        <w:autoSpaceDE w:val="0"/>
        <w:autoSpaceDN w:val="0"/>
        <w:adjustRightInd w:val="0"/>
        <w:spacing w:after="300"/>
        <w:jc w:val="center"/>
        <w:rPr>
          <w:rFonts w:ascii="Times New Roman" w:hAnsi="Times New Roman" w:cs="Verdana"/>
          <w:b/>
          <w:color w:val="3E3E3E"/>
        </w:rPr>
      </w:pPr>
      <w:r>
        <w:rPr>
          <w:rFonts w:ascii="Times New Roman" w:hAnsi="Times New Roman" w:cs="Verdana"/>
          <w:b/>
          <w:color w:val="3E3E3E"/>
        </w:rPr>
        <w:t>COURS 3</w:t>
      </w:r>
    </w:p>
    <w:p w14:paraId="791EDEA1" w14:textId="3D4AF81E"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Section III.     Les pouvoirs de police relative à l’arrestation et à la détention</w:t>
      </w:r>
    </w:p>
    <w:p w14:paraId="304FB502"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103FE4">
        <w:rPr>
          <w:rFonts w:ascii="Times New Roman" w:hAnsi="Times New Roman" w:cs="Verdana"/>
          <w:color w:val="3E3E3E"/>
          <w:sz w:val="22"/>
          <w:szCs w:val="22"/>
          <w:u w:val="single"/>
        </w:rPr>
        <w:t>§1. Les pouvoirs de détention </w:t>
      </w:r>
      <w:r>
        <w:rPr>
          <w:rFonts w:ascii="Times New Roman" w:hAnsi="Times New Roman" w:cs="Verdana"/>
          <w:color w:val="3E3E3E"/>
          <w:sz w:val="22"/>
          <w:szCs w:val="22"/>
        </w:rPr>
        <w:t>;</w:t>
      </w:r>
    </w:p>
    <w:p w14:paraId="7CDFE491" w14:textId="0D45960E" w:rsidR="00BF6408" w:rsidRPr="00147FDC" w:rsidRDefault="00147FDC" w:rsidP="00880034">
      <w:pPr>
        <w:pStyle w:val="Paragraphedeliste"/>
        <w:widowControl w:val="0"/>
        <w:numPr>
          <w:ilvl w:val="0"/>
          <w:numId w:val="14"/>
        </w:numPr>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0"/>
          <w:szCs w:val="20"/>
        </w:rPr>
        <w:t>La doctrine des pouvoirs ancillaires ou connexes (</w:t>
      </w:r>
      <w:r>
        <w:rPr>
          <w:rFonts w:ascii="Times New Roman" w:hAnsi="Times New Roman" w:cs="Verdana"/>
          <w:i/>
          <w:color w:val="3E3E3E"/>
          <w:sz w:val="20"/>
          <w:szCs w:val="20"/>
        </w:rPr>
        <w:t xml:space="preserve">common law). </w:t>
      </w:r>
      <w:r>
        <w:rPr>
          <w:rFonts w:ascii="Times New Roman" w:hAnsi="Times New Roman" w:cs="Verdana"/>
          <w:color w:val="3E3E3E"/>
          <w:sz w:val="20"/>
          <w:szCs w:val="20"/>
        </w:rPr>
        <w:t>La question de l’étendu des pouvoirs c’est posée dans l</w:t>
      </w:r>
      <w:r>
        <w:rPr>
          <w:rFonts w:ascii="Times New Roman" w:hAnsi="Times New Roman" w:cs="Verdana"/>
          <w:b/>
          <w:color w:val="3E3E3E"/>
          <w:sz w:val="20"/>
          <w:szCs w:val="20"/>
        </w:rPr>
        <w:t>’arrêt Dedman.</w:t>
      </w:r>
    </w:p>
    <w:p w14:paraId="6E488A3B" w14:textId="77777777" w:rsidR="00103FE4" w:rsidRDefault="00147FDC" w:rsidP="00147FDC">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b/>
          <w:i/>
          <w:color w:val="3E3E3E"/>
          <w:sz w:val="22"/>
          <w:szCs w:val="22"/>
        </w:rPr>
        <w:t>Dedman c. La Reine [1985]</w:t>
      </w:r>
      <w:r w:rsidR="00103FE4">
        <w:rPr>
          <w:rFonts w:ascii="Times New Roman" w:hAnsi="Times New Roman" w:cs="Verdana"/>
          <w:b/>
          <w:i/>
          <w:color w:val="3E3E3E"/>
          <w:sz w:val="22"/>
          <w:szCs w:val="22"/>
        </w:rPr>
        <w:t> :</w:t>
      </w:r>
    </w:p>
    <w:p w14:paraId="1CACC3D2" w14:textId="6FEBE6E7" w:rsidR="000E19E5" w:rsidRPr="00103FE4" w:rsidRDefault="000E19E5" w:rsidP="00147FDC">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color w:val="3E3E3E"/>
          <w:sz w:val="22"/>
          <w:szCs w:val="22"/>
        </w:rPr>
        <w:t>Remarque : depuis cet arrêt, la common law «</w:t>
      </w:r>
      <w:r>
        <w:rPr>
          <w:rFonts w:ascii="Times New Roman" w:hAnsi="Times New Roman" w:cs="Verdana"/>
          <w:i/>
          <w:color w:val="3E3E3E"/>
          <w:sz w:val="22"/>
          <w:szCs w:val="22"/>
        </w:rPr>
        <w:t>autorise l’arrêt de véhicules au hasard pour les fins visées par le programme R.I.D.E.»</w:t>
      </w:r>
      <w:r>
        <w:rPr>
          <w:rStyle w:val="Marquenotebasdepage"/>
          <w:rFonts w:ascii="Times New Roman" w:hAnsi="Times New Roman" w:cs="Verdana"/>
          <w:i/>
          <w:color w:val="3E3E3E"/>
          <w:sz w:val="22"/>
          <w:szCs w:val="22"/>
        </w:rPr>
        <w:footnoteReference w:id="1"/>
      </w:r>
      <w:r w:rsidR="00C25B8E">
        <w:rPr>
          <w:rFonts w:ascii="Times New Roman" w:hAnsi="Times New Roman" w:cs="Verdana"/>
          <w:i/>
          <w:color w:val="3E3E3E"/>
          <w:sz w:val="22"/>
          <w:szCs w:val="22"/>
        </w:rPr>
        <w:t>.</w:t>
      </w:r>
    </w:p>
    <w:p w14:paraId="2D7D26D2" w14:textId="0D103E78" w:rsidR="00147FDC" w:rsidRPr="000E19E5" w:rsidRDefault="00147FDC" w:rsidP="00880034">
      <w:pPr>
        <w:pStyle w:val="Paragraphedeliste"/>
        <w:widowControl w:val="0"/>
        <w:numPr>
          <w:ilvl w:val="0"/>
          <w:numId w:val="14"/>
        </w:numPr>
        <w:autoSpaceDE w:val="0"/>
        <w:autoSpaceDN w:val="0"/>
        <w:adjustRightInd w:val="0"/>
        <w:spacing w:after="300"/>
        <w:rPr>
          <w:rFonts w:ascii="Times New Roman" w:hAnsi="Times New Roman" w:cs="Times New Roman"/>
          <w:color w:val="3E3E3E"/>
          <w:sz w:val="22"/>
          <w:szCs w:val="22"/>
        </w:rPr>
      </w:pPr>
      <w:r w:rsidRPr="00147FDC">
        <w:rPr>
          <w:rFonts w:ascii="Times New Roman" w:hAnsi="Times New Roman" w:cs="Times New Roman"/>
          <w:sz w:val="20"/>
          <w:szCs w:val="20"/>
          <w:lang w:val="fr-CA"/>
        </w:rPr>
        <w:t>Les pouvoirs implicites sont ceux qui découlent implicitement des pouvoirs accordés expressément par la loi</w:t>
      </w:r>
      <w:r>
        <w:rPr>
          <w:rFonts w:ascii="Times New Roman" w:hAnsi="Times New Roman" w:cs="Times New Roman"/>
          <w:sz w:val="20"/>
          <w:szCs w:val="20"/>
          <w:lang w:val="fr-CA"/>
        </w:rPr>
        <w:t xml:space="preserve"> ou la common law</w:t>
      </w:r>
      <w:r w:rsidRPr="00147FDC">
        <w:rPr>
          <w:rFonts w:ascii="Times New Roman" w:hAnsi="Times New Roman" w:cs="Times New Roman"/>
          <w:sz w:val="20"/>
          <w:szCs w:val="20"/>
          <w:lang w:val="fr-CA"/>
        </w:rPr>
        <w:t xml:space="preserve"> aux autorités</w:t>
      </w:r>
      <w:r>
        <w:rPr>
          <w:rFonts w:ascii="Times New Roman" w:hAnsi="Times New Roman" w:cs="Times New Roman"/>
          <w:sz w:val="20"/>
          <w:szCs w:val="20"/>
          <w:lang w:val="fr-CA"/>
        </w:rPr>
        <w:t xml:space="preserve"> [para 62]</w:t>
      </w:r>
    </w:p>
    <w:p w14:paraId="2A2BD89C" w14:textId="5DC7E05F" w:rsidR="000E19E5" w:rsidRPr="000E19E5" w:rsidRDefault="000E19E5" w:rsidP="00880034">
      <w:pPr>
        <w:pStyle w:val="Paragraphedeliste"/>
        <w:widowControl w:val="0"/>
        <w:numPr>
          <w:ilvl w:val="0"/>
          <w:numId w:val="14"/>
        </w:numPr>
        <w:autoSpaceDE w:val="0"/>
        <w:autoSpaceDN w:val="0"/>
        <w:adjustRightInd w:val="0"/>
        <w:spacing w:after="300"/>
        <w:rPr>
          <w:rFonts w:ascii="Times New Roman" w:hAnsi="Times New Roman" w:cs="Times New Roman"/>
          <w:i/>
          <w:color w:val="3E3E3E"/>
          <w:sz w:val="22"/>
          <w:szCs w:val="22"/>
        </w:rPr>
      </w:pPr>
      <w:r w:rsidRPr="000E19E5">
        <w:rPr>
          <w:rFonts w:ascii="Times New Roman" w:hAnsi="Times New Roman" w:cs="Times New Roman"/>
          <w:sz w:val="20"/>
          <w:szCs w:val="20"/>
          <w:lang w:val="fr-CA"/>
        </w:rPr>
        <w:t xml:space="preserve">Ainsi la première question, en vertu du critère de l'arrêt </w:t>
      </w:r>
      <w:r w:rsidRPr="000E19E5">
        <w:rPr>
          <w:rFonts w:ascii="Times New Roman" w:hAnsi="Times New Roman" w:cs="Times New Roman"/>
          <w:i/>
          <w:iCs/>
          <w:sz w:val="20"/>
          <w:szCs w:val="20"/>
          <w:lang w:val="fr-CA"/>
        </w:rPr>
        <w:t>Waterfield</w:t>
      </w:r>
      <w:r w:rsidRPr="000E19E5">
        <w:rPr>
          <w:rFonts w:ascii="Times New Roman" w:hAnsi="Times New Roman" w:cs="Times New Roman"/>
          <w:sz w:val="20"/>
          <w:szCs w:val="20"/>
          <w:lang w:val="fr-CA"/>
        </w:rPr>
        <w:t xml:space="preserve">, est de savoir si l'arrêt au hasard entre dans le cadre général des devoirs d'un agent de police en vertu de la loi ou de la </w:t>
      </w:r>
      <w:r w:rsidRPr="000E19E5">
        <w:rPr>
          <w:rFonts w:ascii="Times New Roman" w:hAnsi="Times New Roman" w:cs="Times New Roman"/>
          <w:i/>
          <w:iCs/>
          <w:sz w:val="20"/>
          <w:szCs w:val="20"/>
          <w:lang w:val="fr-CA"/>
        </w:rPr>
        <w:t>common</w:t>
      </w:r>
      <w:r w:rsidRPr="000E19E5">
        <w:rPr>
          <w:rFonts w:ascii="Times New Roman" w:hAnsi="Times New Roman" w:cs="Times New Roman"/>
          <w:sz w:val="20"/>
          <w:szCs w:val="20"/>
          <w:lang w:val="fr-CA"/>
        </w:rPr>
        <w:t xml:space="preserve"> </w:t>
      </w:r>
      <w:r w:rsidRPr="000E19E5">
        <w:rPr>
          <w:rFonts w:ascii="Times New Roman" w:hAnsi="Times New Roman" w:cs="Times New Roman"/>
          <w:i/>
          <w:iCs/>
          <w:sz w:val="20"/>
          <w:szCs w:val="20"/>
          <w:lang w:val="fr-CA"/>
        </w:rPr>
        <w:t>law</w:t>
      </w:r>
      <w:r>
        <w:rPr>
          <w:rFonts w:ascii="Times New Roman" w:hAnsi="Times New Roman" w:cs="Times New Roman"/>
          <w:i/>
          <w:iCs/>
          <w:sz w:val="20"/>
          <w:szCs w:val="20"/>
          <w:lang w:val="fr-CA"/>
        </w:rPr>
        <w:t xml:space="preserve"> </w:t>
      </w:r>
      <w:r>
        <w:rPr>
          <w:rFonts w:ascii="Times New Roman" w:hAnsi="Times New Roman" w:cs="Times New Roman"/>
          <w:iCs/>
          <w:sz w:val="20"/>
          <w:szCs w:val="20"/>
          <w:lang w:val="fr-CA"/>
        </w:rPr>
        <w:t>[para 68]</w:t>
      </w:r>
    </w:p>
    <w:p w14:paraId="247BCC17" w14:textId="19819E90" w:rsidR="000E19E5" w:rsidRPr="00103FE4" w:rsidRDefault="000E19E5" w:rsidP="00880034">
      <w:pPr>
        <w:pStyle w:val="Paragraphedeliste"/>
        <w:widowControl w:val="0"/>
        <w:numPr>
          <w:ilvl w:val="0"/>
          <w:numId w:val="14"/>
        </w:numPr>
        <w:autoSpaceDE w:val="0"/>
        <w:autoSpaceDN w:val="0"/>
        <w:adjustRightInd w:val="0"/>
        <w:spacing w:after="300"/>
        <w:rPr>
          <w:rFonts w:ascii="Times New Roman" w:hAnsi="Times New Roman" w:cs="Times New Roman"/>
          <w:i/>
          <w:color w:val="3E3E3E"/>
          <w:sz w:val="22"/>
          <w:szCs w:val="22"/>
        </w:rPr>
      </w:pPr>
      <w:r w:rsidRPr="000E19E5">
        <w:rPr>
          <w:rFonts w:ascii="Times New Roman" w:hAnsi="Times New Roman" w:cs="Times New Roman"/>
          <w:sz w:val="20"/>
          <w:szCs w:val="20"/>
          <w:lang w:val="fr-CA"/>
        </w:rPr>
        <w:t>L'atteinte à la liberté doit être nécessaire à l'accomplissement du devoir particulier de la police et elle doit être raisonnable, compte tenu de la nature de la liberté entravée et de l'importance de l'objet public poursuivi par cette atteinte. [para 69]</w:t>
      </w:r>
    </w:p>
    <w:p w14:paraId="11AE444C" w14:textId="39DD6404" w:rsidR="00103FE4" w:rsidRDefault="00103FE4" w:rsidP="00103FE4">
      <w:pPr>
        <w:widowControl w:val="0"/>
        <w:autoSpaceDE w:val="0"/>
        <w:autoSpaceDN w:val="0"/>
        <w:adjustRightInd w:val="0"/>
        <w:spacing w:after="300"/>
        <w:rPr>
          <w:rFonts w:ascii="Times New Roman" w:hAnsi="Times New Roman" w:cs="Times New Roman"/>
          <w:color w:val="3E3E3E"/>
          <w:sz w:val="22"/>
          <w:szCs w:val="22"/>
        </w:rPr>
      </w:pPr>
      <w:r>
        <w:rPr>
          <w:rFonts w:ascii="Times New Roman" w:hAnsi="Times New Roman" w:cs="Times New Roman"/>
          <w:color w:val="3E3E3E"/>
          <w:sz w:val="22"/>
          <w:szCs w:val="22"/>
        </w:rPr>
        <w:t xml:space="preserve">Pour conclure sur l’arrêt </w:t>
      </w:r>
      <w:r>
        <w:rPr>
          <w:rFonts w:ascii="Times New Roman" w:hAnsi="Times New Roman" w:cs="Times New Roman"/>
          <w:b/>
          <w:color w:val="3E3E3E"/>
          <w:sz w:val="22"/>
          <w:szCs w:val="22"/>
        </w:rPr>
        <w:t>Dedman,</w:t>
      </w:r>
      <w:r>
        <w:rPr>
          <w:rFonts w:ascii="Times New Roman" w:hAnsi="Times New Roman" w:cs="Times New Roman"/>
          <w:color w:val="3E3E3E"/>
          <w:sz w:val="22"/>
          <w:szCs w:val="22"/>
        </w:rPr>
        <w:t xml:space="preserve"> rien ne permet aux policiers d’arrêter, au hasard, une personne conduisant son véhicule. Le </w:t>
      </w:r>
      <w:r>
        <w:rPr>
          <w:rFonts w:ascii="Times New Roman" w:hAnsi="Times New Roman" w:cs="Times New Roman"/>
          <w:b/>
          <w:color w:val="3E3E3E"/>
          <w:sz w:val="22"/>
          <w:szCs w:val="22"/>
        </w:rPr>
        <w:t>C.cr.</w:t>
      </w:r>
      <w:r>
        <w:rPr>
          <w:rFonts w:ascii="Times New Roman" w:hAnsi="Times New Roman" w:cs="Times New Roman"/>
          <w:color w:val="3E3E3E"/>
          <w:sz w:val="22"/>
          <w:szCs w:val="22"/>
        </w:rPr>
        <w:t xml:space="preserve"> prévoit au </w:t>
      </w:r>
      <w:r>
        <w:rPr>
          <w:rFonts w:ascii="Times New Roman" w:hAnsi="Times New Roman" w:cs="Times New Roman"/>
          <w:b/>
          <w:color w:val="3E3E3E"/>
          <w:sz w:val="22"/>
          <w:szCs w:val="22"/>
        </w:rPr>
        <w:t>minimum</w:t>
      </w:r>
      <w:r>
        <w:rPr>
          <w:rFonts w:ascii="Times New Roman" w:hAnsi="Times New Roman" w:cs="Times New Roman"/>
          <w:color w:val="3E3E3E"/>
          <w:sz w:val="22"/>
          <w:szCs w:val="22"/>
        </w:rPr>
        <w:t xml:space="preserve"> des motifs raisonnable de </w:t>
      </w:r>
      <w:r>
        <w:rPr>
          <w:rFonts w:ascii="Times New Roman" w:hAnsi="Times New Roman" w:cs="Times New Roman"/>
          <w:b/>
          <w:color w:val="3E3E3E"/>
          <w:sz w:val="22"/>
          <w:szCs w:val="22"/>
        </w:rPr>
        <w:t>soupçonner</w:t>
      </w:r>
      <w:r>
        <w:rPr>
          <w:rFonts w:ascii="Times New Roman" w:hAnsi="Times New Roman" w:cs="Times New Roman"/>
          <w:color w:val="3E3E3E"/>
          <w:sz w:val="22"/>
          <w:szCs w:val="22"/>
        </w:rPr>
        <w:t xml:space="preserve"> que ladite personne ait commis ou va commettre un crime. </w:t>
      </w:r>
      <w:r>
        <w:rPr>
          <w:rFonts w:ascii="Times New Roman" w:hAnsi="Times New Roman" w:cs="Times New Roman"/>
          <w:b/>
          <w:color w:val="3E3E3E"/>
          <w:sz w:val="22"/>
          <w:szCs w:val="22"/>
        </w:rPr>
        <w:t>Cependant</w:t>
      </w:r>
      <w:r>
        <w:rPr>
          <w:rFonts w:ascii="Times New Roman" w:hAnsi="Times New Roman" w:cs="Times New Roman"/>
          <w:color w:val="3E3E3E"/>
          <w:sz w:val="22"/>
          <w:szCs w:val="22"/>
        </w:rPr>
        <w:t xml:space="preserve">, la </w:t>
      </w:r>
      <w:r>
        <w:rPr>
          <w:rFonts w:ascii="Times New Roman" w:hAnsi="Times New Roman" w:cs="Times New Roman"/>
          <w:b/>
          <w:color w:val="3E3E3E"/>
          <w:sz w:val="22"/>
          <w:szCs w:val="22"/>
        </w:rPr>
        <w:t>common law</w:t>
      </w:r>
      <w:r>
        <w:rPr>
          <w:rFonts w:ascii="Times New Roman" w:hAnsi="Times New Roman" w:cs="Times New Roman"/>
          <w:color w:val="3E3E3E"/>
          <w:sz w:val="22"/>
          <w:szCs w:val="22"/>
        </w:rPr>
        <w:t xml:space="preserve"> reconnaît un pouvoir ancillaire d’arrestation au hasard de véhicule, de la part de la police, dans le cadre d’un programme préventif d’alcool au volant. La jurisprudence canadienne va évoluer concernant la théorie des pouvoirs ancillaires comme l’illustre </w:t>
      </w:r>
      <w:r>
        <w:rPr>
          <w:rFonts w:ascii="Times New Roman" w:hAnsi="Times New Roman" w:cs="Times New Roman"/>
          <w:b/>
          <w:color w:val="3E3E3E"/>
          <w:sz w:val="22"/>
          <w:szCs w:val="22"/>
        </w:rPr>
        <w:t>l’arrêt Wong</w:t>
      </w:r>
      <w:r>
        <w:rPr>
          <w:rFonts w:ascii="Times New Roman" w:hAnsi="Times New Roman" w:cs="Times New Roman"/>
          <w:color w:val="3E3E3E"/>
          <w:sz w:val="22"/>
          <w:szCs w:val="22"/>
        </w:rPr>
        <w:t>.</w:t>
      </w:r>
    </w:p>
    <w:p w14:paraId="7D52B348" w14:textId="2B4782F4" w:rsidR="00103FE4" w:rsidRDefault="00103FE4" w:rsidP="00103FE4">
      <w:pPr>
        <w:widowControl w:val="0"/>
        <w:autoSpaceDE w:val="0"/>
        <w:autoSpaceDN w:val="0"/>
        <w:adjustRightInd w:val="0"/>
        <w:spacing w:after="300"/>
        <w:rPr>
          <w:rFonts w:ascii="Times New Roman" w:hAnsi="Times New Roman" w:cs="Times New Roman"/>
          <w:color w:val="3E3E3E"/>
          <w:sz w:val="22"/>
          <w:szCs w:val="22"/>
        </w:rPr>
      </w:pPr>
      <w:r>
        <w:rPr>
          <w:rFonts w:ascii="Times New Roman" w:hAnsi="Times New Roman" w:cs="Times New Roman"/>
          <w:b/>
          <w:i/>
          <w:color w:val="3E3E3E"/>
          <w:sz w:val="22"/>
          <w:szCs w:val="22"/>
        </w:rPr>
        <w:t xml:space="preserve">R. c. Wong [1990] </w:t>
      </w:r>
      <w:r>
        <w:rPr>
          <w:rFonts w:ascii="Times New Roman" w:hAnsi="Times New Roman" w:cs="Times New Roman"/>
          <w:color w:val="3E3E3E"/>
          <w:sz w:val="22"/>
          <w:szCs w:val="22"/>
        </w:rPr>
        <w:t>(p. 4) :</w:t>
      </w:r>
    </w:p>
    <w:p w14:paraId="71779FC2" w14:textId="133EAE7C" w:rsidR="00103FE4" w:rsidRDefault="00103FE4" w:rsidP="00103FE4">
      <w:pPr>
        <w:widowControl w:val="0"/>
        <w:autoSpaceDE w:val="0"/>
        <w:autoSpaceDN w:val="0"/>
        <w:adjustRightInd w:val="0"/>
        <w:spacing w:after="300"/>
        <w:rPr>
          <w:rFonts w:ascii="Times New Roman" w:hAnsi="Times New Roman" w:cs="Times New Roman"/>
          <w:color w:val="3E3E3E"/>
          <w:sz w:val="22"/>
          <w:szCs w:val="22"/>
        </w:rPr>
      </w:pPr>
      <w:r>
        <w:rPr>
          <w:rFonts w:ascii="Times New Roman" w:hAnsi="Times New Roman" w:cs="Times New Roman"/>
          <w:color w:val="3E3E3E"/>
          <w:sz w:val="22"/>
          <w:szCs w:val="22"/>
        </w:rPr>
        <w:t xml:space="preserve">Remarque : cet arrêt </w:t>
      </w:r>
      <w:r w:rsidR="00D51CBD">
        <w:rPr>
          <w:rFonts w:ascii="Times New Roman" w:hAnsi="Times New Roman" w:cs="Times New Roman"/>
          <w:color w:val="3E3E3E"/>
          <w:sz w:val="22"/>
          <w:szCs w:val="22"/>
        </w:rPr>
        <w:t>cristallise</w:t>
      </w:r>
      <w:r>
        <w:rPr>
          <w:rFonts w:ascii="Times New Roman" w:hAnsi="Times New Roman" w:cs="Times New Roman"/>
          <w:color w:val="3E3E3E"/>
          <w:sz w:val="22"/>
          <w:szCs w:val="22"/>
        </w:rPr>
        <w:t xml:space="preserve"> l’idée voulant que c’est au législateur de prévoir les atteintes possibles à nos droits fondamentaux.</w:t>
      </w:r>
    </w:p>
    <w:p w14:paraId="1C3E38BF" w14:textId="2D080B7F" w:rsidR="00103FE4" w:rsidRPr="00103FE4" w:rsidRDefault="00103FE4" w:rsidP="00880034">
      <w:pPr>
        <w:pStyle w:val="Paragraphedeliste"/>
        <w:widowControl w:val="0"/>
        <w:numPr>
          <w:ilvl w:val="0"/>
          <w:numId w:val="15"/>
        </w:numPr>
        <w:autoSpaceDE w:val="0"/>
        <w:autoSpaceDN w:val="0"/>
        <w:adjustRightInd w:val="0"/>
        <w:spacing w:after="300"/>
        <w:rPr>
          <w:rFonts w:ascii="Times New Roman" w:hAnsi="Times New Roman" w:cs="Times New Roman"/>
          <w:color w:val="3E3E3E"/>
          <w:sz w:val="22"/>
          <w:szCs w:val="22"/>
        </w:rPr>
      </w:pPr>
      <w:r>
        <w:rPr>
          <w:rFonts w:ascii="Times New Roman" w:hAnsi="Times New Roman" w:cs="Times New Roman"/>
          <w:color w:val="3E3E3E"/>
          <w:sz w:val="22"/>
          <w:szCs w:val="22"/>
        </w:rPr>
        <w:t>«</w:t>
      </w:r>
      <w:r w:rsidRPr="00103FE4">
        <w:rPr>
          <w:rFonts w:ascii="Times New Roman" w:hAnsi="Times New Roman" w:cs="Times New Roman"/>
          <w:sz w:val="20"/>
          <w:szCs w:val="20"/>
        </w:rPr>
        <w:t>Il appartient au législateur de porter atteinte aux droits fondamentaux s'il estime que cela est nécessaire pour la protection du public dans un système pénal bien équilibré».</w:t>
      </w:r>
    </w:p>
    <w:p w14:paraId="3AA8C8EE" w14:textId="6C6D7669" w:rsidR="00103FE4" w:rsidRPr="00103FE4" w:rsidRDefault="00103FE4" w:rsidP="00103FE4">
      <w:pPr>
        <w:spacing w:before="240"/>
        <w:jc w:val="both"/>
        <w:rPr>
          <w:rFonts w:ascii="Times New Roman" w:hAnsi="Times New Roman" w:cs="Times New Roman"/>
          <w:sz w:val="20"/>
          <w:szCs w:val="20"/>
        </w:rPr>
      </w:pPr>
      <w:r w:rsidRPr="00103FE4">
        <w:rPr>
          <w:rFonts w:ascii="Times New Roman" w:hAnsi="Times New Roman" w:cs="Times New Roman"/>
          <w:sz w:val="20"/>
          <w:szCs w:val="20"/>
        </w:rPr>
        <w:t>La théorie des pouvoirs ancillaires des policiers répugne un peu à la CSC ; la théorie du judge made law est très dangereuse en matière de procédure pénale. La Cour n’aime pas restreindre la liberté des gens.</w:t>
      </w:r>
    </w:p>
    <w:p w14:paraId="783122DB" w14:textId="77777777" w:rsidR="00103FE4" w:rsidRPr="00103FE4" w:rsidRDefault="00103FE4" w:rsidP="00880034">
      <w:pPr>
        <w:pStyle w:val="Paragraphedeliste"/>
        <w:numPr>
          <w:ilvl w:val="0"/>
          <w:numId w:val="16"/>
        </w:numPr>
        <w:spacing w:before="240"/>
        <w:jc w:val="both"/>
        <w:rPr>
          <w:rFonts w:ascii="Times New Roman" w:hAnsi="Times New Roman" w:cs="Times New Roman"/>
          <w:sz w:val="20"/>
          <w:szCs w:val="20"/>
        </w:rPr>
      </w:pPr>
      <w:r w:rsidRPr="00103FE4">
        <w:rPr>
          <w:rFonts w:ascii="Times New Roman" w:hAnsi="Times New Roman" w:cs="Times New Roman"/>
          <w:sz w:val="20"/>
          <w:szCs w:val="20"/>
        </w:rPr>
        <w:t>Lorsque le ministère public veut faire valoir ça cause, elle plaide souvent la théorie des pouvoirs ancillaires de la police pour justifier l’arrestation, parfois douteuse, d’un suspect.</w:t>
      </w:r>
    </w:p>
    <w:p w14:paraId="101327F1" w14:textId="77777777" w:rsidR="00103FE4" w:rsidRDefault="00103FE4" w:rsidP="00103FE4">
      <w:pPr>
        <w:spacing w:before="240"/>
        <w:jc w:val="both"/>
        <w:rPr>
          <w:sz w:val="20"/>
          <w:szCs w:val="20"/>
        </w:rPr>
      </w:pPr>
    </w:p>
    <w:p w14:paraId="28ADD956" w14:textId="77777777" w:rsidR="00103FE4" w:rsidRPr="00103FE4" w:rsidRDefault="00103FE4" w:rsidP="00103FE4">
      <w:pPr>
        <w:widowControl w:val="0"/>
        <w:autoSpaceDE w:val="0"/>
        <w:autoSpaceDN w:val="0"/>
        <w:adjustRightInd w:val="0"/>
        <w:spacing w:after="300"/>
        <w:rPr>
          <w:rFonts w:ascii="Times New Roman" w:hAnsi="Times New Roman" w:cs="Times New Roman"/>
          <w:color w:val="3E3E3E"/>
          <w:sz w:val="22"/>
          <w:szCs w:val="22"/>
        </w:rPr>
      </w:pPr>
    </w:p>
    <w:p w14:paraId="34507C86" w14:textId="26DE0565" w:rsidR="00BF6408" w:rsidRPr="004E634F" w:rsidRDefault="00BF6408" w:rsidP="00BF6408">
      <w:pPr>
        <w:widowControl w:val="0"/>
        <w:autoSpaceDE w:val="0"/>
        <w:autoSpaceDN w:val="0"/>
        <w:adjustRightInd w:val="0"/>
        <w:spacing w:after="300"/>
        <w:rPr>
          <w:rFonts w:ascii="Times New Roman" w:hAnsi="Times New Roman" w:cs="Verdana"/>
          <w:color w:val="3E3E3E"/>
          <w:sz w:val="22"/>
          <w:szCs w:val="22"/>
          <w:u w:val="single"/>
        </w:rPr>
      </w:pPr>
      <w:r w:rsidRPr="004E634F">
        <w:rPr>
          <w:rFonts w:ascii="Times New Roman" w:hAnsi="Times New Roman" w:cs="Verdana"/>
          <w:color w:val="3E3E3E"/>
          <w:sz w:val="22"/>
          <w:szCs w:val="22"/>
          <w:u w:val="single"/>
        </w:rPr>
        <w:t>§2. Les contrôles routiers</w:t>
      </w:r>
      <w:r w:rsidR="004E634F">
        <w:rPr>
          <w:rFonts w:ascii="Times New Roman" w:hAnsi="Times New Roman" w:cs="Verdana"/>
          <w:color w:val="3E3E3E"/>
          <w:sz w:val="22"/>
          <w:szCs w:val="22"/>
          <w:u w:val="single"/>
        </w:rPr>
        <w:t xml:space="preserve"> (p. 5)</w:t>
      </w:r>
      <w:r w:rsidRPr="004E634F">
        <w:rPr>
          <w:rFonts w:ascii="Times New Roman" w:hAnsi="Times New Roman" w:cs="Verdana"/>
          <w:color w:val="3E3E3E"/>
          <w:sz w:val="22"/>
          <w:szCs w:val="22"/>
          <w:u w:val="single"/>
        </w:rPr>
        <w:t> ;</w:t>
      </w:r>
    </w:p>
    <w:p w14:paraId="0EC5DF40" w14:textId="44914DC2" w:rsidR="00BF6408" w:rsidRDefault="00BF6408" w:rsidP="00BF6408">
      <w:pPr>
        <w:widowControl w:val="0"/>
        <w:autoSpaceDE w:val="0"/>
        <w:autoSpaceDN w:val="0"/>
        <w:adjustRightInd w:val="0"/>
        <w:spacing w:after="300"/>
        <w:rPr>
          <w:rFonts w:ascii="Times New Roman" w:hAnsi="Times New Roman" w:cs="Verdana"/>
          <w:i/>
          <w:color w:val="3E3E3E"/>
          <w:sz w:val="22"/>
          <w:szCs w:val="22"/>
        </w:rPr>
      </w:pPr>
      <w:r w:rsidRPr="00BF6408">
        <w:rPr>
          <w:rFonts w:ascii="Times New Roman" w:hAnsi="Times New Roman" w:cs="Verdana"/>
          <w:color w:val="3E3E3E"/>
          <w:sz w:val="22"/>
          <w:szCs w:val="22"/>
        </w:rPr>
        <w:t> </w:t>
      </w:r>
      <w:r w:rsidR="004E634F">
        <w:rPr>
          <w:rFonts w:ascii="Times New Roman" w:hAnsi="Times New Roman" w:cs="Verdana"/>
          <w:i/>
          <w:color w:val="3E3E3E"/>
          <w:sz w:val="22"/>
          <w:szCs w:val="22"/>
        </w:rPr>
        <w:t>A. Barrages routiers pour des raisons de sécurité</w:t>
      </w:r>
    </w:p>
    <w:p w14:paraId="2E81CC8F" w14:textId="25929A15" w:rsidR="004E634F" w:rsidRDefault="004E634F" w:rsidP="00BF6408">
      <w:pPr>
        <w:widowControl w:val="0"/>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2"/>
          <w:szCs w:val="22"/>
        </w:rPr>
        <w:t xml:space="preserve">Aujourd’hui, dans toutes les provinces, la police peut arrêter le trafic routier pour des </w:t>
      </w:r>
      <w:r>
        <w:rPr>
          <w:rFonts w:ascii="Times New Roman" w:hAnsi="Times New Roman" w:cs="Verdana"/>
          <w:b/>
          <w:color w:val="3E3E3E"/>
          <w:sz w:val="22"/>
          <w:szCs w:val="22"/>
        </w:rPr>
        <w:t xml:space="preserve">raisons </w:t>
      </w:r>
      <w:r>
        <w:rPr>
          <w:rFonts w:ascii="Times New Roman" w:hAnsi="Times New Roman" w:cs="Verdana"/>
          <w:color w:val="3E3E3E"/>
          <w:sz w:val="22"/>
          <w:szCs w:val="22"/>
        </w:rPr>
        <w:t xml:space="preserve">de sécurité. On en est venu à élargir la mission pro-active de la police en matière de sécurité routière. Suite à </w:t>
      </w:r>
      <w:r>
        <w:rPr>
          <w:rFonts w:ascii="Times New Roman" w:hAnsi="Times New Roman" w:cs="Verdana"/>
          <w:b/>
          <w:color w:val="3E3E3E"/>
          <w:sz w:val="22"/>
          <w:szCs w:val="22"/>
        </w:rPr>
        <w:t xml:space="preserve">Dedman, </w:t>
      </w:r>
      <w:r>
        <w:rPr>
          <w:rFonts w:ascii="Times New Roman" w:hAnsi="Times New Roman" w:cs="Verdana"/>
          <w:color w:val="3E3E3E"/>
          <w:sz w:val="22"/>
          <w:szCs w:val="22"/>
        </w:rPr>
        <w:t>d’autres pouvoirs d’interventions policières se sont ajoutés.</w:t>
      </w:r>
    </w:p>
    <w:p w14:paraId="628041A0" w14:textId="04908530" w:rsidR="004E634F" w:rsidRDefault="004E634F" w:rsidP="00BF6408">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b/>
          <w:i/>
          <w:color w:val="3E3E3E"/>
          <w:sz w:val="22"/>
          <w:szCs w:val="22"/>
        </w:rPr>
        <w:t>Dedman. C. La Reine [1985]</w:t>
      </w:r>
    </w:p>
    <w:p w14:paraId="06FF208D" w14:textId="4A118E9B" w:rsidR="004E634F" w:rsidRPr="004E634F" w:rsidRDefault="004E634F" w:rsidP="00880034">
      <w:pPr>
        <w:pStyle w:val="Paragraphedeliste"/>
        <w:widowControl w:val="0"/>
        <w:numPr>
          <w:ilvl w:val="0"/>
          <w:numId w:val="16"/>
        </w:numPr>
        <w:autoSpaceDE w:val="0"/>
        <w:autoSpaceDN w:val="0"/>
        <w:adjustRightInd w:val="0"/>
        <w:spacing w:after="300"/>
        <w:jc w:val="both"/>
        <w:rPr>
          <w:rFonts w:ascii="Times New Roman" w:hAnsi="Times New Roman" w:cs="Times New Roman"/>
          <w:color w:val="3E3E3E"/>
          <w:sz w:val="22"/>
          <w:szCs w:val="22"/>
        </w:rPr>
      </w:pPr>
      <w:r w:rsidRPr="004E634F">
        <w:rPr>
          <w:rFonts w:ascii="Times New Roman" w:hAnsi="Times New Roman" w:cs="Times New Roman"/>
          <w:sz w:val="20"/>
          <w:szCs w:val="20"/>
          <w:lang w:val="fr-CA"/>
        </w:rPr>
        <w:t>L'atteinte à la liberté doit être nécessaire à l'accomplissement du devoir particulier de la police et elle doit être raisonnable, compte tenu de la nature de la liberté entravée et de l'importance de l'objet public poursuivi par cette atteinte [para 69]</w:t>
      </w:r>
    </w:p>
    <w:p w14:paraId="1E98AC06" w14:textId="7C75682D" w:rsidR="004E634F" w:rsidRDefault="004E634F" w:rsidP="004E634F">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 xml:space="preserve">Dedman </w:t>
      </w:r>
      <w:r>
        <w:rPr>
          <w:rFonts w:ascii="Times New Roman" w:hAnsi="Times New Roman" w:cs="Times New Roman"/>
          <w:color w:val="3E3E3E"/>
          <w:sz w:val="22"/>
          <w:szCs w:val="22"/>
        </w:rPr>
        <w:t xml:space="preserve"> a été confirmé même après l’avènement de la Charte et la jurisprudence est allée beaucoup plus loin </w:t>
      </w:r>
      <w:r>
        <w:rPr>
          <w:rFonts w:ascii="Times New Roman" w:hAnsi="Times New Roman" w:cs="Times New Roman"/>
          <w:b/>
          <w:color w:val="3E3E3E"/>
          <w:sz w:val="22"/>
          <w:szCs w:val="22"/>
        </w:rPr>
        <w:t>en matière d’alcool au volant</w:t>
      </w:r>
      <w:r>
        <w:rPr>
          <w:rFonts w:ascii="Times New Roman" w:hAnsi="Times New Roman" w:cs="Times New Roman"/>
          <w:color w:val="3E3E3E"/>
          <w:sz w:val="22"/>
          <w:szCs w:val="22"/>
        </w:rPr>
        <w:t xml:space="preserve">. </w:t>
      </w:r>
      <w:r>
        <w:rPr>
          <w:rFonts w:ascii="Times New Roman" w:hAnsi="Times New Roman" w:cs="Times New Roman"/>
          <w:i/>
          <w:color w:val="3E3E3E"/>
          <w:sz w:val="22"/>
          <w:szCs w:val="22"/>
        </w:rPr>
        <w:t xml:space="preserve">Voir l’affaire </w:t>
      </w:r>
      <w:r>
        <w:rPr>
          <w:rFonts w:ascii="Times New Roman" w:hAnsi="Times New Roman" w:cs="Times New Roman"/>
          <w:b/>
          <w:i/>
          <w:color w:val="3E3E3E"/>
          <w:sz w:val="22"/>
          <w:szCs w:val="22"/>
        </w:rPr>
        <w:t>Legault.</w:t>
      </w:r>
    </w:p>
    <w:p w14:paraId="3F2A7205" w14:textId="0974AFFD" w:rsidR="004E634F" w:rsidRDefault="004E634F" w:rsidP="004E634F">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i/>
          <w:color w:val="3E3E3E"/>
          <w:sz w:val="22"/>
          <w:szCs w:val="22"/>
        </w:rPr>
        <w:t>R. Legault 2000 (</w:t>
      </w:r>
      <w:r>
        <w:rPr>
          <w:rFonts w:ascii="Times New Roman" w:hAnsi="Times New Roman" w:cs="Times New Roman"/>
          <w:color w:val="3E3E3E"/>
          <w:sz w:val="22"/>
          <w:szCs w:val="22"/>
        </w:rPr>
        <w:t>p. 5).</w:t>
      </w:r>
    </w:p>
    <w:p w14:paraId="33EF96B0" w14:textId="2BF21C04" w:rsidR="004E634F" w:rsidRPr="004E634F" w:rsidRDefault="004E634F" w:rsidP="00880034">
      <w:pPr>
        <w:pStyle w:val="Paragraphedeliste"/>
        <w:widowControl w:val="0"/>
        <w:numPr>
          <w:ilvl w:val="0"/>
          <w:numId w:val="16"/>
        </w:numPr>
        <w:autoSpaceDE w:val="0"/>
        <w:autoSpaceDN w:val="0"/>
        <w:adjustRightInd w:val="0"/>
        <w:spacing w:after="300" w:line="276" w:lineRule="auto"/>
        <w:jc w:val="both"/>
        <w:rPr>
          <w:rFonts w:ascii="Times New Roman" w:hAnsi="Times New Roman" w:cs="Times New Roman"/>
          <w:color w:val="3E3E3E"/>
          <w:sz w:val="22"/>
          <w:szCs w:val="22"/>
        </w:rPr>
      </w:pPr>
      <w:r w:rsidRPr="004E634F">
        <w:rPr>
          <w:rFonts w:ascii="Times New Roman" w:hAnsi="Times New Roman" w:cs="Times New Roman"/>
          <w:b/>
          <w:sz w:val="20"/>
          <w:szCs w:val="20"/>
        </w:rPr>
        <w:t xml:space="preserve">Dans l’arrêt </w:t>
      </w:r>
      <w:r w:rsidRPr="004E634F">
        <w:rPr>
          <w:rFonts w:ascii="Times New Roman" w:hAnsi="Times New Roman" w:cs="Times New Roman"/>
          <w:b/>
          <w:i/>
          <w:iCs/>
          <w:sz w:val="20"/>
          <w:szCs w:val="20"/>
        </w:rPr>
        <w:t>Deadman</w:t>
      </w:r>
      <w:r w:rsidRPr="004E634F">
        <w:rPr>
          <w:rFonts w:ascii="Times New Roman" w:hAnsi="Times New Roman" w:cs="Times New Roman"/>
          <w:b/>
          <w:sz w:val="20"/>
          <w:szCs w:val="20"/>
        </w:rPr>
        <w:t>[1982] 2 R.C.S. 2, la Cour suprême a statué que les devoirs incombant à un agent de la paix, tant en vertu de la loi que de la common law, comprennent la préservation de la paix, la prévention du crime et la protection de la vie des personnes et des biens [</w:t>
      </w:r>
      <w:r w:rsidRPr="004E634F">
        <w:rPr>
          <w:rFonts w:ascii="Times New Roman" w:hAnsi="Times New Roman" w:cs="Times New Roman"/>
          <w:sz w:val="20"/>
          <w:szCs w:val="20"/>
        </w:rPr>
        <w:t>para 11]</w:t>
      </w:r>
      <w:r w:rsidR="00BC295D">
        <w:rPr>
          <w:rFonts w:ascii="Times New Roman" w:hAnsi="Times New Roman" w:cs="Times New Roman"/>
          <w:sz w:val="20"/>
          <w:szCs w:val="20"/>
        </w:rPr>
        <w:t>.</w:t>
      </w:r>
    </w:p>
    <w:p w14:paraId="09169BA8" w14:textId="7C3C2F5E" w:rsidR="004E634F" w:rsidRDefault="004E634F" w:rsidP="00880034">
      <w:pPr>
        <w:pStyle w:val="Paragraphedeliste"/>
        <w:widowControl w:val="0"/>
        <w:numPr>
          <w:ilvl w:val="0"/>
          <w:numId w:val="16"/>
        </w:numPr>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Le policier peut, de bonne foi, prêter assistance à un ‘’automobiliste’’ qui semble dans le besoin. Ce pouvoir découle de la common law [para 12]</w:t>
      </w:r>
      <w:r w:rsidR="00BC295D">
        <w:rPr>
          <w:rFonts w:ascii="Times New Roman" w:hAnsi="Times New Roman" w:cs="Times New Roman"/>
          <w:color w:val="3E3E3E"/>
          <w:sz w:val="22"/>
          <w:szCs w:val="22"/>
        </w:rPr>
        <w:t>.</w:t>
      </w:r>
    </w:p>
    <w:p w14:paraId="5E3DD5E1" w14:textId="14215EA1" w:rsidR="00BC295D" w:rsidRPr="00BC295D" w:rsidRDefault="00BC295D" w:rsidP="00880034">
      <w:pPr>
        <w:pStyle w:val="Paragraphedeliste"/>
        <w:numPr>
          <w:ilvl w:val="0"/>
          <w:numId w:val="16"/>
        </w:numPr>
        <w:spacing w:line="276" w:lineRule="auto"/>
        <w:jc w:val="both"/>
        <w:rPr>
          <w:sz w:val="20"/>
          <w:szCs w:val="20"/>
        </w:rPr>
      </w:pPr>
      <w:r w:rsidRPr="00BC295D">
        <w:rPr>
          <w:sz w:val="20"/>
          <w:szCs w:val="20"/>
        </w:rPr>
        <w:t>qu’un agent de la paix peut tenir compte des observations faites dans le cadre d’une intervention légitime pour acquérir des motifs raisonnables et probables de croire à la commission d’une infraction [</w:t>
      </w:r>
      <w:r w:rsidRPr="00BC295D">
        <w:rPr>
          <w:i/>
          <w:iCs/>
          <w:sz w:val="20"/>
          <w:szCs w:val="20"/>
        </w:rPr>
        <w:t xml:space="preserve">R. </w:t>
      </w:r>
      <w:r w:rsidRPr="00BC295D">
        <w:rPr>
          <w:sz w:val="20"/>
          <w:szCs w:val="20"/>
        </w:rPr>
        <w:t xml:space="preserve">c. </w:t>
      </w:r>
      <w:r w:rsidRPr="00BC295D">
        <w:rPr>
          <w:i/>
          <w:iCs/>
          <w:sz w:val="20"/>
          <w:szCs w:val="20"/>
        </w:rPr>
        <w:t>Belnavis</w:t>
      </w:r>
      <w:r>
        <w:rPr>
          <w:iCs/>
          <w:sz w:val="20"/>
          <w:szCs w:val="20"/>
        </w:rPr>
        <w:t>] [para 13].</w:t>
      </w:r>
    </w:p>
    <w:p w14:paraId="0B0F1FA6" w14:textId="77777777" w:rsidR="00BC295D" w:rsidRDefault="00BC295D" w:rsidP="00BC295D">
      <w:pPr>
        <w:widowControl w:val="0"/>
        <w:autoSpaceDE w:val="0"/>
        <w:autoSpaceDN w:val="0"/>
        <w:adjustRightInd w:val="0"/>
        <w:spacing w:after="300" w:line="276" w:lineRule="auto"/>
        <w:jc w:val="both"/>
        <w:rPr>
          <w:rFonts w:ascii="Times New Roman" w:hAnsi="Times New Roman" w:cs="Times New Roman"/>
          <w:color w:val="3E3E3E"/>
          <w:sz w:val="22"/>
          <w:szCs w:val="22"/>
        </w:rPr>
      </w:pPr>
    </w:p>
    <w:p w14:paraId="29CBA03D" w14:textId="308EE34C" w:rsidR="00BC295D" w:rsidRDefault="00BC295D" w:rsidP="00BC295D">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Le juge en vient à la conclusion dans l</w:t>
      </w:r>
      <w:r>
        <w:rPr>
          <w:rFonts w:ascii="Times New Roman" w:hAnsi="Times New Roman" w:cs="Times New Roman"/>
          <w:b/>
          <w:color w:val="3E3E3E"/>
          <w:sz w:val="22"/>
          <w:szCs w:val="22"/>
        </w:rPr>
        <w:t>’affaire Legault</w:t>
      </w:r>
      <w:r>
        <w:rPr>
          <w:rFonts w:ascii="Times New Roman" w:hAnsi="Times New Roman" w:cs="Times New Roman"/>
          <w:color w:val="3E3E3E"/>
          <w:sz w:val="22"/>
          <w:szCs w:val="22"/>
        </w:rPr>
        <w:t xml:space="preserve"> que, dans le cadre général de son devoir de veiller à la sécurité des citoyens, la police n’a pas, de façon injustifiable, utilisé les pouvoirs découlant de ce devoir [ R. c. Goday 1991]. [para 16].</w:t>
      </w:r>
    </w:p>
    <w:p w14:paraId="492C7E2B" w14:textId="28845B6D" w:rsidR="00BC295D" w:rsidRDefault="008D1E3E" w:rsidP="00BC295D">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Suite à </w:t>
      </w:r>
      <w:r>
        <w:rPr>
          <w:rFonts w:ascii="Times New Roman" w:hAnsi="Times New Roman" w:cs="Times New Roman"/>
          <w:b/>
          <w:color w:val="3E3E3E"/>
          <w:sz w:val="22"/>
          <w:szCs w:val="22"/>
        </w:rPr>
        <w:t>Dedman</w:t>
      </w:r>
      <w:r>
        <w:rPr>
          <w:rFonts w:ascii="Times New Roman" w:hAnsi="Times New Roman" w:cs="Times New Roman"/>
          <w:color w:val="3E3E3E"/>
          <w:sz w:val="22"/>
          <w:szCs w:val="22"/>
        </w:rPr>
        <w:t xml:space="preserve">, la CSC est venu dire dans </w:t>
      </w:r>
      <w:r>
        <w:rPr>
          <w:rFonts w:ascii="Times New Roman" w:hAnsi="Times New Roman" w:cs="Times New Roman"/>
          <w:b/>
          <w:color w:val="3E3E3E"/>
          <w:sz w:val="22"/>
          <w:szCs w:val="22"/>
        </w:rPr>
        <w:t>Hufsky (</w:t>
      </w:r>
      <w:r>
        <w:rPr>
          <w:rFonts w:ascii="Times New Roman" w:hAnsi="Times New Roman" w:cs="Times New Roman"/>
          <w:color w:val="3E3E3E"/>
          <w:sz w:val="22"/>
          <w:szCs w:val="22"/>
        </w:rPr>
        <w:t xml:space="preserve">p. 6) que les policiers sont en droit d’ériger de s barrages routiers et d’intercepter, </w:t>
      </w:r>
      <w:r>
        <w:rPr>
          <w:rFonts w:ascii="Times New Roman" w:hAnsi="Times New Roman" w:cs="Times New Roman"/>
          <w:b/>
          <w:color w:val="3E3E3E"/>
          <w:sz w:val="22"/>
          <w:szCs w:val="22"/>
        </w:rPr>
        <w:t>au hasard</w:t>
      </w:r>
      <w:r>
        <w:rPr>
          <w:rFonts w:ascii="Times New Roman" w:hAnsi="Times New Roman" w:cs="Times New Roman"/>
          <w:color w:val="3E3E3E"/>
          <w:sz w:val="22"/>
          <w:szCs w:val="22"/>
        </w:rPr>
        <w:t xml:space="preserve">, des gens, et ce, même </w:t>
      </w:r>
      <w:r>
        <w:rPr>
          <w:rFonts w:ascii="Times New Roman" w:hAnsi="Times New Roman" w:cs="Times New Roman"/>
          <w:b/>
          <w:color w:val="3E3E3E"/>
          <w:sz w:val="22"/>
          <w:szCs w:val="22"/>
        </w:rPr>
        <w:t>en l’absence de publicité et de motifs de soupçons raisonnable.</w:t>
      </w:r>
      <w:r>
        <w:rPr>
          <w:rFonts w:ascii="Times New Roman" w:hAnsi="Times New Roman" w:cs="Times New Roman"/>
          <w:color w:val="3E3E3E"/>
          <w:sz w:val="22"/>
          <w:szCs w:val="22"/>
        </w:rPr>
        <w:t xml:space="preserve"> Par contre, cet atteinte doit se justifier par une </w:t>
      </w:r>
      <w:r>
        <w:rPr>
          <w:rFonts w:ascii="Times New Roman" w:hAnsi="Times New Roman" w:cs="Times New Roman"/>
          <w:b/>
          <w:color w:val="3E3E3E"/>
          <w:sz w:val="22"/>
          <w:szCs w:val="22"/>
        </w:rPr>
        <w:t>Loi.</w:t>
      </w:r>
      <w:r>
        <w:rPr>
          <w:rFonts w:ascii="Times New Roman" w:hAnsi="Times New Roman" w:cs="Times New Roman"/>
          <w:color w:val="3E3E3E"/>
          <w:sz w:val="22"/>
          <w:szCs w:val="22"/>
        </w:rPr>
        <w:t xml:space="preserve"> La question s’est posée à savoir si ce genre de </w:t>
      </w:r>
      <w:r>
        <w:rPr>
          <w:rFonts w:ascii="Times New Roman" w:hAnsi="Times New Roman" w:cs="Times New Roman"/>
          <w:b/>
          <w:color w:val="3E3E3E"/>
          <w:sz w:val="22"/>
          <w:szCs w:val="22"/>
        </w:rPr>
        <w:t>Loi</w:t>
      </w:r>
      <w:r>
        <w:rPr>
          <w:rFonts w:ascii="Times New Roman" w:hAnsi="Times New Roman" w:cs="Times New Roman"/>
          <w:color w:val="3E3E3E"/>
          <w:sz w:val="22"/>
          <w:szCs w:val="22"/>
        </w:rPr>
        <w:t xml:space="preserve"> était </w:t>
      </w:r>
      <w:r w:rsidR="00D51CBD">
        <w:rPr>
          <w:rFonts w:ascii="Times New Roman" w:hAnsi="Times New Roman" w:cs="Times New Roman"/>
          <w:color w:val="3E3E3E"/>
          <w:sz w:val="22"/>
          <w:szCs w:val="22"/>
        </w:rPr>
        <w:t>constitutionnelle</w:t>
      </w:r>
      <w:r>
        <w:rPr>
          <w:rFonts w:ascii="Times New Roman" w:hAnsi="Times New Roman" w:cs="Times New Roman"/>
          <w:color w:val="3E3E3E"/>
          <w:sz w:val="22"/>
          <w:szCs w:val="22"/>
        </w:rPr>
        <w:t xml:space="preserve">. La Cour suprême est venue dire dans l’affaire </w:t>
      </w:r>
      <w:r>
        <w:rPr>
          <w:rFonts w:ascii="Times New Roman" w:hAnsi="Times New Roman" w:cs="Times New Roman"/>
          <w:b/>
          <w:color w:val="3E3E3E"/>
          <w:sz w:val="22"/>
          <w:szCs w:val="22"/>
        </w:rPr>
        <w:t>Hufsky</w:t>
      </w:r>
      <w:r>
        <w:rPr>
          <w:rFonts w:ascii="Times New Roman" w:hAnsi="Times New Roman" w:cs="Times New Roman"/>
          <w:color w:val="3E3E3E"/>
          <w:sz w:val="22"/>
          <w:szCs w:val="22"/>
        </w:rPr>
        <w:t xml:space="preserve"> que ce genre de Loi viole les droits fondamentaux, mais est </w:t>
      </w:r>
      <w:r>
        <w:rPr>
          <w:rFonts w:ascii="Times New Roman" w:hAnsi="Times New Roman" w:cs="Times New Roman"/>
          <w:b/>
          <w:color w:val="3E3E3E"/>
          <w:sz w:val="22"/>
          <w:szCs w:val="22"/>
        </w:rPr>
        <w:t>justifiée par l’article 1 de la Charte.</w:t>
      </w:r>
    </w:p>
    <w:p w14:paraId="70915B94" w14:textId="0AE8FB89" w:rsidR="008D1E3E" w:rsidRDefault="008D1E3E" w:rsidP="00BC295D">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b/>
          <w:i/>
          <w:color w:val="3E3E3E"/>
          <w:sz w:val="22"/>
          <w:szCs w:val="22"/>
        </w:rPr>
        <w:t xml:space="preserve">R. c. Hufsky [1988] </w:t>
      </w:r>
      <w:r>
        <w:rPr>
          <w:rFonts w:ascii="Times New Roman" w:hAnsi="Times New Roman" w:cs="Times New Roman"/>
          <w:color w:val="3E3E3E"/>
          <w:sz w:val="22"/>
          <w:szCs w:val="22"/>
        </w:rPr>
        <w:t>(p. 7)</w:t>
      </w:r>
    </w:p>
    <w:p w14:paraId="431154A4" w14:textId="0F5F06FC" w:rsidR="008D1E3E" w:rsidRPr="008D1E3E" w:rsidRDefault="008D1E3E" w:rsidP="00880034">
      <w:pPr>
        <w:pStyle w:val="Paragraphedeliste"/>
        <w:widowControl w:val="0"/>
        <w:numPr>
          <w:ilvl w:val="0"/>
          <w:numId w:val="17"/>
        </w:numPr>
        <w:autoSpaceDE w:val="0"/>
        <w:autoSpaceDN w:val="0"/>
        <w:adjustRightInd w:val="0"/>
        <w:spacing w:after="300" w:line="276" w:lineRule="auto"/>
        <w:jc w:val="both"/>
        <w:rPr>
          <w:rFonts w:ascii="Times New Roman" w:hAnsi="Times New Roman" w:cs="Times New Roman"/>
          <w:color w:val="3E3E3E"/>
          <w:sz w:val="22"/>
          <w:szCs w:val="22"/>
        </w:rPr>
      </w:pPr>
      <w:r w:rsidRPr="008D1E3E">
        <w:rPr>
          <w:rFonts w:ascii="Times New Roman" w:hAnsi="Times New Roman" w:cs="Times New Roman"/>
          <w:sz w:val="20"/>
          <w:szCs w:val="20"/>
        </w:rPr>
        <w:t>En réalisant les fins visées par la procédure de contrôles routiers ponctuels, dont la vérification de l'état ou de la "sobriété" du conducteur, l'agent était clairement dans l'exercice légitime de ses fonctions. Bien qu'autorisé par la loi et exécuté pour des fins légitimes, l'arrêt au hasard, effectué dans le but de procéder à un contrôle routier ponctuel, a néanmoins entraîné, à mon avis, une détention arbitraire parce qu'il n'y avait aucun critère de sélection des conducteurs à qui on demanderait de s'arrêter et de se soumettre au contrôle routier ponctuel. [para 16]</w:t>
      </w:r>
    </w:p>
    <w:p w14:paraId="4B9B9F2E" w14:textId="2FDAE0E6" w:rsidR="008D1E3E" w:rsidRPr="008D1E3E" w:rsidRDefault="008D1E3E" w:rsidP="00880034">
      <w:pPr>
        <w:pStyle w:val="Paragraphedeliste"/>
        <w:widowControl w:val="0"/>
        <w:numPr>
          <w:ilvl w:val="0"/>
          <w:numId w:val="17"/>
        </w:numPr>
        <w:autoSpaceDE w:val="0"/>
        <w:autoSpaceDN w:val="0"/>
        <w:adjustRightInd w:val="0"/>
        <w:spacing w:after="300" w:line="276" w:lineRule="auto"/>
        <w:jc w:val="both"/>
        <w:rPr>
          <w:rFonts w:ascii="Times New Roman" w:hAnsi="Times New Roman" w:cs="Times New Roman"/>
          <w:color w:val="3E3E3E"/>
          <w:sz w:val="22"/>
          <w:szCs w:val="22"/>
        </w:rPr>
      </w:pPr>
      <w:r w:rsidRPr="008D1E3E">
        <w:rPr>
          <w:rFonts w:ascii="Times New Roman" w:hAnsi="Times New Roman" w:cs="Times New Roman"/>
          <w:sz w:val="20"/>
          <w:szCs w:val="20"/>
        </w:rPr>
        <w:t xml:space="preserve">Il est maintenant nécessaire de se demander si le droit à la protection contre la détention arbitraire garanti par l'art. 9 de la </w:t>
      </w:r>
      <w:r w:rsidRPr="008D1E3E">
        <w:rPr>
          <w:rFonts w:ascii="Times New Roman" w:hAnsi="Times New Roman" w:cs="Times New Roman"/>
          <w:i/>
          <w:iCs/>
          <w:sz w:val="20"/>
          <w:szCs w:val="20"/>
        </w:rPr>
        <w:t>Charte</w:t>
      </w:r>
      <w:r w:rsidRPr="008D1E3E">
        <w:rPr>
          <w:rFonts w:ascii="Times New Roman" w:hAnsi="Times New Roman" w:cs="Times New Roman"/>
          <w:sz w:val="20"/>
          <w:szCs w:val="20"/>
        </w:rPr>
        <w:t xml:space="preserve"> peut, dans le cas du pouvoir d'arrêter des véhicules à moteur conféré par le par. 189a(1) du </w:t>
      </w:r>
      <w:r w:rsidRPr="008D1E3E">
        <w:rPr>
          <w:rFonts w:ascii="Times New Roman" w:hAnsi="Times New Roman" w:cs="Times New Roman"/>
          <w:i/>
          <w:iCs/>
          <w:sz w:val="20"/>
          <w:szCs w:val="20"/>
        </w:rPr>
        <w:t>Code de la route</w:t>
      </w:r>
      <w:r w:rsidRPr="008D1E3E">
        <w:rPr>
          <w:rFonts w:ascii="Times New Roman" w:hAnsi="Times New Roman" w:cs="Times New Roman"/>
          <w:sz w:val="20"/>
          <w:szCs w:val="20"/>
        </w:rPr>
        <w:t xml:space="preserve">, être restreint par une règle de droit, dans les limites qui soient raisonnables et dont la justification puisse démontrer dans le cadre d'une société libre et démocratique, au sens de l'article premier de la </w:t>
      </w:r>
      <w:r w:rsidRPr="008D1E3E">
        <w:rPr>
          <w:rFonts w:ascii="Times New Roman" w:hAnsi="Times New Roman" w:cs="Times New Roman"/>
          <w:i/>
          <w:iCs/>
          <w:sz w:val="20"/>
          <w:szCs w:val="20"/>
        </w:rPr>
        <w:t>Charte</w:t>
      </w:r>
      <w:r w:rsidRPr="008D1E3E">
        <w:rPr>
          <w:rFonts w:ascii="Times New Roman" w:hAnsi="Times New Roman" w:cs="Times New Roman"/>
          <w:sz w:val="20"/>
          <w:szCs w:val="20"/>
        </w:rPr>
        <w:t xml:space="preserve"> [para 17]</w:t>
      </w:r>
    </w:p>
    <w:p w14:paraId="07E679CA" w14:textId="16927879" w:rsidR="008D1E3E" w:rsidRPr="00D93B69" w:rsidRDefault="008D1E3E" w:rsidP="00880034">
      <w:pPr>
        <w:pStyle w:val="Paragraphedeliste"/>
        <w:widowControl w:val="0"/>
        <w:numPr>
          <w:ilvl w:val="0"/>
          <w:numId w:val="17"/>
        </w:numPr>
        <w:autoSpaceDE w:val="0"/>
        <w:autoSpaceDN w:val="0"/>
        <w:adjustRightInd w:val="0"/>
        <w:spacing w:after="300" w:line="276" w:lineRule="auto"/>
        <w:jc w:val="both"/>
        <w:rPr>
          <w:rFonts w:ascii="Times New Roman" w:hAnsi="Times New Roman" w:cs="Times New Roman"/>
          <w:color w:val="3E3E3E"/>
          <w:sz w:val="22"/>
          <w:szCs w:val="22"/>
        </w:rPr>
      </w:pPr>
      <w:r w:rsidRPr="008D1E3E">
        <w:rPr>
          <w:rFonts w:ascii="Times New Roman" w:hAnsi="Times New Roman" w:cs="Times New Roman"/>
          <w:sz w:val="20"/>
          <w:szCs w:val="20"/>
        </w:rPr>
        <w:t xml:space="preserve">Pour les motifs qui précèdent, je suis d'avis que l'arrêt au hasard du véhicule de l'appelant, afin de procéder à un contrôle routier ponctuel, constituait une atteinte justifiée au droit à la protection contre la détention arbitraire garanti par l'art. 9 de la </w:t>
      </w:r>
      <w:r w:rsidRPr="008D1E3E">
        <w:rPr>
          <w:rFonts w:ascii="Times New Roman" w:hAnsi="Times New Roman" w:cs="Times New Roman"/>
          <w:i/>
          <w:iCs/>
          <w:sz w:val="20"/>
          <w:szCs w:val="20"/>
        </w:rPr>
        <w:t>Charte</w:t>
      </w:r>
      <w:r w:rsidRPr="008D1E3E">
        <w:rPr>
          <w:rFonts w:ascii="Times New Roman" w:hAnsi="Times New Roman" w:cs="Times New Roman"/>
          <w:sz w:val="20"/>
          <w:szCs w:val="20"/>
        </w:rPr>
        <w:t>, aussi suis</w:t>
      </w:r>
      <w:r w:rsidRPr="008D1E3E">
        <w:rPr>
          <w:rFonts w:ascii="American Typewriter" w:hAnsi="American Typewriter" w:cs="American Typewriter"/>
          <w:sz w:val="20"/>
          <w:szCs w:val="20"/>
        </w:rPr>
        <w:t>‑</w:t>
      </w:r>
      <w:r w:rsidRPr="008D1E3E">
        <w:rPr>
          <w:rFonts w:ascii="Times New Roman" w:hAnsi="Times New Roman" w:cs="Times New Roman"/>
          <w:sz w:val="20"/>
          <w:szCs w:val="20"/>
        </w:rPr>
        <w:t>je d'avis de répondre par l'affirmative à la troisième question constitutionnelle. [para 24</w:t>
      </w:r>
      <w:r>
        <w:rPr>
          <w:rFonts w:ascii="Times New Roman" w:hAnsi="Times New Roman" w:cs="Times New Roman"/>
          <w:sz w:val="20"/>
          <w:szCs w:val="20"/>
        </w:rPr>
        <w:t>]</w:t>
      </w:r>
    </w:p>
    <w:p w14:paraId="5CD287D4" w14:textId="77777777" w:rsidR="00D93B69" w:rsidRPr="008D1E3E" w:rsidRDefault="00D93B69" w:rsidP="00D93B69">
      <w:pPr>
        <w:pStyle w:val="Paragraphedeliste"/>
        <w:widowControl w:val="0"/>
        <w:autoSpaceDE w:val="0"/>
        <w:autoSpaceDN w:val="0"/>
        <w:adjustRightInd w:val="0"/>
        <w:spacing w:after="300" w:line="276" w:lineRule="auto"/>
        <w:jc w:val="both"/>
        <w:rPr>
          <w:rFonts w:ascii="Times New Roman" w:hAnsi="Times New Roman" w:cs="Times New Roman"/>
          <w:color w:val="3E3E3E"/>
          <w:sz w:val="22"/>
          <w:szCs w:val="22"/>
        </w:rPr>
      </w:pPr>
    </w:p>
    <w:p w14:paraId="2A2D3B01" w14:textId="13B1BE50" w:rsidR="009773A3" w:rsidRDefault="008D1E3E" w:rsidP="008D1E3E">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Voir CODE DE LA SÉCURITÉ ROUTIÈRE ART. 636.1. (p. 8).</w:t>
      </w:r>
    </w:p>
    <w:p w14:paraId="29D1306D" w14:textId="1B912DD2" w:rsidR="008D1E3E" w:rsidRDefault="008D1E3E" w:rsidP="008D1E3E">
      <w:pPr>
        <w:widowControl w:val="0"/>
        <w:autoSpaceDE w:val="0"/>
        <w:autoSpaceDN w:val="0"/>
        <w:adjustRightInd w:val="0"/>
        <w:spacing w:after="300" w:line="276" w:lineRule="auto"/>
        <w:jc w:val="both"/>
        <w:rPr>
          <w:rFonts w:ascii="Times New Roman" w:hAnsi="Times New Roman" w:cs="Times New Roman"/>
          <w:i/>
          <w:color w:val="3E3E3E"/>
          <w:sz w:val="22"/>
          <w:szCs w:val="22"/>
        </w:rPr>
      </w:pPr>
      <w:r>
        <w:rPr>
          <w:rFonts w:ascii="Times New Roman" w:hAnsi="Times New Roman" w:cs="Times New Roman"/>
          <w:i/>
          <w:color w:val="3E3E3E"/>
          <w:sz w:val="22"/>
          <w:szCs w:val="22"/>
        </w:rPr>
        <w:t>B. Légalité des contrôles routiers aléatoires (p. 8).</w:t>
      </w:r>
    </w:p>
    <w:p w14:paraId="59882BD9" w14:textId="53BAFDFD" w:rsidR="009773A3" w:rsidRPr="009773A3" w:rsidRDefault="009773A3" w:rsidP="009773A3">
      <w:pPr>
        <w:jc w:val="both"/>
        <w:rPr>
          <w:rFonts w:ascii="Times New Roman" w:hAnsi="Times New Roman" w:cs="Times New Roman"/>
          <w:b/>
          <w:sz w:val="20"/>
          <w:szCs w:val="20"/>
        </w:rPr>
      </w:pPr>
      <w:r w:rsidRPr="009773A3">
        <w:rPr>
          <w:rFonts w:ascii="Times New Roman" w:hAnsi="Times New Roman" w:cs="Times New Roman"/>
          <w:sz w:val="20"/>
          <w:szCs w:val="20"/>
        </w:rPr>
        <w:t xml:space="preserve">Ce qu’il faut retenir des arrêts précités, c’est que c’est légale maintenant, l’arrestation au hasard d’un individu dans le cadre d’un barrage routier ; maintenant il reste à ce pencher sur la légalité des </w:t>
      </w:r>
      <w:r w:rsidRPr="009773A3">
        <w:rPr>
          <w:rFonts w:ascii="Times New Roman" w:hAnsi="Times New Roman" w:cs="Times New Roman"/>
          <w:b/>
          <w:sz w:val="20"/>
          <w:szCs w:val="20"/>
        </w:rPr>
        <w:t>contrôle routier au hasard.</w:t>
      </w:r>
    </w:p>
    <w:p w14:paraId="0002A1CC" w14:textId="77777777" w:rsidR="009773A3" w:rsidRPr="009773A3" w:rsidRDefault="009773A3" w:rsidP="009773A3">
      <w:pPr>
        <w:jc w:val="both"/>
        <w:rPr>
          <w:rFonts w:ascii="Times New Roman" w:hAnsi="Times New Roman" w:cs="Times New Roman"/>
          <w:sz w:val="20"/>
          <w:szCs w:val="20"/>
        </w:rPr>
      </w:pPr>
    </w:p>
    <w:p w14:paraId="0DF38B22" w14:textId="025B6E32" w:rsidR="009773A3" w:rsidRPr="009773A3" w:rsidRDefault="009773A3" w:rsidP="009773A3">
      <w:pPr>
        <w:jc w:val="both"/>
        <w:rPr>
          <w:rFonts w:ascii="Times New Roman" w:hAnsi="Times New Roman" w:cs="Times New Roman"/>
          <w:sz w:val="20"/>
          <w:szCs w:val="20"/>
        </w:rPr>
      </w:pPr>
      <w:r w:rsidRPr="009773A3">
        <w:rPr>
          <w:rFonts w:ascii="Times New Roman" w:hAnsi="Times New Roman" w:cs="Times New Roman"/>
          <w:sz w:val="20"/>
          <w:szCs w:val="20"/>
        </w:rPr>
        <w:t>La CSC vient dire que cela constitue une violation de la Charte en vertu de l’article 9. Mais, apparemment,</w:t>
      </w:r>
      <w:r>
        <w:rPr>
          <w:rFonts w:ascii="Times New Roman" w:hAnsi="Times New Roman" w:cs="Times New Roman"/>
          <w:sz w:val="20"/>
          <w:szCs w:val="20"/>
        </w:rPr>
        <w:t xml:space="preserve"> l’article 1 de la C</w:t>
      </w:r>
      <w:r w:rsidRPr="009773A3">
        <w:rPr>
          <w:rFonts w:ascii="Times New Roman" w:hAnsi="Times New Roman" w:cs="Times New Roman"/>
          <w:sz w:val="20"/>
          <w:szCs w:val="20"/>
        </w:rPr>
        <w:t>harte justifie à ce qu’une loi autorise les policiers à intercepter au hasard les automobilistes même s’il n’a pas de barrage routier.</w:t>
      </w:r>
    </w:p>
    <w:p w14:paraId="532D49ED" w14:textId="77777777" w:rsidR="009773A3" w:rsidRPr="009773A3" w:rsidRDefault="009773A3" w:rsidP="00880034">
      <w:pPr>
        <w:pStyle w:val="Paragraphedeliste"/>
        <w:numPr>
          <w:ilvl w:val="0"/>
          <w:numId w:val="18"/>
        </w:numPr>
        <w:jc w:val="both"/>
        <w:rPr>
          <w:rFonts w:ascii="Times New Roman" w:hAnsi="Times New Roman" w:cs="Times New Roman"/>
          <w:sz w:val="20"/>
          <w:szCs w:val="20"/>
        </w:rPr>
      </w:pPr>
      <w:r w:rsidRPr="009773A3">
        <w:rPr>
          <w:rFonts w:ascii="Times New Roman" w:hAnsi="Times New Roman" w:cs="Times New Roman"/>
          <w:sz w:val="20"/>
          <w:szCs w:val="20"/>
        </w:rPr>
        <w:t xml:space="preserve">La Cour mets quand même des limites : ils peuvent arrêter, mais uniquement à ce qui est relatif à la </w:t>
      </w:r>
      <w:r w:rsidRPr="009773A3">
        <w:rPr>
          <w:rFonts w:ascii="Times New Roman" w:hAnsi="Times New Roman" w:cs="Times New Roman"/>
          <w:b/>
          <w:sz w:val="20"/>
          <w:szCs w:val="20"/>
        </w:rPr>
        <w:t xml:space="preserve">sécurité routière : </w:t>
      </w:r>
      <w:r w:rsidRPr="009773A3">
        <w:rPr>
          <w:rFonts w:ascii="Times New Roman" w:hAnsi="Times New Roman" w:cs="Times New Roman"/>
          <w:sz w:val="20"/>
          <w:szCs w:val="20"/>
        </w:rPr>
        <w:t>papier du véhicule, état technique du véhicule (Muffler, etc.).</w:t>
      </w:r>
    </w:p>
    <w:p w14:paraId="0B3C2B12" w14:textId="77777777" w:rsidR="009773A3" w:rsidRPr="009773A3" w:rsidRDefault="009773A3" w:rsidP="009773A3">
      <w:pPr>
        <w:jc w:val="both"/>
        <w:rPr>
          <w:rFonts w:ascii="Times New Roman" w:hAnsi="Times New Roman" w:cs="Times New Roman"/>
          <w:sz w:val="20"/>
          <w:szCs w:val="20"/>
        </w:rPr>
      </w:pPr>
    </w:p>
    <w:p w14:paraId="2703B171" w14:textId="38C6D10F" w:rsidR="009773A3" w:rsidRDefault="009773A3" w:rsidP="009773A3">
      <w:pPr>
        <w:jc w:val="both"/>
        <w:rPr>
          <w:rFonts w:ascii="Times New Roman" w:hAnsi="Times New Roman" w:cs="Times New Roman"/>
          <w:b/>
          <w:sz w:val="20"/>
          <w:szCs w:val="20"/>
        </w:rPr>
      </w:pPr>
      <w:r w:rsidRPr="009773A3">
        <w:rPr>
          <w:rFonts w:ascii="Times New Roman" w:hAnsi="Times New Roman" w:cs="Times New Roman"/>
          <w:sz w:val="20"/>
          <w:szCs w:val="20"/>
        </w:rPr>
        <w:t xml:space="preserve">La police peut pas nous arrêter pour nous demande ce qu’on fait là, à la limite elle peut nous demander si on a bu, mais encore là, c’est douteux et nébuleux, car ça devient arbitraire comme arrestation. </w:t>
      </w:r>
      <w:r w:rsidRPr="009773A3">
        <w:rPr>
          <w:rFonts w:ascii="Times New Roman" w:hAnsi="Times New Roman" w:cs="Times New Roman"/>
          <w:b/>
          <w:sz w:val="20"/>
          <w:szCs w:val="20"/>
        </w:rPr>
        <w:t xml:space="preserve">Dans le cadre strict d’un interpellation pour vérification de sécurité ; permis de conduire, etc., peut pas de demander une sommation à souffler à moins d’avoir des motifs raisonnable de soupçonner que... </w:t>
      </w:r>
      <w:r w:rsidRPr="009773A3">
        <w:rPr>
          <w:rFonts w:ascii="Times New Roman" w:hAnsi="Times New Roman" w:cs="Times New Roman"/>
          <w:sz w:val="20"/>
          <w:szCs w:val="20"/>
        </w:rPr>
        <w:t>La CSC la bien rappeler dans</w:t>
      </w:r>
      <w:r>
        <w:rPr>
          <w:rFonts w:ascii="Times New Roman" w:hAnsi="Times New Roman" w:cs="Times New Roman"/>
          <w:sz w:val="20"/>
          <w:szCs w:val="20"/>
        </w:rPr>
        <w:t xml:space="preserve"> l’affaire </w:t>
      </w:r>
      <w:r w:rsidRPr="009773A3">
        <w:rPr>
          <w:rFonts w:ascii="Times New Roman" w:hAnsi="Times New Roman" w:cs="Times New Roman"/>
          <w:b/>
          <w:sz w:val="20"/>
          <w:szCs w:val="20"/>
        </w:rPr>
        <w:t>Ladouceur</w:t>
      </w:r>
      <w:r>
        <w:rPr>
          <w:rFonts w:ascii="Times New Roman" w:hAnsi="Times New Roman" w:cs="Times New Roman"/>
          <w:b/>
          <w:sz w:val="20"/>
          <w:szCs w:val="20"/>
        </w:rPr>
        <w:t>.</w:t>
      </w:r>
    </w:p>
    <w:p w14:paraId="7A44B453" w14:textId="77777777" w:rsidR="009773A3" w:rsidRDefault="009773A3" w:rsidP="009773A3">
      <w:pPr>
        <w:jc w:val="both"/>
        <w:rPr>
          <w:rFonts w:ascii="Times New Roman" w:hAnsi="Times New Roman" w:cs="Times New Roman"/>
          <w:b/>
          <w:sz w:val="20"/>
          <w:szCs w:val="20"/>
        </w:rPr>
      </w:pPr>
    </w:p>
    <w:p w14:paraId="3E4EFE7F" w14:textId="774B98AE" w:rsidR="009773A3" w:rsidRPr="009773A3" w:rsidRDefault="009773A3" w:rsidP="009773A3">
      <w:pPr>
        <w:jc w:val="both"/>
        <w:rPr>
          <w:rFonts w:ascii="Times New Roman" w:hAnsi="Times New Roman" w:cs="Times New Roman"/>
          <w:b/>
          <w:sz w:val="22"/>
          <w:szCs w:val="22"/>
        </w:rPr>
      </w:pPr>
      <w:r w:rsidRPr="009773A3">
        <w:rPr>
          <w:rFonts w:ascii="Times New Roman" w:hAnsi="Times New Roman" w:cs="Times New Roman"/>
          <w:b/>
          <w:i/>
          <w:sz w:val="22"/>
          <w:szCs w:val="22"/>
        </w:rPr>
        <w:t>R. c. Ladouceur [1990] (</w:t>
      </w:r>
      <w:r w:rsidRPr="009773A3">
        <w:rPr>
          <w:rFonts w:ascii="Times New Roman" w:hAnsi="Times New Roman" w:cs="Times New Roman"/>
          <w:b/>
          <w:sz w:val="22"/>
          <w:szCs w:val="22"/>
        </w:rPr>
        <w:t>p. 8).</w:t>
      </w:r>
    </w:p>
    <w:p w14:paraId="1A9F9609" w14:textId="660E8991" w:rsidR="009773A3" w:rsidRPr="009773A3" w:rsidRDefault="009773A3" w:rsidP="00880034">
      <w:pPr>
        <w:pStyle w:val="Paragraphedeliste"/>
        <w:numPr>
          <w:ilvl w:val="0"/>
          <w:numId w:val="18"/>
        </w:numPr>
        <w:jc w:val="both"/>
        <w:rPr>
          <w:rFonts w:ascii="Times New Roman" w:hAnsi="Times New Roman" w:cs="Times New Roman"/>
          <w:sz w:val="22"/>
          <w:szCs w:val="22"/>
        </w:rPr>
      </w:pPr>
      <w:r w:rsidRPr="009773A3">
        <w:rPr>
          <w:rFonts w:ascii="Times New Roman" w:hAnsi="Times New Roman" w:cs="Times New Roman"/>
          <w:sz w:val="20"/>
          <w:szCs w:val="20"/>
        </w:rPr>
        <w:t>En définitive, j'ai conclu que les vérifications de routine constituent une atteinte justifiable aux droits conférés par l'art. 9.</w:t>
      </w:r>
    </w:p>
    <w:p w14:paraId="56C05A1D" w14:textId="77777777" w:rsidR="009773A3" w:rsidRDefault="009773A3" w:rsidP="004D44A0">
      <w:pPr>
        <w:jc w:val="both"/>
        <w:rPr>
          <w:rFonts w:ascii="Times New Roman" w:hAnsi="Times New Roman" w:cs="Times New Roman"/>
          <w:sz w:val="22"/>
          <w:szCs w:val="22"/>
        </w:rPr>
      </w:pPr>
    </w:p>
    <w:p w14:paraId="64609F7B" w14:textId="77777777" w:rsidR="004D44A0" w:rsidRDefault="004D44A0" w:rsidP="004D44A0">
      <w:pPr>
        <w:jc w:val="both"/>
        <w:rPr>
          <w:rFonts w:ascii="Times New Roman" w:hAnsi="Times New Roman" w:cs="Times New Roman"/>
          <w:sz w:val="22"/>
          <w:szCs w:val="22"/>
        </w:rPr>
      </w:pPr>
    </w:p>
    <w:p w14:paraId="69D32E23" w14:textId="7617A091" w:rsidR="004D44A0" w:rsidRPr="004D44A0" w:rsidRDefault="004D44A0" w:rsidP="004D44A0">
      <w:pPr>
        <w:jc w:val="both"/>
        <w:rPr>
          <w:rFonts w:ascii="Times New Roman" w:hAnsi="Times New Roman" w:cs="Times New Roman"/>
          <w:sz w:val="22"/>
          <w:szCs w:val="22"/>
        </w:rPr>
      </w:pPr>
      <w:r>
        <w:rPr>
          <w:rFonts w:ascii="Times New Roman" w:hAnsi="Times New Roman" w:cs="Times New Roman"/>
          <w:b/>
          <w:i/>
          <w:sz w:val="22"/>
          <w:szCs w:val="22"/>
        </w:rPr>
        <w:t>R. c. Mellethin [1992]</w:t>
      </w:r>
      <w:r>
        <w:rPr>
          <w:rFonts w:ascii="Times New Roman" w:hAnsi="Times New Roman" w:cs="Times New Roman"/>
          <w:sz w:val="22"/>
          <w:szCs w:val="22"/>
        </w:rPr>
        <w:t xml:space="preserve"> (p.12).</w:t>
      </w:r>
    </w:p>
    <w:p w14:paraId="4455685A" w14:textId="10E4CF0B" w:rsidR="008D1E3E" w:rsidRDefault="00172CB4" w:rsidP="008D1E3E">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Les questions auxquelles devaient répondre la Cour suprême du Canada dans cette affaire sont les suivantes :</w:t>
      </w:r>
    </w:p>
    <w:p w14:paraId="023C3D09" w14:textId="4332889F" w:rsidR="00172CB4" w:rsidRPr="00172CB4" w:rsidRDefault="00172CB4" w:rsidP="008D1E3E">
      <w:pPr>
        <w:widowControl w:val="0"/>
        <w:autoSpaceDE w:val="0"/>
        <w:autoSpaceDN w:val="0"/>
        <w:adjustRightInd w:val="0"/>
        <w:spacing w:after="300" w:line="276" w:lineRule="auto"/>
        <w:jc w:val="both"/>
        <w:rPr>
          <w:rFonts w:ascii="Times New Roman" w:hAnsi="Times New Roman" w:cs="Times New Roman"/>
          <w:sz w:val="20"/>
          <w:szCs w:val="20"/>
        </w:rPr>
      </w:pPr>
      <w:r w:rsidRPr="00172CB4">
        <w:rPr>
          <w:rFonts w:ascii="Times New Roman" w:hAnsi="Times New Roman" w:cs="Times New Roman"/>
          <w:sz w:val="20"/>
          <w:szCs w:val="20"/>
        </w:rPr>
        <w:t xml:space="preserve">il s'agit de savoir (1) si l'appelant a été détenu au point de contrôle, (2) si la police a effectué une fouille abusive, et </w:t>
      </w:r>
    </w:p>
    <w:p w14:paraId="5C867ACA" w14:textId="04B00BDD" w:rsidR="00172CB4" w:rsidRDefault="00172CB4" w:rsidP="008D1E3E">
      <w:pPr>
        <w:widowControl w:val="0"/>
        <w:autoSpaceDE w:val="0"/>
        <w:autoSpaceDN w:val="0"/>
        <w:adjustRightInd w:val="0"/>
        <w:spacing w:after="300" w:line="276" w:lineRule="auto"/>
        <w:jc w:val="both"/>
        <w:rPr>
          <w:rFonts w:ascii="Times New Roman" w:hAnsi="Times New Roman" w:cs="Times New Roman"/>
          <w:sz w:val="20"/>
          <w:szCs w:val="20"/>
        </w:rPr>
      </w:pPr>
      <w:r w:rsidRPr="00172CB4">
        <w:rPr>
          <w:rFonts w:ascii="Times New Roman" w:hAnsi="Times New Roman" w:cs="Times New Roman"/>
          <w:sz w:val="20"/>
          <w:szCs w:val="20"/>
        </w:rPr>
        <w:t>(3) dans l'affirmative, si l'utilisation de la preuve est susceptible de déconsidérer l'administration de la justice</w:t>
      </w:r>
      <w:r>
        <w:rPr>
          <w:rFonts w:ascii="Times New Roman" w:hAnsi="Times New Roman" w:cs="Times New Roman"/>
          <w:sz w:val="20"/>
          <w:szCs w:val="20"/>
        </w:rPr>
        <w:t>.</w:t>
      </w:r>
    </w:p>
    <w:p w14:paraId="644C3AA6" w14:textId="6249B626" w:rsidR="00172CB4" w:rsidRDefault="00172CB4" w:rsidP="00880034">
      <w:pPr>
        <w:pStyle w:val="Paragraphedeliste"/>
        <w:widowControl w:val="0"/>
        <w:numPr>
          <w:ilvl w:val="0"/>
          <w:numId w:val="18"/>
        </w:numPr>
        <w:autoSpaceDE w:val="0"/>
        <w:autoSpaceDN w:val="0"/>
        <w:adjustRightInd w:val="0"/>
        <w:spacing w:after="300" w:line="276" w:lineRule="auto"/>
        <w:jc w:val="both"/>
        <w:rPr>
          <w:rFonts w:ascii="Times New Roman" w:hAnsi="Times New Roman" w:cs="Times New Roman"/>
          <w:sz w:val="20"/>
          <w:szCs w:val="20"/>
        </w:rPr>
      </w:pPr>
      <w:r w:rsidRPr="00172CB4">
        <w:rPr>
          <w:rFonts w:ascii="Times New Roman" w:hAnsi="Times New Roman" w:cs="Times New Roman"/>
          <w:sz w:val="20"/>
          <w:szCs w:val="20"/>
        </w:rPr>
        <w:t>Les programmes de contrôle routier, qui entraînent la détention arbitraire d'automobilistes, visent principalement à vérifier la sobriété des conducteurs, leur permis, leur certificat de propriété, leurs assurances et l'état mécanique de leur automobile.  Dans son recours aux contrôles routiers, la police devrait s'en tenir à ces objectifs.  Les programmes d'interpellation au hasard ne doivent pas permettre d'effectuer une enquête générale dénuée de tout fondement ou une fouille abusive</w:t>
      </w:r>
    </w:p>
    <w:p w14:paraId="478DE4DE" w14:textId="16EC60A3" w:rsidR="00172CB4" w:rsidRPr="00172CB4" w:rsidRDefault="00172CB4" w:rsidP="00880034">
      <w:pPr>
        <w:pStyle w:val="Paragraphedeliste"/>
        <w:numPr>
          <w:ilvl w:val="0"/>
          <w:numId w:val="18"/>
        </w:numPr>
        <w:jc w:val="both"/>
        <w:rPr>
          <w:rFonts w:ascii="Times New Roman" w:hAnsi="Times New Roman" w:cs="Times New Roman"/>
          <w:sz w:val="20"/>
          <w:szCs w:val="20"/>
        </w:rPr>
      </w:pPr>
      <w:r w:rsidRPr="00172CB4">
        <w:rPr>
          <w:rFonts w:ascii="Times New Roman" w:hAnsi="Times New Roman" w:cs="Times New Roman"/>
          <w:sz w:val="20"/>
          <w:szCs w:val="20"/>
        </w:rPr>
        <w:t>Les questions de la police sur le sac de sport de l'appelant et la fouille de son sac et de son véhicule étaient tous des éléments d'une fouille.  Étant donné qu'elle a été effectuée sans la justification requise des motifs raisonnables et probables, cette fouille était abusive et contraire à l'art. </w:t>
      </w:r>
      <w:hyperlink r:id="rId9" w:anchor="art8" w:history="1">
        <w:r w:rsidRPr="00172CB4">
          <w:rPr>
            <w:rStyle w:val="Lienhypertexte"/>
            <w:rFonts w:ascii="Times New Roman" w:hAnsi="Times New Roman" w:cs="Times New Roman"/>
            <w:sz w:val="20"/>
            <w:szCs w:val="20"/>
          </w:rPr>
          <w:t>8</w:t>
        </w:r>
      </w:hyperlink>
      <w:r w:rsidRPr="00172CB4">
        <w:rPr>
          <w:rFonts w:ascii="Times New Roman" w:hAnsi="Times New Roman" w:cs="Times New Roman"/>
          <w:sz w:val="20"/>
          <w:szCs w:val="20"/>
        </w:rPr>
        <w:t xml:space="preserve"> de la </w:t>
      </w:r>
      <w:r w:rsidRPr="00172CB4">
        <w:rPr>
          <w:rFonts w:ascii="Times New Roman" w:hAnsi="Times New Roman" w:cs="Times New Roman"/>
          <w:i/>
          <w:iCs/>
          <w:sz w:val="20"/>
          <w:szCs w:val="20"/>
        </w:rPr>
        <w:t>Charte canadienne des droits et libertés</w:t>
      </w:r>
      <w:r w:rsidRPr="00172CB4">
        <w:rPr>
          <w:rFonts w:ascii="Times New Roman" w:hAnsi="Times New Roman" w:cs="Times New Roman"/>
          <w:sz w:val="20"/>
          <w:szCs w:val="20"/>
        </w:rPr>
        <w:t>.</w:t>
      </w:r>
      <w:r>
        <w:rPr>
          <w:rFonts w:ascii="Times New Roman" w:hAnsi="Times New Roman" w:cs="Times New Roman"/>
          <w:sz w:val="20"/>
          <w:szCs w:val="20"/>
        </w:rPr>
        <w:t xml:space="preserve"> </w:t>
      </w:r>
    </w:p>
    <w:p w14:paraId="74A39C94" w14:textId="77777777" w:rsidR="0033070F" w:rsidRDefault="0033070F" w:rsidP="00880034">
      <w:pPr>
        <w:pStyle w:val="Paragraphedeliste"/>
        <w:numPr>
          <w:ilvl w:val="0"/>
          <w:numId w:val="18"/>
        </w:numPr>
        <w:jc w:val="both"/>
        <w:rPr>
          <w:rFonts w:ascii="Times New Roman" w:hAnsi="Times New Roman" w:cs="Times New Roman"/>
          <w:sz w:val="20"/>
          <w:szCs w:val="20"/>
        </w:rPr>
      </w:pPr>
      <w:r w:rsidRPr="0033070F">
        <w:rPr>
          <w:rFonts w:ascii="Times New Roman" w:hAnsi="Times New Roman" w:cs="Times New Roman"/>
          <w:sz w:val="20"/>
          <w:szCs w:val="20"/>
        </w:rPr>
        <w:t xml:space="preserve">La fouille d'une personne interpellée à un point de contrôle, sans motif raisonnable ou probable, dépasse de loin l'objectif et le but des ces interpellations et constitue une violation très grave de la </w:t>
      </w:r>
      <w:r w:rsidRPr="0033070F">
        <w:rPr>
          <w:rFonts w:ascii="Times New Roman" w:hAnsi="Times New Roman" w:cs="Times New Roman"/>
          <w:i/>
          <w:iCs/>
          <w:sz w:val="20"/>
          <w:szCs w:val="20"/>
        </w:rPr>
        <w:t>Charte</w:t>
      </w:r>
      <w:r w:rsidRPr="0033070F">
        <w:rPr>
          <w:rFonts w:ascii="Times New Roman" w:hAnsi="Times New Roman" w:cs="Times New Roman"/>
          <w:sz w:val="20"/>
          <w:szCs w:val="20"/>
        </w:rPr>
        <w:t>.  Les droits conférés à la police de mettre en {oe}uvre des programmes de contrôle routier ou d'interpellation au hasard d'automobilistes ne devraient pas être élargis.</w:t>
      </w:r>
    </w:p>
    <w:p w14:paraId="50C39303" w14:textId="5BF77BCA" w:rsidR="00A80E44" w:rsidRPr="00A80E44" w:rsidRDefault="00A80E44" w:rsidP="00880034">
      <w:pPr>
        <w:pStyle w:val="Paragraphedeliste"/>
        <w:numPr>
          <w:ilvl w:val="0"/>
          <w:numId w:val="18"/>
        </w:numPr>
        <w:jc w:val="both"/>
        <w:rPr>
          <w:rFonts w:ascii="Times New Roman" w:hAnsi="Times New Roman" w:cs="Times New Roman"/>
          <w:sz w:val="20"/>
          <w:szCs w:val="20"/>
        </w:rPr>
      </w:pPr>
      <w:r w:rsidRPr="00024807">
        <w:rPr>
          <w:sz w:val="20"/>
          <w:szCs w:val="20"/>
        </w:rPr>
        <w:t>La fouille abusive effectuée en l'espèce est exactement le genre de fouille qui, d'après ce que la Cour a voulu préciser, est inacceptable.  Un contrôle routier ne constitue pas et ne saurait constituer un mandat de perquisition général permettant de fouiller les conducteurs à qui l'on demande de s'immobiliser,</w:t>
      </w:r>
      <w:r>
        <w:rPr>
          <w:sz w:val="20"/>
          <w:szCs w:val="20"/>
        </w:rPr>
        <w:t xml:space="preserve"> leur véhicule et les passagers, et ce, même en l’absence de mauvaise foi de la part des policiers.</w:t>
      </w:r>
    </w:p>
    <w:p w14:paraId="00110336" w14:textId="77777777" w:rsidR="00A80E44" w:rsidRPr="00A80E44" w:rsidRDefault="00A80E44" w:rsidP="00A80E44">
      <w:pPr>
        <w:pStyle w:val="Paragraphedeliste"/>
        <w:jc w:val="both"/>
        <w:rPr>
          <w:rFonts w:ascii="Times New Roman" w:hAnsi="Times New Roman" w:cs="Times New Roman"/>
          <w:sz w:val="20"/>
          <w:szCs w:val="20"/>
        </w:rPr>
      </w:pPr>
    </w:p>
    <w:p w14:paraId="1C702552" w14:textId="1865BE87" w:rsidR="00A80E44" w:rsidRDefault="00A80E44" w:rsidP="00A80E44">
      <w:pPr>
        <w:jc w:val="both"/>
        <w:rPr>
          <w:rFonts w:ascii="Times New Roman" w:hAnsi="Times New Roman" w:cs="Times New Roman"/>
          <w:sz w:val="22"/>
          <w:szCs w:val="22"/>
        </w:rPr>
      </w:pPr>
      <w:r>
        <w:rPr>
          <w:rFonts w:ascii="Times New Roman" w:hAnsi="Times New Roman" w:cs="Times New Roman"/>
          <w:sz w:val="22"/>
          <w:szCs w:val="22"/>
        </w:rPr>
        <w:t>En définitive, la CSC en vient qu’à rejeter la preuve obtenu dans le véhicule de l’inculpé (</w:t>
      </w:r>
      <w:r>
        <w:rPr>
          <w:rFonts w:ascii="Times New Roman" w:hAnsi="Times New Roman" w:cs="Times New Roman"/>
          <w:i/>
          <w:sz w:val="22"/>
          <w:szCs w:val="22"/>
        </w:rPr>
        <w:t xml:space="preserve">substance illicite ; manifestement, de l’huile de cannabis sativa-l), </w:t>
      </w:r>
      <w:r>
        <w:rPr>
          <w:rFonts w:ascii="Times New Roman" w:hAnsi="Times New Roman" w:cs="Times New Roman"/>
          <w:sz w:val="22"/>
          <w:szCs w:val="22"/>
        </w:rPr>
        <w:t xml:space="preserve">car elle </w:t>
      </w:r>
      <w:r w:rsidRPr="00A80E44">
        <w:rPr>
          <w:rFonts w:ascii="Times New Roman" w:hAnsi="Times New Roman" w:cs="Times New Roman"/>
          <w:b/>
          <w:sz w:val="22"/>
          <w:szCs w:val="22"/>
        </w:rPr>
        <w:t>ne peut</w:t>
      </w:r>
      <w:r>
        <w:rPr>
          <w:rFonts w:ascii="Times New Roman" w:hAnsi="Times New Roman" w:cs="Times New Roman"/>
          <w:sz w:val="22"/>
          <w:szCs w:val="22"/>
        </w:rPr>
        <w:t xml:space="preserve"> </w:t>
      </w:r>
      <w:r>
        <w:rPr>
          <w:rFonts w:ascii="Times New Roman" w:hAnsi="Times New Roman" w:cs="Times New Roman"/>
          <w:b/>
          <w:sz w:val="22"/>
          <w:szCs w:val="22"/>
        </w:rPr>
        <w:t>cautionner la pêche à la preuve</w:t>
      </w:r>
      <w:r>
        <w:rPr>
          <w:rFonts w:ascii="Times New Roman" w:hAnsi="Times New Roman" w:cs="Times New Roman"/>
          <w:sz w:val="22"/>
          <w:szCs w:val="22"/>
        </w:rPr>
        <w:t xml:space="preserve"> des policiers.</w:t>
      </w:r>
    </w:p>
    <w:p w14:paraId="124B1078" w14:textId="77777777" w:rsidR="00A80E44" w:rsidRDefault="00A80E44" w:rsidP="00A80E44">
      <w:pPr>
        <w:jc w:val="both"/>
        <w:rPr>
          <w:rFonts w:ascii="Times New Roman" w:hAnsi="Times New Roman" w:cs="Times New Roman"/>
          <w:sz w:val="22"/>
          <w:szCs w:val="22"/>
        </w:rPr>
      </w:pPr>
    </w:p>
    <w:p w14:paraId="68E23BA2" w14:textId="77777777" w:rsidR="00A80E44" w:rsidRDefault="00A80E44" w:rsidP="00A80E44">
      <w:pPr>
        <w:jc w:val="both"/>
        <w:rPr>
          <w:rFonts w:ascii="Times New Roman" w:hAnsi="Times New Roman" w:cs="Times New Roman"/>
          <w:sz w:val="22"/>
          <w:szCs w:val="22"/>
        </w:rPr>
      </w:pPr>
    </w:p>
    <w:p w14:paraId="4CB77C3C" w14:textId="3C1092BC" w:rsidR="00A80E44" w:rsidRDefault="00A80E44" w:rsidP="00F57302">
      <w:pPr>
        <w:jc w:val="both"/>
        <w:rPr>
          <w:rFonts w:ascii="Times New Roman" w:hAnsi="Times New Roman" w:cs="Times New Roman"/>
          <w:i/>
          <w:sz w:val="22"/>
          <w:szCs w:val="22"/>
        </w:rPr>
      </w:pPr>
      <w:r>
        <w:rPr>
          <w:rFonts w:ascii="Times New Roman" w:hAnsi="Times New Roman" w:cs="Times New Roman"/>
          <w:i/>
          <w:sz w:val="22"/>
          <w:szCs w:val="22"/>
        </w:rPr>
        <w:t>C. Les contrôles «réactifs» des constables en de voir (p.13).</w:t>
      </w:r>
    </w:p>
    <w:p w14:paraId="62D9F828" w14:textId="520DB257" w:rsidR="00F57302" w:rsidRDefault="00F57302" w:rsidP="00F57302">
      <w:pPr>
        <w:jc w:val="both"/>
        <w:rPr>
          <w:rFonts w:ascii="Times New Roman" w:hAnsi="Times New Roman" w:cs="Times New Roman"/>
          <w:sz w:val="22"/>
          <w:szCs w:val="22"/>
        </w:rPr>
      </w:pPr>
      <w:r>
        <w:rPr>
          <w:rFonts w:ascii="Times New Roman" w:hAnsi="Times New Roman" w:cs="Times New Roman"/>
          <w:sz w:val="22"/>
          <w:szCs w:val="22"/>
        </w:rPr>
        <w:t>On parle ici des cas ou un individu viol sciemment le Code de la route.</w:t>
      </w:r>
    </w:p>
    <w:p w14:paraId="2B9CE2FD" w14:textId="77777777" w:rsidR="00172CB4" w:rsidRDefault="00172CB4" w:rsidP="00F57302">
      <w:pPr>
        <w:widowControl w:val="0"/>
        <w:autoSpaceDE w:val="0"/>
        <w:autoSpaceDN w:val="0"/>
        <w:adjustRightInd w:val="0"/>
        <w:spacing w:after="300" w:line="276" w:lineRule="auto"/>
        <w:jc w:val="both"/>
        <w:rPr>
          <w:rFonts w:ascii="Times New Roman" w:hAnsi="Times New Roman" w:cs="Times New Roman"/>
          <w:sz w:val="22"/>
          <w:szCs w:val="22"/>
        </w:rPr>
      </w:pPr>
    </w:p>
    <w:p w14:paraId="3861594A" w14:textId="766587BE" w:rsidR="00F57302" w:rsidRDefault="00F57302" w:rsidP="00F57302">
      <w:pPr>
        <w:widowControl w:val="0"/>
        <w:autoSpaceDE w:val="0"/>
        <w:autoSpaceDN w:val="0"/>
        <w:adjustRightInd w:val="0"/>
        <w:spacing w:after="300"/>
        <w:jc w:val="both"/>
        <w:rPr>
          <w:rFonts w:ascii="Times New Roman" w:hAnsi="Times New Roman" w:cs="Times New Roman"/>
          <w:i/>
          <w:sz w:val="22"/>
          <w:szCs w:val="22"/>
        </w:rPr>
      </w:pPr>
      <w:r>
        <w:rPr>
          <w:rFonts w:ascii="Times New Roman" w:hAnsi="Times New Roman" w:cs="Times New Roman"/>
          <w:i/>
          <w:sz w:val="22"/>
          <w:szCs w:val="22"/>
        </w:rPr>
        <w:t>D. Les limites possibles aux interceptions de véhicules et les enquêtes policières (p.14).</w:t>
      </w:r>
    </w:p>
    <w:p w14:paraId="11CE05F4" w14:textId="4959C739" w:rsidR="00F57302" w:rsidRDefault="00F57302" w:rsidP="00F57302">
      <w:pPr>
        <w:jc w:val="both"/>
        <w:rPr>
          <w:rFonts w:ascii="Times New Roman" w:hAnsi="Times New Roman" w:cs="Times New Roman"/>
          <w:b/>
          <w:sz w:val="22"/>
          <w:szCs w:val="22"/>
        </w:rPr>
      </w:pPr>
      <w:r w:rsidRPr="00F57302">
        <w:rPr>
          <w:rFonts w:ascii="Times New Roman" w:hAnsi="Times New Roman" w:cs="Times New Roman"/>
          <w:sz w:val="22"/>
          <w:szCs w:val="22"/>
        </w:rPr>
        <w:t>Si la police interroge le conducteur au delà, autre qu’à des fins de sécurité routière, bien les preuves éventuelles</w:t>
      </w:r>
      <w:r>
        <w:rPr>
          <w:rFonts w:ascii="Times New Roman" w:hAnsi="Times New Roman" w:cs="Times New Roman"/>
          <w:sz w:val="22"/>
          <w:szCs w:val="22"/>
        </w:rPr>
        <w:t>,</w:t>
      </w:r>
      <w:r w:rsidRPr="00F57302">
        <w:rPr>
          <w:rFonts w:ascii="Times New Roman" w:hAnsi="Times New Roman" w:cs="Times New Roman"/>
          <w:sz w:val="22"/>
          <w:szCs w:val="22"/>
        </w:rPr>
        <w:t xml:space="preserve"> intercepté</w:t>
      </w:r>
      <w:r>
        <w:rPr>
          <w:rFonts w:ascii="Times New Roman" w:hAnsi="Times New Roman" w:cs="Times New Roman"/>
          <w:sz w:val="22"/>
          <w:szCs w:val="22"/>
        </w:rPr>
        <w:t xml:space="preserve"> si l’on veut,</w:t>
      </w:r>
      <w:r w:rsidRPr="00F57302">
        <w:rPr>
          <w:rFonts w:ascii="Times New Roman" w:hAnsi="Times New Roman" w:cs="Times New Roman"/>
          <w:sz w:val="22"/>
          <w:szCs w:val="22"/>
        </w:rPr>
        <w:t xml:space="preserve"> pourrait potentiellement se faire rejeter</w:t>
      </w:r>
      <w:r>
        <w:rPr>
          <w:rFonts w:ascii="Times New Roman" w:hAnsi="Times New Roman" w:cs="Times New Roman"/>
          <w:sz w:val="22"/>
          <w:szCs w:val="22"/>
        </w:rPr>
        <w:t xml:space="preserve"> en cour</w:t>
      </w:r>
      <w:r w:rsidRPr="00F57302">
        <w:rPr>
          <w:rFonts w:ascii="Times New Roman" w:hAnsi="Times New Roman" w:cs="Times New Roman"/>
          <w:sz w:val="22"/>
          <w:szCs w:val="22"/>
        </w:rPr>
        <w:t xml:space="preserve">, sauf si le policier a des </w:t>
      </w:r>
      <w:r w:rsidRPr="00F57302">
        <w:rPr>
          <w:rFonts w:ascii="Times New Roman" w:hAnsi="Times New Roman" w:cs="Times New Roman"/>
          <w:b/>
          <w:sz w:val="22"/>
          <w:szCs w:val="22"/>
        </w:rPr>
        <w:t>motifs raisonnable de croire qu’il y a eu infraction</w:t>
      </w:r>
      <w:r>
        <w:rPr>
          <w:rFonts w:ascii="Times New Roman" w:hAnsi="Times New Roman" w:cs="Times New Roman"/>
          <w:b/>
          <w:sz w:val="22"/>
          <w:szCs w:val="22"/>
        </w:rPr>
        <w:t>.</w:t>
      </w:r>
    </w:p>
    <w:p w14:paraId="5F8340CC" w14:textId="6D7A85E5" w:rsidR="00F57302" w:rsidRPr="00F57302" w:rsidRDefault="00F57302" w:rsidP="00880034">
      <w:pPr>
        <w:pStyle w:val="Paragraphedeliste"/>
        <w:numPr>
          <w:ilvl w:val="0"/>
          <w:numId w:val="19"/>
        </w:numPr>
        <w:jc w:val="both"/>
        <w:rPr>
          <w:rFonts w:ascii="Times New Roman" w:hAnsi="Times New Roman" w:cs="Times New Roman"/>
          <w:sz w:val="22"/>
          <w:szCs w:val="22"/>
        </w:rPr>
      </w:pPr>
      <w:r>
        <w:rPr>
          <w:rFonts w:ascii="Times New Roman" w:hAnsi="Times New Roman" w:cs="Times New Roman"/>
          <w:sz w:val="20"/>
          <w:szCs w:val="20"/>
        </w:rPr>
        <w:t>Tout est un question d’appréciation des circonstances et de la preuve soumise à chaque cas.</w:t>
      </w:r>
    </w:p>
    <w:p w14:paraId="27C71531" w14:textId="77777777" w:rsidR="00F57302" w:rsidRDefault="00F57302" w:rsidP="00F57302">
      <w:pPr>
        <w:jc w:val="both"/>
      </w:pPr>
    </w:p>
    <w:p w14:paraId="07FC8FC7" w14:textId="7D990DB2" w:rsidR="00F57302" w:rsidRDefault="00F57302" w:rsidP="00F57302">
      <w:pPr>
        <w:widowControl w:val="0"/>
        <w:autoSpaceDE w:val="0"/>
        <w:autoSpaceDN w:val="0"/>
        <w:adjustRightInd w:val="0"/>
        <w:spacing w:after="300"/>
        <w:jc w:val="both"/>
        <w:rPr>
          <w:rFonts w:ascii="Times New Roman" w:hAnsi="Times New Roman" w:cs="Times New Roman"/>
          <w:i/>
          <w:sz w:val="22"/>
          <w:szCs w:val="22"/>
        </w:rPr>
      </w:pPr>
      <w:r>
        <w:rPr>
          <w:rFonts w:ascii="Times New Roman" w:hAnsi="Times New Roman" w:cs="Times New Roman"/>
          <w:sz w:val="22"/>
          <w:szCs w:val="22"/>
        </w:rPr>
        <w:t xml:space="preserve">En effet, le policier pourra également fouiller le véhicule si, suite à l’interception, il obtient légalement des motifs raisonnables de le faire. L’arrêt </w:t>
      </w:r>
      <w:r>
        <w:rPr>
          <w:rFonts w:ascii="Times New Roman" w:hAnsi="Times New Roman" w:cs="Times New Roman"/>
          <w:b/>
          <w:sz w:val="22"/>
          <w:szCs w:val="22"/>
        </w:rPr>
        <w:t>Belnavis</w:t>
      </w:r>
      <w:r>
        <w:rPr>
          <w:rFonts w:ascii="Times New Roman" w:hAnsi="Times New Roman" w:cs="Times New Roman"/>
          <w:sz w:val="22"/>
          <w:szCs w:val="22"/>
        </w:rPr>
        <w:t xml:space="preserve"> en témoigne (</w:t>
      </w:r>
      <w:r>
        <w:rPr>
          <w:rFonts w:ascii="Times New Roman" w:hAnsi="Times New Roman" w:cs="Times New Roman"/>
          <w:i/>
          <w:sz w:val="22"/>
          <w:szCs w:val="22"/>
        </w:rPr>
        <w:t>bien que douteux selon le professeur Stylios).</w:t>
      </w:r>
    </w:p>
    <w:p w14:paraId="106A5F82" w14:textId="4461638A" w:rsidR="00CC1802" w:rsidRDefault="00CC1802" w:rsidP="00F57302">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b/>
          <w:i/>
          <w:sz w:val="22"/>
          <w:szCs w:val="22"/>
        </w:rPr>
        <w:t xml:space="preserve">R. c. Belnavis, [1997] </w:t>
      </w:r>
      <w:r>
        <w:rPr>
          <w:rFonts w:ascii="Times New Roman" w:hAnsi="Times New Roman" w:cs="Times New Roman"/>
          <w:sz w:val="22"/>
          <w:szCs w:val="22"/>
        </w:rPr>
        <w:t>(p.14).</w:t>
      </w:r>
    </w:p>
    <w:p w14:paraId="28BBB6D2" w14:textId="6430E113" w:rsidR="00CC1802" w:rsidRDefault="00CC1802" w:rsidP="00F57302">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La notion d’attente raisonnable au respect de la vie privé et l’article 8 de la Charte y sont traités dans cet arrêt.</w:t>
      </w:r>
    </w:p>
    <w:p w14:paraId="2DCB1D54" w14:textId="54FABA25" w:rsidR="00CC1802" w:rsidRPr="00CC1802" w:rsidRDefault="00CC1802" w:rsidP="00880034">
      <w:pPr>
        <w:pStyle w:val="Paragraphedeliste"/>
        <w:widowControl w:val="0"/>
        <w:numPr>
          <w:ilvl w:val="0"/>
          <w:numId w:val="19"/>
        </w:numPr>
        <w:autoSpaceDE w:val="0"/>
        <w:autoSpaceDN w:val="0"/>
        <w:adjustRightInd w:val="0"/>
        <w:spacing w:after="300"/>
        <w:jc w:val="both"/>
        <w:rPr>
          <w:rFonts w:ascii="Times New Roman" w:hAnsi="Times New Roman" w:cs="Times New Roman"/>
          <w:sz w:val="22"/>
          <w:szCs w:val="22"/>
        </w:rPr>
      </w:pPr>
      <w:r w:rsidRPr="00CC1802">
        <w:rPr>
          <w:rFonts w:ascii="Times New Roman" w:hAnsi="Times New Roman" w:cs="Times New Roman"/>
          <w:sz w:val="20"/>
          <w:szCs w:val="20"/>
        </w:rPr>
        <w:t>L’attente raisonnable en matière de vie privée qu’a la personne qui se trouve dans une automobile est sensiblement moindre que celle de la personne qui se trouve dans sa résidence ou au bureau et cette attente est d’autant plus réduite lorsque l’automobile appartient à une autre personne.</w:t>
      </w:r>
    </w:p>
    <w:p w14:paraId="02CDA5B5" w14:textId="03D3555A" w:rsidR="00CC1802" w:rsidRPr="00CC1802" w:rsidRDefault="00CC1802" w:rsidP="00880034">
      <w:pPr>
        <w:pStyle w:val="Paragraphedeliste"/>
        <w:widowControl w:val="0"/>
        <w:numPr>
          <w:ilvl w:val="0"/>
          <w:numId w:val="19"/>
        </w:numPr>
        <w:autoSpaceDE w:val="0"/>
        <w:autoSpaceDN w:val="0"/>
        <w:adjustRightInd w:val="0"/>
        <w:spacing w:after="300"/>
        <w:jc w:val="both"/>
        <w:rPr>
          <w:rFonts w:ascii="Times New Roman" w:hAnsi="Times New Roman" w:cs="Times New Roman"/>
          <w:sz w:val="22"/>
          <w:szCs w:val="22"/>
        </w:rPr>
      </w:pPr>
      <w:r w:rsidRPr="00CC1802">
        <w:rPr>
          <w:rFonts w:ascii="Times New Roman" w:hAnsi="Times New Roman" w:cs="Times New Roman"/>
          <w:sz w:val="20"/>
          <w:szCs w:val="20"/>
        </w:rPr>
        <w:t>Malgré l’existence de motifs raisonnables et probables, une fouille ou perquisition sans mandat viole l’art. 8 en l’absence d’une règle de droit constitutionnellement valide qui autorise une telle fouille ou perquisition</w:t>
      </w:r>
      <w:r>
        <w:rPr>
          <w:rFonts w:ascii="Times New Roman" w:hAnsi="Times New Roman" w:cs="Times New Roman"/>
          <w:sz w:val="20"/>
          <w:szCs w:val="20"/>
        </w:rPr>
        <w:t>.</w:t>
      </w:r>
    </w:p>
    <w:p w14:paraId="4F14D043" w14:textId="2332E705" w:rsidR="00CC1802" w:rsidRDefault="00CC1802" w:rsidP="00CC1802">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La dissidence en partie du juge Iaccobuci semble plus conforme à l’état du droit :</w:t>
      </w:r>
    </w:p>
    <w:p w14:paraId="046AFC3C" w14:textId="06CB27AE" w:rsidR="00CC1802" w:rsidRPr="00D47E63" w:rsidRDefault="00CC1802" w:rsidP="00880034">
      <w:pPr>
        <w:pStyle w:val="Paragraphedeliste"/>
        <w:widowControl w:val="0"/>
        <w:numPr>
          <w:ilvl w:val="0"/>
          <w:numId w:val="20"/>
        </w:numPr>
        <w:autoSpaceDE w:val="0"/>
        <w:autoSpaceDN w:val="0"/>
        <w:adjustRightInd w:val="0"/>
        <w:spacing w:after="300"/>
        <w:jc w:val="both"/>
        <w:rPr>
          <w:rFonts w:ascii="Times New Roman" w:hAnsi="Times New Roman" w:cs="Times New Roman"/>
          <w:sz w:val="22"/>
          <w:szCs w:val="22"/>
        </w:rPr>
      </w:pPr>
      <w:r w:rsidRPr="00CC1802">
        <w:rPr>
          <w:rFonts w:ascii="Times New Roman" w:hAnsi="Times New Roman" w:cs="Times New Roman"/>
          <w:sz w:val="20"/>
          <w:szCs w:val="20"/>
        </w:rPr>
        <w:t>La conclusion que le policier n’avait pas de motifs raisonnables et probables de fouiller le véhicule n’était pas déraisonnable.  Les motifs qui ont incité le policier à effectuer cette fouille doivent être évalués du point de vue de la fouille initiale.  La seule présence, sur le siège arrière, de sacs à déchets contenant des vêtements neufs ne constituait pas objectivement des motifs raisonnables et probables d’effectuer la fouille de ces sacs.  On pourrait faire les mêmes observations au sujet de la présence d’une croyance subjective à l’existence de motifs raisonnables et probables.  Vu la preuve contradictoire concernant la croyance subjective, une cour d’appel ne peut dire avec certitude qu’il y avait une croyance subjective à l’existence de motifs raisonnables et probables ou que le juge du procès a agi de façon déraisonnable en ne concluant pas qu’ils existaient.</w:t>
      </w:r>
    </w:p>
    <w:p w14:paraId="60CDC079" w14:textId="57B6AE8E" w:rsidR="00D47E63" w:rsidRDefault="00D47E63" w:rsidP="00D47E63">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La dissidence du juge La Forest, quant à elle, est catégorique sur l’atteinte aux droits garantis par la Charte et l’assouplissement de la norme des motifs raisonnables et probables :</w:t>
      </w:r>
    </w:p>
    <w:p w14:paraId="094E400E" w14:textId="77777777" w:rsidR="00D47E63" w:rsidRDefault="00D47E63" w:rsidP="00880034">
      <w:pPr>
        <w:pStyle w:val="Paragraphedeliste"/>
        <w:numPr>
          <w:ilvl w:val="0"/>
          <w:numId w:val="20"/>
        </w:numPr>
        <w:jc w:val="both"/>
        <w:rPr>
          <w:rFonts w:ascii="Times New Roman" w:hAnsi="Times New Roman" w:cs="Times New Roman"/>
          <w:sz w:val="20"/>
          <w:szCs w:val="20"/>
        </w:rPr>
      </w:pPr>
      <w:r w:rsidRPr="00D47E63">
        <w:rPr>
          <w:rFonts w:ascii="Times New Roman" w:hAnsi="Times New Roman" w:cs="Times New Roman"/>
          <w:sz w:val="20"/>
          <w:szCs w:val="20"/>
        </w:rPr>
        <w:t xml:space="preserve">La norme invoquée par les juges majoritaires, à savoir que la police peut fouiller une automobile lorsqu’il ressort de l’«ensemble des circonstances»  qu’elle peut raisonnablement empiéter sur les attentes en matière de vie privée qu’un passager a relativement aux biens qu’il transporte avec lui est bien moins stricte que la norme traditionnelle des motifs raisonnables et probables.  Une norme aussi vague n’offre presque pas de protection aux citoyens contre l’ingérence policière et a également de graves conséquences sur l’application égale de la loi.  Une autre raison de rejeter le critère de l’«ensemble des circonstances» est qu’il établit des distinctions fondées sur les liens personnels qui existent entre des personnes et mine le fait que l’art. 8 de la </w:t>
      </w:r>
      <w:r w:rsidRPr="00D47E63">
        <w:rPr>
          <w:rFonts w:ascii="Times New Roman" w:hAnsi="Times New Roman" w:cs="Times New Roman"/>
          <w:i/>
          <w:iCs/>
          <w:sz w:val="20"/>
          <w:szCs w:val="20"/>
        </w:rPr>
        <w:t>Charte</w:t>
      </w:r>
      <w:r w:rsidRPr="00D47E63">
        <w:rPr>
          <w:rFonts w:ascii="Times New Roman" w:hAnsi="Times New Roman" w:cs="Times New Roman"/>
          <w:sz w:val="20"/>
          <w:szCs w:val="20"/>
        </w:rPr>
        <w:t xml:space="preserve"> s’applique à chacun.</w:t>
      </w:r>
    </w:p>
    <w:p w14:paraId="16536BF5" w14:textId="77777777" w:rsidR="00D47E63" w:rsidRPr="00D47E63" w:rsidRDefault="00D47E63" w:rsidP="00D47E63">
      <w:pPr>
        <w:jc w:val="both"/>
        <w:rPr>
          <w:rFonts w:ascii="Times New Roman" w:hAnsi="Times New Roman" w:cs="Times New Roman"/>
          <w:sz w:val="20"/>
          <w:szCs w:val="20"/>
        </w:rPr>
      </w:pPr>
    </w:p>
    <w:p w14:paraId="34E2AFD2" w14:textId="431771DF" w:rsidR="00D47E63" w:rsidRPr="00D51CBD" w:rsidRDefault="00D47E63" w:rsidP="00D47E63">
      <w:pPr>
        <w:ind w:left="360"/>
        <w:jc w:val="both"/>
        <w:rPr>
          <w:b/>
          <w:sz w:val="22"/>
          <w:szCs w:val="22"/>
        </w:rPr>
      </w:pPr>
    </w:p>
    <w:p w14:paraId="3F4DF750" w14:textId="777DA13F" w:rsidR="00D47E63" w:rsidRDefault="00D47E63" w:rsidP="00F57302">
      <w:pPr>
        <w:widowControl w:val="0"/>
        <w:autoSpaceDE w:val="0"/>
        <w:autoSpaceDN w:val="0"/>
        <w:adjustRightInd w:val="0"/>
        <w:spacing w:after="300" w:line="276" w:lineRule="auto"/>
        <w:jc w:val="both"/>
        <w:rPr>
          <w:rFonts w:ascii="Times New Roman" w:hAnsi="Times New Roman" w:cs="Times New Roman"/>
          <w:sz w:val="22"/>
          <w:szCs w:val="22"/>
        </w:rPr>
      </w:pPr>
      <w:r w:rsidRPr="00D51CBD">
        <w:rPr>
          <w:rFonts w:ascii="Times New Roman" w:hAnsi="Times New Roman" w:cs="Times New Roman"/>
          <w:b/>
          <w:i/>
          <w:sz w:val="22"/>
          <w:szCs w:val="22"/>
        </w:rPr>
        <w:t xml:space="preserve">R. c. Nolet, 2010 CSC 24 </w:t>
      </w:r>
      <w:r w:rsidRPr="00D51CBD">
        <w:rPr>
          <w:rFonts w:ascii="Times New Roman" w:hAnsi="Times New Roman" w:cs="Times New Roman"/>
          <w:sz w:val="22"/>
          <w:szCs w:val="22"/>
        </w:rPr>
        <w:t>(p.17)</w:t>
      </w:r>
    </w:p>
    <w:p w14:paraId="05297E25" w14:textId="77777777" w:rsidR="00267544" w:rsidRDefault="00D51CBD" w:rsidP="00267544">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Les faits :</w:t>
      </w:r>
    </w:p>
    <w:p w14:paraId="10FFD03F" w14:textId="23D8F569" w:rsidR="00D51CBD" w:rsidRPr="00267544" w:rsidRDefault="00D51CBD" w:rsidP="00267544">
      <w:pPr>
        <w:widowControl w:val="0"/>
        <w:autoSpaceDE w:val="0"/>
        <w:autoSpaceDN w:val="0"/>
        <w:adjustRightInd w:val="0"/>
        <w:spacing w:after="300"/>
        <w:jc w:val="both"/>
        <w:rPr>
          <w:rFonts w:ascii="Times New Roman" w:hAnsi="Times New Roman" w:cs="Times New Roman"/>
          <w:sz w:val="22"/>
          <w:szCs w:val="22"/>
        </w:rPr>
      </w:pPr>
      <w:r w:rsidRPr="00D51CBD">
        <w:rPr>
          <w:rFonts w:ascii="Times New Roman" w:hAnsi="Times New Roman" w:cs="Times New Roman"/>
          <w:sz w:val="20"/>
          <w:szCs w:val="20"/>
        </w:rPr>
        <w:t>Ce pourvoi porte sur les pouvoirs de la police en matière de fouilles accessoires à des interceptions de véhicules effectuées au hasard en vertu d’une Loi de la Saskatchewan, et en particulier sur la question de savoir si, en l’espèce, la conduite de la police constituait un abus de ses pouvoirs d’interception et de fouille qui rendait les éléments de preuve relatifs au trafic de stupéfiants et les « produits de la criminalité » inadmissibles en vertu de l’art. 8 ou de l’art. </w:t>
      </w:r>
      <w:hyperlink r:id="rId10" w:anchor="art9" w:history="1">
        <w:r w:rsidRPr="00D51CBD">
          <w:rPr>
            <w:rStyle w:val="Lienhypertexte"/>
            <w:rFonts w:ascii="Times New Roman" w:hAnsi="Times New Roman" w:cs="Times New Roman"/>
            <w:sz w:val="20"/>
            <w:szCs w:val="20"/>
          </w:rPr>
          <w:t>9</w:t>
        </w:r>
      </w:hyperlink>
      <w:r w:rsidRPr="00D51CBD">
        <w:rPr>
          <w:rFonts w:ascii="Times New Roman" w:hAnsi="Times New Roman" w:cs="Times New Roman"/>
          <w:sz w:val="20"/>
          <w:szCs w:val="20"/>
        </w:rPr>
        <w:t xml:space="preserve"> de la </w:t>
      </w:r>
      <w:r w:rsidRPr="00D51CBD">
        <w:rPr>
          <w:rFonts w:ascii="Times New Roman" w:hAnsi="Times New Roman" w:cs="Times New Roman"/>
          <w:i/>
          <w:iCs/>
          <w:sz w:val="20"/>
          <w:szCs w:val="20"/>
        </w:rPr>
        <w:t>Charte canadienne des droits et libertés</w:t>
      </w:r>
      <w:r w:rsidRPr="00D51CBD">
        <w:rPr>
          <w:rFonts w:ascii="Times New Roman" w:hAnsi="Times New Roman" w:cs="Times New Roman"/>
          <w:sz w:val="20"/>
          <w:szCs w:val="20"/>
        </w:rPr>
        <w:t>.</w:t>
      </w:r>
    </w:p>
    <w:p w14:paraId="230D2CC2" w14:textId="34E39314" w:rsidR="00D51CBD" w:rsidRPr="00D51CBD" w:rsidRDefault="00D51CBD" w:rsidP="00880034">
      <w:pPr>
        <w:pStyle w:val="Paragraphedeliste"/>
        <w:numPr>
          <w:ilvl w:val="0"/>
          <w:numId w:val="20"/>
        </w:numPr>
        <w:jc w:val="both"/>
        <w:rPr>
          <w:rFonts w:ascii="Times New Roman" w:hAnsi="Times New Roman" w:cs="Times New Roman"/>
          <w:sz w:val="20"/>
          <w:szCs w:val="20"/>
        </w:rPr>
      </w:pPr>
      <w:r w:rsidRPr="00D51CBD">
        <w:rPr>
          <w:rFonts w:ascii="Times New Roman" w:hAnsi="Times New Roman" w:cs="Times New Roman"/>
          <w:b/>
          <w:sz w:val="20"/>
          <w:szCs w:val="20"/>
        </w:rPr>
        <w:t>Les contrôles aléatoires</w:t>
      </w:r>
      <w:r w:rsidRPr="00D51CBD">
        <w:rPr>
          <w:rFonts w:ascii="Times New Roman" w:hAnsi="Times New Roman" w:cs="Times New Roman"/>
          <w:sz w:val="20"/>
          <w:szCs w:val="20"/>
        </w:rPr>
        <w:t xml:space="preserve"> de véhicules effectués dans le </w:t>
      </w:r>
      <w:r w:rsidRPr="00D51CBD">
        <w:rPr>
          <w:rFonts w:ascii="Times New Roman" w:hAnsi="Times New Roman" w:cs="Times New Roman"/>
          <w:b/>
          <w:sz w:val="20"/>
          <w:szCs w:val="20"/>
        </w:rPr>
        <w:t>cadre de la législation sur la circulation routière doivent certes être limités à l’objectif auquel ils répondent et l’on ne saurait en faire «  une enquête générale dénuée de tout fondement ou une fouille abusive </w:t>
      </w:r>
      <w:r w:rsidRPr="00D51CBD">
        <w:rPr>
          <w:rFonts w:ascii="Times New Roman" w:hAnsi="Times New Roman" w:cs="Times New Roman"/>
          <w:sz w:val="20"/>
          <w:szCs w:val="20"/>
        </w:rPr>
        <w:t xml:space="preserve">» : </w:t>
      </w:r>
      <w:r w:rsidRPr="00D51CBD">
        <w:rPr>
          <w:rFonts w:ascii="Times New Roman" w:hAnsi="Times New Roman" w:cs="Times New Roman"/>
          <w:i/>
          <w:iCs/>
          <w:sz w:val="20"/>
          <w:szCs w:val="20"/>
        </w:rPr>
        <w:t>R. c. Mellenthin</w:t>
      </w:r>
      <w:r w:rsidRPr="00D51CBD">
        <w:rPr>
          <w:rFonts w:ascii="Times New Roman" w:hAnsi="Times New Roman" w:cs="Times New Roman"/>
          <w:sz w:val="20"/>
          <w:szCs w:val="20"/>
        </w:rPr>
        <w:t xml:space="preserve">, </w:t>
      </w:r>
      <w:hyperlink r:id="rId11" w:history="1">
        <w:r w:rsidRPr="00D51CBD">
          <w:rPr>
            <w:rStyle w:val="Lienhypertexte"/>
            <w:rFonts w:ascii="Times New Roman" w:hAnsi="Times New Roman" w:cs="Times New Roman"/>
            <w:sz w:val="20"/>
            <w:szCs w:val="20"/>
          </w:rPr>
          <w:t>1992 CanLII 50 (CSC)</w:t>
        </w:r>
      </w:hyperlink>
      <w:r w:rsidRPr="00D51CBD">
        <w:rPr>
          <w:rFonts w:ascii="Times New Roman" w:hAnsi="Times New Roman" w:cs="Times New Roman"/>
          <w:sz w:val="20"/>
          <w:szCs w:val="20"/>
        </w:rPr>
        <w:t>, [1992] 3 R.C.S. 615, p. 624. [para 3]</w:t>
      </w:r>
    </w:p>
    <w:p w14:paraId="4C007F4C" w14:textId="78BBE137" w:rsidR="00D51CBD" w:rsidRPr="00D51CBD" w:rsidRDefault="00D51CBD" w:rsidP="00880034">
      <w:pPr>
        <w:pStyle w:val="Paragraphedeliste"/>
        <w:numPr>
          <w:ilvl w:val="0"/>
          <w:numId w:val="20"/>
        </w:numPr>
        <w:jc w:val="both"/>
        <w:rPr>
          <w:rFonts w:ascii="Times New Roman" w:hAnsi="Times New Roman" w:cs="Times New Roman"/>
          <w:sz w:val="20"/>
          <w:szCs w:val="20"/>
        </w:rPr>
      </w:pPr>
      <w:r w:rsidRPr="00D51CBD">
        <w:rPr>
          <w:rFonts w:ascii="Times New Roman" w:hAnsi="Times New Roman" w:cs="Times New Roman"/>
          <w:sz w:val="20"/>
          <w:szCs w:val="20"/>
        </w:rPr>
        <w:t xml:space="preserve">Le présent pourvoi porte essentiellement sur l’épineuse question des fouilles effectuées sans mandat lors d’un contrôle routier aléatoire.  </w:t>
      </w:r>
      <w:r w:rsidRPr="00D51CBD">
        <w:rPr>
          <w:rFonts w:ascii="Times New Roman" w:hAnsi="Times New Roman" w:cs="Times New Roman"/>
          <w:b/>
          <w:sz w:val="20"/>
          <w:szCs w:val="20"/>
        </w:rPr>
        <w:t xml:space="preserve">Une fouille sans mandat est présumée abusive et contraire à l’art. 8 de la </w:t>
      </w:r>
      <w:r w:rsidRPr="00D51CBD">
        <w:rPr>
          <w:rFonts w:ascii="Times New Roman" w:hAnsi="Times New Roman" w:cs="Times New Roman"/>
          <w:b/>
          <w:i/>
          <w:iCs/>
          <w:sz w:val="20"/>
          <w:szCs w:val="20"/>
        </w:rPr>
        <w:t>Charte</w:t>
      </w:r>
      <w:r w:rsidRPr="00D51CBD">
        <w:rPr>
          <w:rFonts w:ascii="Times New Roman" w:hAnsi="Times New Roman" w:cs="Times New Roman"/>
          <w:b/>
          <w:sz w:val="20"/>
          <w:szCs w:val="20"/>
        </w:rPr>
        <w:t>, qui garantit à chacun le « droit à la protection contre les fouilles, les perquisitions ou les saisies abusive</w:t>
      </w:r>
      <w:r w:rsidRPr="00D51CBD">
        <w:rPr>
          <w:rFonts w:ascii="Times New Roman" w:hAnsi="Times New Roman" w:cs="Times New Roman"/>
          <w:sz w:val="20"/>
          <w:szCs w:val="20"/>
        </w:rPr>
        <w:t>s ».  En l’absence d’un mandat, le ministère public doit établir selon la prépondérance des probabilités que la fouille était autorisée par la loi, que celle</w:t>
      </w:r>
      <w:r w:rsidRPr="00D51CBD">
        <w:rPr>
          <w:rFonts w:ascii="Palatino" w:hAnsi="Palatino" w:cs="Palatino"/>
          <w:sz w:val="20"/>
          <w:szCs w:val="20"/>
        </w:rPr>
        <w:t>‑</w:t>
      </w:r>
      <w:r w:rsidRPr="00D51CBD">
        <w:rPr>
          <w:rFonts w:ascii="Times New Roman" w:hAnsi="Times New Roman" w:cs="Times New Roman"/>
          <w:sz w:val="20"/>
          <w:szCs w:val="20"/>
        </w:rPr>
        <w:t xml:space="preserve">ci n’avait rien d’abusif et que la fouille n’a pas été effectuée d’une manière abusive : </w:t>
      </w:r>
      <w:r w:rsidRPr="00D51CBD">
        <w:rPr>
          <w:rFonts w:ascii="Times New Roman" w:hAnsi="Times New Roman" w:cs="Times New Roman"/>
          <w:i/>
          <w:iCs/>
          <w:sz w:val="20"/>
          <w:szCs w:val="20"/>
        </w:rPr>
        <w:t>R. c. Collins</w:t>
      </w:r>
      <w:r w:rsidRPr="00D51CBD">
        <w:rPr>
          <w:rFonts w:ascii="Times New Roman" w:hAnsi="Times New Roman" w:cs="Times New Roman"/>
          <w:sz w:val="20"/>
          <w:szCs w:val="20"/>
        </w:rPr>
        <w:t xml:space="preserve"> [1987] 1 R.C.S. 265, p. 278, et </w:t>
      </w:r>
      <w:r w:rsidRPr="00D51CBD">
        <w:rPr>
          <w:rFonts w:ascii="Times New Roman" w:hAnsi="Times New Roman" w:cs="Times New Roman"/>
          <w:i/>
          <w:iCs/>
          <w:sz w:val="20"/>
          <w:szCs w:val="20"/>
        </w:rPr>
        <w:t>R. c. Caslake</w:t>
      </w:r>
      <w:r w:rsidRPr="00D51CBD">
        <w:rPr>
          <w:rFonts w:ascii="Times New Roman" w:hAnsi="Times New Roman" w:cs="Times New Roman"/>
          <w:sz w:val="20"/>
          <w:szCs w:val="20"/>
        </w:rPr>
        <w:t>,</w:t>
      </w:r>
      <w:r>
        <w:rPr>
          <w:rFonts w:ascii="Times New Roman" w:hAnsi="Times New Roman" w:cs="Times New Roman"/>
          <w:sz w:val="20"/>
          <w:szCs w:val="20"/>
        </w:rPr>
        <w:t xml:space="preserve"> </w:t>
      </w:r>
      <w:r w:rsidRPr="00D51CBD">
        <w:rPr>
          <w:rFonts w:ascii="Times New Roman" w:hAnsi="Times New Roman" w:cs="Times New Roman"/>
          <w:sz w:val="20"/>
          <w:szCs w:val="20"/>
        </w:rPr>
        <w:t>[1998] 1 R.C.S. 51, par. 10.</w:t>
      </w:r>
    </w:p>
    <w:p w14:paraId="798EA129" w14:textId="69685ECF" w:rsidR="00D51CBD" w:rsidRPr="00D51CBD" w:rsidRDefault="00D51CBD" w:rsidP="00880034">
      <w:pPr>
        <w:pStyle w:val="Paragraphedeliste"/>
        <w:numPr>
          <w:ilvl w:val="0"/>
          <w:numId w:val="20"/>
        </w:numPr>
        <w:jc w:val="both"/>
        <w:rPr>
          <w:rFonts w:ascii="Times New Roman" w:hAnsi="Times New Roman" w:cs="Times New Roman"/>
          <w:sz w:val="20"/>
          <w:szCs w:val="20"/>
        </w:rPr>
      </w:pPr>
      <w:r w:rsidRPr="00D51CBD">
        <w:rPr>
          <w:rFonts w:ascii="Times New Roman" w:hAnsi="Times New Roman" w:cs="Times New Roman"/>
          <w:b/>
          <w:sz w:val="20"/>
          <w:szCs w:val="20"/>
        </w:rPr>
        <w:t xml:space="preserve">L’interception au hasard d’un véhicule sur la route constitue par définition une détention arbitraire : </w:t>
      </w:r>
      <w:r w:rsidRPr="00D51CBD">
        <w:rPr>
          <w:rFonts w:ascii="Times New Roman" w:hAnsi="Times New Roman" w:cs="Times New Roman"/>
          <w:i/>
          <w:iCs/>
          <w:sz w:val="20"/>
          <w:szCs w:val="20"/>
        </w:rPr>
        <w:t>Dedman c. La Reine</w:t>
      </w:r>
      <w:r w:rsidRPr="00D51CBD">
        <w:rPr>
          <w:rFonts w:ascii="Times New Roman" w:hAnsi="Times New Roman" w:cs="Times New Roman"/>
          <w:sz w:val="20"/>
          <w:szCs w:val="20"/>
        </w:rPr>
        <w:t xml:space="preserve">, [1985] 2 R.C.S. 2; </w:t>
      </w:r>
      <w:r w:rsidRPr="00D51CBD">
        <w:rPr>
          <w:rFonts w:ascii="Times New Roman" w:hAnsi="Times New Roman" w:cs="Times New Roman"/>
          <w:i/>
          <w:iCs/>
          <w:sz w:val="20"/>
          <w:szCs w:val="20"/>
        </w:rPr>
        <w:t>R. c. Hufsky</w:t>
      </w:r>
      <w:r w:rsidRPr="00D51CBD">
        <w:rPr>
          <w:rFonts w:ascii="Times New Roman" w:hAnsi="Times New Roman" w:cs="Times New Roman"/>
          <w:sz w:val="20"/>
          <w:szCs w:val="20"/>
        </w:rPr>
        <w:t xml:space="preserve">,[1988] 1 R.C.S. 621; </w:t>
      </w:r>
      <w:r w:rsidRPr="00D51CBD">
        <w:rPr>
          <w:rFonts w:ascii="Times New Roman" w:hAnsi="Times New Roman" w:cs="Times New Roman"/>
          <w:i/>
          <w:iCs/>
          <w:sz w:val="20"/>
          <w:szCs w:val="20"/>
        </w:rPr>
        <w:t>R. c. Ladouceur</w:t>
      </w:r>
      <w:r w:rsidRPr="00D51CBD">
        <w:rPr>
          <w:rFonts w:ascii="Times New Roman" w:hAnsi="Times New Roman" w:cs="Times New Roman"/>
          <w:sz w:val="20"/>
          <w:szCs w:val="20"/>
        </w:rPr>
        <w:t>,[1990] 1 R.C.S. 1257 (ci</w:t>
      </w:r>
      <w:r w:rsidRPr="00D51CBD">
        <w:rPr>
          <w:rFonts w:ascii="Palatino" w:hAnsi="Palatino" w:cs="Palatino"/>
          <w:sz w:val="20"/>
          <w:szCs w:val="20"/>
        </w:rPr>
        <w:t>‑</w:t>
      </w:r>
      <w:r w:rsidRPr="00D51CBD">
        <w:rPr>
          <w:rFonts w:ascii="Times New Roman" w:hAnsi="Times New Roman" w:cs="Times New Roman"/>
          <w:sz w:val="20"/>
          <w:szCs w:val="20"/>
        </w:rPr>
        <w:t>après « </w:t>
      </w:r>
      <w:r w:rsidRPr="00D51CBD">
        <w:rPr>
          <w:rFonts w:ascii="Times New Roman" w:hAnsi="Times New Roman" w:cs="Times New Roman"/>
          <w:i/>
          <w:iCs/>
          <w:sz w:val="20"/>
          <w:szCs w:val="20"/>
        </w:rPr>
        <w:t>Ladouceur (Ont.)</w:t>
      </w:r>
      <w:r w:rsidRPr="00D51CBD">
        <w:rPr>
          <w:rFonts w:ascii="Times New Roman" w:hAnsi="Times New Roman" w:cs="Times New Roman"/>
          <w:sz w:val="20"/>
          <w:szCs w:val="20"/>
        </w:rPr>
        <w:t xml:space="preserve"> »); </w:t>
      </w:r>
      <w:r w:rsidRPr="00D51CBD">
        <w:rPr>
          <w:rFonts w:ascii="Times New Roman" w:hAnsi="Times New Roman" w:cs="Times New Roman"/>
          <w:i/>
          <w:iCs/>
          <w:sz w:val="20"/>
          <w:szCs w:val="20"/>
        </w:rPr>
        <w:t>Mellenthin</w:t>
      </w:r>
      <w:r w:rsidRPr="00D51CBD">
        <w:rPr>
          <w:rFonts w:ascii="Times New Roman" w:hAnsi="Times New Roman" w:cs="Times New Roman"/>
          <w:sz w:val="20"/>
          <w:szCs w:val="20"/>
        </w:rPr>
        <w:t xml:space="preserve">; et </w:t>
      </w:r>
      <w:r w:rsidRPr="00D51CBD">
        <w:rPr>
          <w:rFonts w:ascii="Times New Roman" w:hAnsi="Times New Roman" w:cs="Times New Roman"/>
          <w:i/>
          <w:iCs/>
          <w:sz w:val="20"/>
          <w:szCs w:val="20"/>
        </w:rPr>
        <w:t>R. c. Harris</w:t>
      </w:r>
      <w:r w:rsidRPr="00D51CBD">
        <w:rPr>
          <w:rFonts w:ascii="Times New Roman" w:hAnsi="Times New Roman" w:cs="Times New Roman"/>
          <w:sz w:val="20"/>
          <w:szCs w:val="20"/>
        </w:rPr>
        <w:t xml:space="preserve">, </w:t>
      </w:r>
      <w:r>
        <w:rPr>
          <w:rFonts w:ascii="Times New Roman" w:hAnsi="Times New Roman" w:cs="Times New Roman"/>
          <w:sz w:val="20"/>
          <w:szCs w:val="20"/>
        </w:rPr>
        <w:t>2007 ONCA 574</w:t>
      </w:r>
      <w:r w:rsidRPr="00D51CBD">
        <w:rPr>
          <w:rFonts w:ascii="Times New Roman" w:hAnsi="Times New Roman" w:cs="Times New Roman"/>
          <w:sz w:val="20"/>
          <w:szCs w:val="20"/>
        </w:rPr>
        <w:t>. </w:t>
      </w:r>
      <w:r w:rsidRPr="00D51CBD">
        <w:rPr>
          <w:rFonts w:ascii="Times New Roman" w:hAnsi="Times New Roman" w:cs="Times New Roman"/>
          <w:b/>
          <w:sz w:val="20"/>
          <w:szCs w:val="20"/>
        </w:rPr>
        <w:t xml:space="preserve"> La détention ne sera justifiée au regard de l’article premier de la </w:t>
      </w:r>
      <w:r w:rsidRPr="00D51CBD">
        <w:rPr>
          <w:rFonts w:ascii="Times New Roman" w:hAnsi="Times New Roman" w:cs="Times New Roman"/>
          <w:b/>
          <w:i/>
          <w:iCs/>
          <w:sz w:val="20"/>
          <w:szCs w:val="20"/>
        </w:rPr>
        <w:t>Charte</w:t>
      </w:r>
      <w:r w:rsidRPr="00D51CBD">
        <w:rPr>
          <w:rFonts w:ascii="Times New Roman" w:hAnsi="Times New Roman" w:cs="Times New Roman"/>
          <w:b/>
          <w:sz w:val="20"/>
          <w:szCs w:val="20"/>
        </w:rPr>
        <w:t xml:space="preserve"> (</w:t>
      </w:r>
      <w:r w:rsidRPr="00D51CBD">
        <w:rPr>
          <w:rFonts w:ascii="Times New Roman" w:hAnsi="Times New Roman" w:cs="Times New Roman"/>
          <w:b/>
          <w:i/>
          <w:iCs/>
          <w:sz w:val="20"/>
          <w:szCs w:val="20"/>
        </w:rPr>
        <w:t>Hufsky</w:t>
      </w:r>
      <w:r w:rsidRPr="00D51CBD">
        <w:rPr>
          <w:rFonts w:ascii="Times New Roman" w:hAnsi="Times New Roman" w:cs="Times New Roman"/>
          <w:b/>
          <w:sz w:val="20"/>
          <w:szCs w:val="20"/>
        </w:rPr>
        <w:t>, p. 637) que si la police agit dans le cadre des objectifs limités relevant de la réglementation routière en fonction desquels les pouvoirs ont été conférés (</w:t>
      </w:r>
      <w:r w:rsidRPr="00D51CBD">
        <w:rPr>
          <w:rFonts w:ascii="Times New Roman" w:hAnsi="Times New Roman" w:cs="Times New Roman"/>
          <w:b/>
          <w:i/>
          <w:iCs/>
          <w:sz w:val="20"/>
          <w:szCs w:val="20"/>
        </w:rPr>
        <w:t>Ladouceur (Ont.)</w:t>
      </w:r>
      <w:r w:rsidRPr="00D51CBD">
        <w:rPr>
          <w:rFonts w:ascii="Times New Roman" w:hAnsi="Times New Roman" w:cs="Times New Roman"/>
          <w:b/>
          <w:sz w:val="20"/>
          <w:szCs w:val="20"/>
        </w:rPr>
        <w:t>, le juge Cory, p. 1287).</w:t>
      </w:r>
    </w:p>
    <w:p w14:paraId="27083A49" w14:textId="63F51FED" w:rsidR="00D51CBD" w:rsidRDefault="00D51CBD" w:rsidP="00880034">
      <w:pPr>
        <w:pStyle w:val="Paragraphedeliste"/>
        <w:widowControl w:val="0"/>
        <w:numPr>
          <w:ilvl w:val="0"/>
          <w:numId w:val="20"/>
        </w:numPr>
        <w:autoSpaceDE w:val="0"/>
        <w:autoSpaceDN w:val="0"/>
        <w:adjustRightInd w:val="0"/>
        <w:spacing w:after="300"/>
        <w:jc w:val="both"/>
        <w:rPr>
          <w:rFonts w:ascii="Times New Roman" w:hAnsi="Times New Roman" w:cs="Times New Roman"/>
          <w:sz w:val="20"/>
          <w:szCs w:val="20"/>
        </w:rPr>
      </w:pPr>
      <w:r w:rsidRPr="00D51CBD">
        <w:rPr>
          <w:rFonts w:ascii="Times New Roman" w:hAnsi="Times New Roman" w:cs="Times New Roman"/>
          <w:sz w:val="20"/>
          <w:szCs w:val="20"/>
        </w:rPr>
        <w:t>Les interceptions au hasard de véhicules doivent être limitées aux objectifs auxquels elles répondent.  « Un contrôle routier ne constitue pas et ne saurait constituer un mandat de perquisition général permettant de fouiller les conducteurs à qui l’on demande de s’immobiliser,</w:t>
      </w:r>
      <w:r>
        <w:rPr>
          <w:rFonts w:ascii="Times New Roman" w:hAnsi="Times New Roman" w:cs="Times New Roman"/>
          <w:sz w:val="20"/>
          <w:szCs w:val="20"/>
        </w:rPr>
        <w:t xml:space="preserve"> leur véhicule et les passagers.</w:t>
      </w:r>
    </w:p>
    <w:p w14:paraId="031F5938" w14:textId="153227B4" w:rsidR="00D51CBD" w:rsidRPr="00D51CBD" w:rsidRDefault="00D51CBD" w:rsidP="00880034">
      <w:pPr>
        <w:pStyle w:val="Paragraphedeliste"/>
        <w:widowControl w:val="0"/>
        <w:numPr>
          <w:ilvl w:val="0"/>
          <w:numId w:val="20"/>
        </w:numPr>
        <w:autoSpaceDE w:val="0"/>
        <w:autoSpaceDN w:val="0"/>
        <w:adjustRightInd w:val="0"/>
        <w:spacing w:after="300"/>
        <w:jc w:val="both"/>
        <w:rPr>
          <w:rFonts w:ascii="Times New Roman" w:hAnsi="Times New Roman" w:cs="Times New Roman"/>
          <w:sz w:val="20"/>
          <w:szCs w:val="20"/>
        </w:rPr>
      </w:pPr>
      <w:r w:rsidRPr="00D51CBD">
        <w:rPr>
          <w:rFonts w:ascii="Times New Roman" w:hAnsi="Times New Roman" w:cs="Times New Roman"/>
          <w:sz w:val="20"/>
          <w:szCs w:val="20"/>
        </w:rPr>
        <w:t>Un contrôle routier n’est pas une situation statique.  Les renseignements obtenus progressivement peuvent donner à la police le droit de poursuivre leurs vérifications ou, selon le cas, d’y mettre fin et de laisser repartir le véhicule.</w:t>
      </w:r>
      <w:r>
        <w:rPr>
          <w:rFonts w:ascii="Times New Roman" w:hAnsi="Times New Roman" w:cs="Times New Roman"/>
          <w:sz w:val="20"/>
          <w:szCs w:val="20"/>
        </w:rPr>
        <w:t xml:space="preserve"> [para 23]</w:t>
      </w:r>
    </w:p>
    <w:p w14:paraId="5F5FF374" w14:textId="21E8B964" w:rsidR="002922E2" w:rsidRDefault="002922E2" w:rsidP="008D1E3E">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L’attente raisonnable en matière de vie privée (p. 19). et l’affaire Nolet :</w:t>
      </w:r>
    </w:p>
    <w:p w14:paraId="781CFE20" w14:textId="7D212670" w:rsidR="002922E2" w:rsidRPr="002922E2" w:rsidRDefault="002922E2" w:rsidP="00880034">
      <w:pPr>
        <w:pStyle w:val="Paragraphedeliste"/>
        <w:widowControl w:val="0"/>
        <w:numPr>
          <w:ilvl w:val="0"/>
          <w:numId w:val="21"/>
        </w:numPr>
        <w:autoSpaceDE w:val="0"/>
        <w:autoSpaceDN w:val="0"/>
        <w:adjustRightInd w:val="0"/>
        <w:spacing w:after="300" w:line="276" w:lineRule="auto"/>
        <w:jc w:val="both"/>
        <w:rPr>
          <w:rFonts w:ascii="Times New Roman" w:hAnsi="Times New Roman" w:cs="Times New Roman"/>
          <w:color w:val="3E3E3E"/>
          <w:sz w:val="20"/>
          <w:szCs w:val="20"/>
        </w:rPr>
      </w:pPr>
      <w:r w:rsidRPr="002922E2">
        <w:rPr>
          <w:rFonts w:ascii="Times New Roman" w:hAnsi="Times New Roman" w:cs="Times New Roman"/>
          <w:sz w:val="20"/>
          <w:szCs w:val="20"/>
        </w:rPr>
        <w:t xml:space="preserve">C’est au regard de l’ensemble des circonstances que doivent être évalués l’existence chez un individu d’une attente subjective en matière de vie privée et le caractère objectivement raisonnable de cette attente : </w:t>
      </w:r>
      <w:r w:rsidRPr="002922E2">
        <w:rPr>
          <w:rFonts w:ascii="Times New Roman" w:hAnsi="Times New Roman" w:cs="Times New Roman"/>
          <w:i/>
          <w:iCs/>
          <w:sz w:val="20"/>
          <w:szCs w:val="20"/>
        </w:rPr>
        <w:t>R. c. Edwards</w:t>
      </w:r>
      <w:r w:rsidRPr="002922E2">
        <w:rPr>
          <w:rFonts w:ascii="Times New Roman" w:hAnsi="Times New Roman" w:cs="Times New Roman"/>
          <w:sz w:val="20"/>
          <w:szCs w:val="20"/>
        </w:rPr>
        <w:t xml:space="preserve">, [1996] 1 R.C.S. 128, par. 45; </w:t>
      </w:r>
      <w:r w:rsidRPr="002922E2">
        <w:rPr>
          <w:rFonts w:ascii="Times New Roman" w:hAnsi="Times New Roman" w:cs="Times New Roman"/>
          <w:i/>
          <w:iCs/>
          <w:sz w:val="20"/>
          <w:szCs w:val="20"/>
        </w:rPr>
        <w:t>R. c. Tessling</w:t>
      </w:r>
      <w:r w:rsidRPr="002922E2">
        <w:rPr>
          <w:rFonts w:ascii="Times New Roman" w:hAnsi="Times New Roman" w:cs="Times New Roman"/>
          <w:sz w:val="20"/>
          <w:szCs w:val="20"/>
        </w:rPr>
        <w:t>, 2004 CSC 67, [2004]</w:t>
      </w:r>
      <w:r>
        <w:rPr>
          <w:rFonts w:ascii="Times New Roman" w:hAnsi="Times New Roman" w:cs="Times New Roman"/>
          <w:sz w:val="20"/>
          <w:szCs w:val="20"/>
        </w:rPr>
        <w:t xml:space="preserve">. </w:t>
      </w:r>
      <w:r w:rsidRPr="00196930">
        <w:rPr>
          <w:sz w:val="20"/>
          <w:szCs w:val="20"/>
        </w:rPr>
        <w:t xml:space="preserve">La charge de la preuve quant à cette attente raisonnable incombe, selon la prépondérance des probabilités, à la partie qui invoque la </w:t>
      </w:r>
      <w:r w:rsidRPr="00196930">
        <w:rPr>
          <w:i/>
          <w:iCs/>
          <w:sz w:val="20"/>
          <w:szCs w:val="20"/>
        </w:rPr>
        <w:t>Charte</w:t>
      </w:r>
    </w:p>
    <w:p w14:paraId="042CEB92" w14:textId="31822636" w:rsidR="002922E2" w:rsidRDefault="002922E2" w:rsidP="002922E2">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Le pouvoir de fouille lié à l’application d’une loi provinciale a t-il pris fin parce qu’il était vicié par un objectif interdit relevant du droit criminel ? (p. 20).</w:t>
      </w:r>
    </w:p>
    <w:p w14:paraId="35FFCDAD" w14:textId="03A32672" w:rsidR="002922E2" w:rsidRPr="002922E2" w:rsidRDefault="002922E2" w:rsidP="00880034">
      <w:pPr>
        <w:pStyle w:val="Paragraphedeliste"/>
        <w:widowControl w:val="0"/>
        <w:numPr>
          <w:ilvl w:val="0"/>
          <w:numId w:val="21"/>
        </w:numPr>
        <w:autoSpaceDE w:val="0"/>
        <w:autoSpaceDN w:val="0"/>
        <w:adjustRightInd w:val="0"/>
        <w:spacing w:after="300" w:line="276" w:lineRule="auto"/>
        <w:jc w:val="both"/>
        <w:rPr>
          <w:rFonts w:ascii="Times New Roman" w:hAnsi="Times New Roman" w:cs="Times New Roman"/>
          <w:color w:val="3E3E3E"/>
          <w:sz w:val="22"/>
          <w:szCs w:val="22"/>
        </w:rPr>
      </w:pPr>
      <w:r w:rsidRPr="002922E2">
        <w:rPr>
          <w:rFonts w:ascii="Times New Roman" w:hAnsi="Times New Roman" w:cs="Times New Roman"/>
          <w:sz w:val="20"/>
          <w:szCs w:val="20"/>
        </w:rPr>
        <w:t xml:space="preserve">Il faut se demander, premièrement, si l’agent de police, en poursuivant la fouille, a outrepassé le pouvoir que lui conférait le par. 63(5) lorsqu’il a commencé à avoir des soupçons.  La deuxième question à trancher est celle de savoir si ce que l’agent a fait était abusif étant donné les droits relatifs à la vie privée garantis par la </w:t>
      </w:r>
      <w:r w:rsidRPr="002922E2">
        <w:rPr>
          <w:rFonts w:ascii="Times New Roman" w:hAnsi="Times New Roman" w:cs="Times New Roman"/>
          <w:i/>
          <w:iCs/>
          <w:sz w:val="20"/>
          <w:szCs w:val="20"/>
        </w:rPr>
        <w:t>Charte</w:t>
      </w:r>
      <w:r w:rsidRPr="002922E2">
        <w:rPr>
          <w:rFonts w:ascii="Times New Roman" w:hAnsi="Times New Roman" w:cs="Times New Roman"/>
          <w:sz w:val="20"/>
          <w:szCs w:val="20"/>
        </w:rPr>
        <w:t xml:space="preserve"> aux accusés dans la zone couchette de la cabine, même si le par. 63(5) lui donnait le pouvoir de vérifier le respect de la </w:t>
      </w:r>
      <w:r w:rsidRPr="002922E2">
        <w:rPr>
          <w:rFonts w:ascii="Times New Roman" w:hAnsi="Times New Roman" w:cs="Times New Roman"/>
          <w:i/>
          <w:iCs/>
          <w:sz w:val="20"/>
          <w:szCs w:val="20"/>
        </w:rPr>
        <w:t>réglementation</w:t>
      </w:r>
      <w:r w:rsidRPr="002922E2">
        <w:rPr>
          <w:rFonts w:ascii="Times New Roman" w:hAnsi="Times New Roman" w:cs="Times New Roman"/>
          <w:sz w:val="20"/>
          <w:szCs w:val="20"/>
        </w:rPr>
        <w:t>.  Le fondement légal de la fouille et le caractère raisonnable de celle</w:t>
      </w:r>
      <w:r w:rsidRPr="002922E2">
        <w:rPr>
          <w:rFonts w:ascii="Palatino" w:hAnsi="Palatino" w:cs="Palatino"/>
          <w:sz w:val="20"/>
          <w:szCs w:val="20"/>
        </w:rPr>
        <w:t>‑</w:t>
      </w:r>
      <w:r w:rsidRPr="002922E2">
        <w:rPr>
          <w:rFonts w:ascii="Times New Roman" w:hAnsi="Times New Roman" w:cs="Times New Roman"/>
          <w:sz w:val="20"/>
          <w:szCs w:val="20"/>
        </w:rPr>
        <w:t>ci constituent deux questions distinctes.</w:t>
      </w:r>
    </w:p>
    <w:p w14:paraId="1DCE8191" w14:textId="16CEABE5" w:rsidR="002922E2" w:rsidRPr="00392523" w:rsidRDefault="002922E2" w:rsidP="00880034">
      <w:pPr>
        <w:pStyle w:val="Paragraphedeliste"/>
        <w:widowControl w:val="0"/>
        <w:numPr>
          <w:ilvl w:val="0"/>
          <w:numId w:val="21"/>
        </w:numPr>
        <w:autoSpaceDE w:val="0"/>
        <w:autoSpaceDN w:val="0"/>
        <w:adjustRightInd w:val="0"/>
        <w:spacing w:after="300" w:line="276" w:lineRule="auto"/>
        <w:jc w:val="both"/>
        <w:rPr>
          <w:rFonts w:ascii="Times New Roman" w:hAnsi="Times New Roman" w:cs="Times New Roman"/>
          <w:color w:val="3E3E3E"/>
          <w:sz w:val="22"/>
          <w:szCs w:val="22"/>
        </w:rPr>
      </w:pPr>
      <w:r w:rsidRPr="002922E2">
        <w:rPr>
          <w:rFonts w:ascii="Times New Roman" w:hAnsi="Times New Roman" w:cs="Times New Roman"/>
          <w:sz w:val="20"/>
          <w:szCs w:val="20"/>
        </w:rPr>
        <w:t>une fouille légale n’est pas devenue une fouille illégale ou abusive parce que les agents s’attendaient en plus à ce qu’elle permette peut</w:t>
      </w:r>
      <w:r w:rsidRPr="002922E2">
        <w:rPr>
          <w:rFonts w:ascii="Palatino" w:hAnsi="Palatino" w:cs="Palatino"/>
          <w:sz w:val="20"/>
          <w:szCs w:val="20"/>
        </w:rPr>
        <w:t>‑</w:t>
      </w:r>
      <w:r w:rsidRPr="002922E2">
        <w:rPr>
          <w:rFonts w:ascii="Times New Roman" w:hAnsi="Times New Roman" w:cs="Times New Roman"/>
          <w:sz w:val="20"/>
          <w:szCs w:val="20"/>
        </w:rPr>
        <w:t>être aussi la découverte de stupéfiants</w:t>
      </w:r>
      <w:r>
        <w:rPr>
          <w:rFonts w:ascii="Times New Roman" w:hAnsi="Times New Roman" w:cs="Times New Roman"/>
          <w:sz w:val="20"/>
          <w:szCs w:val="20"/>
        </w:rPr>
        <w:t>.</w:t>
      </w:r>
    </w:p>
    <w:p w14:paraId="1A4DAA51" w14:textId="1B578B7E" w:rsidR="00392523" w:rsidRPr="00392523" w:rsidRDefault="00392523" w:rsidP="00880034">
      <w:pPr>
        <w:pStyle w:val="Paragraphedeliste"/>
        <w:widowControl w:val="0"/>
        <w:numPr>
          <w:ilvl w:val="0"/>
          <w:numId w:val="21"/>
        </w:numPr>
        <w:autoSpaceDE w:val="0"/>
        <w:autoSpaceDN w:val="0"/>
        <w:adjustRightInd w:val="0"/>
        <w:spacing w:after="300" w:line="276" w:lineRule="auto"/>
        <w:jc w:val="both"/>
        <w:rPr>
          <w:rFonts w:ascii="Times New Roman" w:hAnsi="Times New Roman" w:cs="Times New Roman"/>
          <w:color w:val="3E3E3E"/>
          <w:sz w:val="22"/>
          <w:szCs w:val="22"/>
        </w:rPr>
      </w:pPr>
      <w:r w:rsidRPr="00392523">
        <w:rPr>
          <w:rFonts w:ascii="Times New Roman" w:hAnsi="Times New Roman" w:cs="Times New Roman"/>
          <w:sz w:val="20"/>
          <w:szCs w:val="20"/>
        </w:rPr>
        <w:t xml:space="preserve">La police abuse de ses pouvoirs, qu’ils soient conférés par un texte législatif ou par la common law, lorsque la manière dont elle les exerce porte atteinte aux droits garantis par la </w:t>
      </w:r>
      <w:r w:rsidRPr="00392523">
        <w:rPr>
          <w:rFonts w:ascii="Times New Roman" w:hAnsi="Times New Roman" w:cs="Times New Roman"/>
          <w:i/>
          <w:iCs/>
          <w:sz w:val="20"/>
          <w:szCs w:val="20"/>
        </w:rPr>
        <w:t>Charte</w:t>
      </w:r>
      <w:r w:rsidRPr="00392523">
        <w:rPr>
          <w:rFonts w:ascii="Times New Roman" w:hAnsi="Times New Roman" w:cs="Times New Roman"/>
          <w:sz w:val="20"/>
          <w:szCs w:val="20"/>
        </w:rPr>
        <w:t xml:space="preserve"> à un accusé. Il importe peu, je pense, que la police ait eu plusieurs objectifs à l’esprit.  Un objectif légitime relevant de l’application de la réglementation, qu’il ait été prédominant ou non, ne saurait racheter ou légitimer une violation de la </w:t>
      </w:r>
      <w:r w:rsidRPr="00392523">
        <w:rPr>
          <w:rFonts w:ascii="Times New Roman" w:hAnsi="Times New Roman" w:cs="Times New Roman"/>
          <w:i/>
          <w:iCs/>
          <w:sz w:val="20"/>
          <w:szCs w:val="20"/>
        </w:rPr>
        <w:t>Charte</w:t>
      </w:r>
      <w:r w:rsidRPr="00CB701E">
        <w:rPr>
          <w:b/>
          <w:sz w:val="20"/>
          <w:szCs w:val="20"/>
        </w:rPr>
        <w:t>.</w:t>
      </w:r>
    </w:p>
    <w:p w14:paraId="6616BCDD" w14:textId="64362A01" w:rsidR="00392523" w:rsidRDefault="00392523" w:rsidP="00392523">
      <w:pPr>
        <w:widowControl w:val="0"/>
        <w:autoSpaceDE w:val="0"/>
        <w:autoSpaceDN w:val="0"/>
        <w:adjustRightInd w:val="0"/>
        <w:spacing w:after="300" w:line="276" w:lineRule="auto"/>
        <w:jc w:val="both"/>
        <w:rPr>
          <w:rFonts w:ascii="Times New Roman" w:hAnsi="Times New Roman" w:cs="Times New Roman"/>
          <w:color w:val="3E3E3E"/>
          <w:sz w:val="22"/>
          <w:szCs w:val="22"/>
        </w:rPr>
      </w:pPr>
      <w:r>
        <w:rPr>
          <w:rFonts w:ascii="Times New Roman" w:hAnsi="Times New Roman" w:cs="Times New Roman"/>
          <w:color w:val="3E3E3E"/>
          <w:sz w:val="22"/>
          <w:szCs w:val="22"/>
        </w:rPr>
        <w:t>La découverte de l’argent liquide dans le sac de toile a-t-elle porté atteinte à l’art. 8 dans l’affaire Nolet (p.21) ?</w:t>
      </w:r>
    </w:p>
    <w:p w14:paraId="68E28560" w14:textId="41069119" w:rsidR="00FF1950" w:rsidRPr="00A24FC2" w:rsidRDefault="00FF1950" w:rsidP="00880034">
      <w:pPr>
        <w:pStyle w:val="Paragraphedeliste"/>
        <w:widowControl w:val="0"/>
        <w:numPr>
          <w:ilvl w:val="0"/>
          <w:numId w:val="22"/>
        </w:numPr>
        <w:autoSpaceDE w:val="0"/>
        <w:autoSpaceDN w:val="0"/>
        <w:adjustRightInd w:val="0"/>
        <w:spacing w:after="300" w:line="276" w:lineRule="auto"/>
        <w:jc w:val="both"/>
        <w:rPr>
          <w:rFonts w:ascii="Times New Roman" w:hAnsi="Times New Roman" w:cs="Times New Roman"/>
          <w:color w:val="3E3E3E"/>
          <w:sz w:val="22"/>
          <w:szCs w:val="22"/>
        </w:rPr>
      </w:pPr>
      <w:r w:rsidRPr="00A24FC2">
        <w:rPr>
          <w:rFonts w:ascii="Times New Roman" w:hAnsi="Times New Roman" w:cs="Times New Roman"/>
          <w:sz w:val="20"/>
          <w:szCs w:val="20"/>
        </w:rPr>
        <w:t>Une infraction à une loi ne diminue pas en soi les attentes légitimes d’une personne en matière de vie privée (autrement, on soutiendrait que les délinquants perdent toujours la protection de l’art. 8 relative à la preuve d’une infraction. [para 43]</w:t>
      </w:r>
    </w:p>
    <w:p w14:paraId="1B22ADE2" w14:textId="1C98831B" w:rsidR="00A24FC2" w:rsidRDefault="00A24FC2" w:rsidP="00880034">
      <w:pPr>
        <w:pStyle w:val="Paragraphedeliste"/>
        <w:numPr>
          <w:ilvl w:val="0"/>
          <w:numId w:val="22"/>
        </w:numPr>
        <w:jc w:val="both"/>
        <w:rPr>
          <w:rFonts w:ascii="Times New Roman" w:hAnsi="Times New Roman" w:cs="Times New Roman"/>
          <w:sz w:val="20"/>
          <w:szCs w:val="20"/>
        </w:rPr>
      </w:pPr>
      <w:r w:rsidRPr="00A24FC2">
        <w:rPr>
          <w:rFonts w:ascii="Times New Roman" w:hAnsi="Times New Roman" w:cs="Times New Roman"/>
          <w:i/>
          <w:sz w:val="20"/>
          <w:szCs w:val="20"/>
        </w:rPr>
        <w:t>La question à trancher en l’espèce est celle de savoir si la fouille du sac de toile par la police a, « au regard de la totalité des circonstances », porté atteinte aux intérêts raisonnables des appelants en matière de vie privée.  J’estime que ce n’est pas le cas</w:t>
      </w:r>
      <w:r w:rsidRPr="00A24FC2">
        <w:rPr>
          <w:rFonts w:ascii="Times New Roman" w:hAnsi="Times New Roman" w:cs="Times New Roman"/>
          <w:sz w:val="20"/>
          <w:szCs w:val="20"/>
        </w:rPr>
        <w:t xml:space="preserve">. En résumé, le ministère public a établi selon la prépondérance des probabilités que la fouille sans mandat était permise par le par. 63(5) de la </w:t>
      </w:r>
      <w:r w:rsidRPr="00A24FC2">
        <w:rPr>
          <w:rFonts w:ascii="Times New Roman" w:hAnsi="Times New Roman" w:cs="Times New Roman"/>
          <w:i/>
          <w:iCs/>
          <w:sz w:val="20"/>
          <w:szCs w:val="20"/>
        </w:rPr>
        <w:t>H&amp;TA</w:t>
      </w:r>
      <w:r w:rsidRPr="00A24FC2">
        <w:rPr>
          <w:rFonts w:ascii="Times New Roman" w:hAnsi="Times New Roman" w:cs="Times New Roman"/>
          <w:sz w:val="20"/>
          <w:szCs w:val="20"/>
        </w:rPr>
        <w:t>, le caractère raisonnable de la loi elle</w:t>
      </w:r>
      <w:r w:rsidRPr="00A24FC2">
        <w:rPr>
          <w:rFonts w:ascii="Palatino" w:hAnsi="Palatino" w:cs="Palatino"/>
          <w:sz w:val="20"/>
          <w:szCs w:val="20"/>
        </w:rPr>
        <w:t>‑</w:t>
      </w:r>
      <w:r w:rsidRPr="00A24FC2">
        <w:rPr>
          <w:rFonts w:ascii="Times New Roman" w:hAnsi="Times New Roman" w:cs="Times New Roman"/>
          <w:sz w:val="20"/>
          <w:szCs w:val="20"/>
        </w:rPr>
        <w:t xml:space="preserve">même n’est pas contesté et la fouille n’a pas été effectuée d’une manière abusive.  Les conditions décrites dans </w:t>
      </w:r>
      <w:r w:rsidRPr="00A24FC2">
        <w:rPr>
          <w:rFonts w:ascii="Times New Roman" w:hAnsi="Times New Roman" w:cs="Times New Roman"/>
          <w:b/>
          <w:i/>
          <w:iCs/>
          <w:sz w:val="20"/>
          <w:szCs w:val="20"/>
        </w:rPr>
        <w:t>Collins</w:t>
      </w:r>
      <w:r w:rsidRPr="00A24FC2">
        <w:rPr>
          <w:rFonts w:ascii="Times New Roman" w:hAnsi="Times New Roman" w:cs="Times New Roman"/>
          <w:b/>
          <w:i/>
          <w:sz w:val="20"/>
          <w:szCs w:val="20"/>
        </w:rPr>
        <w:t xml:space="preserve"> </w:t>
      </w:r>
      <w:r w:rsidRPr="00A24FC2">
        <w:rPr>
          <w:rFonts w:ascii="Times New Roman" w:hAnsi="Times New Roman" w:cs="Times New Roman"/>
          <w:sz w:val="20"/>
          <w:szCs w:val="20"/>
        </w:rPr>
        <w:t>sont par conséquent remplies</w:t>
      </w:r>
      <w:r>
        <w:rPr>
          <w:rFonts w:ascii="Times New Roman" w:hAnsi="Times New Roman" w:cs="Times New Roman"/>
          <w:sz w:val="20"/>
          <w:szCs w:val="20"/>
        </w:rPr>
        <w:t xml:space="preserve"> [45-46].</w:t>
      </w:r>
    </w:p>
    <w:p w14:paraId="56B5040A" w14:textId="77777777" w:rsidR="00A24FC2" w:rsidRDefault="00A24FC2" w:rsidP="00A24FC2">
      <w:pPr>
        <w:pStyle w:val="Paragraphedeliste"/>
        <w:jc w:val="both"/>
        <w:rPr>
          <w:rFonts w:ascii="Times New Roman" w:hAnsi="Times New Roman" w:cs="Times New Roman"/>
          <w:sz w:val="20"/>
          <w:szCs w:val="20"/>
        </w:rPr>
      </w:pPr>
    </w:p>
    <w:p w14:paraId="1C8DBB7E" w14:textId="088CF06C" w:rsidR="00A24FC2" w:rsidRDefault="00A24FC2" w:rsidP="00A24FC2">
      <w:pPr>
        <w:jc w:val="both"/>
        <w:rPr>
          <w:rFonts w:ascii="Times New Roman" w:hAnsi="Times New Roman" w:cs="Times New Roman"/>
          <w:sz w:val="22"/>
          <w:szCs w:val="22"/>
        </w:rPr>
      </w:pPr>
      <w:r>
        <w:rPr>
          <w:rFonts w:ascii="Times New Roman" w:hAnsi="Times New Roman" w:cs="Times New Roman"/>
          <w:sz w:val="22"/>
          <w:szCs w:val="22"/>
        </w:rPr>
        <w:t>L’arrestation des appelants pour possession de produits de la criminalité était légitime (p.21) :</w:t>
      </w:r>
    </w:p>
    <w:p w14:paraId="21F00DEB" w14:textId="25AB1B1B" w:rsidR="00A24FC2" w:rsidRPr="008D4526" w:rsidRDefault="00A24FC2" w:rsidP="00880034">
      <w:pPr>
        <w:pStyle w:val="Paragraphedeliste"/>
        <w:numPr>
          <w:ilvl w:val="0"/>
          <w:numId w:val="23"/>
        </w:numPr>
        <w:jc w:val="both"/>
        <w:rPr>
          <w:rFonts w:ascii="Times New Roman" w:hAnsi="Times New Roman" w:cs="Times New Roman"/>
          <w:sz w:val="22"/>
          <w:szCs w:val="22"/>
        </w:rPr>
      </w:pPr>
      <w:r w:rsidRPr="00A24FC2">
        <w:rPr>
          <w:rFonts w:ascii="Times New Roman" w:hAnsi="Times New Roman" w:cs="Times New Roman"/>
          <w:sz w:val="20"/>
          <w:szCs w:val="20"/>
        </w:rPr>
        <w:t>La découverte d’une importante somme d’argent liquide peut ne pas constituer en soi un motif objectif, raisonnable et probable de procéder à une arrestation pour possession de produits de la criminalité, mais la présence de cet argent peut contribuer à l’existence de tels motifs raisonnables lorsqu’il [TRADUCTION] « existe “des circonstances ou des éléments de preuve” permettant raisonnablement de déduire que l’argent constitue un produit de la criminalité»</w:t>
      </w:r>
      <w:r>
        <w:rPr>
          <w:rFonts w:ascii="Times New Roman" w:hAnsi="Times New Roman" w:cs="Times New Roman"/>
          <w:sz w:val="20"/>
          <w:szCs w:val="20"/>
        </w:rPr>
        <w:t xml:space="preserve"> [48]</w:t>
      </w:r>
    </w:p>
    <w:p w14:paraId="19C94A6E" w14:textId="77777777" w:rsidR="008D4526" w:rsidRPr="00A24FC2" w:rsidRDefault="008D4526" w:rsidP="008D4526">
      <w:pPr>
        <w:pStyle w:val="Paragraphedeliste"/>
        <w:jc w:val="both"/>
        <w:rPr>
          <w:rFonts w:ascii="Times New Roman" w:hAnsi="Times New Roman" w:cs="Times New Roman"/>
          <w:sz w:val="22"/>
          <w:szCs w:val="22"/>
        </w:rPr>
      </w:pPr>
    </w:p>
    <w:p w14:paraId="5F8FF3E2" w14:textId="5AEBEFF4" w:rsidR="00A24FC2" w:rsidRDefault="00A24FC2" w:rsidP="00A24FC2">
      <w:pPr>
        <w:jc w:val="both"/>
        <w:rPr>
          <w:rFonts w:ascii="Times New Roman" w:hAnsi="Times New Roman" w:cs="Times New Roman"/>
          <w:sz w:val="22"/>
          <w:szCs w:val="22"/>
        </w:rPr>
      </w:pPr>
      <w:r>
        <w:rPr>
          <w:rFonts w:ascii="Times New Roman" w:hAnsi="Times New Roman" w:cs="Times New Roman"/>
          <w:sz w:val="22"/>
          <w:szCs w:val="22"/>
        </w:rPr>
        <w:t>La fouille de la remorque après l’arrestation (p.22) :</w:t>
      </w:r>
    </w:p>
    <w:p w14:paraId="286151DD" w14:textId="03FAC249" w:rsidR="00A24FC2" w:rsidRPr="008D4526" w:rsidRDefault="008D4526" w:rsidP="00880034">
      <w:pPr>
        <w:pStyle w:val="Paragraphedeliste"/>
        <w:numPr>
          <w:ilvl w:val="0"/>
          <w:numId w:val="23"/>
        </w:numPr>
        <w:jc w:val="both"/>
        <w:rPr>
          <w:rFonts w:ascii="Times New Roman" w:hAnsi="Times New Roman" w:cs="Times New Roman"/>
          <w:sz w:val="22"/>
          <w:szCs w:val="22"/>
        </w:rPr>
      </w:pPr>
      <w:r w:rsidRPr="008D4526">
        <w:rPr>
          <w:rFonts w:ascii="Times New Roman" w:hAnsi="Times New Roman" w:cs="Times New Roman"/>
          <w:sz w:val="20"/>
          <w:szCs w:val="20"/>
        </w:rPr>
        <w:t xml:space="preserve">Une fouille est véritablement accessoire lorsque la police tente de « réaliser un objectif valable lié à l’arrestation », et notamment « d’assurer la sécurité des policiers et du public, d’empêcher la destruction d’éléments de preuve par la personne arrêtée ou d’autres personnes, </w:t>
      </w:r>
      <w:r w:rsidRPr="008D4526">
        <w:rPr>
          <w:rFonts w:ascii="Times New Roman" w:hAnsi="Times New Roman" w:cs="Times New Roman"/>
          <w:sz w:val="20"/>
          <w:szCs w:val="20"/>
          <w:u w:val="single"/>
        </w:rPr>
        <w:t>et de découvrir des éléments de preuve qui pourront être utilisés au procès de la personne arrêtée</w:t>
      </w:r>
      <w:r w:rsidRPr="008D4526">
        <w:rPr>
          <w:rFonts w:ascii="Times New Roman" w:hAnsi="Times New Roman" w:cs="Times New Roman"/>
          <w:sz w:val="20"/>
          <w:szCs w:val="20"/>
        </w:rPr>
        <w:t> » [49]</w:t>
      </w:r>
    </w:p>
    <w:p w14:paraId="3DC4794C" w14:textId="1625C33B" w:rsidR="008D4526" w:rsidRPr="008D4526" w:rsidRDefault="008D4526" w:rsidP="00880034">
      <w:pPr>
        <w:pStyle w:val="Paragraphedeliste"/>
        <w:numPr>
          <w:ilvl w:val="0"/>
          <w:numId w:val="23"/>
        </w:numPr>
        <w:jc w:val="both"/>
        <w:rPr>
          <w:rFonts w:ascii="Times New Roman" w:hAnsi="Times New Roman" w:cs="Times New Roman"/>
          <w:sz w:val="20"/>
          <w:szCs w:val="20"/>
        </w:rPr>
      </w:pPr>
      <w:r w:rsidRPr="008D4526">
        <w:rPr>
          <w:rFonts w:ascii="Times New Roman" w:hAnsi="Times New Roman" w:cs="Times New Roman"/>
          <w:sz w:val="20"/>
          <w:szCs w:val="20"/>
        </w:rPr>
        <w:t xml:space="preserve">Or, la fouille sans mandat n’était pas fondée sur une « situation d’urgence », mais sur l’existence d’un lien ou d’un rapport, à savoir pour que s’applique le pouvoir de common law d’effectuer une fouille en vue de trouver des éléments de preuve relatifs au crime auquel l’arrestation était reliée : </w:t>
      </w:r>
      <w:r w:rsidRPr="008D4526">
        <w:rPr>
          <w:rFonts w:ascii="Times New Roman" w:hAnsi="Times New Roman" w:cs="Times New Roman"/>
          <w:i/>
          <w:iCs/>
          <w:sz w:val="20"/>
          <w:szCs w:val="20"/>
        </w:rPr>
        <w:t>Cloutier c. Langlois</w:t>
      </w:r>
      <w:r w:rsidRPr="008D4526">
        <w:rPr>
          <w:rFonts w:ascii="Times New Roman" w:hAnsi="Times New Roman" w:cs="Times New Roman"/>
          <w:sz w:val="20"/>
          <w:szCs w:val="20"/>
        </w:rPr>
        <w:t xml:space="preserve">, p. 186.  Selon moi, la saisie des 392 livres de marijuana ne portait pas atteinte à la </w:t>
      </w:r>
      <w:r w:rsidRPr="008D4526">
        <w:rPr>
          <w:rFonts w:ascii="Times New Roman" w:hAnsi="Times New Roman" w:cs="Times New Roman"/>
          <w:i/>
          <w:iCs/>
          <w:sz w:val="20"/>
          <w:szCs w:val="20"/>
        </w:rPr>
        <w:t>Charte</w:t>
      </w:r>
      <w:r w:rsidRPr="008D4526">
        <w:rPr>
          <w:rFonts w:ascii="Times New Roman" w:hAnsi="Times New Roman" w:cs="Times New Roman"/>
          <w:sz w:val="20"/>
          <w:szCs w:val="20"/>
        </w:rPr>
        <w:t xml:space="preserve"> puisque la drogue a été découverte au cours d’une fouille valide, effectuée accessoirement à une arrestation valide, en vue de trouver des éléments de preuve.</w:t>
      </w:r>
      <w:r>
        <w:rPr>
          <w:rFonts w:ascii="Times New Roman" w:hAnsi="Times New Roman" w:cs="Times New Roman"/>
          <w:sz w:val="20"/>
          <w:szCs w:val="20"/>
        </w:rPr>
        <w:t xml:space="preserve"> [52]</w:t>
      </w:r>
    </w:p>
    <w:p w14:paraId="70B64C42" w14:textId="77777777" w:rsidR="00A24FC2" w:rsidRDefault="00A24FC2" w:rsidP="008D4526">
      <w:pPr>
        <w:jc w:val="both"/>
        <w:rPr>
          <w:rFonts w:ascii="Times New Roman" w:hAnsi="Times New Roman" w:cs="Times New Roman"/>
          <w:sz w:val="20"/>
          <w:szCs w:val="20"/>
        </w:rPr>
      </w:pPr>
    </w:p>
    <w:p w14:paraId="1DEE2CBC" w14:textId="163FFD20" w:rsidR="008D4526" w:rsidRDefault="008D4526" w:rsidP="008D4526">
      <w:pPr>
        <w:jc w:val="both"/>
        <w:rPr>
          <w:i/>
          <w:sz w:val="20"/>
          <w:szCs w:val="20"/>
        </w:rPr>
      </w:pPr>
      <w:r>
        <w:rPr>
          <w:sz w:val="20"/>
          <w:szCs w:val="20"/>
        </w:rPr>
        <w:t xml:space="preserve">Les fouilles accessoires peuvent être justifié dans le cadre d’une arrestation légale. Dans le cadre d’un simple contrôle routier, mis à part le cas de </w:t>
      </w:r>
      <w:r w:rsidRPr="005326E9">
        <w:rPr>
          <w:b/>
          <w:sz w:val="20"/>
          <w:szCs w:val="20"/>
        </w:rPr>
        <w:t>Mellentine,</w:t>
      </w:r>
      <w:r>
        <w:rPr>
          <w:sz w:val="20"/>
          <w:szCs w:val="20"/>
        </w:rPr>
        <w:t xml:space="preserve"> la fouille peut se justifier si l’on tombe sur des produits de la criminalité. </w:t>
      </w:r>
      <w:r>
        <w:rPr>
          <w:i/>
          <w:sz w:val="20"/>
          <w:szCs w:val="20"/>
        </w:rPr>
        <w:t>Nous allons y revenir sur les fouilles accessoires</w:t>
      </w:r>
      <w:r w:rsidR="00267544">
        <w:rPr>
          <w:i/>
          <w:sz w:val="20"/>
          <w:szCs w:val="20"/>
        </w:rPr>
        <w:t>.</w:t>
      </w:r>
    </w:p>
    <w:p w14:paraId="67507FB4" w14:textId="77777777" w:rsidR="00267544" w:rsidRDefault="00267544" w:rsidP="008D4526">
      <w:pPr>
        <w:jc w:val="both"/>
        <w:rPr>
          <w:rFonts w:ascii="Times New Roman" w:hAnsi="Times New Roman" w:cs="Times New Roman"/>
          <w:sz w:val="20"/>
          <w:szCs w:val="20"/>
        </w:rPr>
      </w:pPr>
    </w:p>
    <w:p w14:paraId="554B77D0" w14:textId="74BB4BB8" w:rsidR="00267544" w:rsidRDefault="00267544" w:rsidP="008D4526">
      <w:pPr>
        <w:jc w:val="both"/>
        <w:rPr>
          <w:rFonts w:ascii="Times New Roman" w:hAnsi="Times New Roman" w:cs="Times New Roman"/>
          <w:i/>
          <w:sz w:val="22"/>
          <w:szCs w:val="22"/>
        </w:rPr>
      </w:pPr>
      <w:r>
        <w:rPr>
          <w:rFonts w:ascii="Times New Roman" w:hAnsi="Times New Roman" w:cs="Times New Roman"/>
          <w:i/>
          <w:sz w:val="22"/>
          <w:szCs w:val="22"/>
        </w:rPr>
        <w:t>F. Comment concilier les contrôles routiers avec les articles 10 a) et 10b) de la Charte. (p.23).</w:t>
      </w:r>
    </w:p>
    <w:p w14:paraId="2A182679" w14:textId="47EC3D37" w:rsidR="00267544" w:rsidRPr="00267544" w:rsidRDefault="00267544" w:rsidP="008D4526">
      <w:pPr>
        <w:jc w:val="both"/>
        <w:rPr>
          <w:rFonts w:ascii="Times New Roman" w:hAnsi="Times New Roman" w:cs="Times New Roman"/>
          <w:sz w:val="22"/>
          <w:szCs w:val="22"/>
          <w:u w:val="single"/>
        </w:rPr>
      </w:pPr>
      <w:r w:rsidRPr="00267544">
        <w:rPr>
          <w:rFonts w:ascii="Times New Roman" w:hAnsi="Times New Roman" w:cs="Times New Roman"/>
          <w:sz w:val="22"/>
          <w:szCs w:val="22"/>
          <w:u w:val="single"/>
        </w:rPr>
        <w:t>10a) Charte Can ;</w:t>
      </w:r>
    </w:p>
    <w:p w14:paraId="5F3849DE" w14:textId="77777777" w:rsidR="00267544" w:rsidRDefault="00267544" w:rsidP="008D4526">
      <w:pPr>
        <w:jc w:val="both"/>
        <w:rPr>
          <w:rFonts w:ascii="Times New Roman" w:hAnsi="Times New Roman" w:cs="Times New Roman"/>
          <w:b/>
          <w:i/>
          <w:sz w:val="22"/>
          <w:szCs w:val="22"/>
        </w:rPr>
      </w:pPr>
      <w:r>
        <w:rPr>
          <w:rFonts w:ascii="Times New Roman" w:hAnsi="Times New Roman" w:cs="Times New Roman"/>
          <w:b/>
          <w:i/>
          <w:sz w:val="22"/>
          <w:szCs w:val="22"/>
        </w:rPr>
        <w:t>R. Borden [1994]</w:t>
      </w:r>
    </w:p>
    <w:p w14:paraId="7FA1973C" w14:textId="77777777" w:rsidR="00267544" w:rsidRDefault="00267544" w:rsidP="008D4526">
      <w:pPr>
        <w:jc w:val="both"/>
        <w:rPr>
          <w:rFonts w:ascii="Times New Roman" w:hAnsi="Times New Roman" w:cs="Times New Roman"/>
          <w:i/>
          <w:sz w:val="22"/>
          <w:szCs w:val="22"/>
        </w:rPr>
      </w:pPr>
    </w:p>
    <w:p w14:paraId="6BE7108E" w14:textId="77777777" w:rsidR="00267544" w:rsidRDefault="00267544" w:rsidP="008D4526">
      <w:pPr>
        <w:jc w:val="both"/>
        <w:rPr>
          <w:rFonts w:ascii="Times New Roman" w:hAnsi="Times New Roman" w:cs="Times New Roman"/>
          <w:sz w:val="22"/>
          <w:szCs w:val="22"/>
          <w:u w:val="single"/>
        </w:rPr>
      </w:pPr>
      <w:r>
        <w:rPr>
          <w:rFonts w:ascii="Times New Roman" w:hAnsi="Times New Roman" w:cs="Times New Roman"/>
          <w:sz w:val="22"/>
          <w:szCs w:val="22"/>
          <w:u w:val="single"/>
        </w:rPr>
        <w:t>10b) Charte Can :</w:t>
      </w:r>
    </w:p>
    <w:p w14:paraId="1EF2AD27" w14:textId="77777777" w:rsidR="00C97E32" w:rsidRDefault="00C97E32" w:rsidP="008D4526">
      <w:pPr>
        <w:jc w:val="both"/>
        <w:rPr>
          <w:rFonts w:ascii="Times New Roman" w:hAnsi="Times New Roman" w:cs="Times New Roman"/>
          <w:b/>
          <w:i/>
          <w:sz w:val="22"/>
          <w:szCs w:val="22"/>
        </w:rPr>
      </w:pPr>
      <w:r>
        <w:rPr>
          <w:rFonts w:ascii="Times New Roman" w:hAnsi="Times New Roman" w:cs="Times New Roman"/>
          <w:b/>
          <w:i/>
          <w:sz w:val="22"/>
          <w:szCs w:val="22"/>
        </w:rPr>
        <w:t>R. c. Orbanski ; R. c. Elias</w:t>
      </w:r>
    </w:p>
    <w:p w14:paraId="7C26675A" w14:textId="47375D75" w:rsidR="00C97E32" w:rsidRPr="00C67E0A" w:rsidRDefault="00C97E32" w:rsidP="00880034">
      <w:pPr>
        <w:pStyle w:val="Paragraphedeliste"/>
        <w:numPr>
          <w:ilvl w:val="0"/>
          <w:numId w:val="24"/>
        </w:numPr>
        <w:jc w:val="both"/>
        <w:rPr>
          <w:rFonts w:ascii="Times New Roman" w:hAnsi="Times New Roman" w:cs="Times New Roman"/>
          <w:b/>
          <w:i/>
          <w:sz w:val="22"/>
          <w:szCs w:val="22"/>
        </w:rPr>
      </w:pPr>
      <w:r w:rsidRPr="00C97E32">
        <w:rPr>
          <w:rFonts w:ascii="Times New Roman" w:hAnsi="Times New Roman" w:cs="Times New Roman"/>
          <w:i/>
          <w:iCs/>
          <w:sz w:val="20"/>
          <w:szCs w:val="20"/>
        </w:rPr>
        <w:t>La</w:t>
      </w:r>
      <w:r w:rsidRPr="00C97E32">
        <w:rPr>
          <w:rFonts w:ascii="Times New Roman" w:hAnsi="Times New Roman" w:cs="Times New Roman"/>
          <w:sz w:val="20"/>
          <w:szCs w:val="20"/>
        </w:rPr>
        <w:t xml:space="preserve"> juge en chef McLachlin et les juges Major, Bastarache, Binnie, Deschamps, Abella et Charron : Le droit à l’assistance d’un avocat garanti à l’al. 10</w:t>
      </w:r>
      <w:r w:rsidRPr="00C97E32">
        <w:rPr>
          <w:rFonts w:ascii="Times New Roman" w:hAnsi="Times New Roman" w:cs="Times New Roman"/>
          <w:i/>
          <w:iCs/>
          <w:sz w:val="20"/>
          <w:szCs w:val="20"/>
        </w:rPr>
        <w:t>b</w:t>
      </w:r>
      <w:r w:rsidRPr="00C97E32">
        <w:rPr>
          <w:rFonts w:ascii="Times New Roman" w:hAnsi="Times New Roman" w:cs="Times New Roman"/>
          <w:sz w:val="20"/>
          <w:szCs w:val="20"/>
        </w:rPr>
        <w:t xml:space="preserve">) de la </w:t>
      </w:r>
      <w:r w:rsidRPr="00C97E32">
        <w:rPr>
          <w:rFonts w:ascii="Times New Roman" w:hAnsi="Times New Roman" w:cs="Times New Roman"/>
          <w:i/>
          <w:iCs/>
          <w:sz w:val="20"/>
          <w:szCs w:val="20"/>
        </w:rPr>
        <w:t>Charte</w:t>
      </w:r>
      <w:r w:rsidRPr="00C97E32">
        <w:rPr>
          <w:rFonts w:ascii="Times New Roman" w:hAnsi="Times New Roman" w:cs="Times New Roman"/>
          <w:sz w:val="20"/>
          <w:szCs w:val="20"/>
        </w:rPr>
        <w:t xml:space="preserve"> s’appliquait alors que O et E étaient détenus avant leur arrestation.  Cependant, le droit à l’assistance d’un avocat n’est pas absolu.  Il peut être restreint par une règle de droit, dans des limites raisonnables et dont la justification peut se démontrer dans le cadre d’une société libre et démocratique.</w:t>
      </w:r>
    </w:p>
    <w:p w14:paraId="041A81FD" w14:textId="77777777" w:rsidR="00C67E0A" w:rsidRPr="00C67E0A" w:rsidRDefault="00C67E0A" w:rsidP="00C67E0A">
      <w:pPr>
        <w:pStyle w:val="Paragraphedeliste"/>
        <w:ind w:left="775"/>
        <w:jc w:val="both"/>
        <w:rPr>
          <w:rFonts w:ascii="Times New Roman" w:hAnsi="Times New Roman" w:cs="Times New Roman"/>
          <w:b/>
          <w:i/>
          <w:sz w:val="22"/>
          <w:szCs w:val="22"/>
        </w:rPr>
      </w:pPr>
    </w:p>
    <w:p w14:paraId="07E7F171" w14:textId="2CA65513" w:rsidR="00C67E0A" w:rsidRDefault="00C67E0A" w:rsidP="00C67E0A">
      <w:pPr>
        <w:jc w:val="both"/>
        <w:rPr>
          <w:rFonts w:ascii="Times New Roman" w:hAnsi="Times New Roman" w:cs="Times New Roman"/>
          <w:sz w:val="22"/>
          <w:szCs w:val="22"/>
        </w:rPr>
      </w:pPr>
      <w:r>
        <w:rPr>
          <w:rFonts w:ascii="Times New Roman" w:hAnsi="Times New Roman" w:cs="Times New Roman"/>
          <w:sz w:val="22"/>
          <w:szCs w:val="22"/>
        </w:rPr>
        <w:t>Il y a quand même une restriction implicite du droit à l’avocat :</w:t>
      </w:r>
    </w:p>
    <w:p w14:paraId="07F97059" w14:textId="450A7AF5" w:rsidR="00C67E0A" w:rsidRDefault="00574E11" w:rsidP="00880034">
      <w:pPr>
        <w:pStyle w:val="Paragraphedeliste"/>
        <w:numPr>
          <w:ilvl w:val="0"/>
          <w:numId w:val="24"/>
        </w:numPr>
        <w:jc w:val="both"/>
        <w:rPr>
          <w:rFonts w:ascii="Times New Roman" w:hAnsi="Times New Roman" w:cs="Times New Roman"/>
          <w:sz w:val="20"/>
          <w:szCs w:val="20"/>
        </w:rPr>
      </w:pPr>
      <w:r w:rsidRPr="00574E11">
        <w:rPr>
          <w:rFonts w:ascii="Times New Roman" w:hAnsi="Times New Roman" w:cs="Times New Roman"/>
          <w:sz w:val="20"/>
          <w:szCs w:val="20"/>
        </w:rPr>
        <w:t xml:space="preserve">Dans l’arrêt </w:t>
      </w:r>
      <w:r w:rsidRPr="00574E11">
        <w:rPr>
          <w:rFonts w:ascii="Times New Roman" w:hAnsi="Times New Roman" w:cs="Times New Roman"/>
          <w:i/>
          <w:iCs/>
          <w:sz w:val="20"/>
          <w:szCs w:val="20"/>
        </w:rPr>
        <w:t>Thomsen</w:t>
      </w:r>
      <w:r w:rsidRPr="00574E11">
        <w:rPr>
          <w:rFonts w:ascii="Times New Roman" w:hAnsi="Times New Roman" w:cs="Times New Roman"/>
          <w:sz w:val="20"/>
          <w:szCs w:val="20"/>
        </w:rPr>
        <w:t>, notre Cour a conclu que l’exercice du droit à l’assistance d’un avocat était incompatible avec les conditions d’application qui sous</w:t>
      </w:r>
      <w:r w:rsidRPr="00574E11">
        <w:rPr>
          <w:rFonts w:ascii="Palatino" w:hAnsi="Palatino" w:cs="Palatino"/>
          <w:sz w:val="20"/>
          <w:szCs w:val="20"/>
        </w:rPr>
        <w:t>‑</w:t>
      </w:r>
      <w:r w:rsidRPr="00574E11">
        <w:rPr>
          <w:rFonts w:ascii="Times New Roman" w:hAnsi="Times New Roman" w:cs="Times New Roman"/>
          <w:sz w:val="20"/>
          <w:szCs w:val="20"/>
        </w:rPr>
        <w:t>tendent la sommation faite en vertu du par. </w:t>
      </w:r>
      <w:hyperlink r:id="rId12" w:anchor="art234.1" w:history="1">
        <w:r w:rsidRPr="00574E11">
          <w:rPr>
            <w:rStyle w:val="Lienhypertexte"/>
            <w:rFonts w:ascii="Times New Roman" w:hAnsi="Times New Roman" w:cs="Times New Roman"/>
            <w:sz w:val="20"/>
            <w:szCs w:val="20"/>
          </w:rPr>
          <w:t>234.1(1)</w:t>
        </w:r>
      </w:hyperlink>
      <w:r w:rsidRPr="00574E11">
        <w:rPr>
          <w:rFonts w:ascii="Times New Roman" w:hAnsi="Times New Roman" w:cs="Times New Roman"/>
          <w:sz w:val="20"/>
          <w:szCs w:val="20"/>
        </w:rPr>
        <w:t xml:space="preserve"> du </w:t>
      </w:r>
      <w:r w:rsidRPr="00574E11">
        <w:rPr>
          <w:rFonts w:ascii="Times New Roman" w:hAnsi="Times New Roman" w:cs="Times New Roman"/>
          <w:i/>
          <w:iCs/>
          <w:sz w:val="20"/>
          <w:szCs w:val="20"/>
        </w:rPr>
        <w:t xml:space="preserve">Code criminel </w:t>
      </w:r>
      <w:r w:rsidRPr="00574E11">
        <w:rPr>
          <w:rFonts w:ascii="Times New Roman" w:hAnsi="Times New Roman" w:cs="Times New Roman"/>
          <w:sz w:val="20"/>
          <w:szCs w:val="20"/>
        </w:rPr>
        <w:t>(maintenant le par. 254(2)) pour le prélèvement d’un échantillon pour analyse au moyen d’un appareil de détection</w:t>
      </w:r>
      <w:r>
        <w:rPr>
          <w:rFonts w:ascii="Times New Roman" w:hAnsi="Times New Roman" w:cs="Times New Roman"/>
          <w:sz w:val="20"/>
          <w:szCs w:val="20"/>
        </w:rPr>
        <w:t xml:space="preserve"> [...]</w:t>
      </w:r>
      <w:r w:rsidRPr="00574E11">
        <w:rPr>
          <w:rFonts w:ascii="Times New Roman" w:hAnsi="Times New Roman" w:cs="Times New Roman"/>
          <w:sz w:val="20"/>
          <w:szCs w:val="20"/>
        </w:rPr>
        <w:t xml:space="preserve">À mon avis, il découle logiquement de l’arrêt </w:t>
      </w:r>
      <w:r w:rsidRPr="00574E11">
        <w:rPr>
          <w:rFonts w:ascii="Times New Roman" w:hAnsi="Times New Roman" w:cs="Times New Roman"/>
          <w:i/>
          <w:iCs/>
          <w:sz w:val="20"/>
          <w:szCs w:val="20"/>
        </w:rPr>
        <w:t>Thomsen</w:t>
      </w:r>
      <w:r w:rsidRPr="00574E11">
        <w:rPr>
          <w:rFonts w:ascii="Times New Roman" w:hAnsi="Times New Roman" w:cs="Times New Roman"/>
          <w:sz w:val="20"/>
          <w:szCs w:val="20"/>
        </w:rPr>
        <w:t xml:space="preserve"> qu’une restriction du droit à l’assistance d’un avocat est également prescrite pendant que l’on pratique les tests de détection routiers utilisés dans les affaires en cause.  Si une restriction du droit à l’assistance d’un avocat est prescrite </w:t>
      </w:r>
      <w:r w:rsidRPr="00574E11">
        <w:rPr>
          <w:rFonts w:ascii="Times New Roman" w:hAnsi="Times New Roman" w:cs="Times New Roman"/>
          <w:i/>
          <w:iCs/>
          <w:sz w:val="20"/>
          <w:szCs w:val="20"/>
        </w:rPr>
        <w:t>pendant</w:t>
      </w:r>
      <w:r w:rsidRPr="00574E11">
        <w:rPr>
          <w:rFonts w:ascii="Times New Roman" w:hAnsi="Times New Roman" w:cs="Times New Roman"/>
          <w:sz w:val="20"/>
          <w:szCs w:val="20"/>
        </w:rPr>
        <w:t xml:space="preserve"> que le conducteur obtempère à la sommation faite en vertu du par. 254(2) pour le prélèvement d’un échantillon à des fins d’analyse au moyen d’un appareil de détection, alors la restriction doit nécessairement être prescrite pendant que l’on prend les mesures de détection </w:t>
      </w:r>
      <w:r w:rsidRPr="00574E11">
        <w:rPr>
          <w:rFonts w:ascii="Times New Roman" w:hAnsi="Times New Roman" w:cs="Times New Roman"/>
          <w:i/>
          <w:iCs/>
          <w:sz w:val="20"/>
          <w:szCs w:val="20"/>
        </w:rPr>
        <w:t>qui</w:t>
      </w:r>
      <w:r w:rsidRPr="00574E11">
        <w:rPr>
          <w:rFonts w:ascii="Times New Roman" w:hAnsi="Times New Roman" w:cs="Times New Roman"/>
          <w:sz w:val="20"/>
          <w:szCs w:val="20"/>
        </w:rPr>
        <w:t xml:space="preserve"> </w:t>
      </w:r>
      <w:r w:rsidRPr="00574E11">
        <w:rPr>
          <w:rFonts w:ascii="Times New Roman" w:hAnsi="Times New Roman" w:cs="Times New Roman"/>
          <w:i/>
          <w:iCs/>
          <w:sz w:val="20"/>
          <w:szCs w:val="20"/>
        </w:rPr>
        <w:t>précèdent</w:t>
      </w:r>
      <w:r w:rsidRPr="00574E11">
        <w:rPr>
          <w:rFonts w:ascii="Times New Roman" w:hAnsi="Times New Roman" w:cs="Times New Roman"/>
          <w:sz w:val="20"/>
          <w:szCs w:val="20"/>
        </w:rPr>
        <w:t xml:space="preserve"> la sommation et qui sont prises justement dans le but de déterminer si un soupçon raisonnable justifie la sommation [52]</w:t>
      </w:r>
      <w:r>
        <w:rPr>
          <w:rFonts w:ascii="Times New Roman" w:hAnsi="Times New Roman" w:cs="Times New Roman"/>
          <w:sz w:val="20"/>
          <w:szCs w:val="20"/>
        </w:rPr>
        <w:t>.</w:t>
      </w:r>
    </w:p>
    <w:p w14:paraId="6D51C229" w14:textId="77777777" w:rsidR="00574E11" w:rsidRDefault="00574E11" w:rsidP="00880034">
      <w:pPr>
        <w:pStyle w:val="Paragraphedeliste"/>
        <w:numPr>
          <w:ilvl w:val="0"/>
          <w:numId w:val="24"/>
        </w:numPr>
        <w:jc w:val="both"/>
        <w:rPr>
          <w:rFonts w:ascii="Times New Roman" w:hAnsi="Times New Roman" w:cs="Times New Roman"/>
          <w:sz w:val="20"/>
          <w:szCs w:val="20"/>
        </w:rPr>
      </w:pPr>
    </w:p>
    <w:p w14:paraId="21C59163" w14:textId="3644E6F8" w:rsidR="00574E11" w:rsidRDefault="00574E11" w:rsidP="00574E11">
      <w:pPr>
        <w:jc w:val="both"/>
        <w:rPr>
          <w:rFonts w:ascii="Times New Roman" w:hAnsi="Times New Roman" w:cs="Times New Roman"/>
          <w:sz w:val="20"/>
          <w:szCs w:val="20"/>
        </w:rPr>
      </w:pPr>
      <w:r>
        <w:rPr>
          <w:rFonts w:ascii="Times New Roman" w:hAnsi="Times New Roman" w:cs="Times New Roman"/>
          <w:sz w:val="20"/>
          <w:szCs w:val="20"/>
        </w:rPr>
        <w:t>Les critères justifiant la restriction du droit à l’assistance d’un avocat (p.25) :</w:t>
      </w:r>
    </w:p>
    <w:p w14:paraId="0C5D94A2" w14:textId="72B7057F" w:rsidR="00574E11" w:rsidRDefault="00574E11" w:rsidP="00880034">
      <w:pPr>
        <w:pStyle w:val="Paragraphedeliste"/>
        <w:numPr>
          <w:ilvl w:val="0"/>
          <w:numId w:val="25"/>
        </w:numPr>
        <w:jc w:val="both"/>
        <w:rPr>
          <w:rFonts w:ascii="Times New Roman" w:hAnsi="Times New Roman" w:cs="Times New Roman"/>
          <w:sz w:val="20"/>
          <w:szCs w:val="20"/>
        </w:rPr>
      </w:pPr>
      <w:r w:rsidRPr="00574E11">
        <w:rPr>
          <w:rFonts w:ascii="Times New Roman" w:hAnsi="Times New Roman" w:cs="Times New Roman"/>
          <w:sz w:val="20"/>
          <w:szCs w:val="20"/>
        </w:rPr>
        <w:t xml:space="preserve">Quatre critères permettent de juger si une restriction à un droit garanti par la </w:t>
      </w:r>
      <w:r w:rsidRPr="00574E11">
        <w:rPr>
          <w:rFonts w:ascii="Times New Roman" w:hAnsi="Times New Roman" w:cs="Times New Roman"/>
          <w:i/>
          <w:iCs/>
          <w:sz w:val="20"/>
          <w:szCs w:val="20"/>
        </w:rPr>
        <w:t>Charte</w:t>
      </w:r>
      <w:r w:rsidRPr="00574E11">
        <w:rPr>
          <w:rFonts w:ascii="Times New Roman" w:hAnsi="Times New Roman" w:cs="Times New Roman"/>
          <w:sz w:val="20"/>
          <w:szCs w:val="20"/>
        </w:rPr>
        <w:t xml:space="preserve"> est raisonnable et justifiée</w:t>
      </w:r>
      <w:r w:rsidRPr="00574E11">
        <w:rPr>
          <w:rFonts w:ascii="Times New Roman" w:hAnsi="Times New Roman" w:cs="Times New Roman"/>
          <w:b/>
          <w:sz w:val="20"/>
          <w:szCs w:val="20"/>
        </w:rPr>
        <w:t> : (1) l’objectif poursuivi par la loi doit être suffisamment important; (2) il doit y avoir un lien rationnel entre la restriction et l’objectif; (3) l’atteinte au droit ne doit pas aller au</w:t>
      </w:r>
      <w:r w:rsidRPr="00574E11">
        <w:rPr>
          <w:rFonts w:ascii="Palatino" w:hAnsi="Palatino" w:cs="Palatino"/>
          <w:b/>
          <w:sz w:val="20"/>
          <w:szCs w:val="20"/>
        </w:rPr>
        <w:t>‑</w:t>
      </w:r>
      <w:r w:rsidRPr="00574E11">
        <w:rPr>
          <w:rFonts w:ascii="Times New Roman" w:hAnsi="Times New Roman" w:cs="Times New Roman"/>
          <w:b/>
          <w:sz w:val="20"/>
          <w:szCs w:val="20"/>
        </w:rPr>
        <w:t xml:space="preserve">delà de ce qui est nécessaire à la réalisation de l’objectif; (4) il doit y avoir proportionnalité entre les effets préjudiciables et les effets salutaires des mesures restreignant un droit ou une liberté protégé par la </w:t>
      </w:r>
      <w:r w:rsidRPr="00574E11">
        <w:rPr>
          <w:rFonts w:ascii="Times New Roman" w:hAnsi="Times New Roman" w:cs="Times New Roman"/>
          <w:b/>
          <w:i/>
          <w:iCs/>
          <w:sz w:val="20"/>
          <w:szCs w:val="20"/>
        </w:rPr>
        <w:t>Charte</w:t>
      </w:r>
      <w:r w:rsidRPr="00574E11">
        <w:rPr>
          <w:rFonts w:ascii="Times New Roman" w:hAnsi="Times New Roman" w:cs="Times New Roman"/>
          <w:b/>
          <w:sz w:val="20"/>
          <w:szCs w:val="20"/>
        </w:rPr>
        <w:t xml:space="preserve"> </w:t>
      </w:r>
      <w:r w:rsidRPr="00574E11">
        <w:rPr>
          <w:rFonts w:ascii="Times New Roman" w:hAnsi="Times New Roman" w:cs="Times New Roman"/>
          <w:sz w:val="20"/>
          <w:szCs w:val="20"/>
        </w:rPr>
        <w:t>(</w:t>
      </w:r>
      <w:r w:rsidRPr="00574E11">
        <w:rPr>
          <w:rFonts w:ascii="Times New Roman" w:hAnsi="Times New Roman" w:cs="Times New Roman"/>
          <w:i/>
          <w:iCs/>
          <w:sz w:val="20"/>
          <w:szCs w:val="20"/>
        </w:rPr>
        <w:t>R. c. Oakes</w:t>
      </w:r>
      <w:r w:rsidRPr="00574E11">
        <w:rPr>
          <w:rFonts w:ascii="Times New Roman" w:hAnsi="Times New Roman" w:cs="Times New Roman"/>
          <w:sz w:val="20"/>
          <w:szCs w:val="20"/>
        </w:rPr>
        <w:t xml:space="preserve">,[1986] 1 R.C.S. 103; </w:t>
      </w:r>
      <w:r w:rsidRPr="00574E11">
        <w:rPr>
          <w:rFonts w:ascii="Times New Roman" w:hAnsi="Times New Roman" w:cs="Times New Roman"/>
          <w:i/>
          <w:iCs/>
          <w:sz w:val="20"/>
          <w:szCs w:val="20"/>
        </w:rPr>
        <w:t>Dagenais c. Société Radio</w:t>
      </w:r>
      <w:r w:rsidRPr="00574E11">
        <w:rPr>
          <w:rFonts w:ascii="Palatino" w:hAnsi="Palatino" w:cs="Palatino"/>
          <w:i/>
          <w:iCs/>
          <w:sz w:val="20"/>
          <w:szCs w:val="20"/>
        </w:rPr>
        <w:t>‑</w:t>
      </w:r>
      <w:r w:rsidRPr="00574E11">
        <w:rPr>
          <w:rFonts w:ascii="Times New Roman" w:hAnsi="Times New Roman" w:cs="Times New Roman"/>
          <w:i/>
          <w:iCs/>
          <w:sz w:val="20"/>
          <w:szCs w:val="20"/>
        </w:rPr>
        <w:t>Canada</w:t>
      </w:r>
      <w:r w:rsidRPr="00574E11">
        <w:rPr>
          <w:rFonts w:ascii="Times New Roman" w:hAnsi="Times New Roman" w:cs="Times New Roman"/>
          <w:sz w:val="20"/>
          <w:szCs w:val="20"/>
        </w:rPr>
        <w:t>,[1994] 3 R.C.S. 835). [54]</w:t>
      </w:r>
    </w:p>
    <w:p w14:paraId="08D63AEE" w14:textId="77777777" w:rsidR="00574E11" w:rsidRPr="00574E11" w:rsidRDefault="00574E11" w:rsidP="00574E11">
      <w:pPr>
        <w:jc w:val="both"/>
        <w:rPr>
          <w:rFonts w:ascii="Times New Roman" w:hAnsi="Times New Roman" w:cs="Times New Roman"/>
          <w:sz w:val="20"/>
          <w:szCs w:val="20"/>
        </w:rPr>
      </w:pPr>
    </w:p>
    <w:p w14:paraId="64EBFCEE" w14:textId="250DC681" w:rsidR="00267544" w:rsidRDefault="00574E11" w:rsidP="008D4526">
      <w:pPr>
        <w:jc w:val="both"/>
        <w:rPr>
          <w:rFonts w:ascii="Times New Roman" w:hAnsi="Times New Roman" w:cs="Times New Roman"/>
          <w:sz w:val="22"/>
          <w:szCs w:val="22"/>
        </w:rPr>
      </w:pPr>
      <w:r>
        <w:rPr>
          <w:rFonts w:ascii="Times New Roman" w:hAnsi="Times New Roman" w:cs="Times New Roman"/>
          <w:sz w:val="22"/>
          <w:szCs w:val="22"/>
        </w:rPr>
        <w:t>En somme, la Cour vient dire dans cet arrêt que la détention au cours d’une sommation pour alcoolémie en vertu du C.cr.</w:t>
      </w:r>
      <w:r w:rsidR="00DF6354">
        <w:rPr>
          <w:rFonts w:ascii="Times New Roman" w:hAnsi="Times New Roman" w:cs="Times New Roman"/>
          <w:sz w:val="22"/>
          <w:szCs w:val="22"/>
        </w:rPr>
        <w:t xml:space="preserve"> restreint implicitement le droit à l’assistance d’un avocat, évoqué à l’art. 10 b) de la Charte, car cette restriction est justifiés dans le cadre d’une société libre et démocratique (</w:t>
      </w:r>
      <w:r w:rsidR="00DF6354">
        <w:rPr>
          <w:rFonts w:ascii="Times New Roman" w:hAnsi="Times New Roman" w:cs="Times New Roman"/>
          <w:b/>
          <w:sz w:val="22"/>
          <w:szCs w:val="22"/>
        </w:rPr>
        <w:t>Thomsen)</w:t>
      </w:r>
      <w:r w:rsidR="00DF6354">
        <w:rPr>
          <w:rFonts w:ascii="Times New Roman" w:hAnsi="Times New Roman" w:cs="Times New Roman"/>
          <w:sz w:val="22"/>
          <w:szCs w:val="22"/>
        </w:rPr>
        <w:t>, vu l’objectif sociale de cette sommation. Il en va de même de toute ‘’détention’’ automobile aux fins de vérifications de l’état du véhicule, de sécurité, etc. Par contre, les circonstances entourant cette ‘’détention’’ qui ne font pas intervenir la Charte peuvent vite changé et ainsi nécessité l’application des droits fondamentaux du justiciable.</w:t>
      </w:r>
    </w:p>
    <w:p w14:paraId="38FA51AD" w14:textId="77777777" w:rsidR="00DF6354" w:rsidRDefault="00DF6354" w:rsidP="008D4526">
      <w:pPr>
        <w:jc w:val="both"/>
        <w:rPr>
          <w:rFonts w:ascii="Times New Roman" w:hAnsi="Times New Roman" w:cs="Times New Roman"/>
          <w:sz w:val="22"/>
          <w:szCs w:val="22"/>
        </w:rPr>
      </w:pPr>
    </w:p>
    <w:p w14:paraId="451B8EDC" w14:textId="649BBE74" w:rsidR="00DF6354" w:rsidRDefault="00DF6354" w:rsidP="008D4526">
      <w:pPr>
        <w:jc w:val="both"/>
        <w:rPr>
          <w:rFonts w:ascii="Times New Roman" w:hAnsi="Times New Roman" w:cs="Times New Roman"/>
          <w:sz w:val="22"/>
          <w:szCs w:val="22"/>
        </w:rPr>
      </w:pPr>
      <w:r>
        <w:rPr>
          <w:rFonts w:ascii="Times New Roman" w:hAnsi="Times New Roman" w:cs="Times New Roman"/>
          <w:sz w:val="22"/>
          <w:szCs w:val="22"/>
        </w:rPr>
        <w:t>La restriction est justifiable en vertu de l’art. 1 de la Charte :</w:t>
      </w:r>
    </w:p>
    <w:p w14:paraId="761C3C4D" w14:textId="46496D63" w:rsidR="00DF6354" w:rsidRDefault="00DF6354" w:rsidP="008D4526">
      <w:pPr>
        <w:jc w:val="both"/>
        <w:rPr>
          <w:rFonts w:ascii="Times New Roman" w:hAnsi="Times New Roman" w:cs="Times New Roman"/>
          <w:sz w:val="22"/>
          <w:szCs w:val="22"/>
        </w:rPr>
      </w:pPr>
      <w:r>
        <w:rPr>
          <w:rFonts w:ascii="Times New Roman" w:hAnsi="Times New Roman" w:cs="Times New Roman"/>
          <w:b/>
          <w:i/>
          <w:sz w:val="22"/>
          <w:szCs w:val="22"/>
        </w:rPr>
        <w:t xml:space="preserve">R. c. Thomsen, [1988] </w:t>
      </w:r>
      <w:r>
        <w:rPr>
          <w:rFonts w:ascii="Times New Roman" w:hAnsi="Times New Roman" w:cs="Times New Roman"/>
          <w:sz w:val="22"/>
          <w:szCs w:val="22"/>
        </w:rPr>
        <w:t>(p. 27).</w:t>
      </w:r>
    </w:p>
    <w:p w14:paraId="1CAD7AB7" w14:textId="3C6A0852" w:rsidR="00DF6354" w:rsidRPr="00E52EB4" w:rsidRDefault="00E52EB4" w:rsidP="00880034">
      <w:pPr>
        <w:pStyle w:val="Paragraphedeliste"/>
        <w:numPr>
          <w:ilvl w:val="0"/>
          <w:numId w:val="25"/>
        </w:numPr>
        <w:jc w:val="both"/>
        <w:rPr>
          <w:rFonts w:ascii="Times New Roman" w:hAnsi="Times New Roman" w:cs="Times New Roman"/>
          <w:sz w:val="22"/>
          <w:szCs w:val="22"/>
        </w:rPr>
      </w:pPr>
      <w:r w:rsidRPr="00E52EB4">
        <w:rPr>
          <w:rFonts w:ascii="Times New Roman" w:hAnsi="Times New Roman" w:cs="Times New Roman"/>
          <w:sz w:val="20"/>
          <w:szCs w:val="20"/>
        </w:rPr>
        <w:t xml:space="preserve">Le droit de l'accusé d'avoir recours sans délai à l'assistance d'un avocat est restreint, dans le cas d'une sommation faite en vertu du par. 234.1(1) par une règle de droit au sens de l'article premier de la </w:t>
      </w:r>
      <w:r w:rsidRPr="00E52EB4">
        <w:rPr>
          <w:rFonts w:ascii="Times New Roman" w:hAnsi="Times New Roman" w:cs="Times New Roman"/>
          <w:i/>
          <w:iCs/>
          <w:sz w:val="20"/>
          <w:szCs w:val="20"/>
        </w:rPr>
        <w:t>Charte</w:t>
      </w:r>
      <w:r w:rsidRPr="00E52EB4">
        <w:rPr>
          <w:rFonts w:ascii="Times New Roman" w:hAnsi="Times New Roman" w:cs="Times New Roman"/>
          <w:sz w:val="20"/>
          <w:szCs w:val="20"/>
        </w:rPr>
        <w:t>. Une restriction prescrite par une règle de droit au sens de l'article premier peut découler implicitement des termes d'une disposition législative ou de ses conditions d'application. Il n'est pas nécessaire qu'il s'agisse d'une restriction explicite d'un droit ou d'une liberté en particulier</w:t>
      </w:r>
      <w:r>
        <w:rPr>
          <w:rFonts w:ascii="Times New Roman" w:hAnsi="Times New Roman" w:cs="Times New Roman"/>
          <w:sz w:val="20"/>
          <w:szCs w:val="20"/>
        </w:rPr>
        <w:t>.</w:t>
      </w:r>
    </w:p>
    <w:p w14:paraId="70D7F55B" w14:textId="39B76EEC" w:rsidR="00E52EB4" w:rsidRPr="00E52EB4" w:rsidRDefault="00E52EB4" w:rsidP="00880034">
      <w:pPr>
        <w:pStyle w:val="Paragraphedeliste"/>
        <w:numPr>
          <w:ilvl w:val="0"/>
          <w:numId w:val="25"/>
        </w:numPr>
        <w:jc w:val="both"/>
        <w:rPr>
          <w:rFonts w:ascii="Times New Roman" w:hAnsi="Times New Roman" w:cs="Times New Roman"/>
          <w:sz w:val="22"/>
          <w:szCs w:val="22"/>
        </w:rPr>
      </w:pPr>
      <w:r w:rsidRPr="00E52EB4">
        <w:rPr>
          <w:rFonts w:ascii="Times New Roman" w:hAnsi="Times New Roman" w:cs="Times New Roman"/>
          <w:sz w:val="20"/>
          <w:szCs w:val="20"/>
        </w:rPr>
        <w:t xml:space="preserve">Toutefois cette restriction imposée par le par. 234.1(1) du </w:t>
      </w:r>
      <w:r w:rsidRPr="00E52EB4">
        <w:rPr>
          <w:rFonts w:ascii="Times New Roman" w:hAnsi="Times New Roman" w:cs="Times New Roman"/>
          <w:i/>
          <w:iCs/>
          <w:sz w:val="20"/>
          <w:szCs w:val="20"/>
        </w:rPr>
        <w:t>Code</w:t>
      </w:r>
      <w:r w:rsidRPr="00E52EB4">
        <w:rPr>
          <w:rFonts w:ascii="Times New Roman" w:hAnsi="Times New Roman" w:cs="Times New Roman"/>
          <w:sz w:val="20"/>
          <w:szCs w:val="20"/>
        </w:rPr>
        <w:t xml:space="preserve"> au droit à un avocat est justifiable aux termes de l'article premier de la </w:t>
      </w:r>
      <w:r w:rsidRPr="00E52EB4">
        <w:rPr>
          <w:rFonts w:ascii="Times New Roman" w:hAnsi="Times New Roman" w:cs="Times New Roman"/>
          <w:i/>
          <w:iCs/>
          <w:sz w:val="20"/>
          <w:szCs w:val="20"/>
        </w:rPr>
        <w:t>Charte</w:t>
      </w:r>
      <w:r w:rsidRPr="00E52EB4">
        <w:rPr>
          <w:rFonts w:ascii="Times New Roman" w:hAnsi="Times New Roman" w:cs="Times New Roman"/>
          <w:sz w:val="20"/>
          <w:szCs w:val="20"/>
        </w:rPr>
        <w:t>. Le rôle important que joue l'alcootest n'est pas seulement d'augmenter la découverte des conducteurs aux facultés affaiblies, mais d'accroître la perception du risque qu'ils soient découverts, ce qui est essentiel pour constituer un moyen de dissuasion efficace</w:t>
      </w:r>
      <w:r>
        <w:rPr>
          <w:sz w:val="20"/>
          <w:szCs w:val="20"/>
        </w:rPr>
        <w:t>.</w:t>
      </w:r>
    </w:p>
    <w:p w14:paraId="711AE872" w14:textId="77777777" w:rsidR="00E52EB4" w:rsidRDefault="00E52EB4" w:rsidP="00E52EB4">
      <w:pPr>
        <w:jc w:val="both"/>
        <w:rPr>
          <w:rFonts w:ascii="Times New Roman" w:hAnsi="Times New Roman" w:cs="Times New Roman"/>
          <w:sz w:val="22"/>
          <w:szCs w:val="22"/>
        </w:rPr>
      </w:pPr>
    </w:p>
    <w:p w14:paraId="22491561" w14:textId="09B7E894" w:rsidR="00E52EB4" w:rsidRPr="00E52EB4" w:rsidRDefault="00E52EB4" w:rsidP="00E52EB4">
      <w:pPr>
        <w:jc w:val="both"/>
        <w:rPr>
          <w:rFonts w:ascii="Times New Roman" w:hAnsi="Times New Roman" w:cs="Times New Roman"/>
          <w:i/>
          <w:sz w:val="22"/>
          <w:szCs w:val="22"/>
        </w:rPr>
      </w:pPr>
      <w:r w:rsidRPr="00E52EB4">
        <w:rPr>
          <w:rFonts w:ascii="Times New Roman" w:hAnsi="Times New Roman" w:cs="Times New Roman"/>
          <w:sz w:val="22"/>
          <w:szCs w:val="22"/>
        </w:rPr>
        <w:t xml:space="preserve">Finalement, l’on peut conclure des arrêts précités que dès qu’il y a un contrôle routier, et que la police va plus loin un peu, notamment elle fouille, là on tombe dans une autre sphère et le droit à l’avocat va jouer ; tandis que dans le contrôle normale, la police n’est pas tenu de nous dire ce droit. </w:t>
      </w:r>
      <w:r w:rsidRPr="00E52EB4">
        <w:rPr>
          <w:rFonts w:ascii="Times New Roman" w:hAnsi="Times New Roman" w:cs="Times New Roman"/>
          <w:i/>
          <w:sz w:val="22"/>
          <w:szCs w:val="22"/>
        </w:rPr>
        <w:t>Tout cela crée des incertitudes...</w:t>
      </w:r>
    </w:p>
    <w:p w14:paraId="601F6BC4" w14:textId="20817A99" w:rsidR="00E52EB4" w:rsidRDefault="00E52EB4" w:rsidP="00E52EB4">
      <w:pPr>
        <w:jc w:val="both"/>
        <w:rPr>
          <w:rFonts w:ascii="Times New Roman" w:hAnsi="Times New Roman" w:cs="Times New Roman"/>
          <w:sz w:val="22"/>
          <w:szCs w:val="22"/>
        </w:rPr>
      </w:pPr>
    </w:p>
    <w:p w14:paraId="24CF15F2" w14:textId="7DCF941B" w:rsidR="00E52EB4" w:rsidRDefault="00E52EB4" w:rsidP="00E52EB4">
      <w:pPr>
        <w:jc w:val="both"/>
        <w:rPr>
          <w:rFonts w:ascii="Times New Roman" w:hAnsi="Times New Roman" w:cs="Times New Roman"/>
          <w:sz w:val="22"/>
          <w:szCs w:val="22"/>
        </w:rPr>
      </w:pPr>
      <w:r>
        <w:rPr>
          <w:rFonts w:ascii="Times New Roman" w:hAnsi="Times New Roman" w:cs="Times New Roman"/>
          <w:b/>
          <w:i/>
          <w:sz w:val="22"/>
          <w:szCs w:val="22"/>
        </w:rPr>
        <w:t>R. c. Orbanski ; R. c. Elias (</w:t>
      </w:r>
      <w:r>
        <w:rPr>
          <w:rFonts w:ascii="Times New Roman" w:hAnsi="Times New Roman" w:cs="Times New Roman"/>
          <w:sz w:val="22"/>
          <w:szCs w:val="22"/>
        </w:rPr>
        <w:t>p. 27) :</w:t>
      </w:r>
    </w:p>
    <w:p w14:paraId="1F71B8C9" w14:textId="67594D6F" w:rsidR="00E52EB4" w:rsidRDefault="00E52EB4" w:rsidP="00E52EB4">
      <w:pPr>
        <w:jc w:val="both"/>
        <w:rPr>
          <w:rFonts w:ascii="Times New Roman" w:hAnsi="Times New Roman" w:cs="Times New Roman"/>
          <w:sz w:val="22"/>
          <w:szCs w:val="22"/>
        </w:rPr>
      </w:pPr>
      <w:r>
        <w:rPr>
          <w:rFonts w:ascii="Times New Roman" w:hAnsi="Times New Roman" w:cs="Times New Roman"/>
          <w:sz w:val="22"/>
          <w:szCs w:val="22"/>
        </w:rPr>
        <w:t>La Cour, afin de précisé un peu la portée de ce qu’elle avait dégagée ultérieurement, énonce certaines constatations importantes à ce rappeler :</w:t>
      </w:r>
    </w:p>
    <w:p w14:paraId="67FC98C1" w14:textId="099AB07B" w:rsidR="00E52EB4" w:rsidRPr="00C2218A" w:rsidRDefault="00E52EB4" w:rsidP="00880034">
      <w:pPr>
        <w:pStyle w:val="Paragraphedeliste"/>
        <w:numPr>
          <w:ilvl w:val="0"/>
          <w:numId w:val="26"/>
        </w:numPr>
        <w:jc w:val="both"/>
        <w:rPr>
          <w:rFonts w:ascii="Times New Roman" w:hAnsi="Times New Roman" w:cs="Times New Roman"/>
          <w:sz w:val="22"/>
          <w:szCs w:val="22"/>
        </w:rPr>
      </w:pPr>
      <w:r w:rsidRPr="00E52EB4">
        <w:rPr>
          <w:rFonts w:ascii="Times New Roman" w:hAnsi="Times New Roman" w:cs="Times New Roman"/>
          <w:sz w:val="20"/>
          <w:szCs w:val="20"/>
        </w:rPr>
        <w:t>La question de savoir si la prise d’une mesure de détection en particulier relève de la conduite policière permise appelle nécessairement un examen au cas par cas [47].</w:t>
      </w:r>
    </w:p>
    <w:p w14:paraId="2685D7BA" w14:textId="77777777" w:rsidR="00C2218A" w:rsidRPr="00E52EB4" w:rsidRDefault="00C2218A" w:rsidP="00C2218A">
      <w:pPr>
        <w:pStyle w:val="Paragraphedeliste"/>
        <w:jc w:val="both"/>
        <w:rPr>
          <w:rFonts w:ascii="Times New Roman" w:hAnsi="Times New Roman" w:cs="Times New Roman"/>
          <w:sz w:val="22"/>
          <w:szCs w:val="22"/>
        </w:rPr>
      </w:pPr>
    </w:p>
    <w:p w14:paraId="7EA7E21F" w14:textId="77B0C58B" w:rsidR="00E52EB4" w:rsidRDefault="00C2218A" w:rsidP="00C2218A">
      <w:pPr>
        <w:jc w:val="both"/>
        <w:rPr>
          <w:rFonts w:ascii="Times New Roman" w:hAnsi="Times New Roman" w:cs="Times New Roman"/>
          <w:sz w:val="22"/>
          <w:szCs w:val="22"/>
        </w:rPr>
      </w:pPr>
      <w:r w:rsidRPr="00C2218A">
        <w:rPr>
          <w:rFonts w:ascii="Times New Roman" w:hAnsi="Times New Roman" w:cs="Times New Roman"/>
          <w:sz w:val="22"/>
          <w:szCs w:val="22"/>
        </w:rPr>
        <w:t>Il faut se mettre à la place des juges là, le législateur fait rien et c’est pas à la Cour de le faire. Les tribunaux font quand même preuve de déférence à l’égard de la police en matière de contrôle routier</w:t>
      </w:r>
      <w:r>
        <w:rPr>
          <w:rFonts w:ascii="Times New Roman" w:hAnsi="Times New Roman" w:cs="Times New Roman"/>
          <w:sz w:val="22"/>
          <w:szCs w:val="22"/>
        </w:rPr>
        <w:t>.</w:t>
      </w:r>
    </w:p>
    <w:p w14:paraId="77B1B66F" w14:textId="77777777" w:rsidR="00C2218A" w:rsidRDefault="00C2218A" w:rsidP="00C2218A">
      <w:pPr>
        <w:jc w:val="both"/>
        <w:rPr>
          <w:rFonts w:ascii="Times New Roman" w:hAnsi="Times New Roman" w:cs="Times New Roman"/>
          <w:sz w:val="22"/>
          <w:szCs w:val="22"/>
        </w:rPr>
      </w:pPr>
    </w:p>
    <w:p w14:paraId="53976433" w14:textId="77777777" w:rsidR="00C2218A" w:rsidRDefault="00C2218A" w:rsidP="00C2218A">
      <w:pPr>
        <w:jc w:val="both"/>
        <w:rPr>
          <w:rFonts w:ascii="Times New Roman" w:hAnsi="Times New Roman" w:cs="Times New Roman"/>
          <w:sz w:val="22"/>
          <w:szCs w:val="22"/>
        </w:rPr>
      </w:pPr>
    </w:p>
    <w:p w14:paraId="71EBD85C" w14:textId="77777777" w:rsidR="00C2218A" w:rsidRPr="00C2218A" w:rsidRDefault="00C2218A" w:rsidP="00C2218A">
      <w:pPr>
        <w:jc w:val="both"/>
        <w:rPr>
          <w:rFonts w:ascii="Times New Roman" w:hAnsi="Times New Roman" w:cs="Times New Roman"/>
          <w:sz w:val="22"/>
          <w:szCs w:val="22"/>
        </w:rPr>
      </w:pPr>
    </w:p>
    <w:p w14:paraId="58124110" w14:textId="7FD82778"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C2218A">
        <w:rPr>
          <w:rFonts w:ascii="Times New Roman" w:hAnsi="Times New Roman" w:cs="Verdana"/>
          <w:b/>
          <w:color w:val="3E3E3E"/>
          <w:sz w:val="22"/>
          <w:szCs w:val="22"/>
          <w:u w:val="single"/>
        </w:rPr>
        <w:t>§3. La détention aux fins d’enquête</w:t>
      </w:r>
      <w:r w:rsidR="00C2218A">
        <w:rPr>
          <w:rFonts w:ascii="Times New Roman" w:hAnsi="Times New Roman" w:cs="Verdana"/>
          <w:b/>
          <w:color w:val="3E3E3E"/>
          <w:sz w:val="22"/>
          <w:szCs w:val="22"/>
          <w:u w:val="single"/>
        </w:rPr>
        <w:t xml:space="preserve"> (p.29)</w:t>
      </w:r>
      <w:r w:rsidRPr="00C2218A">
        <w:rPr>
          <w:rFonts w:ascii="Times New Roman" w:hAnsi="Times New Roman" w:cs="Verdana"/>
          <w:b/>
          <w:color w:val="3E3E3E"/>
          <w:sz w:val="22"/>
          <w:szCs w:val="22"/>
          <w:u w:val="single"/>
        </w:rPr>
        <w:t> </w:t>
      </w:r>
      <w:r>
        <w:rPr>
          <w:rFonts w:ascii="Times New Roman" w:hAnsi="Times New Roman" w:cs="Verdana"/>
          <w:color w:val="3E3E3E"/>
          <w:sz w:val="22"/>
          <w:szCs w:val="22"/>
        </w:rPr>
        <w:t>;</w:t>
      </w:r>
    </w:p>
    <w:p w14:paraId="4F56E019" w14:textId="72025887" w:rsidR="00BF6408" w:rsidRDefault="00BF6408" w:rsidP="00BF6408">
      <w:pPr>
        <w:widowControl w:val="0"/>
        <w:autoSpaceDE w:val="0"/>
        <w:autoSpaceDN w:val="0"/>
        <w:adjustRightInd w:val="0"/>
        <w:spacing w:after="300"/>
        <w:rPr>
          <w:rFonts w:ascii="Times New Roman" w:hAnsi="Times New Roman" w:cs="Verdana"/>
          <w:i/>
          <w:color w:val="3E3E3E"/>
          <w:sz w:val="22"/>
          <w:szCs w:val="22"/>
        </w:rPr>
      </w:pPr>
      <w:r w:rsidRPr="00BF6408">
        <w:rPr>
          <w:rFonts w:ascii="Times New Roman" w:hAnsi="Times New Roman" w:cs="Verdana"/>
          <w:color w:val="3E3E3E"/>
          <w:sz w:val="22"/>
          <w:szCs w:val="22"/>
        </w:rPr>
        <w:t> </w:t>
      </w:r>
      <w:r w:rsidR="00C2218A">
        <w:rPr>
          <w:rFonts w:ascii="Times New Roman" w:hAnsi="Times New Roman" w:cs="Verdana"/>
          <w:i/>
          <w:color w:val="3E3E3E"/>
          <w:sz w:val="22"/>
          <w:szCs w:val="22"/>
        </w:rPr>
        <w:t>A. De l’interception pour fin d’enquête ;</w:t>
      </w:r>
    </w:p>
    <w:p w14:paraId="5F0B2AA0" w14:textId="2A723D93" w:rsidR="00C2218A" w:rsidRDefault="00C2218A" w:rsidP="00BF6408">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b/>
          <w:i/>
          <w:color w:val="3E3E3E"/>
          <w:sz w:val="22"/>
          <w:szCs w:val="22"/>
        </w:rPr>
        <w:t>R. v. Simpson 1993</w:t>
      </w:r>
    </w:p>
    <w:p w14:paraId="6DBDEE77" w14:textId="4A8DFED3" w:rsidR="00C2218A" w:rsidRPr="00151386" w:rsidRDefault="00C2218A" w:rsidP="00880034">
      <w:pPr>
        <w:pStyle w:val="Paragraphedeliste"/>
        <w:numPr>
          <w:ilvl w:val="0"/>
          <w:numId w:val="26"/>
        </w:numPr>
        <w:jc w:val="both"/>
        <w:rPr>
          <w:lang w:val="fr-CA"/>
        </w:rPr>
      </w:pPr>
      <w:r w:rsidRPr="00C2218A">
        <w:rPr>
          <w:rFonts w:ascii="Times New Roman" w:hAnsi="Times New Roman" w:cs="Times New Roman"/>
          <w:sz w:val="20"/>
          <w:szCs w:val="20"/>
          <w:lang w:val="fr-CA"/>
        </w:rPr>
        <w:t xml:space="preserve">Il est bien établi qu’une détention légale n’est pas « arbitraire » au sens de cette disposition.  Par conséquent, une détention aux fins d’enquête exécutée conformément au pouvoir fondé sur la common law reconnu en l’espèce ne porte pas atteinte aux droits que l’art. 9 de la </w:t>
      </w:r>
      <w:r w:rsidRPr="00C2218A">
        <w:rPr>
          <w:rFonts w:ascii="Times New Roman" w:hAnsi="Times New Roman" w:cs="Times New Roman"/>
          <w:i/>
          <w:iCs/>
          <w:sz w:val="20"/>
          <w:szCs w:val="20"/>
          <w:lang w:val="fr-CA"/>
        </w:rPr>
        <w:t>Charte</w:t>
      </w:r>
      <w:r w:rsidRPr="00C2218A">
        <w:rPr>
          <w:rFonts w:ascii="Times New Roman" w:hAnsi="Times New Roman" w:cs="Times New Roman"/>
          <w:sz w:val="20"/>
          <w:szCs w:val="20"/>
          <w:lang w:val="fr-CA"/>
        </w:rPr>
        <w:t xml:space="preserve"> garantit à la personne détenue</w:t>
      </w:r>
      <w:r w:rsidRPr="00C2218A">
        <w:rPr>
          <w:sz w:val="20"/>
          <w:szCs w:val="20"/>
          <w:lang w:val="fr-CA"/>
        </w:rPr>
        <w:t>.</w:t>
      </w:r>
    </w:p>
    <w:p w14:paraId="4475D100" w14:textId="77777777" w:rsidR="00151386" w:rsidRPr="00151386" w:rsidRDefault="00151386" w:rsidP="00151386">
      <w:pPr>
        <w:pStyle w:val="Paragraphedeliste"/>
        <w:jc w:val="both"/>
        <w:rPr>
          <w:lang w:val="fr-CA"/>
        </w:rPr>
      </w:pPr>
    </w:p>
    <w:p w14:paraId="52DFFE64" w14:textId="41C7C625" w:rsid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w:t>
      </w:r>
      <w:r w:rsidRPr="00BF6408">
        <w:rPr>
          <w:rFonts w:ascii="Times New Roman" w:hAnsi="Times New Roman" w:cs="Verdana"/>
          <w:b/>
          <w:i/>
          <w:iCs/>
          <w:color w:val="3E3E3E"/>
          <w:sz w:val="22"/>
          <w:szCs w:val="22"/>
        </w:rPr>
        <w:t>R. c. Mann</w:t>
      </w:r>
      <w:r w:rsidRPr="00BF6408">
        <w:rPr>
          <w:rFonts w:ascii="Times New Roman" w:hAnsi="Times New Roman" w:cs="Verdana"/>
          <w:b/>
          <w:color w:val="3E3E3E"/>
          <w:sz w:val="22"/>
          <w:szCs w:val="22"/>
        </w:rPr>
        <w:t>, [2004] 3 RCS 59</w:t>
      </w:r>
      <w:r w:rsidR="00151386">
        <w:rPr>
          <w:rFonts w:ascii="Times New Roman" w:hAnsi="Times New Roman" w:cs="Verdana"/>
          <w:b/>
          <w:color w:val="3E3E3E"/>
          <w:sz w:val="22"/>
          <w:szCs w:val="22"/>
        </w:rPr>
        <w:t xml:space="preserve"> (p</w:t>
      </w:r>
      <w:r w:rsidR="00151386" w:rsidRPr="00151386">
        <w:rPr>
          <w:rFonts w:ascii="Times New Roman" w:hAnsi="Times New Roman" w:cs="Verdana"/>
          <w:color w:val="3E3E3E"/>
          <w:sz w:val="22"/>
          <w:szCs w:val="22"/>
        </w:rPr>
        <w:t>.</w:t>
      </w:r>
      <w:r w:rsidR="00151386">
        <w:rPr>
          <w:rFonts w:ascii="Times New Roman" w:hAnsi="Times New Roman" w:cs="Verdana"/>
          <w:color w:val="3E3E3E"/>
          <w:sz w:val="22"/>
          <w:szCs w:val="22"/>
        </w:rPr>
        <w:t xml:space="preserve"> 29) :</w:t>
      </w:r>
    </w:p>
    <w:p w14:paraId="280951C9" w14:textId="0C7D3DA0" w:rsidR="00151386" w:rsidRDefault="00151386" w:rsidP="00BF6408">
      <w:pPr>
        <w:widowControl w:val="0"/>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2"/>
          <w:szCs w:val="22"/>
        </w:rPr>
        <w:t>Cet arrêt concerne la détention aux fins d’enquête et la fouille par palpation préventive, notamment de ses limites constitutionnelles.</w:t>
      </w:r>
    </w:p>
    <w:p w14:paraId="3EF307C1" w14:textId="0FFAFE14" w:rsidR="00151386" w:rsidRPr="00151386" w:rsidRDefault="00151386" w:rsidP="00880034">
      <w:pPr>
        <w:pStyle w:val="Paragraphedeliste"/>
        <w:widowControl w:val="0"/>
        <w:numPr>
          <w:ilvl w:val="0"/>
          <w:numId w:val="26"/>
        </w:numPr>
        <w:autoSpaceDE w:val="0"/>
        <w:autoSpaceDN w:val="0"/>
        <w:adjustRightInd w:val="0"/>
        <w:spacing w:after="300"/>
        <w:rPr>
          <w:rFonts w:ascii="Times New Roman" w:hAnsi="Times New Roman" w:cs="Verdana"/>
          <w:color w:val="3E3E3E"/>
          <w:sz w:val="22"/>
          <w:szCs w:val="22"/>
        </w:rPr>
      </w:pPr>
      <w:r w:rsidRPr="00DA0FB0">
        <w:rPr>
          <w:rFonts w:ascii="Times New Roman" w:hAnsi="Times New Roman" w:cs="Times New Roman"/>
          <w:sz w:val="20"/>
          <w:szCs w:val="20"/>
          <w:lang w:val="fr-CA"/>
        </w:rPr>
        <w:t>Les policiers étaient habilités à détenir M aux fins d’enquête et à le soumettre à une fouille par palpation pour assurer leur sécurité, mais la fouille des poches de M était injustifiée et la preuve découverte dans celles</w:t>
      </w:r>
      <w:r w:rsidRPr="00DA0FB0">
        <w:rPr>
          <w:rFonts w:ascii="Times New Roman" w:hAnsi="Times New Roman" w:cs="Times New Roman"/>
          <w:sz w:val="20"/>
          <w:szCs w:val="20"/>
          <w:lang w:val="fr-CA"/>
        </w:rPr>
        <w:noBreakHyphen/>
        <w:t>ci doit être écartée</w:t>
      </w:r>
      <w:r>
        <w:rPr>
          <w:rFonts w:ascii="Times New Roman" w:hAnsi="Times New Roman" w:cs="Times New Roman"/>
          <w:sz w:val="20"/>
          <w:szCs w:val="20"/>
          <w:lang w:val="fr-CA"/>
        </w:rPr>
        <w:t>.</w:t>
      </w:r>
    </w:p>
    <w:p w14:paraId="0A483A8E" w14:textId="38DA545C" w:rsidR="00151386" w:rsidRPr="00151386" w:rsidRDefault="00151386" w:rsidP="00880034">
      <w:pPr>
        <w:pStyle w:val="Paragraphedeliste"/>
        <w:widowControl w:val="0"/>
        <w:numPr>
          <w:ilvl w:val="0"/>
          <w:numId w:val="26"/>
        </w:numPr>
        <w:autoSpaceDE w:val="0"/>
        <w:autoSpaceDN w:val="0"/>
        <w:adjustRightInd w:val="0"/>
        <w:spacing w:after="300"/>
        <w:rPr>
          <w:rFonts w:ascii="Times New Roman" w:hAnsi="Times New Roman" w:cs="Verdana"/>
          <w:color w:val="3E3E3E"/>
          <w:sz w:val="22"/>
          <w:szCs w:val="22"/>
        </w:rPr>
      </w:pPr>
      <w:r w:rsidRPr="00DA0FB0">
        <w:rPr>
          <w:rFonts w:ascii="Times New Roman" w:hAnsi="Times New Roman" w:cs="Times New Roman"/>
          <w:sz w:val="20"/>
          <w:szCs w:val="20"/>
          <w:lang w:val="fr-CA"/>
        </w:rPr>
        <w:t>les policiers peuvent détenir une personne aux fins d’enquête s’ils ont des motifs raisonnables de soupçonner, à la lumière de toutes les circonstances, que cette personne est impliquée dans un crime donné et qu’il est raisonnablement nécessaire de la détenir suivant une considération objective des circonstances.</w:t>
      </w:r>
    </w:p>
    <w:p w14:paraId="170E2FEB" w14:textId="49644D2C" w:rsidR="00151386" w:rsidRPr="00151386" w:rsidRDefault="00151386" w:rsidP="00880034">
      <w:pPr>
        <w:pStyle w:val="Paragraphedeliste"/>
        <w:widowControl w:val="0"/>
        <w:numPr>
          <w:ilvl w:val="0"/>
          <w:numId w:val="26"/>
        </w:numPr>
        <w:autoSpaceDE w:val="0"/>
        <w:autoSpaceDN w:val="0"/>
        <w:adjustRightInd w:val="0"/>
        <w:spacing w:after="300"/>
        <w:rPr>
          <w:rFonts w:ascii="Times New Roman" w:hAnsi="Times New Roman" w:cs="Verdana"/>
          <w:color w:val="3E3E3E"/>
          <w:sz w:val="22"/>
          <w:szCs w:val="22"/>
        </w:rPr>
      </w:pPr>
      <w:r w:rsidRPr="00EF736C">
        <w:rPr>
          <w:rFonts w:ascii="Times New Roman" w:hAnsi="Times New Roman" w:cs="Times New Roman"/>
          <w:sz w:val="20"/>
          <w:szCs w:val="20"/>
          <w:lang w:val="fr-CA"/>
        </w:rPr>
        <w:t>Une personne détenue aux fins d’enquête doit au minimum être informée en langage clair et simple des motifs de la détention</w:t>
      </w:r>
      <w:r w:rsidRPr="00DA0FB0">
        <w:rPr>
          <w:rFonts w:ascii="Times New Roman" w:hAnsi="Times New Roman" w:cs="Times New Roman"/>
          <w:sz w:val="20"/>
          <w:szCs w:val="20"/>
          <w:lang w:val="fr-CA"/>
        </w:rPr>
        <w:t xml:space="preserve">.  Une détention aux fins d’enquête exécutée conformément au pouvoir fondé sur la common law reconnu en l’espèce ne porte pas atteinte aux droits que l’art. 9 de la </w:t>
      </w:r>
      <w:r w:rsidRPr="00DA0FB0">
        <w:rPr>
          <w:rFonts w:ascii="Times New Roman" w:hAnsi="Times New Roman" w:cs="Times New Roman"/>
          <w:i/>
          <w:iCs/>
          <w:sz w:val="20"/>
          <w:szCs w:val="20"/>
          <w:lang w:val="fr-CA"/>
        </w:rPr>
        <w:t>Charte</w:t>
      </w:r>
      <w:r w:rsidRPr="00DA0FB0">
        <w:rPr>
          <w:rFonts w:ascii="Times New Roman" w:hAnsi="Times New Roman" w:cs="Times New Roman"/>
          <w:sz w:val="20"/>
          <w:szCs w:val="20"/>
          <w:lang w:val="fr-CA"/>
        </w:rPr>
        <w:t xml:space="preserve"> garantit à la personne détenue.  Les détentions effectuées aux fins d’enquête doivent être brèves et l’observation des conditions prescrites par l’al. 10</w:t>
      </w:r>
      <w:r w:rsidRPr="00DA0FB0">
        <w:rPr>
          <w:rFonts w:ascii="Times New Roman" w:hAnsi="Times New Roman" w:cs="Times New Roman"/>
          <w:i/>
          <w:iCs/>
          <w:sz w:val="20"/>
          <w:szCs w:val="20"/>
          <w:lang w:val="fr-CA"/>
        </w:rPr>
        <w:t>b</w:t>
      </w:r>
      <w:r w:rsidRPr="00DA0FB0">
        <w:rPr>
          <w:rFonts w:ascii="Times New Roman" w:hAnsi="Times New Roman" w:cs="Times New Roman"/>
          <w:sz w:val="20"/>
          <w:szCs w:val="20"/>
          <w:lang w:val="fr-CA"/>
        </w:rPr>
        <w:t>) ne saurait être utilisée comme une excuse pour prolonger indûment et artificiellement de telles détentions.  Les personnes détenues aux fins d’enquête n’ont pas l’obligation de répondre aux questions des policiers.  Le policier qui possède des motifs raisonnables de croire que sa sécurité ou celle d’autrui est menacée peut soumettre la personne qu’il détient à une fouille par palpation préventive</w:t>
      </w:r>
      <w:r w:rsidR="00EF736C">
        <w:rPr>
          <w:rFonts w:ascii="Times New Roman" w:hAnsi="Times New Roman" w:cs="Times New Roman"/>
          <w:sz w:val="20"/>
          <w:szCs w:val="20"/>
          <w:lang w:val="fr-CA"/>
        </w:rPr>
        <w:t>.</w:t>
      </w:r>
    </w:p>
    <w:p w14:paraId="762F1DF6" w14:textId="7E266B0D" w:rsidR="00BF6408" w:rsidRDefault="00BF6408" w:rsidP="00EF736C">
      <w:pPr>
        <w:widowControl w:val="0"/>
        <w:autoSpaceDE w:val="0"/>
        <w:autoSpaceDN w:val="0"/>
        <w:adjustRightInd w:val="0"/>
        <w:spacing w:after="300"/>
        <w:jc w:val="both"/>
        <w:rPr>
          <w:rFonts w:ascii="Times New Roman" w:hAnsi="Times New Roman" w:cs="Times New Roman"/>
          <w:b/>
          <w:sz w:val="22"/>
          <w:szCs w:val="22"/>
          <w:lang w:val="fr-CA"/>
        </w:rPr>
      </w:pPr>
      <w:r w:rsidRPr="00BF6408">
        <w:rPr>
          <w:rFonts w:ascii="Times New Roman" w:hAnsi="Times New Roman" w:cs="Verdana"/>
          <w:color w:val="3E3E3E"/>
          <w:sz w:val="22"/>
          <w:szCs w:val="22"/>
        </w:rPr>
        <w:t> </w:t>
      </w:r>
      <w:r w:rsidR="00EF736C" w:rsidRPr="00DA0FB0">
        <w:rPr>
          <w:rFonts w:ascii="Times New Roman" w:hAnsi="Times New Roman" w:cs="Times New Roman"/>
          <w:sz w:val="20"/>
          <w:szCs w:val="20"/>
          <w:lang w:val="fr-CA"/>
        </w:rPr>
        <w:t>En l’espèce,</w:t>
      </w:r>
      <w:r w:rsidR="00EF736C">
        <w:rPr>
          <w:rFonts w:ascii="Times New Roman" w:hAnsi="Times New Roman" w:cs="Times New Roman"/>
          <w:sz w:val="20"/>
          <w:szCs w:val="20"/>
          <w:lang w:val="fr-CA"/>
        </w:rPr>
        <w:t xml:space="preserve"> dans cet arrêt,</w:t>
      </w:r>
      <w:r w:rsidR="00EF736C" w:rsidRPr="00DA0FB0">
        <w:rPr>
          <w:rFonts w:ascii="Times New Roman" w:hAnsi="Times New Roman" w:cs="Times New Roman"/>
          <w:sz w:val="20"/>
          <w:szCs w:val="20"/>
          <w:lang w:val="fr-CA"/>
        </w:rPr>
        <w:t xml:space="preserve"> la saisie de la marijuana a contrevenu à l’art. 8 de la </w:t>
      </w:r>
      <w:r w:rsidR="00EF736C" w:rsidRPr="00DA0FB0">
        <w:rPr>
          <w:rFonts w:ascii="Times New Roman" w:hAnsi="Times New Roman" w:cs="Times New Roman"/>
          <w:i/>
          <w:iCs/>
          <w:sz w:val="20"/>
          <w:szCs w:val="20"/>
          <w:lang w:val="fr-CA"/>
        </w:rPr>
        <w:t>Charte</w:t>
      </w:r>
      <w:r w:rsidR="00EF736C" w:rsidRPr="00DA0FB0">
        <w:rPr>
          <w:rFonts w:ascii="Times New Roman" w:hAnsi="Times New Roman" w:cs="Times New Roman"/>
          <w:sz w:val="20"/>
          <w:szCs w:val="20"/>
          <w:lang w:val="fr-CA"/>
        </w:rPr>
        <w:t xml:space="preserve">.  </w:t>
      </w:r>
      <w:r w:rsidR="00EF736C" w:rsidRPr="00EF736C">
        <w:rPr>
          <w:rFonts w:ascii="Times New Roman" w:hAnsi="Times New Roman" w:cs="Times New Roman"/>
          <w:sz w:val="22"/>
          <w:szCs w:val="22"/>
          <w:lang w:val="fr-CA"/>
        </w:rPr>
        <w:t>Les policiers possédaient des motifs raisonnables de détenir M et d’effectuer une fouille préventive, mais ils n’avaient aucun motif raisonnable de fouiller la poche de M.  Cet aspect plus envahissant de la fouille a constitué une violation abusive des attentes raisonnables de M en matière de respect de sa vie privée à l’égard du contenu de ses poches.  Qui plus est, le ministère public ne s’est pas acquitté du fardeau qui lui incombait de démontrer, selon la prépondérance des probabilités, que la fouille n’avait pas été effectuée de manière abusive</w:t>
      </w:r>
      <w:r w:rsidR="00EF736C">
        <w:rPr>
          <w:rFonts w:ascii="Times New Roman" w:hAnsi="Times New Roman" w:cs="Times New Roman"/>
          <w:b/>
          <w:sz w:val="22"/>
          <w:szCs w:val="22"/>
          <w:lang w:val="fr-CA"/>
        </w:rPr>
        <w:t>.</w:t>
      </w:r>
    </w:p>
    <w:p w14:paraId="75D53A6E" w14:textId="16482B2A" w:rsidR="00EF736C" w:rsidRPr="00EF736C" w:rsidRDefault="00EF736C" w:rsidP="00880034">
      <w:pPr>
        <w:pStyle w:val="Paragraphedeliste"/>
        <w:widowControl w:val="0"/>
        <w:numPr>
          <w:ilvl w:val="0"/>
          <w:numId w:val="27"/>
        </w:numPr>
        <w:autoSpaceDE w:val="0"/>
        <w:autoSpaceDN w:val="0"/>
        <w:adjustRightInd w:val="0"/>
        <w:spacing w:after="300"/>
        <w:jc w:val="both"/>
        <w:rPr>
          <w:rFonts w:ascii="Times New Roman" w:hAnsi="Times New Roman" w:cs="Verdana"/>
          <w:color w:val="3E3E3E"/>
          <w:sz w:val="22"/>
          <w:szCs w:val="22"/>
        </w:rPr>
      </w:pPr>
      <w:r w:rsidRPr="00DA0FB0">
        <w:rPr>
          <w:rFonts w:ascii="Times New Roman" w:hAnsi="Times New Roman" w:cs="Times New Roman"/>
          <w:sz w:val="20"/>
          <w:szCs w:val="20"/>
          <w:lang w:val="fr-CA"/>
        </w:rPr>
        <w:t>Lorsque le policier a glissé sa main à l’intérieur de la poche du vêtement de M, la fouille a changé d’objet.  Elle a cessé d’être axée sur des considérations de sécurité pour viser plutôt la détection et la cueillette d’éléments de preuve, devenant ainsi une fouille effectuée en vue de trouver des preuves, et ce en l’absence de motifs raisonnables et probables</w:t>
      </w:r>
      <w:r>
        <w:rPr>
          <w:rFonts w:ascii="Times New Roman" w:hAnsi="Times New Roman" w:cs="Times New Roman"/>
          <w:sz w:val="20"/>
          <w:szCs w:val="20"/>
          <w:lang w:val="fr-CA"/>
        </w:rPr>
        <w:t>.</w:t>
      </w:r>
    </w:p>
    <w:p w14:paraId="69ACA752" w14:textId="3375F1BC" w:rsidR="00EF736C" w:rsidRDefault="00EF736C" w:rsidP="00EF736C">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1. Le soupçon raisonnable du constable (p. 30) :</w:t>
      </w:r>
    </w:p>
    <w:p w14:paraId="4EC77C22" w14:textId="056A52AE" w:rsidR="00EF736C" w:rsidRDefault="00EF736C" w:rsidP="00EF736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C’est une conviction subjective que l’individu ait commis ou va commettre un crime mais qui doit être lu dans un cadre objectif (</w:t>
      </w:r>
      <w:r>
        <w:rPr>
          <w:rFonts w:ascii="Times New Roman" w:hAnsi="Times New Roman" w:cs="Verdana"/>
          <w:b/>
          <w:color w:val="3E3E3E"/>
          <w:sz w:val="22"/>
          <w:szCs w:val="22"/>
        </w:rPr>
        <w:t>R. c. A.M.)</w:t>
      </w:r>
      <w:r>
        <w:rPr>
          <w:rFonts w:ascii="Times New Roman" w:hAnsi="Times New Roman" w:cs="Verdana"/>
          <w:color w:val="3E3E3E"/>
          <w:sz w:val="22"/>
          <w:szCs w:val="22"/>
        </w:rPr>
        <w:t xml:space="preserve">. </w:t>
      </w:r>
      <w:r>
        <w:rPr>
          <w:rFonts w:ascii="Times New Roman" w:hAnsi="Times New Roman" w:cs="Verdana"/>
          <w:b/>
          <w:color w:val="3E3E3E"/>
          <w:sz w:val="22"/>
          <w:szCs w:val="22"/>
        </w:rPr>
        <w:t>On parle donc d’un test en deux parties.</w:t>
      </w:r>
      <w:r>
        <w:rPr>
          <w:rFonts w:ascii="Times New Roman" w:hAnsi="Times New Roman" w:cs="Verdana"/>
          <w:color w:val="3E3E3E"/>
          <w:sz w:val="22"/>
          <w:szCs w:val="22"/>
        </w:rPr>
        <w:t xml:space="preserve"> </w:t>
      </w:r>
      <w:r>
        <w:rPr>
          <w:rFonts w:ascii="Times New Roman" w:hAnsi="Times New Roman" w:cs="Verdana"/>
          <w:i/>
          <w:color w:val="3E3E3E"/>
          <w:sz w:val="22"/>
          <w:szCs w:val="22"/>
        </w:rPr>
        <w:t xml:space="preserve">Voir [33-34] de l’arrêt </w:t>
      </w:r>
      <w:r>
        <w:rPr>
          <w:rFonts w:ascii="Times New Roman" w:hAnsi="Times New Roman" w:cs="Verdana"/>
          <w:b/>
          <w:i/>
          <w:color w:val="3E3E3E"/>
          <w:sz w:val="22"/>
          <w:szCs w:val="22"/>
        </w:rPr>
        <w:t>Mann.</w:t>
      </w:r>
    </w:p>
    <w:p w14:paraId="0989BFF6" w14:textId="59C76828" w:rsidR="00EF736C" w:rsidRDefault="00EF736C" w:rsidP="00880034">
      <w:pPr>
        <w:pStyle w:val="Paragraphedeliste"/>
        <w:widowControl w:val="0"/>
        <w:numPr>
          <w:ilvl w:val="0"/>
          <w:numId w:val="27"/>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 xml:space="preserve">Dans le cadre d’une détention aux fins d’enquête, la police doit avoir eu préalablement à son action, des motifs raisonnables de soupçonner que [...] </w:t>
      </w:r>
      <w:r>
        <w:rPr>
          <w:rFonts w:ascii="Times New Roman" w:hAnsi="Times New Roman" w:cs="Verdana"/>
          <w:b/>
          <w:color w:val="3E3E3E"/>
          <w:sz w:val="22"/>
          <w:szCs w:val="22"/>
        </w:rPr>
        <w:t>la simple intuition policière n’est pas un motif raisonnable de soupçon</w:t>
      </w:r>
      <w:r>
        <w:rPr>
          <w:rFonts w:ascii="Times New Roman" w:hAnsi="Times New Roman" w:cs="Verdana"/>
          <w:color w:val="3E3E3E"/>
          <w:sz w:val="22"/>
          <w:szCs w:val="22"/>
        </w:rPr>
        <w:t>, c’est une pure considération subjective émanent du policier qui n’a aucun fondement objectif valable.</w:t>
      </w:r>
    </w:p>
    <w:p w14:paraId="51F3BD5E" w14:textId="1E092BEF" w:rsidR="00EF736C" w:rsidRDefault="00EF736C" w:rsidP="00EF736C">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A.M [2008] (p.31) :</w:t>
      </w:r>
    </w:p>
    <w:p w14:paraId="60E7270B" w14:textId="1AA1DC56" w:rsidR="00EF736C" w:rsidRPr="009F4D04" w:rsidRDefault="00EF736C" w:rsidP="00880034">
      <w:pPr>
        <w:pStyle w:val="Paragraphedeliste"/>
        <w:widowControl w:val="0"/>
        <w:numPr>
          <w:ilvl w:val="0"/>
          <w:numId w:val="27"/>
        </w:numPr>
        <w:autoSpaceDE w:val="0"/>
        <w:autoSpaceDN w:val="0"/>
        <w:adjustRightInd w:val="0"/>
        <w:spacing w:after="300"/>
        <w:jc w:val="both"/>
        <w:rPr>
          <w:rFonts w:ascii="Times New Roman" w:hAnsi="Times New Roman" w:cs="Verdana"/>
          <w:i/>
          <w:color w:val="3E3E3E"/>
          <w:sz w:val="22"/>
          <w:szCs w:val="22"/>
        </w:rPr>
      </w:pPr>
      <w:r w:rsidRPr="00EF736C">
        <w:rPr>
          <w:sz w:val="20"/>
          <w:szCs w:val="20"/>
        </w:rPr>
        <w:t>Cependant, les « soupçons raisonnables » exigent que le policier appuie sa conviction subjective sur des indications objectives vérifiable [80].</w:t>
      </w:r>
    </w:p>
    <w:p w14:paraId="0F5E4990" w14:textId="7C36AECF" w:rsidR="009F4D04" w:rsidRDefault="009F4D04" w:rsidP="009F4D0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Comment définir le soupçon raisonnable ?</w:t>
      </w:r>
    </w:p>
    <w:p w14:paraId="58DD33AF" w14:textId="66E7A101" w:rsidR="009F4D04" w:rsidRDefault="009F4D04" w:rsidP="009F4D0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Kang-Brown [2008]</w:t>
      </w:r>
    </w:p>
    <w:p w14:paraId="39149D69" w14:textId="21A81906" w:rsidR="009F4D04" w:rsidRPr="009F4D04" w:rsidRDefault="009F4D04" w:rsidP="00880034">
      <w:pPr>
        <w:pStyle w:val="Paragraphedeliste"/>
        <w:widowControl w:val="0"/>
        <w:numPr>
          <w:ilvl w:val="0"/>
          <w:numId w:val="27"/>
        </w:numPr>
        <w:autoSpaceDE w:val="0"/>
        <w:autoSpaceDN w:val="0"/>
        <w:adjustRightInd w:val="0"/>
        <w:spacing w:after="300"/>
        <w:jc w:val="both"/>
        <w:rPr>
          <w:rFonts w:ascii="Times New Roman" w:hAnsi="Times New Roman" w:cs="Times New Roman"/>
          <w:i/>
          <w:color w:val="3E3E3E"/>
          <w:sz w:val="22"/>
          <w:szCs w:val="22"/>
        </w:rPr>
      </w:pPr>
      <w:r w:rsidRPr="009F4D04">
        <w:rPr>
          <w:rFonts w:ascii="Times New Roman" w:hAnsi="Times New Roman" w:cs="Times New Roman"/>
          <w:sz w:val="20"/>
          <w:szCs w:val="20"/>
          <w:lang w:val="fr-CA"/>
        </w:rPr>
        <w:t>Les soupçons « raisonnables » sont plus que de simples soupçons, mais ils ne correspondent pas à une croyance fondée sur des motifs raisonnables et probables [75].</w:t>
      </w:r>
      <w:r>
        <w:rPr>
          <w:rFonts w:ascii="Times New Roman" w:hAnsi="Times New Roman" w:cs="Times New Roman"/>
          <w:sz w:val="20"/>
          <w:szCs w:val="20"/>
          <w:lang w:val="fr-CA"/>
        </w:rPr>
        <w:t xml:space="preserve"> </w:t>
      </w:r>
      <w:r w:rsidRPr="009F4D04">
        <w:rPr>
          <w:rFonts w:ascii="Times New Roman" w:hAnsi="Times New Roman" w:cs="Times New Roman"/>
          <w:sz w:val="20"/>
          <w:szCs w:val="20"/>
          <w:lang w:val="fr-CA"/>
        </w:rPr>
        <w:t>La distinction fondamentale entre un simple soupçon et un soupçon raisonnable tient au fait que, dans ce dernier cas, une croyance subjective sincère ne suffit pas.  Pour justifier une fouille ou une perquisition, il faut plutôt que les soupçons reposent sur des éléments factuels pouvant être présentés en preuve et faire l’objet d’une appréciation judiciaire indépendante</w:t>
      </w:r>
      <w:r>
        <w:rPr>
          <w:rFonts w:ascii="Times New Roman" w:hAnsi="Times New Roman" w:cs="Times New Roman"/>
          <w:sz w:val="20"/>
          <w:szCs w:val="20"/>
          <w:lang w:val="fr-CA"/>
        </w:rPr>
        <w:t>.</w:t>
      </w:r>
    </w:p>
    <w:p w14:paraId="5DD27409" w14:textId="42A22D77" w:rsidR="009F4D04" w:rsidRPr="009F4D04" w:rsidRDefault="009F4D04" w:rsidP="00880034">
      <w:pPr>
        <w:pStyle w:val="Paragraphedeliste"/>
        <w:numPr>
          <w:ilvl w:val="0"/>
          <w:numId w:val="27"/>
        </w:numPr>
        <w:jc w:val="both"/>
        <w:rPr>
          <w:sz w:val="20"/>
          <w:szCs w:val="20"/>
          <w:lang w:val="fr-CA"/>
        </w:rPr>
      </w:pPr>
      <w:r w:rsidRPr="009F4D04">
        <w:rPr>
          <w:sz w:val="20"/>
          <w:szCs w:val="20"/>
          <w:lang w:val="fr-CA"/>
        </w:rPr>
        <w:t>Ce qui distingue les « soupçons raisonnables » de la norme plus stricte des « motifs raisonnables et probables » est simplement le degré de probabilité qu’une personne se livre à une activité criminelle, et non l’existence de faits objectivement vérifiables, qui, dans les deux cas, sont nécessaires pour justifier la fouille ou la perquisition.  [p. 125-126]</w:t>
      </w:r>
      <w:r>
        <w:rPr>
          <w:sz w:val="20"/>
          <w:szCs w:val="20"/>
          <w:lang w:val="fr-CA"/>
        </w:rPr>
        <w:t>.</w:t>
      </w:r>
    </w:p>
    <w:p w14:paraId="633405E1" w14:textId="77777777" w:rsidR="009F4D04" w:rsidRPr="009F4D04" w:rsidRDefault="009F4D04" w:rsidP="009F4D04">
      <w:pPr>
        <w:widowControl w:val="0"/>
        <w:autoSpaceDE w:val="0"/>
        <w:autoSpaceDN w:val="0"/>
        <w:adjustRightInd w:val="0"/>
        <w:spacing w:after="300"/>
        <w:ind w:left="360"/>
        <w:jc w:val="both"/>
        <w:rPr>
          <w:rFonts w:ascii="Times New Roman" w:hAnsi="Times New Roman" w:cs="Times New Roman"/>
          <w:i/>
          <w:color w:val="3E3E3E"/>
          <w:sz w:val="22"/>
          <w:szCs w:val="22"/>
        </w:rPr>
      </w:pPr>
    </w:p>
    <w:p w14:paraId="3C701DCA" w14:textId="2067871D" w:rsidR="009F4D04" w:rsidRDefault="009F4D04" w:rsidP="009F4D04">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Mann (p.31) :</w:t>
      </w:r>
    </w:p>
    <w:p w14:paraId="3EB723C0" w14:textId="3B580AEC" w:rsidR="009F4D04" w:rsidRPr="009F4D04" w:rsidRDefault="009F4D04" w:rsidP="00880034">
      <w:pPr>
        <w:pStyle w:val="Paragraphedeliste"/>
        <w:widowControl w:val="0"/>
        <w:numPr>
          <w:ilvl w:val="0"/>
          <w:numId w:val="28"/>
        </w:numPr>
        <w:autoSpaceDE w:val="0"/>
        <w:autoSpaceDN w:val="0"/>
        <w:adjustRightInd w:val="0"/>
        <w:spacing w:after="300"/>
        <w:jc w:val="both"/>
        <w:rPr>
          <w:rFonts w:ascii="Times New Roman" w:hAnsi="Times New Roman" w:cs="Times New Roman"/>
          <w:color w:val="3E3E3E"/>
          <w:sz w:val="22"/>
          <w:szCs w:val="22"/>
        </w:rPr>
      </w:pPr>
      <w:r w:rsidRPr="009F4D04">
        <w:rPr>
          <w:rFonts w:ascii="Times New Roman" w:hAnsi="Times New Roman" w:cs="Times New Roman"/>
          <w:b/>
          <w:sz w:val="20"/>
          <w:szCs w:val="20"/>
          <w:lang w:val="fr-CA"/>
        </w:rPr>
        <w:t>les motifs concrets ne sauraient reposer sur la seule intuition du policier, basée sur son expérience</w:t>
      </w:r>
      <w:r w:rsidRPr="009F4D04">
        <w:rPr>
          <w:rFonts w:ascii="Times New Roman" w:hAnsi="Times New Roman" w:cs="Times New Roman"/>
          <w:sz w:val="20"/>
          <w:szCs w:val="20"/>
          <w:lang w:val="fr-CA"/>
        </w:rPr>
        <w:t>. [30]</w:t>
      </w:r>
    </w:p>
    <w:p w14:paraId="3BA7DAD9" w14:textId="3BA37736" w:rsidR="009F4D04" w:rsidRDefault="009F4D04" w:rsidP="009F4D0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test du soupçon raisonnable de la CSC :</w:t>
      </w:r>
    </w:p>
    <w:p w14:paraId="092138E6" w14:textId="3B25576A" w:rsidR="009F4D04" w:rsidRPr="00156B39" w:rsidRDefault="009F4D04" w:rsidP="00880034">
      <w:pPr>
        <w:pStyle w:val="Paragraphedeliste"/>
        <w:widowControl w:val="0"/>
        <w:numPr>
          <w:ilvl w:val="0"/>
          <w:numId w:val="28"/>
        </w:numPr>
        <w:autoSpaceDE w:val="0"/>
        <w:autoSpaceDN w:val="0"/>
        <w:adjustRightInd w:val="0"/>
        <w:spacing w:after="300"/>
        <w:jc w:val="both"/>
        <w:rPr>
          <w:rFonts w:ascii="Times New Roman" w:hAnsi="Times New Roman" w:cs="Times New Roman"/>
          <w:color w:val="3E3E3E"/>
          <w:sz w:val="22"/>
          <w:szCs w:val="22"/>
        </w:rPr>
      </w:pPr>
      <w:r w:rsidRPr="009F4D04">
        <w:rPr>
          <w:rFonts w:ascii="Times New Roman" w:hAnsi="Times New Roman" w:cs="Times New Roman"/>
          <w:sz w:val="20"/>
          <w:szCs w:val="20"/>
          <w:lang w:val="fr-CA"/>
        </w:rPr>
        <w:t>La détention doit être jugée raisonnablement nécessaire suivant une considération objective de l’ensemble des circonstances qui sont à la base de la conviction du policier qu’il existe un lien clair entre l’individu qui sera détenu et une infraction criminelle récente ou en cours.  La question des motifs raisonnables intervient dès le départ dans cette détermination, car ces motifs sont à la base des soupçons raisonnables du policier que l’individu en cause est impliqué dans l’activité criminelle visée par l’enquête [34].</w:t>
      </w:r>
    </w:p>
    <w:p w14:paraId="29A4DC02" w14:textId="3B951BFD" w:rsidR="00156B39" w:rsidRDefault="00156B39" w:rsidP="00156B39">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L’arrêt </w:t>
      </w:r>
      <w:r>
        <w:rPr>
          <w:rFonts w:ascii="Times New Roman" w:hAnsi="Times New Roman" w:cs="Times New Roman"/>
          <w:b/>
          <w:color w:val="3E3E3E"/>
          <w:sz w:val="22"/>
          <w:szCs w:val="22"/>
        </w:rPr>
        <w:t xml:space="preserve">Man </w:t>
      </w:r>
      <w:r>
        <w:rPr>
          <w:rFonts w:ascii="Times New Roman" w:hAnsi="Times New Roman" w:cs="Times New Roman"/>
          <w:color w:val="3E3E3E"/>
          <w:sz w:val="22"/>
          <w:szCs w:val="22"/>
        </w:rPr>
        <w:t xml:space="preserve"> nous fournis beaucoup de précision concernant le fondement des motifs raisonnables de soupçonner un crime. Le fait d’être </w:t>
      </w:r>
      <w:r>
        <w:rPr>
          <w:rFonts w:ascii="Times New Roman" w:hAnsi="Times New Roman" w:cs="Times New Roman"/>
          <w:b/>
          <w:color w:val="3E3E3E"/>
          <w:sz w:val="22"/>
          <w:szCs w:val="22"/>
        </w:rPr>
        <w:t>proche des lieux du crime</w:t>
      </w:r>
      <w:r>
        <w:rPr>
          <w:rFonts w:ascii="Times New Roman" w:hAnsi="Times New Roman" w:cs="Times New Roman"/>
          <w:color w:val="3E3E3E"/>
          <w:sz w:val="22"/>
          <w:szCs w:val="22"/>
        </w:rPr>
        <w:t xml:space="preserve"> vient alimenté les soupçon raisonnable des policiers. C’est ce que la Cour dégage, essentiellement, dans l’arrêt </w:t>
      </w:r>
      <w:r>
        <w:rPr>
          <w:rFonts w:ascii="Times New Roman" w:hAnsi="Times New Roman" w:cs="Times New Roman"/>
          <w:b/>
          <w:color w:val="3E3E3E"/>
          <w:sz w:val="22"/>
          <w:szCs w:val="22"/>
        </w:rPr>
        <w:t>Man :</w:t>
      </w:r>
    </w:p>
    <w:p w14:paraId="625F86C2" w14:textId="7A4B3B27" w:rsidR="00156B39" w:rsidRPr="00156B39" w:rsidRDefault="00156B39" w:rsidP="00880034">
      <w:pPr>
        <w:pStyle w:val="Paragraphedeliste"/>
        <w:widowControl w:val="0"/>
        <w:numPr>
          <w:ilvl w:val="0"/>
          <w:numId w:val="28"/>
        </w:numPr>
        <w:autoSpaceDE w:val="0"/>
        <w:autoSpaceDN w:val="0"/>
        <w:adjustRightInd w:val="0"/>
        <w:spacing w:after="300"/>
        <w:jc w:val="both"/>
        <w:rPr>
          <w:rFonts w:ascii="Times New Roman" w:hAnsi="Times New Roman" w:cs="Times New Roman"/>
          <w:color w:val="3E3E3E"/>
          <w:sz w:val="22"/>
          <w:szCs w:val="22"/>
        </w:rPr>
      </w:pPr>
      <w:r w:rsidRPr="00156B39">
        <w:rPr>
          <w:rFonts w:ascii="Times New Roman" w:hAnsi="Times New Roman" w:cs="Times New Roman"/>
          <w:sz w:val="20"/>
          <w:szCs w:val="20"/>
          <w:lang w:val="fr-CA"/>
        </w:rPr>
        <w:t>Les policiers avaient des motifs raisonnables de détenir l’appelant.  Il correspondait étroitement à la description du suspect transmise par le répartiteur radio et il se trouvait à seulement deux ou trois pâtés de maisons de la scène du crime.  Ces facteurs ont amené les policiers à soupçonner raisonnablement que l’appelant avait été impliqué dans des activités criminelles récentes et qu’il devait à tout le moins faire l’objet d’une enquête plus approfondie.  La présence d’une personne dans un quartier dit à criminalité élevée n’est pertinente qu’en ce qu’elle témoigne du fait que cette personne se trouvait à proximité du lieu du crime.  Le fait qu’un quartier possède un taux de criminalité élevé ne constitue pas en soi une raison de détenir quelqu’un [47].</w:t>
      </w:r>
    </w:p>
    <w:p w14:paraId="332933E4" w14:textId="662C589C" w:rsidR="00156B39" w:rsidRDefault="00156B39" w:rsidP="00156B39">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Cependant, </w:t>
      </w:r>
      <w:r>
        <w:rPr>
          <w:rFonts w:ascii="Times New Roman" w:hAnsi="Times New Roman" w:cs="Times New Roman"/>
          <w:b/>
          <w:color w:val="3E3E3E"/>
          <w:sz w:val="22"/>
          <w:szCs w:val="22"/>
        </w:rPr>
        <w:t>la nervosité</w:t>
      </w:r>
      <w:r>
        <w:rPr>
          <w:rFonts w:ascii="Times New Roman" w:hAnsi="Times New Roman" w:cs="Times New Roman"/>
          <w:color w:val="3E3E3E"/>
          <w:sz w:val="22"/>
          <w:szCs w:val="22"/>
        </w:rPr>
        <w:t xml:space="preserve"> à l’approche d’un constable n’est pas un facteur pertinent qui doit éveiller des soupçons chez le constable, comme l’illustre l’arrêt </w:t>
      </w:r>
      <w:r>
        <w:rPr>
          <w:rFonts w:ascii="Times New Roman" w:hAnsi="Times New Roman" w:cs="Times New Roman"/>
          <w:b/>
          <w:color w:val="3E3E3E"/>
          <w:sz w:val="22"/>
          <w:szCs w:val="22"/>
        </w:rPr>
        <w:t>Kang-Brown :</w:t>
      </w:r>
    </w:p>
    <w:p w14:paraId="4E504CA9" w14:textId="0E047DAD" w:rsidR="00156B39" w:rsidRPr="00156B39" w:rsidRDefault="00156B39" w:rsidP="00880034">
      <w:pPr>
        <w:pStyle w:val="Paragraphedeliste"/>
        <w:numPr>
          <w:ilvl w:val="0"/>
          <w:numId w:val="28"/>
        </w:numPr>
        <w:jc w:val="both"/>
        <w:rPr>
          <w:rFonts w:ascii="Times New Roman" w:hAnsi="Times New Roman" w:cs="Times New Roman"/>
          <w:sz w:val="20"/>
          <w:szCs w:val="20"/>
          <w:u w:val="single"/>
        </w:rPr>
      </w:pPr>
      <w:r w:rsidRPr="00156B39">
        <w:rPr>
          <w:rFonts w:ascii="Times New Roman" w:hAnsi="Times New Roman" w:cs="Times New Roman"/>
          <w:sz w:val="20"/>
          <w:szCs w:val="20"/>
          <w:u w:val="single"/>
          <w:lang w:val="fr-CA"/>
        </w:rPr>
        <w:t>Je ne crois pas qu’il s’agit là d’un indice de comportement inhabituel qui est suffisant en soi pour éveiller des soupçons raisonnables, ni que cet indice, pris avec les autres facteurs (ou « indices ») mentionnés par le sergent MacPhee, justifie de tels soupçons. [96].</w:t>
      </w:r>
    </w:p>
    <w:p w14:paraId="5D56153C" w14:textId="77777777" w:rsidR="00156B39" w:rsidRDefault="00156B39" w:rsidP="00156B39">
      <w:pPr>
        <w:jc w:val="both"/>
        <w:rPr>
          <w:rFonts w:ascii="Times New Roman" w:hAnsi="Times New Roman" w:cs="Times New Roman"/>
          <w:sz w:val="20"/>
          <w:szCs w:val="20"/>
          <w:u w:val="single"/>
        </w:rPr>
      </w:pPr>
    </w:p>
    <w:p w14:paraId="1ED579A7" w14:textId="4E6300BD" w:rsidR="00156B39" w:rsidRDefault="00156B39" w:rsidP="00156B39">
      <w:pPr>
        <w:jc w:val="both"/>
        <w:rPr>
          <w:rFonts w:ascii="Times New Roman" w:hAnsi="Times New Roman" w:cs="Times New Roman"/>
          <w:b/>
          <w:sz w:val="22"/>
          <w:szCs w:val="22"/>
        </w:rPr>
      </w:pPr>
      <w:r>
        <w:rPr>
          <w:rFonts w:ascii="Times New Roman" w:hAnsi="Times New Roman" w:cs="Times New Roman"/>
          <w:sz w:val="22"/>
          <w:szCs w:val="22"/>
        </w:rPr>
        <w:t xml:space="preserve">Le fait de faire valoir nos droits constitutionnels en changeant d’attitude aussi, comme le démontre </w:t>
      </w:r>
      <w:r>
        <w:rPr>
          <w:rFonts w:ascii="Times New Roman" w:hAnsi="Times New Roman" w:cs="Times New Roman"/>
          <w:b/>
          <w:sz w:val="22"/>
          <w:szCs w:val="22"/>
        </w:rPr>
        <w:t>Kang-Brown :</w:t>
      </w:r>
    </w:p>
    <w:p w14:paraId="008BE7B0" w14:textId="21F46B94" w:rsidR="00156B39" w:rsidRDefault="00156B39" w:rsidP="00880034">
      <w:pPr>
        <w:pStyle w:val="Paragraphedeliste"/>
        <w:numPr>
          <w:ilvl w:val="0"/>
          <w:numId w:val="28"/>
        </w:numPr>
        <w:jc w:val="both"/>
        <w:rPr>
          <w:rFonts w:ascii="Times New Roman" w:hAnsi="Times New Roman" w:cs="Times New Roman"/>
          <w:sz w:val="20"/>
          <w:szCs w:val="20"/>
          <w:lang w:val="fr-CA"/>
        </w:rPr>
      </w:pPr>
      <w:r w:rsidRPr="00156B39">
        <w:rPr>
          <w:rFonts w:ascii="Times New Roman" w:hAnsi="Times New Roman" w:cs="Times New Roman"/>
          <w:b/>
          <w:sz w:val="20"/>
          <w:szCs w:val="20"/>
          <w:lang w:val="fr-CA"/>
        </w:rPr>
        <w:t>Les gens ne devraient pas être pénalisés parce qu’ils font valoir leurs droits constitutionnels.  La découverte après coup de drogues illégales ne rend pas conforme à la Constitution une intervention qui ne l’était pas au départ</w:t>
      </w:r>
      <w:r w:rsidRPr="00156B39">
        <w:rPr>
          <w:rFonts w:ascii="Times New Roman" w:hAnsi="Times New Roman" w:cs="Times New Roman"/>
          <w:sz w:val="20"/>
          <w:szCs w:val="20"/>
          <w:lang w:val="fr-CA"/>
        </w:rPr>
        <w:t>.[92].</w:t>
      </w:r>
    </w:p>
    <w:p w14:paraId="7336A3DA" w14:textId="77777777" w:rsidR="006D106E" w:rsidRDefault="006D106E" w:rsidP="006D106E">
      <w:pPr>
        <w:jc w:val="both"/>
        <w:rPr>
          <w:rFonts w:ascii="Times New Roman" w:hAnsi="Times New Roman" w:cs="Times New Roman"/>
          <w:sz w:val="20"/>
          <w:szCs w:val="20"/>
          <w:lang w:val="fr-CA"/>
        </w:rPr>
      </w:pPr>
    </w:p>
    <w:p w14:paraId="711A75FE" w14:textId="120E98B4" w:rsidR="006D106E" w:rsidRDefault="006D106E" w:rsidP="006D106E">
      <w:pPr>
        <w:jc w:val="both"/>
        <w:rPr>
          <w:rFonts w:ascii="Times New Roman" w:hAnsi="Times New Roman" w:cs="Times New Roman"/>
          <w:sz w:val="22"/>
          <w:szCs w:val="22"/>
          <w:lang w:val="fr-CA"/>
        </w:rPr>
      </w:pPr>
      <w:r>
        <w:rPr>
          <w:rFonts w:ascii="Times New Roman" w:hAnsi="Times New Roman" w:cs="Times New Roman"/>
          <w:b/>
          <w:sz w:val="22"/>
          <w:szCs w:val="22"/>
          <w:lang w:val="fr-CA"/>
        </w:rPr>
        <w:t xml:space="preserve">La fuite en présence de la police </w:t>
      </w:r>
      <w:r>
        <w:rPr>
          <w:rFonts w:ascii="Times New Roman" w:hAnsi="Times New Roman" w:cs="Times New Roman"/>
          <w:sz w:val="22"/>
          <w:szCs w:val="22"/>
          <w:lang w:val="fr-CA"/>
        </w:rPr>
        <w:t xml:space="preserve"> est </w:t>
      </w:r>
      <w:r>
        <w:rPr>
          <w:rFonts w:ascii="Times New Roman" w:hAnsi="Times New Roman" w:cs="Times New Roman"/>
          <w:b/>
          <w:sz w:val="22"/>
          <w:szCs w:val="22"/>
          <w:lang w:val="fr-CA"/>
        </w:rPr>
        <w:t>pertinente</w:t>
      </w:r>
      <w:r>
        <w:rPr>
          <w:rFonts w:ascii="Times New Roman" w:hAnsi="Times New Roman" w:cs="Times New Roman"/>
          <w:sz w:val="22"/>
          <w:szCs w:val="22"/>
          <w:lang w:val="fr-CA"/>
        </w:rPr>
        <w:t xml:space="preserve"> quant à elle</w:t>
      </w:r>
    </w:p>
    <w:p w14:paraId="5504E4A4" w14:textId="29ED41AC" w:rsidR="006D106E" w:rsidRPr="00FD4637" w:rsidRDefault="006D106E" w:rsidP="00880034">
      <w:pPr>
        <w:pStyle w:val="Paragraphedeliste"/>
        <w:numPr>
          <w:ilvl w:val="0"/>
          <w:numId w:val="28"/>
        </w:numPr>
        <w:jc w:val="both"/>
        <w:rPr>
          <w:rFonts w:ascii="Times New Roman" w:hAnsi="Times New Roman" w:cs="Times New Roman"/>
          <w:sz w:val="22"/>
          <w:szCs w:val="22"/>
          <w:lang w:val="fr-CA"/>
        </w:rPr>
      </w:pPr>
      <w:r>
        <w:rPr>
          <w:rFonts w:ascii="Times New Roman" w:hAnsi="Times New Roman" w:cs="Times New Roman"/>
          <w:b/>
          <w:i/>
          <w:sz w:val="22"/>
          <w:szCs w:val="22"/>
          <w:lang w:val="fr-CA"/>
        </w:rPr>
        <w:t>R. v. Nesbeth 2008 ONCA.</w:t>
      </w:r>
    </w:p>
    <w:p w14:paraId="6708A51D" w14:textId="0D58593C"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lang w:val="fr-CA"/>
        </w:rPr>
        <w:t>Le professeur Stylios mentionne qu’il y a un risque de dérapage possible, notamment le profilage pour ‘’fin d’enquête’’.</w:t>
      </w:r>
    </w:p>
    <w:p w14:paraId="116416D6" w14:textId="77777777" w:rsidR="00FD4637" w:rsidRDefault="00FD4637" w:rsidP="00FD4637">
      <w:pPr>
        <w:jc w:val="both"/>
        <w:rPr>
          <w:rFonts w:ascii="Times New Roman" w:hAnsi="Times New Roman" w:cs="Times New Roman"/>
          <w:sz w:val="22"/>
          <w:szCs w:val="22"/>
          <w:lang w:val="fr-CA"/>
        </w:rPr>
      </w:pPr>
    </w:p>
    <w:p w14:paraId="47CCC085" w14:textId="7DF0F4EC"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u w:val="single"/>
          <w:lang w:val="fr-CA"/>
        </w:rPr>
        <w:t>2. Le pouvoir de fouille par palpation relié à la détention aux fins d’enquête aux fins de protection</w:t>
      </w:r>
      <w:r>
        <w:rPr>
          <w:rFonts w:ascii="Times New Roman" w:hAnsi="Times New Roman" w:cs="Times New Roman"/>
          <w:sz w:val="22"/>
          <w:szCs w:val="22"/>
          <w:lang w:val="fr-CA"/>
        </w:rPr>
        <w:t xml:space="preserve"> (p.33) :</w:t>
      </w:r>
    </w:p>
    <w:p w14:paraId="382153DC" w14:textId="7DF0F4EC" w:rsidR="00FD4637" w:rsidRDefault="00FD4637" w:rsidP="00FD4637">
      <w:pPr>
        <w:jc w:val="both"/>
        <w:rPr>
          <w:rFonts w:ascii="Times New Roman" w:hAnsi="Times New Roman" w:cs="Times New Roman"/>
          <w:b/>
          <w:i/>
          <w:sz w:val="22"/>
          <w:szCs w:val="22"/>
          <w:lang w:val="fr-CA"/>
        </w:rPr>
      </w:pPr>
    </w:p>
    <w:p w14:paraId="5F68F7FA" w14:textId="29C96DC0" w:rsidR="00FD4637" w:rsidRDefault="00FD4637" w:rsidP="00FD463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Mann [2004] :</w:t>
      </w:r>
    </w:p>
    <w:p w14:paraId="2306E518" w14:textId="4C2EA25C" w:rsidR="00FD4637" w:rsidRPr="00FD4637" w:rsidRDefault="00FD4637" w:rsidP="00880034">
      <w:pPr>
        <w:pStyle w:val="Paragraphedeliste"/>
        <w:numPr>
          <w:ilvl w:val="0"/>
          <w:numId w:val="28"/>
        </w:numPr>
        <w:jc w:val="both"/>
        <w:rPr>
          <w:rFonts w:ascii="Times New Roman" w:hAnsi="Times New Roman" w:cs="Times New Roman"/>
          <w:sz w:val="20"/>
          <w:szCs w:val="20"/>
        </w:rPr>
      </w:pPr>
      <w:r w:rsidRPr="00FD4637">
        <w:rPr>
          <w:rFonts w:ascii="Times New Roman" w:hAnsi="Times New Roman" w:cs="Times New Roman"/>
          <w:sz w:val="20"/>
          <w:szCs w:val="20"/>
        </w:rPr>
        <w:t>Le devoir général des policiers de protéger la vie peut, dans certaines circonstances, faire naître le pouvoir de procéder à une fouille par palpation accessoire à une détention aux fins d’enquête.  Un tel pouvoir de fouille n’existe pas de manière autonome; le policier doit croire, pour des motifs raisonnables, que sa propre sécurité ou celle d’autrui est menacée. La décision du policier de procéder à une fouille doit également être raisonnablement nécessaire eu égard à l’ensemble des circonstances.  Des inquiétudes — vagues ou inexistantes — en matière de sécurité ne sauraient justifier une telle décision, et la fouille ne peut reposer sur l’instinct ou une simple intuition.</w:t>
      </w:r>
    </w:p>
    <w:p w14:paraId="6054FFAF" w14:textId="77777777" w:rsidR="00FD4637" w:rsidRDefault="00FD4637" w:rsidP="00FD4637">
      <w:pPr>
        <w:jc w:val="both"/>
        <w:rPr>
          <w:rFonts w:ascii="Times New Roman" w:hAnsi="Times New Roman" w:cs="Times New Roman"/>
          <w:sz w:val="22"/>
          <w:szCs w:val="22"/>
          <w:lang w:val="fr-CA"/>
        </w:rPr>
      </w:pPr>
    </w:p>
    <w:p w14:paraId="37E1D06A" w14:textId="25A49885"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lang w:val="fr-CA"/>
        </w:rPr>
        <w:t>Le professeur Stylios rappel que se pouvoir sert uniquement aux fins de protection et ne doit pas servir à aller à la pêche à la preuve! Sinon, celle-ci risque d’être rejeté, soit la preuve obtenue, dans le cadre d’un procès, car il y aura perquisition abusive au sens de l’art. 8.</w:t>
      </w:r>
    </w:p>
    <w:p w14:paraId="367BDA9E" w14:textId="77777777" w:rsidR="00FD4637" w:rsidRDefault="00FD4637" w:rsidP="00FD4637">
      <w:pPr>
        <w:jc w:val="both"/>
        <w:rPr>
          <w:rFonts w:ascii="Times New Roman" w:hAnsi="Times New Roman" w:cs="Times New Roman"/>
          <w:sz w:val="22"/>
          <w:szCs w:val="22"/>
          <w:lang w:val="fr-CA"/>
        </w:rPr>
      </w:pPr>
    </w:p>
    <w:p w14:paraId="487EB0FF" w14:textId="6380AAD1" w:rsidR="00FD4637" w:rsidRDefault="00FD4637" w:rsidP="00FD4637">
      <w:pPr>
        <w:jc w:val="both"/>
        <w:rPr>
          <w:rFonts w:ascii="Times New Roman" w:hAnsi="Times New Roman" w:cs="Times New Roman"/>
          <w:sz w:val="22"/>
          <w:szCs w:val="22"/>
          <w:u w:val="single"/>
          <w:lang w:val="fr-CA"/>
        </w:rPr>
      </w:pPr>
      <w:r>
        <w:rPr>
          <w:rFonts w:ascii="Times New Roman" w:hAnsi="Times New Roman" w:cs="Times New Roman"/>
          <w:sz w:val="22"/>
          <w:szCs w:val="22"/>
          <w:u w:val="single"/>
          <w:lang w:val="fr-CA"/>
        </w:rPr>
        <w:t>3. L’entrée en jeu des articles 10 a) et 10 b) de la Charte (p. 34) :</w:t>
      </w:r>
    </w:p>
    <w:p w14:paraId="1C85432E" w14:textId="77777777" w:rsidR="00FD4637" w:rsidRDefault="00FD4637" w:rsidP="00FD4637">
      <w:pPr>
        <w:jc w:val="both"/>
        <w:rPr>
          <w:rFonts w:ascii="Times New Roman" w:hAnsi="Times New Roman" w:cs="Times New Roman"/>
          <w:sz w:val="22"/>
          <w:szCs w:val="22"/>
          <w:u w:val="single"/>
          <w:lang w:val="fr-CA"/>
        </w:rPr>
      </w:pPr>
    </w:p>
    <w:p w14:paraId="3F6EFB40" w14:textId="499D61F5" w:rsidR="00FD4637" w:rsidRDefault="00FD4637" w:rsidP="00FD463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Mann [2004] :</w:t>
      </w:r>
    </w:p>
    <w:p w14:paraId="35C3D82F" w14:textId="1261342C" w:rsidR="00FD4637" w:rsidRPr="00FD4637" w:rsidRDefault="00FD4637" w:rsidP="00880034">
      <w:pPr>
        <w:pStyle w:val="Paragraphedeliste"/>
        <w:numPr>
          <w:ilvl w:val="0"/>
          <w:numId w:val="28"/>
        </w:numPr>
        <w:jc w:val="both"/>
        <w:rPr>
          <w:rFonts w:ascii="Times New Roman" w:hAnsi="Times New Roman" w:cs="Times New Roman"/>
          <w:b/>
          <w:i/>
          <w:sz w:val="22"/>
          <w:szCs w:val="22"/>
          <w:lang w:val="fr-CA"/>
        </w:rPr>
      </w:pPr>
      <w:r w:rsidRPr="00FD4637">
        <w:rPr>
          <w:rFonts w:ascii="Times New Roman" w:hAnsi="Times New Roman" w:cs="Times New Roman"/>
          <w:sz w:val="20"/>
          <w:szCs w:val="20"/>
        </w:rPr>
        <w:t>une personne détenue aux fins d’enquête doit au minimum être informée en langage clair et simple des motifs de la détention [21].</w:t>
      </w:r>
    </w:p>
    <w:p w14:paraId="4FF7E580" w14:textId="77777777" w:rsidR="00FD4637" w:rsidRDefault="00FD4637" w:rsidP="00FD4637">
      <w:pPr>
        <w:jc w:val="both"/>
        <w:rPr>
          <w:rFonts w:ascii="Times New Roman" w:hAnsi="Times New Roman" w:cs="Times New Roman"/>
          <w:b/>
          <w:i/>
          <w:sz w:val="22"/>
          <w:szCs w:val="22"/>
          <w:lang w:val="fr-CA"/>
        </w:rPr>
      </w:pPr>
    </w:p>
    <w:p w14:paraId="309CF4B6" w14:textId="03CCEA8B" w:rsidR="00FD4637" w:rsidRDefault="00FD4637" w:rsidP="00FD463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Suberu ]2009] :</w:t>
      </w:r>
    </w:p>
    <w:p w14:paraId="674E8A6B" w14:textId="627D3419" w:rsidR="00FD4637" w:rsidRPr="00FD4637" w:rsidRDefault="00FD4637" w:rsidP="00FD4637">
      <w:pPr>
        <w:jc w:val="both"/>
        <w:rPr>
          <w:rFonts w:ascii="Times New Roman" w:hAnsi="Times New Roman" w:cs="Times New Roman"/>
          <w:i/>
          <w:iCs/>
          <w:sz w:val="22"/>
          <w:szCs w:val="22"/>
        </w:rPr>
      </w:pPr>
      <w:r w:rsidRPr="00FD4637">
        <w:rPr>
          <w:rFonts w:ascii="Times New Roman" w:hAnsi="Times New Roman" w:cs="Times New Roman"/>
          <w:sz w:val="22"/>
          <w:szCs w:val="22"/>
        </w:rPr>
        <w:t>La question précise, dans cet arrêt, que soulève le pourvoi est de savoir si l’obligation des policiers d’informer une personne de son droit à l’assistance d’un avocat garanti par l’al. 10</w:t>
      </w:r>
      <w:r w:rsidRPr="00FD4637">
        <w:rPr>
          <w:rFonts w:ascii="Times New Roman" w:hAnsi="Times New Roman" w:cs="Times New Roman"/>
          <w:i/>
          <w:iCs/>
          <w:sz w:val="22"/>
          <w:szCs w:val="22"/>
        </w:rPr>
        <w:t>b</w:t>
      </w:r>
      <w:r w:rsidRPr="00FD4637">
        <w:rPr>
          <w:rFonts w:ascii="Times New Roman" w:hAnsi="Times New Roman" w:cs="Times New Roman"/>
          <w:sz w:val="22"/>
          <w:szCs w:val="22"/>
        </w:rPr>
        <w:t xml:space="preserve">) de la </w:t>
      </w:r>
      <w:r w:rsidRPr="00FD4637">
        <w:rPr>
          <w:rFonts w:ascii="Times New Roman" w:hAnsi="Times New Roman" w:cs="Times New Roman"/>
          <w:i/>
          <w:iCs/>
          <w:sz w:val="22"/>
          <w:szCs w:val="22"/>
        </w:rPr>
        <w:t>Charte</w:t>
      </w:r>
      <w:r w:rsidRPr="00FD4637">
        <w:rPr>
          <w:rFonts w:ascii="Times New Roman" w:hAnsi="Times New Roman" w:cs="Times New Roman"/>
          <w:sz w:val="22"/>
          <w:szCs w:val="22"/>
        </w:rPr>
        <w:t xml:space="preserve"> s’applique dès le début d’une détention aux fins d’enquête — question qui est restée sans réponse dans </w:t>
      </w:r>
      <w:r w:rsidRPr="00FD4637">
        <w:rPr>
          <w:rFonts w:ascii="Times New Roman" w:hAnsi="Times New Roman" w:cs="Times New Roman"/>
          <w:i/>
          <w:iCs/>
          <w:sz w:val="22"/>
          <w:szCs w:val="22"/>
        </w:rPr>
        <w:t>R. c. Mann.</w:t>
      </w:r>
    </w:p>
    <w:p w14:paraId="77430E01" w14:textId="37CF45EB" w:rsidR="00FD4637" w:rsidRPr="00FD4637" w:rsidRDefault="00FD4637" w:rsidP="00880034">
      <w:pPr>
        <w:pStyle w:val="Paragraphedeliste"/>
        <w:numPr>
          <w:ilvl w:val="0"/>
          <w:numId w:val="28"/>
        </w:numPr>
        <w:jc w:val="both"/>
        <w:rPr>
          <w:rFonts w:ascii="Times New Roman" w:hAnsi="Times New Roman" w:cs="Times New Roman"/>
          <w:sz w:val="22"/>
          <w:szCs w:val="22"/>
          <w:lang w:val="fr-CA"/>
        </w:rPr>
      </w:pPr>
      <w:r w:rsidRPr="00FD4637">
        <w:rPr>
          <w:rFonts w:ascii="Times New Roman" w:hAnsi="Times New Roman" w:cs="Times New Roman"/>
          <w:sz w:val="20"/>
          <w:szCs w:val="20"/>
        </w:rPr>
        <w:t>Nous sommes d’avis qu’il faut y répondre par l’affirmative.  Les problèmes de l’auto</w:t>
      </w:r>
      <w:r w:rsidRPr="00FD4637">
        <w:rPr>
          <w:rFonts w:ascii="Palatino" w:hAnsi="Palatino" w:cs="Palatino"/>
          <w:sz w:val="20"/>
          <w:szCs w:val="20"/>
        </w:rPr>
        <w:t>‑</w:t>
      </w:r>
      <w:r w:rsidRPr="00FD4637">
        <w:rPr>
          <w:rFonts w:ascii="Times New Roman" w:hAnsi="Times New Roman" w:cs="Times New Roman"/>
          <w:sz w:val="20"/>
          <w:szCs w:val="20"/>
        </w:rPr>
        <w:t>incrimination et de l’entrave à la liberté auxquels cherche à répondre l’al. 10</w:t>
      </w:r>
      <w:r w:rsidRPr="00FD4637">
        <w:rPr>
          <w:rFonts w:ascii="Times New Roman" w:hAnsi="Times New Roman" w:cs="Times New Roman"/>
          <w:i/>
          <w:iCs/>
          <w:sz w:val="20"/>
          <w:szCs w:val="20"/>
        </w:rPr>
        <w:t>b</w:t>
      </w:r>
      <w:r w:rsidRPr="00FD4637">
        <w:rPr>
          <w:rFonts w:ascii="Times New Roman" w:hAnsi="Times New Roman" w:cs="Times New Roman"/>
          <w:sz w:val="20"/>
          <w:szCs w:val="20"/>
        </w:rPr>
        <w:t>) se posent dès qu’il y a détention.  Par conséquent, à partir du moment où une personne est détenue, l’al. 10</w:t>
      </w:r>
      <w:r w:rsidRPr="00FD4637">
        <w:rPr>
          <w:rFonts w:ascii="Times New Roman" w:hAnsi="Times New Roman" w:cs="Times New Roman"/>
          <w:i/>
          <w:iCs/>
          <w:sz w:val="20"/>
          <w:szCs w:val="20"/>
        </w:rPr>
        <w:t>b</w:t>
      </w:r>
      <w:r w:rsidRPr="00FD4637">
        <w:rPr>
          <w:rFonts w:ascii="Times New Roman" w:hAnsi="Times New Roman" w:cs="Times New Roman"/>
          <w:sz w:val="20"/>
          <w:szCs w:val="20"/>
        </w:rPr>
        <w:t xml:space="preserve">) s’applique et, comme le prescrit cette disposition, les policiers sont tenus d’informer cette personne « sans délai » de son droit à l’assistance d’un avocat.  Seules des raisons liées à la sécurité des policiers ou du public ou des restrictions raisonnables prescrites par une règle de droit et justifiées au sens de l’article premier de la </w:t>
      </w:r>
      <w:r w:rsidRPr="00FD4637">
        <w:rPr>
          <w:rFonts w:ascii="Times New Roman" w:hAnsi="Times New Roman" w:cs="Times New Roman"/>
          <w:i/>
          <w:iCs/>
          <w:sz w:val="20"/>
          <w:szCs w:val="20"/>
        </w:rPr>
        <w:t>Charte</w:t>
      </w:r>
      <w:r w:rsidRPr="00FD4637">
        <w:rPr>
          <w:rFonts w:ascii="Times New Roman" w:hAnsi="Times New Roman" w:cs="Times New Roman"/>
          <w:sz w:val="20"/>
          <w:szCs w:val="20"/>
        </w:rPr>
        <w:t xml:space="preserve"> peuvent atténuer le caractère immédiat de cette obligation.</w:t>
      </w:r>
    </w:p>
    <w:p w14:paraId="6A62A403" w14:textId="77777777" w:rsidR="00FD4637" w:rsidRPr="00FD4637" w:rsidRDefault="00FD4637" w:rsidP="00FD4637">
      <w:pPr>
        <w:pStyle w:val="Paragraphedeliste"/>
        <w:ind w:left="1080"/>
        <w:jc w:val="both"/>
        <w:rPr>
          <w:rFonts w:ascii="Times New Roman" w:hAnsi="Times New Roman" w:cs="Times New Roman"/>
          <w:sz w:val="22"/>
          <w:szCs w:val="22"/>
          <w:lang w:val="fr-CA"/>
        </w:rPr>
      </w:pPr>
    </w:p>
    <w:p w14:paraId="25BA1480" w14:textId="653AF396"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lang w:val="fr-CA"/>
        </w:rPr>
        <w:t>Elle fonde son argumentaire sur le fait que la personne détenue pour fins d’enquête à droit à la protection contre l’auto-incrimination entre autres.</w:t>
      </w:r>
    </w:p>
    <w:p w14:paraId="28DE4138" w14:textId="77777777" w:rsidR="00FD4637" w:rsidRDefault="00FD4637" w:rsidP="00FD4637">
      <w:pPr>
        <w:jc w:val="both"/>
        <w:rPr>
          <w:rFonts w:ascii="Times New Roman" w:hAnsi="Times New Roman" w:cs="Times New Roman"/>
          <w:sz w:val="22"/>
          <w:szCs w:val="22"/>
          <w:lang w:val="fr-CA"/>
        </w:rPr>
      </w:pPr>
    </w:p>
    <w:p w14:paraId="21DA3A10" w14:textId="13C0D3CF"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lang w:val="fr-CA"/>
        </w:rPr>
        <w:t>Selon le professeur Stylios, la police a intérêt à ne pas mettre en détention le suspect, car sinon elle se doit de dire les droits constitutionnelle du suspect et pour qu’elle motif il est arrêté. Toujours selon le professeur Stylios, dans le cas d’une fouille par palpation, et même en détention, on n’est pas obligé de parler aux constables, ceci étant un droit garanti par la Charte. Un obiter d’une cour de l’Ontario vient même dire qu’on n’est pas obligé, en théorie, de s’idendifier dans le cadre d’une fouille par palpation.</w:t>
      </w:r>
    </w:p>
    <w:p w14:paraId="678A557C" w14:textId="77777777" w:rsidR="00FD4637" w:rsidRDefault="00FD4637" w:rsidP="00FD4637">
      <w:pPr>
        <w:jc w:val="both"/>
        <w:rPr>
          <w:rFonts w:ascii="Times New Roman" w:hAnsi="Times New Roman" w:cs="Times New Roman"/>
          <w:sz w:val="22"/>
          <w:szCs w:val="22"/>
          <w:lang w:val="fr-CA"/>
        </w:rPr>
      </w:pPr>
    </w:p>
    <w:p w14:paraId="40FE531C" w14:textId="3BE8237E"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u w:val="single"/>
          <w:lang w:val="fr-CA"/>
        </w:rPr>
        <w:t>4. Les obligations de la personne en détention pour fins d’enquête</w:t>
      </w:r>
      <w:r>
        <w:rPr>
          <w:rFonts w:ascii="Times New Roman" w:hAnsi="Times New Roman" w:cs="Times New Roman"/>
          <w:sz w:val="22"/>
          <w:szCs w:val="22"/>
          <w:lang w:val="fr-CA"/>
        </w:rPr>
        <w:t xml:space="preserve"> (p. 35) :</w:t>
      </w:r>
    </w:p>
    <w:p w14:paraId="53A676F5" w14:textId="77777777" w:rsidR="00FD4637" w:rsidRDefault="00FD4637" w:rsidP="00FD4637">
      <w:pPr>
        <w:jc w:val="both"/>
        <w:rPr>
          <w:rFonts w:ascii="Times New Roman" w:hAnsi="Times New Roman" w:cs="Times New Roman"/>
          <w:sz w:val="22"/>
          <w:szCs w:val="22"/>
          <w:lang w:val="fr-CA"/>
        </w:rPr>
      </w:pPr>
    </w:p>
    <w:p w14:paraId="342E7B35" w14:textId="358644AB" w:rsidR="00FD4637" w:rsidRDefault="00FD4637" w:rsidP="00FD4637">
      <w:pPr>
        <w:jc w:val="both"/>
        <w:rPr>
          <w:rFonts w:ascii="Times New Roman" w:hAnsi="Times New Roman" w:cs="Times New Roman"/>
          <w:sz w:val="22"/>
          <w:szCs w:val="22"/>
          <w:lang w:val="fr-CA"/>
        </w:rPr>
      </w:pPr>
      <w:r>
        <w:rPr>
          <w:rFonts w:ascii="Times New Roman" w:hAnsi="Times New Roman" w:cs="Times New Roman"/>
          <w:sz w:val="22"/>
          <w:szCs w:val="22"/>
          <w:lang w:val="fr-CA"/>
        </w:rPr>
        <w:t>Il faut faire attention aux obligations qui découlent de l’art. 129 C.cr.</w:t>
      </w:r>
    </w:p>
    <w:p w14:paraId="683892D5" w14:textId="77777777" w:rsidR="00040F9B" w:rsidRDefault="00040F9B" w:rsidP="00FD4637">
      <w:pPr>
        <w:jc w:val="both"/>
        <w:rPr>
          <w:rFonts w:ascii="Times New Roman" w:hAnsi="Times New Roman" w:cs="Times New Roman"/>
          <w:sz w:val="22"/>
          <w:szCs w:val="22"/>
          <w:lang w:val="fr-CA"/>
        </w:rPr>
      </w:pPr>
    </w:p>
    <w:p w14:paraId="5D65DF1A" w14:textId="59D848A9" w:rsidR="00040F9B" w:rsidRDefault="00040F9B" w:rsidP="00FD463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Mann [2004] :</w:t>
      </w:r>
    </w:p>
    <w:p w14:paraId="596872AE" w14:textId="47AC79CF" w:rsidR="00040F9B" w:rsidRPr="00040F9B" w:rsidRDefault="00040F9B" w:rsidP="00880034">
      <w:pPr>
        <w:pStyle w:val="Paragraphedeliste"/>
        <w:numPr>
          <w:ilvl w:val="0"/>
          <w:numId w:val="28"/>
        </w:numPr>
        <w:jc w:val="both"/>
        <w:rPr>
          <w:rFonts w:ascii="Times New Roman" w:hAnsi="Times New Roman" w:cs="Times New Roman"/>
          <w:i/>
          <w:sz w:val="22"/>
          <w:szCs w:val="22"/>
          <w:lang w:val="fr-CA"/>
        </w:rPr>
      </w:pPr>
      <w:r w:rsidRPr="00040F9B">
        <w:rPr>
          <w:rFonts w:ascii="Times New Roman" w:hAnsi="Times New Roman" w:cs="Times New Roman"/>
          <w:sz w:val="20"/>
          <w:szCs w:val="20"/>
        </w:rPr>
        <w:t>À cet égard, je souligne que les détentions effectuées aux fins d’enquête doivent être brèves et que les personnes détenues n’ont pas l’obligation de répondre aux questions du policier.  Il convient de distinguer les détentions aux fins d’enquête ainsi que le pouvoir de fouille préventive y afférent des arrestations et du pouvoir de fouille y afférent, situation qui ne se présente pas en l’espèce [45].</w:t>
      </w:r>
    </w:p>
    <w:p w14:paraId="6B39E540" w14:textId="77777777" w:rsidR="00040F9B" w:rsidRDefault="00040F9B" w:rsidP="00040F9B">
      <w:pPr>
        <w:jc w:val="both"/>
        <w:rPr>
          <w:rFonts w:ascii="Times New Roman" w:hAnsi="Times New Roman" w:cs="Times New Roman"/>
          <w:i/>
          <w:sz w:val="22"/>
          <w:szCs w:val="22"/>
          <w:lang w:val="fr-CA"/>
        </w:rPr>
      </w:pPr>
    </w:p>
    <w:p w14:paraId="0FDBEFAE" w14:textId="7BA76438" w:rsidR="00040F9B" w:rsidRDefault="00040F9B" w:rsidP="00040F9B">
      <w:pPr>
        <w:jc w:val="both"/>
        <w:rPr>
          <w:rFonts w:ascii="Times New Roman" w:hAnsi="Times New Roman" w:cs="Times New Roman"/>
          <w:sz w:val="22"/>
          <w:szCs w:val="22"/>
          <w:u w:val="single"/>
          <w:lang w:val="fr-CA"/>
        </w:rPr>
      </w:pPr>
      <w:r>
        <w:rPr>
          <w:rFonts w:ascii="Times New Roman" w:hAnsi="Times New Roman" w:cs="Times New Roman"/>
          <w:sz w:val="22"/>
          <w:szCs w:val="22"/>
          <w:u w:val="single"/>
          <w:lang w:val="fr-CA"/>
        </w:rPr>
        <w:t>5. De l’usage de la force lors d’une détention aux fins d’enquête (p.35) :</w:t>
      </w:r>
    </w:p>
    <w:p w14:paraId="5FBCBF5D" w14:textId="77777777" w:rsidR="00040F9B" w:rsidRDefault="00040F9B" w:rsidP="00040F9B">
      <w:pPr>
        <w:jc w:val="both"/>
        <w:rPr>
          <w:rFonts w:ascii="Times New Roman" w:hAnsi="Times New Roman" w:cs="Times New Roman"/>
          <w:sz w:val="22"/>
          <w:szCs w:val="22"/>
          <w:lang w:val="fr-CA"/>
        </w:rPr>
      </w:pPr>
    </w:p>
    <w:p w14:paraId="10EC7C0F" w14:textId="5B5FF5B5" w:rsidR="00040F9B" w:rsidRDefault="00040F9B" w:rsidP="00040F9B">
      <w:pPr>
        <w:jc w:val="both"/>
        <w:rPr>
          <w:rFonts w:ascii="Times New Roman" w:hAnsi="Times New Roman" w:cs="Times New Roman"/>
          <w:sz w:val="22"/>
          <w:szCs w:val="22"/>
          <w:lang w:val="fr-CA"/>
        </w:rPr>
      </w:pPr>
      <w:r>
        <w:rPr>
          <w:rFonts w:ascii="Times New Roman" w:hAnsi="Times New Roman" w:cs="Times New Roman"/>
          <w:sz w:val="22"/>
          <w:szCs w:val="22"/>
          <w:lang w:val="fr-CA"/>
        </w:rPr>
        <w:t>Art. 25 C.cr.</w:t>
      </w:r>
    </w:p>
    <w:p w14:paraId="0B620BAE" w14:textId="77777777" w:rsidR="00040F9B" w:rsidRDefault="00040F9B" w:rsidP="00040F9B">
      <w:pPr>
        <w:jc w:val="both"/>
        <w:rPr>
          <w:rFonts w:ascii="Times New Roman" w:hAnsi="Times New Roman" w:cs="Times New Roman"/>
          <w:sz w:val="22"/>
          <w:szCs w:val="22"/>
          <w:lang w:val="fr-CA"/>
        </w:rPr>
      </w:pPr>
    </w:p>
    <w:p w14:paraId="4B66CD67" w14:textId="7BAE47EB" w:rsidR="00040F9B" w:rsidRDefault="00040F9B" w:rsidP="00040F9B">
      <w:pPr>
        <w:jc w:val="both"/>
        <w:rPr>
          <w:rFonts w:ascii="Times New Roman" w:hAnsi="Times New Roman" w:cs="Times New Roman"/>
          <w:sz w:val="22"/>
          <w:szCs w:val="22"/>
          <w:u w:val="single"/>
          <w:lang w:val="fr-CA"/>
        </w:rPr>
      </w:pPr>
      <w:r>
        <w:rPr>
          <w:rFonts w:ascii="Times New Roman" w:hAnsi="Times New Roman" w:cs="Times New Roman"/>
          <w:sz w:val="22"/>
          <w:szCs w:val="22"/>
          <w:u w:val="single"/>
          <w:lang w:val="fr-CA"/>
        </w:rPr>
        <w:t>6. Durée de la détention aux fins d’enquête (p.35) :</w:t>
      </w:r>
    </w:p>
    <w:p w14:paraId="680A0D4A" w14:textId="77777777" w:rsidR="00040F9B" w:rsidRDefault="00040F9B" w:rsidP="00040F9B">
      <w:pPr>
        <w:jc w:val="both"/>
        <w:rPr>
          <w:rFonts w:ascii="Times New Roman" w:hAnsi="Times New Roman" w:cs="Times New Roman"/>
          <w:sz w:val="22"/>
          <w:szCs w:val="22"/>
          <w:lang w:val="fr-CA"/>
        </w:rPr>
      </w:pPr>
    </w:p>
    <w:p w14:paraId="64ACB7A8" w14:textId="0CB90DBB" w:rsidR="00040F9B" w:rsidRDefault="00040F9B" w:rsidP="00040F9B">
      <w:pPr>
        <w:jc w:val="both"/>
        <w:rPr>
          <w:rFonts w:ascii="Times New Roman" w:hAnsi="Times New Roman" w:cs="Times New Roman"/>
          <w:sz w:val="22"/>
          <w:szCs w:val="22"/>
          <w:lang w:val="fr-CA"/>
        </w:rPr>
      </w:pPr>
      <w:r>
        <w:rPr>
          <w:rFonts w:ascii="Times New Roman" w:hAnsi="Times New Roman" w:cs="Times New Roman"/>
          <w:sz w:val="22"/>
          <w:szCs w:val="22"/>
          <w:lang w:val="fr-CA"/>
        </w:rPr>
        <w:t>Généralement, la durée est analysée aux cas par cas, et ce, à fortiori si l’individu ne répond pas aux questions. Par contre, selon le professeur Stylios, la doctrine semble dire que c’est environ 20 minutes, mais dans la pratique, y’a pas vraiment de délais.</w:t>
      </w:r>
    </w:p>
    <w:p w14:paraId="325084FE" w14:textId="77777777" w:rsidR="00040F9B" w:rsidRDefault="00040F9B" w:rsidP="00040F9B">
      <w:pPr>
        <w:jc w:val="both"/>
        <w:rPr>
          <w:rFonts w:ascii="Times New Roman" w:hAnsi="Times New Roman" w:cs="Times New Roman"/>
          <w:sz w:val="22"/>
          <w:szCs w:val="22"/>
          <w:lang w:val="fr-CA"/>
        </w:rPr>
      </w:pPr>
    </w:p>
    <w:p w14:paraId="560AD7BE" w14:textId="159A31F1" w:rsidR="00040F9B" w:rsidRDefault="00040F9B" w:rsidP="00040F9B">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Mann [2004] :</w:t>
      </w:r>
    </w:p>
    <w:p w14:paraId="577A98EE" w14:textId="4B410FB9" w:rsidR="00040F9B" w:rsidRPr="00E23648" w:rsidRDefault="00E23648" w:rsidP="00880034">
      <w:pPr>
        <w:pStyle w:val="Paragraphedeliste"/>
        <w:numPr>
          <w:ilvl w:val="0"/>
          <w:numId w:val="28"/>
        </w:numPr>
        <w:jc w:val="both"/>
        <w:rPr>
          <w:rFonts w:ascii="Times New Roman" w:hAnsi="Times New Roman" w:cs="Times New Roman"/>
          <w:b/>
          <w:i/>
          <w:sz w:val="22"/>
          <w:szCs w:val="22"/>
          <w:lang w:val="fr-CA"/>
        </w:rPr>
      </w:pPr>
      <w:r w:rsidRPr="004F6288">
        <w:rPr>
          <w:rFonts w:ascii="Times New Roman" w:hAnsi="Times New Roman" w:cs="Times New Roman"/>
          <w:sz w:val="20"/>
          <w:szCs w:val="20"/>
        </w:rPr>
        <w:t>L’alinéa 10</w:t>
      </w:r>
      <w:r w:rsidRPr="004F6288">
        <w:rPr>
          <w:rFonts w:ascii="Times New Roman" w:hAnsi="Times New Roman" w:cs="Times New Roman"/>
          <w:i/>
          <w:iCs/>
          <w:sz w:val="20"/>
          <w:szCs w:val="20"/>
        </w:rPr>
        <w:t>b</w:t>
      </w:r>
      <w:r w:rsidRPr="004F6288">
        <w:rPr>
          <w:rFonts w:ascii="Times New Roman" w:hAnsi="Times New Roman" w:cs="Times New Roman"/>
          <w:sz w:val="20"/>
          <w:szCs w:val="20"/>
        </w:rPr>
        <w:t xml:space="preserve">) de la </w:t>
      </w:r>
      <w:r w:rsidRPr="004F6288">
        <w:rPr>
          <w:rFonts w:ascii="Times New Roman" w:hAnsi="Times New Roman" w:cs="Times New Roman"/>
          <w:i/>
          <w:iCs/>
          <w:sz w:val="20"/>
          <w:szCs w:val="20"/>
        </w:rPr>
        <w:t>Charte</w:t>
      </w:r>
      <w:r w:rsidRPr="004F6288">
        <w:rPr>
          <w:rFonts w:ascii="Times New Roman" w:hAnsi="Times New Roman" w:cs="Times New Roman"/>
          <w:sz w:val="20"/>
          <w:szCs w:val="20"/>
        </w:rPr>
        <w:t xml:space="preserve"> soulève des questions plus complexes.  Il consacre le droit du détenu « d’avoir recours sans délai à l’assistance d’un avocat et d’être informé de ce droit ».  Comme toutes les autres dispositions de la </w:t>
      </w:r>
      <w:r w:rsidRPr="004F6288">
        <w:rPr>
          <w:rFonts w:ascii="Times New Roman" w:hAnsi="Times New Roman" w:cs="Times New Roman"/>
          <w:i/>
          <w:iCs/>
          <w:sz w:val="20"/>
          <w:szCs w:val="20"/>
        </w:rPr>
        <w:t>Charte</w:t>
      </w:r>
      <w:r w:rsidRPr="004F6288">
        <w:rPr>
          <w:rFonts w:ascii="Times New Roman" w:hAnsi="Times New Roman" w:cs="Times New Roman"/>
          <w:sz w:val="20"/>
          <w:szCs w:val="20"/>
        </w:rPr>
        <w:t>, l’al. 10</w:t>
      </w:r>
      <w:r w:rsidRPr="004F6288">
        <w:rPr>
          <w:rFonts w:ascii="Times New Roman" w:hAnsi="Times New Roman" w:cs="Times New Roman"/>
          <w:i/>
          <w:iCs/>
          <w:sz w:val="20"/>
          <w:szCs w:val="20"/>
        </w:rPr>
        <w:t>b</w:t>
      </w:r>
      <w:r w:rsidRPr="004F6288">
        <w:rPr>
          <w:rFonts w:ascii="Times New Roman" w:hAnsi="Times New Roman" w:cs="Times New Roman"/>
          <w:sz w:val="20"/>
          <w:szCs w:val="20"/>
        </w:rPr>
        <w:t>) doit être interprété téléologiquement</w:t>
      </w:r>
      <w:r w:rsidRPr="00165D24">
        <w:rPr>
          <w:rFonts w:ascii="Times New Roman" w:hAnsi="Times New Roman" w:cs="Times New Roman"/>
          <w:b/>
          <w:sz w:val="20"/>
          <w:szCs w:val="20"/>
        </w:rPr>
        <w:t>.  L’observation des conditions prescrites par cette disposition ne saurait être utilisée comme une excuse pour prolonger indûment et artificiellement une détention qui, comme je le précise plus loin, doit être brève</w:t>
      </w:r>
      <w:r>
        <w:rPr>
          <w:rFonts w:ascii="Times New Roman" w:hAnsi="Times New Roman" w:cs="Times New Roman"/>
          <w:sz w:val="20"/>
          <w:szCs w:val="20"/>
        </w:rPr>
        <w:t xml:space="preserve">. [22]. </w:t>
      </w:r>
      <w:r>
        <w:rPr>
          <w:rFonts w:ascii="Times New Roman" w:hAnsi="Times New Roman" w:cs="Times New Roman"/>
          <w:i/>
          <w:sz w:val="20"/>
          <w:szCs w:val="20"/>
        </w:rPr>
        <w:t>Voir [45]</w:t>
      </w:r>
      <w:r>
        <w:rPr>
          <w:rFonts w:ascii="Times New Roman" w:hAnsi="Times New Roman" w:cs="Times New Roman"/>
          <w:sz w:val="20"/>
          <w:szCs w:val="20"/>
        </w:rPr>
        <w:t>.</w:t>
      </w:r>
    </w:p>
    <w:p w14:paraId="6F0FC68D" w14:textId="77777777" w:rsidR="00E23648" w:rsidRDefault="00E23648" w:rsidP="00E23648">
      <w:pPr>
        <w:jc w:val="both"/>
        <w:rPr>
          <w:rFonts w:ascii="Times New Roman" w:hAnsi="Times New Roman" w:cs="Times New Roman"/>
          <w:b/>
          <w:i/>
          <w:sz w:val="22"/>
          <w:szCs w:val="22"/>
          <w:lang w:val="fr-CA"/>
        </w:rPr>
      </w:pPr>
    </w:p>
    <w:p w14:paraId="76105D69" w14:textId="2F596000" w:rsidR="00E23648" w:rsidRDefault="00E23648" w:rsidP="00E23648">
      <w:pPr>
        <w:jc w:val="both"/>
        <w:rPr>
          <w:rFonts w:ascii="Times New Roman" w:hAnsi="Times New Roman" w:cs="Times New Roman"/>
          <w:sz w:val="22"/>
          <w:szCs w:val="22"/>
          <w:u w:val="single"/>
          <w:lang w:val="fr-CA"/>
        </w:rPr>
      </w:pPr>
      <w:r>
        <w:rPr>
          <w:rFonts w:ascii="Times New Roman" w:hAnsi="Times New Roman" w:cs="Times New Roman"/>
          <w:sz w:val="22"/>
          <w:szCs w:val="22"/>
          <w:u w:val="single"/>
          <w:lang w:val="fr-CA"/>
        </w:rPr>
        <w:t>7. Déplacement de la personne interpellé lors d’une détention aux fins d’enquête (p. 36) :</w:t>
      </w:r>
    </w:p>
    <w:p w14:paraId="12C49B7F" w14:textId="77777777" w:rsidR="00E23648" w:rsidRDefault="00E23648" w:rsidP="00E23648">
      <w:pPr>
        <w:jc w:val="both"/>
        <w:rPr>
          <w:rFonts w:ascii="Times New Roman" w:hAnsi="Times New Roman" w:cs="Times New Roman"/>
          <w:sz w:val="22"/>
          <w:szCs w:val="22"/>
          <w:lang w:val="fr-CA"/>
        </w:rPr>
      </w:pPr>
    </w:p>
    <w:p w14:paraId="38D5488F" w14:textId="4195B08C" w:rsidR="00E23648" w:rsidRDefault="00E23648" w:rsidP="00E23648">
      <w:pPr>
        <w:jc w:val="both"/>
        <w:rPr>
          <w:rFonts w:ascii="Times New Roman" w:hAnsi="Times New Roman" w:cs="Times New Roman"/>
          <w:sz w:val="22"/>
          <w:szCs w:val="22"/>
          <w:lang w:val="fr-CA"/>
        </w:rPr>
      </w:pPr>
      <w:r>
        <w:rPr>
          <w:rFonts w:ascii="Times New Roman" w:hAnsi="Times New Roman" w:cs="Times New Roman"/>
          <w:sz w:val="22"/>
          <w:szCs w:val="22"/>
          <w:lang w:val="fr-CA"/>
        </w:rPr>
        <w:t>Les barrages routiers à des fins d’enquête :</w:t>
      </w:r>
    </w:p>
    <w:p w14:paraId="10AFE6D7" w14:textId="47378AD1" w:rsidR="00E23648" w:rsidRPr="00E23648" w:rsidRDefault="00E23648" w:rsidP="00E23648">
      <w:pPr>
        <w:jc w:val="both"/>
        <w:rPr>
          <w:rFonts w:ascii="Times New Roman" w:hAnsi="Times New Roman" w:cs="Times New Roman"/>
          <w:sz w:val="22"/>
          <w:szCs w:val="22"/>
          <w:lang w:val="fr-CA"/>
        </w:rPr>
      </w:pPr>
      <w:r>
        <w:rPr>
          <w:rFonts w:ascii="Times New Roman" w:hAnsi="Times New Roman" w:cs="Times New Roman"/>
          <w:b/>
          <w:i/>
          <w:sz w:val="22"/>
          <w:szCs w:val="22"/>
          <w:lang w:val="fr-CA"/>
        </w:rPr>
        <w:t>R. c. Clayton [2007]</w:t>
      </w:r>
    </w:p>
    <w:p w14:paraId="3EC9D7EF" w14:textId="1BF1ECC4" w:rsidR="00040F9B" w:rsidRDefault="00E23648" w:rsidP="00040F9B">
      <w:pPr>
        <w:jc w:val="both"/>
        <w:rPr>
          <w:rFonts w:ascii="Times New Roman" w:hAnsi="Times New Roman" w:cs="Times New Roman"/>
          <w:sz w:val="22"/>
          <w:szCs w:val="22"/>
          <w:lang w:val="fr-CA"/>
        </w:rPr>
      </w:pPr>
      <w:r>
        <w:rPr>
          <w:rFonts w:ascii="Times New Roman" w:hAnsi="Times New Roman" w:cs="Times New Roman"/>
          <w:sz w:val="22"/>
          <w:szCs w:val="22"/>
          <w:lang w:val="fr-CA"/>
        </w:rPr>
        <w:t>La Cour vient nous dire dans cet arrêt, qu’il ait possible d’utiliser un barrage routier pour procéder à une détention aux fins d’enquête, mais cette pratique ne doit pas devenir un automatisme.</w:t>
      </w:r>
    </w:p>
    <w:p w14:paraId="3EA35B4A" w14:textId="665BA987" w:rsidR="00E23648" w:rsidRPr="00E23648" w:rsidRDefault="00E23648" w:rsidP="00880034">
      <w:pPr>
        <w:pStyle w:val="Paragraphedeliste"/>
        <w:numPr>
          <w:ilvl w:val="0"/>
          <w:numId w:val="28"/>
        </w:numPr>
        <w:jc w:val="both"/>
        <w:rPr>
          <w:rFonts w:ascii="Times New Roman" w:hAnsi="Times New Roman" w:cs="Times New Roman"/>
          <w:sz w:val="20"/>
          <w:szCs w:val="20"/>
          <w:lang w:val="fr-CA"/>
        </w:rPr>
      </w:pPr>
      <w:r w:rsidRPr="00E23648">
        <w:rPr>
          <w:rFonts w:ascii="Times New Roman" w:hAnsi="Times New Roman" w:cs="Times New Roman"/>
          <w:sz w:val="20"/>
          <w:szCs w:val="20"/>
        </w:rPr>
        <w:t>La condition pour que ce barrage routier soit possible pour une détention aux fins d’enquête, cela doit être géographiquement rapproché du lieu d’enquête et cela doit être proche dans le temps de l’enquête</w:t>
      </w:r>
      <w:r>
        <w:rPr>
          <w:rFonts w:ascii="Times New Roman" w:hAnsi="Times New Roman" w:cs="Times New Roman"/>
          <w:sz w:val="20"/>
          <w:szCs w:val="20"/>
        </w:rPr>
        <w:t>.</w:t>
      </w:r>
    </w:p>
    <w:p w14:paraId="5D5743FF" w14:textId="74BD3917" w:rsidR="00E23648" w:rsidRPr="00E23648" w:rsidRDefault="00E23648" w:rsidP="00880034">
      <w:pPr>
        <w:pStyle w:val="Paragraphedeliste"/>
        <w:numPr>
          <w:ilvl w:val="0"/>
          <w:numId w:val="28"/>
        </w:numPr>
        <w:jc w:val="both"/>
        <w:rPr>
          <w:rFonts w:ascii="Times New Roman" w:hAnsi="Times New Roman" w:cs="Times New Roman"/>
          <w:sz w:val="20"/>
          <w:szCs w:val="20"/>
          <w:lang w:val="fr-CA"/>
        </w:rPr>
      </w:pPr>
      <w:r w:rsidRPr="00165D24">
        <w:rPr>
          <w:rFonts w:ascii="Times New Roman" w:hAnsi="Times New Roman" w:cs="Times New Roman"/>
          <w:sz w:val="20"/>
          <w:szCs w:val="20"/>
        </w:rPr>
        <w:t>L’examen tiendra compte de la nature de la situation, y compris la gravité de l’infraction, des renseignements sur le suspect ou sur le crime dont disposaient les policiers et de la mesure dans laquelle la détention était raisonnablement adaptée à ces éléments, notamment en ce qui a trait à l’emplacement et au moment.  Il faut donc mettre en balance l’importance du risque pour la sécurité du public en général ou d’une personne en particulier avec le droit à la liberté des citoyens, pour déterminer si l’interception n’a porté atteinte à la liberté que dans la mesure qui était raisonnablement nécessaire.  La fouille accessoire à une détention aux fins d’enquête peut être justifiée lorsque le policier croit,  pour des motifs raisonnables, que sa propre sécurité ou celle d’autrui est menacée</w:t>
      </w:r>
      <w:r>
        <w:rPr>
          <w:rFonts w:ascii="Times New Roman" w:hAnsi="Times New Roman" w:cs="Times New Roman"/>
          <w:sz w:val="20"/>
          <w:szCs w:val="20"/>
        </w:rPr>
        <w:t>.</w:t>
      </w:r>
    </w:p>
    <w:p w14:paraId="79EF848E" w14:textId="2BA13902" w:rsidR="00E23648" w:rsidRPr="00E23648" w:rsidRDefault="00E23648" w:rsidP="00880034">
      <w:pPr>
        <w:pStyle w:val="Paragraphedeliste"/>
        <w:numPr>
          <w:ilvl w:val="0"/>
          <w:numId w:val="28"/>
        </w:numPr>
        <w:jc w:val="both"/>
        <w:rPr>
          <w:rFonts w:ascii="Times New Roman" w:hAnsi="Times New Roman" w:cs="Times New Roman"/>
          <w:sz w:val="20"/>
          <w:szCs w:val="20"/>
          <w:lang w:val="fr-CA"/>
        </w:rPr>
      </w:pPr>
      <w:r w:rsidRPr="00165D24">
        <w:rPr>
          <w:rFonts w:ascii="Times New Roman" w:hAnsi="Times New Roman" w:cs="Times New Roman"/>
          <w:sz w:val="20"/>
          <w:szCs w:val="20"/>
        </w:rPr>
        <w:t xml:space="preserve">Il arrive que le ministère public fasse valoir (comme en l’espèce) qu’une règle de droit de common law autorisant une mesure policière attentatoire à une liberté individuelle garantie par la </w:t>
      </w:r>
      <w:r w:rsidRPr="00165D24">
        <w:rPr>
          <w:rFonts w:ascii="Times New Roman" w:hAnsi="Times New Roman" w:cs="Times New Roman"/>
          <w:i/>
          <w:iCs/>
          <w:sz w:val="20"/>
          <w:szCs w:val="20"/>
        </w:rPr>
        <w:t>Charte</w:t>
      </w:r>
      <w:r w:rsidRPr="00165D24">
        <w:rPr>
          <w:rFonts w:ascii="Times New Roman" w:hAnsi="Times New Roman" w:cs="Times New Roman"/>
          <w:sz w:val="20"/>
          <w:szCs w:val="20"/>
        </w:rPr>
        <w:t xml:space="preserve"> peut néanmoins être justifiée dans l’intérêt général de la société</w:t>
      </w:r>
      <w:r>
        <w:rPr>
          <w:rFonts w:ascii="Times New Roman" w:hAnsi="Times New Roman" w:cs="Times New Roman"/>
          <w:sz w:val="20"/>
          <w:szCs w:val="20"/>
        </w:rPr>
        <w:t>.</w:t>
      </w:r>
    </w:p>
    <w:p w14:paraId="45B647EA" w14:textId="60E28B9B" w:rsidR="00E23648" w:rsidRPr="00E23648" w:rsidRDefault="00E23648" w:rsidP="00880034">
      <w:pPr>
        <w:pStyle w:val="Paragraphedeliste"/>
        <w:numPr>
          <w:ilvl w:val="0"/>
          <w:numId w:val="28"/>
        </w:numPr>
        <w:jc w:val="both"/>
        <w:rPr>
          <w:rFonts w:ascii="Times New Roman" w:hAnsi="Times New Roman" w:cs="Times New Roman"/>
          <w:sz w:val="20"/>
          <w:szCs w:val="20"/>
          <w:lang w:val="fr-CA"/>
        </w:rPr>
      </w:pPr>
      <w:r w:rsidRPr="00E23648">
        <w:rPr>
          <w:rFonts w:ascii="Times New Roman" w:hAnsi="Times New Roman" w:cs="Times New Roman"/>
          <w:sz w:val="20"/>
          <w:szCs w:val="20"/>
        </w:rPr>
        <w:t>Dans la présente affaire, la proximité du barrage policier par rapport au lieu présumé de l’infraction et la rapidité de sa mise en place ont accru les chances de réussite de l’intervention policière, et toute atteinte infligée aux automobilistes quittant les lieux a duré relativement peu de temps et n’a causé que peu d’inconvénients.  La common law autorisait la mise en place du barrage policier.</w:t>
      </w:r>
    </w:p>
    <w:p w14:paraId="48891670" w14:textId="6F695A59" w:rsidR="00E23648" w:rsidRPr="00E23648" w:rsidRDefault="00E23648" w:rsidP="00880034">
      <w:pPr>
        <w:pStyle w:val="Paragraphedeliste"/>
        <w:numPr>
          <w:ilvl w:val="0"/>
          <w:numId w:val="28"/>
        </w:numPr>
        <w:jc w:val="both"/>
        <w:rPr>
          <w:rFonts w:ascii="Times New Roman" w:hAnsi="Times New Roman" w:cs="Times New Roman"/>
          <w:sz w:val="20"/>
          <w:szCs w:val="20"/>
          <w:lang w:val="fr-CA"/>
        </w:rPr>
      </w:pPr>
      <w:r w:rsidRPr="00165D24">
        <w:rPr>
          <w:rFonts w:ascii="Times New Roman" w:hAnsi="Times New Roman" w:cs="Times New Roman"/>
          <w:sz w:val="20"/>
          <w:szCs w:val="20"/>
        </w:rPr>
        <w:t>La règle de droit de common law qui confère un pouvoir de détention au moyen d’une mesure (le barrage) bien circonscrite prise après que la présence d’armes à feu a été signalée au 9</w:t>
      </w:r>
      <w:r w:rsidRPr="00165D24">
        <w:rPr>
          <w:rFonts w:ascii="Palatino" w:hAnsi="Palatino" w:cs="Palatino"/>
          <w:sz w:val="20"/>
          <w:szCs w:val="20"/>
        </w:rPr>
        <w:t>‑</w:t>
      </w:r>
      <w:r w:rsidRPr="00165D24">
        <w:rPr>
          <w:rFonts w:ascii="Times New Roman" w:hAnsi="Times New Roman" w:cs="Times New Roman"/>
          <w:sz w:val="20"/>
          <w:szCs w:val="20"/>
        </w:rPr>
        <w:t>1</w:t>
      </w:r>
      <w:r w:rsidRPr="00165D24">
        <w:rPr>
          <w:rFonts w:ascii="Palatino" w:hAnsi="Palatino" w:cs="Palatino"/>
          <w:sz w:val="20"/>
          <w:szCs w:val="20"/>
        </w:rPr>
        <w:t>‑</w:t>
      </w:r>
      <w:r w:rsidRPr="00165D24">
        <w:rPr>
          <w:rFonts w:ascii="Times New Roman" w:hAnsi="Times New Roman" w:cs="Times New Roman"/>
          <w:sz w:val="20"/>
          <w:szCs w:val="20"/>
        </w:rPr>
        <w:t xml:space="preserve">1 constitue, pour les besoins de l’article premier de la </w:t>
      </w:r>
      <w:r w:rsidRPr="00165D24">
        <w:rPr>
          <w:rFonts w:ascii="Times New Roman" w:hAnsi="Times New Roman" w:cs="Times New Roman"/>
          <w:i/>
          <w:iCs/>
          <w:sz w:val="20"/>
          <w:szCs w:val="20"/>
        </w:rPr>
        <w:t>Charte</w:t>
      </w:r>
      <w:r w:rsidRPr="00165D24">
        <w:rPr>
          <w:rFonts w:ascii="Times New Roman" w:hAnsi="Times New Roman" w:cs="Times New Roman"/>
          <w:sz w:val="20"/>
          <w:szCs w:val="20"/>
        </w:rPr>
        <w:t xml:space="preserve">, une restriction raisonnable du droit des accusés à la protection contre la détention arbitraire garanti à l’art. 9 de la </w:t>
      </w:r>
      <w:r w:rsidRPr="00165D24">
        <w:rPr>
          <w:rFonts w:ascii="Times New Roman" w:hAnsi="Times New Roman" w:cs="Times New Roman"/>
          <w:i/>
          <w:iCs/>
          <w:sz w:val="20"/>
          <w:szCs w:val="20"/>
        </w:rPr>
        <w:t>Charte</w:t>
      </w:r>
      <w:r>
        <w:rPr>
          <w:rFonts w:ascii="Times New Roman" w:hAnsi="Times New Roman" w:cs="Times New Roman"/>
          <w:i/>
          <w:iCs/>
          <w:sz w:val="20"/>
          <w:szCs w:val="20"/>
        </w:rPr>
        <w:t>.</w:t>
      </w:r>
    </w:p>
    <w:p w14:paraId="791CBCE4" w14:textId="77777777" w:rsidR="00E23648" w:rsidRPr="00E23648" w:rsidRDefault="00E23648" w:rsidP="00E23648">
      <w:pPr>
        <w:jc w:val="both"/>
        <w:rPr>
          <w:rFonts w:ascii="Times New Roman" w:hAnsi="Times New Roman" w:cs="Times New Roman"/>
          <w:sz w:val="20"/>
          <w:szCs w:val="20"/>
          <w:lang w:val="fr-CA"/>
        </w:rPr>
      </w:pPr>
    </w:p>
    <w:p w14:paraId="0EE445EF" w14:textId="77777777" w:rsidR="00E23648" w:rsidRDefault="00E23648" w:rsidP="00E23648">
      <w:pPr>
        <w:jc w:val="both"/>
        <w:rPr>
          <w:rFonts w:ascii="Times New Roman" w:hAnsi="Times New Roman" w:cs="Times New Roman"/>
          <w:sz w:val="20"/>
          <w:szCs w:val="20"/>
          <w:lang w:val="fr-CA"/>
        </w:rPr>
      </w:pPr>
    </w:p>
    <w:p w14:paraId="50F6D678" w14:textId="77777777" w:rsidR="00E23648" w:rsidRPr="00E23648" w:rsidRDefault="00E23648" w:rsidP="00E23648">
      <w:pPr>
        <w:jc w:val="both"/>
        <w:rPr>
          <w:rFonts w:ascii="Times New Roman" w:hAnsi="Times New Roman" w:cs="Times New Roman"/>
          <w:sz w:val="20"/>
          <w:szCs w:val="20"/>
          <w:lang w:val="fr-CA"/>
        </w:rPr>
      </w:pPr>
    </w:p>
    <w:p w14:paraId="089D6C31" w14:textId="46FAD340" w:rsidR="00BF6408" w:rsidRPr="00E23648" w:rsidRDefault="00BF6408" w:rsidP="00BF6408">
      <w:pPr>
        <w:widowControl w:val="0"/>
        <w:autoSpaceDE w:val="0"/>
        <w:autoSpaceDN w:val="0"/>
        <w:adjustRightInd w:val="0"/>
        <w:spacing w:after="300"/>
        <w:rPr>
          <w:rFonts w:ascii="Times New Roman" w:hAnsi="Times New Roman" w:cs="Verdana"/>
          <w:color w:val="3E3E3E"/>
        </w:rPr>
      </w:pPr>
      <w:r w:rsidRPr="00E23648">
        <w:rPr>
          <w:rFonts w:ascii="Times New Roman" w:hAnsi="Times New Roman" w:cs="Verdana"/>
          <w:b/>
          <w:color w:val="3E3E3E"/>
        </w:rPr>
        <w:t>§4. Les pouvoirs d’arrestation</w:t>
      </w:r>
      <w:r w:rsidR="00E23648">
        <w:rPr>
          <w:rFonts w:ascii="Times New Roman" w:hAnsi="Times New Roman" w:cs="Verdana"/>
          <w:b/>
          <w:color w:val="3E3E3E"/>
        </w:rPr>
        <w:t xml:space="preserve"> </w:t>
      </w:r>
      <w:r w:rsidR="00E23648">
        <w:rPr>
          <w:rFonts w:ascii="Times New Roman" w:hAnsi="Times New Roman" w:cs="Verdana"/>
          <w:color w:val="3E3E3E"/>
        </w:rPr>
        <w:t>(p. 39).</w:t>
      </w:r>
    </w:p>
    <w:p w14:paraId="1A4C572A" w14:textId="32A4A45F" w:rsidR="00BF6408" w:rsidRDefault="00E23648" w:rsidP="00E23648">
      <w:pPr>
        <w:jc w:val="both"/>
        <w:rPr>
          <w:rFonts w:ascii="Times New Roman" w:hAnsi="Times New Roman" w:cs="Times New Roman"/>
          <w:sz w:val="22"/>
          <w:szCs w:val="22"/>
        </w:rPr>
      </w:pPr>
      <w:r w:rsidRPr="00E23648">
        <w:rPr>
          <w:rFonts w:ascii="Times New Roman" w:hAnsi="Times New Roman" w:cs="Times New Roman"/>
          <w:sz w:val="22"/>
          <w:szCs w:val="22"/>
        </w:rPr>
        <w:t>L’arre</w:t>
      </w:r>
      <w:r>
        <w:rPr>
          <w:rFonts w:ascii="Times New Roman" w:hAnsi="Times New Roman" w:cs="Times New Roman"/>
          <w:sz w:val="22"/>
          <w:szCs w:val="22"/>
        </w:rPr>
        <w:t>station se distingue, premièrement, de par</w:t>
      </w:r>
      <w:r w:rsidRPr="00E23648">
        <w:rPr>
          <w:rFonts w:ascii="Times New Roman" w:hAnsi="Times New Roman" w:cs="Times New Roman"/>
          <w:sz w:val="22"/>
          <w:szCs w:val="22"/>
        </w:rPr>
        <w:t xml:space="preserve"> sa consistance : dans le cadre d’une arrestation, on saisie physiquement une personne ou du moins on la touche. Le fait que la police nous disent : vous êtes en état d’arrestation et que j’pars à courir, je ne suis pas en état d’arrestation.</w:t>
      </w:r>
      <w:r>
        <w:rPr>
          <w:rFonts w:ascii="Times New Roman" w:hAnsi="Times New Roman" w:cs="Times New Roman"/>
          <w:sz w:val="22"/>
          <w:szCs w:val="22"/>
        </w:rPr>
        <w:t xml:space="preserve"> </w:t>
      </w:r>
      <w:r w:rsidRPr="00E23648">
        <w:rPr>
          <w:rFonts w:ascii="Times New Roman" w:hAnsi="Times New Roman" w:cs="Times New Roman"/>
          <w:sz w:val="22"/>
          <w:szCs w:val="22"/>
        </w:rPr>
        <w:t>La police n’est pas obliger de nous dire qu’on est en état d’arrestation pour l’être réellement</w:t>
      </w:r>
      <w:r>
        <w:rPr>
          <w:rFonts w:ascii="Times New Roman" w:hAnsi="Times New Roman" w:cs="Times New Roman"/>
          <w:sz w:val="22"/>
          <w:szCs w:val="22"/>
        </w:rPr>
        <w:t>.</w:t>
      </w:r>
    </w:p>
    <w:p w14:paraId="7142A361" w14:textId="77777777" w:rsidR="00E23648" w:rsidRDefault="00E23648" w:rsidP="00E23648">
      <w:pPr>
        <w:jc w:val="both"/>
        <w:rPr>
          <w:rFonts w:ascii="Times New Roman" w:hAnsi="Times New Roman" w:cs="Times New Roman"/>
          <w:sz w:val="22"/>
          <w:szCs w:val="22"/>
        </w:rPr>
      </w:pPr>
    </w:p>
    <w:p w14:paraId="2482BC65" w14:textId="6E97D409" w:rsidR="00E23648" w:rsidRDefault="00E23648" w:rsidP="00E23648">
      <w:pPr>
        <w:jc w:val="both"/>
        <w:rPr>
          <w:rFonts w:ascii="Times New Roman" w:hAnsi="Times New Roman" w:cs="Times New Roman"/>
          <w:sz w:val="22"/>
          <w:szCs w:val="22"/>
          <w:u w:val="single"/>
        </w:rPr>
      </w:pPr>
      <w:r>
        <w:rPr>
          <w:rFonts w:ascii="Times New Roman" w:hAnsi="Times New Roman" w:cs="Times New Roman"/>
          <w:sz w:val="22"/>
          <w:szCs w:val="22"/>
          <w:u w:val="single"/>
        </w:rPr>
        <w:t>Définition de l’arrestation :</w:t>
      </w:r>
    </w:p>
    <w:p w14:paraId="51AE5DD9" w14:textId="77777777" w:rsidR="00E23648" w:rsidRDefault="00E23648" w:rsidP="00E23648">
      <w:pPr>
        <w:jc w:val="both"/>
        <w:rPr>
          <w:rFonts w:ascii="Times New Roman" w:hAnsi="Times New Roman" w:cs="Times New Roman"/>
          <w:sz w:val="22"/>
          <w:szCs w:val="22"/>
        </w:rPr>
      </w:pPr>
    </w:p>
    <w:p w14:paraId="29531BFC" w14:textId="6ED427FA" w:rsidR="00E23648" w:rsidRDefault="00E23648" w:rsidP="00E23648">
      <w:pPr>
        <w:jc w:val="both"/>
        <w:rPr>
          <w:rFonts w:ascii="Times New Roman" w:hAnsi="Times New Roman" w:cs="Times New Roman"/>
          <w:b/>
          <w:i/>
          <w:sz w:val="22"/>
          <w:szCs w:val="22"/>
        </w:rPr>
      </w:pPr>
      <w:r>
        <w:rPr>
          <w:rFonts w:ascii="Times New Roman" w:hAnsi="Times New Roman" w:cs="Times New Roman"/>
          <w:b/>
          <w:i/>
          <w:sz w:val="22"/>
          <w:szCs w:val="22"/>
        </w:rPr>
        <w:t>R. c. Asante-Mensah 2003 :</w:t>
      </w:r>
    </w:p>
    <w:p w14:paraId="5C0E8267" w14:textId="4978FFE5" w:rsidR="00E23648" w:rsidRPr="00E23648" w:rsidRDefault="00E23648" w:rsidP="00880034">
      <w:pPr>
        <w:pStyle w:val="Paragraphedeliste"/>
        <w:numPr>
          <w:ilvl w:val="0"/>
          <w:numId w:val="29"/>
        </w:numPr>
        <w:jc w:val="both"/>
        <w:rPr>
          <w:rFonts w:ascii="Times New Roman" w:hAnsi="Times New Roman" w:cs="Times New Roman"/>
          <w:b/>
          <w:i/>
          <w:sz w:val="22"/>
          <w:szCs w:val="22"/>
        </w:rPr>
      </w:pPr>
      <w:r w:rsidRPr="00E23648">
        <w:rPr>
          <w:rFonts w:ascii="Times New Roman" w:hAnsi="Times New Roman" w:cs="Times New Roman"/>
          <w:sz w:val="20"/>
          <w:szCs w:val="20"/>
        </w:rPr>
        <w:t>L’arrestation consiste à se saisir d’une personne physique ou à y toucher dans le but de la détenir.  Le seul fait de lui dire qu’on l’arrête ne constitue pas une arrestation à moins que celui qu’on veut arrêter se soumette et suive l’agent qui procède à l’arrestation [42].</w:t>
      </w:r>
    </w:p>
    <w:p w14:paraId="41FDD287" w14:textId="77777777" w:rsidR="00E23648" w:rsidRDefault="00E23648" w:rsidP="00E23648">
      <w:pPr>
        <w:jc w:val="both"/>
        <w:rPr>
          <w:rFonts w:ascii="Times New Roman" w:hAnsi="Times New Roman" w:cs="Times New Roman"/>
          <w:b/>
          <w:i/>
          <w:sz w:val="22"/>
          <w:szCs w:val="22"/>
        </w:rPr>
      </w:pPr>
    </w:p>
    <w:p w14:paraId="1807B04C" w14:textId="630DF353" w:rsidR="00E23648" w:rsidRDefault="00E23648" w:rsidP="00E23648">
      <w:pPr>
        <w:jc w:val="both"/>
        <w:rPr>
          <w:rFonts w:ascii="Times New Roman" w:hAnsi="Times New Roman" w:cs="Times New Roman"/>
          <w:b/>
          <w:i/>
          <w:sz w:val="22"/>
          <w:szCs w:val="22"/>
        </w:rPr>
      </w:pPr>
      <w:r>
        <w:rPr>
          <w:rFonts w:ascii="Times New Roman" w:hAnsi="Times New Roman" w:cs="Times New Roman"/>
          <w:b/>
          <w:i/>
          <w:sz w:val="22"/>
          <w:szCs w:val="22"/>
        </w:rPr>
        <w:t>R. c. Latimer 1997 :</w:t>
      </w:r>
    </w:p>
    <w:p w14:paraId="293C9B2F" w14:textId="026560D7" w:rsidR="00E23648" w:rsidRPr="000F38AE" w:rsidRDefault="000F38AE" w:rsidP="00880034">
      <w:pPr>
        <w:pStyle w:val="Paragraphedeliste"/>
        <w:numPr>
          <w:ilvl w:val="0"/>
          <w:numId w:val="29"/>
        </w:numPr>
        <w:jc w:val="both"/>
        <w:rPr>
          <w:rFonts w:ascii="Times New Roman" w:hAnsi="Times New Roman" w:cs="Times New Roman"/>
          <w:b/>
          <w:i/>
          <w:sz w:val="22"/>
          <w:szCs w:val="22"/>
        </w:rPr>
      </w:pPr>
      <w:r w:rsidRPr="007039B5">
        <w:rPr>
          <w:rFonts w:ascii="Times New Roman" w:hAnsi="Times New Roman" w:cs="Times New Roman"/>
          <w:sz w:val="20"/>
          <w:szCs w:val="20"/>
        </w:rPr>
        <w:t>L’alinéa 10</w:t>
      </w:r>
      <w:r w:rsidRPr="007039B5">
        <w:rPr>
          <w:rFonts w:ascii="Times New Roman" w:hAnsi="Times New Roman" w:cs="Times New Roman"/>
          <w:i/>
          <w:iCs/>
          <w:sz w:val="20"/>
          <w:szCs w:val="20"/>
        </w:rPr>
        <w:t>a</w:t>
      </w:r>
      <w:r w:rsidRPr="007039B5">
        <w:rPr>
          <w:rFonts w:ascii="Times New Roman" w:hAnsi="Times New Roman" w:cs="Times New Roman"/>
          <w:sz w:val="20"/>
          <w:szCs w:val="20"/>
        </w:rPr>
        <w:t xml:space="preserve">) de la </w:t>
      </w:r>
      <w:r w:rsidRPr="007039B5">
        <w:rPr>
          <w:rFonts w:ascii="Times New Roman" w:hAnsi="Times New Roman" w:cs="Times New Roman"/>
          <w:i/>
          <w:iCs/>
          <w:sz w:val="20"/>
          <w:szCs w:val="20"/>
        </w:rPr>
        <w:t>Charte</w:t>
      </w:r>
      <w:r w:rsidRPr="007039B5">
        <w:rPr>
          <w:rFonts w:ascii="Times New Roman" w:hAnsi="Times New Roman" w:cs="Times New Roman"/>
          <w:sz w:val="20"/>
          <w:szCs w:val="20"/>
        </w:rPr>
        <w:t xml:space="preserve"> garantit le droit d’être informé dans les plus brefs délais des motifs de l’arrestation ou de la détention.  Cette disposition vise à ce qu’une personne «comprenne d’une manière générale le risque» qu’elle court:  </w:t>
      </w:r>
      <w:r w:rsidRPr="007039B5">
        <w:rPr>
          <w:rFonts w:ascii="Times New Roman" w:hAnsi="Times New Roman" w:cs="Times New Roman"/>
          <w:i/>
          <w:iCs/>
          <w:sz w:val="20"/>
          <w:szCs w:val="20"/>
        </w:rPr>
        <w:t>R. c. Smith</w:t>
      </w:r>
      <w:r w:rsidRPr="007039B5">
        <w:rPr>
          <w:rFonts w:ascii="Times New Roman" w:hAnsi="Times New Roman" w:cs="Times New Roman"/>
          <w:sz w:val="20"/>
          <w:szCs w:val="20"/>
        </w:rPr>
        <w:t xml:space="preserve">,[1991] 1 R.C.S. 714, à la p. 728.  Deux raisons expliquent la présence de cette exigence dans la </w:t>
      </w:r>
      <w:r w:rsidRPr="007039B5">
        <w:rPr>
          <w:rFonts w:ascii="Times New Roman" w:hAnsi="Times New Roman" w:cs="Times New Roman"/>
          <w:i/>
          <w:iCs/>
          <w:sz w:val="20"/>
          <w:szCs w:val="20"/>
        </w:rPr>
        <w:t>Charte</w:t>
      </w:r>
      <w:r w:rsidRPr="007039B5">
        <w:rPr>
          <w:rFonts w:ascii="Times New Roman" w:hAnsi="Times New Roman" w:cs="Times New Roman"/>
          <w:sz w:val="20"/>
          <w:szCs w:val="20"/>
        </w:rPr>
        <w:t>:  premièrement, l’obligation de se soumettre à une arrestation sans en connaître les motifs empiéterait gravement sur la liberté individuelle et, deuxièmement, il serait difficile d’exercer valablement le droit à l’assistance d’un avocat garanti par l’al. 10</w:t>
      </w:r>
      <w:r w:rsidRPr="007039B5">
        <w:rPr>
          <w:rFonts w:ascii="Times New Roman" w:hAnsi="Times New Roman" w:cs="Times New Roman"/>
          <w:i/>
          <w:iCs/>
          <w:sz w:val="20"/>
          <w:szCs w:val="20"/>
        </w:rPr>
        <w:t>b</w:t>
      </w:r>
      <w:r w:rsidRPr="007039B5">
        <w:rPr>
          <w:rFonts w:ascii="Times New Roman" w:hAnsi="Times New Roman" w:cs="Times New Roman"/>
          <w:sz w:val="20"/>
          <w:szCs w:val="20"/>
        </w:rPr>
        <w:t xml:space="preserve">) si l’ampleur du risque couru n’était pas connue:  </w:t>
      </w:r>
      <w:r w:rsidRPr="007039B5">
        <w:rPr>
          <w:rFonts w:ascii="Times New Roman" w:hAnsi="Times New Roman" w:cs="Times New Roman"/>
          <w:i/>
          <w:iCs/>
          <w:sz w:val="20"/>
          <w:szCs w:val="20"/>
        </w:rPr>
        <w:t>R. c. Evans</w:t>
      </w:r>
      <w:r w:rsidRPr="007039B5">
        <w:rPr>
          <w:rFonts w:ascii="Times New Roman" w:hAnsi="Times New Roman" w:cs="Times New Roman"/>
          <w:sz w:val="20"/>
          <w:szCs w:val="20"/>
        </w:rPr>
        <w:t>,[1991] 1 R.C.S. 869, aux pp. 886 et 88</w:t>
      </w:r>
      <w:r>
        <w:rPr>
          <w:rFonts w:ascii="Times New Roman" w:hAnsi="Times New Roman" w:cs="Times New Roman"/>
          <w:sz w:val="20"/>
          <w:szCs w:val="20"/>
        </w:rPr>
        <w:t>.</w:t>
      </w:r>
    </w:p>
    <w:p w14:paraId="75EF8F9D" w14:textId="77777777" w:rsidR="000F38AE" w:rsidRDefault="000F38AE" w:rsidP="000F38AE">
      <w:pPr>
        <w:jc w:val="both"/>
        <w:rPr>
          <w:rFonts w:ascii="Times New Roman" w:hAnsi="Times New Roman" w:cs="Times New Roman"/>
          <w:b/>
          <w:i/>
          <w:sz w:val="22"/>
          <w:szCs w:val="22"/>
        </w:rPr>
      </w:pPr>
    </w:p>
    <w:p w14:paraId="226FFC41" w14:textId="26E61482"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L’usage de la force lors d’une arrestation (p.41)</w:t>
      </w:r>
    </w:p>
    <w:p w14:paraId="02E85A8A" w14:textId="77777777" w:rsidR="000F38AE" w:rsidRDefault="000F38AE" w:rsidP="000F38AE">
      <w:pPr>
        <w:jc w:val="both"/>
        <w:rPr>
          <w:rFonts w:ascii="Times New Roman" w:hAnsi="Times New Roman" w:cs="Times New Roman"/>
          <w:sz w:val="22"/>
          <w:szCs w:val="22"/>
          <w:u w:val="single"/>
        </w:rPr>
      </w:pPr>
    </w:p>
    <w:p w14:paraId="63AD97CB" w14:textId="2026BA5C"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Art. 25(4) C.cr.</w:t>
      </w:r>
    </w:p>
    <w:p w14:paraId="15A52C0D" w14:textId="77777777" w:rsidR="000F38AE" w:rsidRDefault="000F38AE" w:rsidP="000F38AE">
      <w:pPr>
        <w:jc w:val="both"/>
        <w:rPr>
          <w:rFonts w:ascii="Times New Roman" w:hAnsi="Times New Roman" w:cs="Times New Roman"/>
          <w:sz w:val="22"/>
          <w:szCs w:val="22"/>
        </w:rPr>
      </w:pPr>
    </w:p>
    <w:p w14:paraId="638929EB" w14:textId="7CF83F07"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L’usage de menottes :</w:t>
      </w:r>
    </w:p>
    <w:p w14:paraId="7CDAAFB6" w14:textId="77777777" w:rsidR="000F38AE" w:rsidRDefault="000F38AE" w:rsidP="000F38AE">
      <w:pPr>
        <w:jc w:val="both"/>
        <w:rPr>
          <w:rFonts w:ascii="Times New Roman" w:hAnsi="Times New Roman" w:cs="Times New Roman"/>
          <w:sz w:val="22"/>
          <w:szCs w:val="22"/>
          <w:u w:val="single"/>
        </w:rPr>
      </w:pPr>
    </w:p>
    <w:p w14:paraId="00720031" w14:textId="6C656012"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C’est une pratique de common law</w:t>
      </w:r>
    </w:p>
    <w:p w14:paraId="7A92CA3C" w14:textId="77777777" w:rsidR="000F38AE" w:rsidRDefault="000F38AE" w:rsidP="000F38AE">
      <w:pPr>
        <w:jc w:val="both"/>
        <w:rPr>
          <w:rFonts w:ascii="Times New Roman" w:hAnsi="Times New Roman" w:cs="Times New Roman"/>
          <w:sz w:val="22"/>
          <w:szCs w:val="22"/>
        </w:rPr>
      </w:pPr>
    </w:p>
    <w:p w14:paraId="0823918C" w14:textId="69DD368D"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La fouille consécutive suite à l’arrestation :</w:t>
      </w:r>
    </w:p>
    <w:p w14:paraId="3568681D" w14:textId="77777777" w:rsidR="000F38AE" w:rsidRDefault="000F38AE" w:rsidP="000F38AE">
      <w:pPr>
        <w:jc w:val="both"/>
        <w:rPr>
          <w:rFonts w:ascii="Times New Roman" w:hAnsi="Times New Roman" w:cs="Times New Roman"/>
          <w:sz w:val="22"/>
          <w:szCs w:val="22"/>
          <w:u w:val="single"/>
        </w:rPr>
      </w:pPr>
    </w:p>
    <w:p w14:paraId="1A56FD3D" w14:textId="005B75CF"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C’est possible : de la palpation préventive jusqu’à la fouille complète (sera vu plus loin dans le cours)</w:t>
      </w:r>
    </w:p>
    <w:p w14:paraId="4FC32C1D" w14:textId="77777777" w:rsidR="000F38AE" w:rsidRDefault="000F38AE" w:rsidP="000F38AE">
      <w:pPr>
        <w:jc w:val="both"/>
        <w:rPr>
          <w:rFonts w:ascii="Times New Roman" w:hAnsi="Times New Roman" w:cs="Times New Roman"/>
          <w:sz w:val="22"/>
          <w:szCs w:val="22"/>
        </w:rPr>
      </w:pPr>
    </w:p>
    <w:p w14:paraId="0D802AEF" w14:textId="3CD6B673"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Les empreintes et photo :</w:t>
      </w:r>
    </w:p>
    <w:p w14:paraId="6682A679" w14:textId="77777777" w:rsidR="000F38AE" w:rsidRDefault="000F38AE" w:rsidP="000F38AE">
      <w:pPr>
        <w:jc w:val="both"/>
        <w:rPr>
          <w:rFonts w:ascii="Times New Roman" w:hAnsi="Times New Roman" w:cs="Times New Roman"/>
          <w:sz w:val="22"/>
          <w:szCs w:val="22"/>
          <w:u w:val="single"/>
        </w:rPr>
      </w:pPr>
    </w:p>
    <w:p w14:paraId="3D395556" w14:textId="23D894F5"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Loi sur l’identification des criminels</w:t>
      </w:r>
    </w:p>
    <w:p w14:paraId="46D7354C" w14:textId="5AD0EA8D" w:rsidR="000F38AE" w:rsidRDefault="000F38AE" w:rsidP="00880034">
      <w:pPr>
        <w:pStyle w:val="Paragraphedeliste"/>
        <w:numPr>
          <w:ilvl w:val="0"/>
          <w:numId w:val="29"/>
        </w:numPr>
        <w:jc w:val="both"/>
        <w:rPr>
          <w:rFonts w:ascii="Times New Roman" w:hAnsi="Times New Roman" w:cs="Times New Roman"/>
          <w:sz w:val="22"/>
          <w:szCs w:val="22"/>
        </w:rPr>
      </w:pPr>
      <w:r>
        <w:rPr>
          <w:rFonts w:ascii="Times New Roman" w:hAnsi="Times New Roman" w:cs="Times New Roman"/>
          <w:sz w:val="22"/>
          <w:szCs w:val="22"/>
        </w:rPr>
        <w:t xml:space="preserve">L’arrêt </w:t>
      </w:r>
      <w:r>
        <w:rPr>
          <w:rFonts w:ascii="Times New Roman" w:hAnsi="Times New Roman" w:cs="Times New Roman"/>
          <w:b/>
          <w:sz w:val="22"/>
          <w:szCs w:val="22"/>
        </w:rPr>
        <w:t xml:space="preserve">Beare et Higgins </w:t>
      </w:r>
      <w:r>
        <w:rPr>
          <w:rFonts w:ascii="Times New Roman" w:hAnsi="Times New Roman" w:cs="Times New Roman"/>
          <w:sz w:val="22"/>
          <w:szCs w:val="22"/>
        </w:rPr>
        <w:t xml:space="preserve"> en confirme la constitutionnalité (p. 42).</w:t>
      </w:r>
    </w:p>
    <w:p w14:paraId="3171CDA3" w14:textId="77777777" w:rsidR="000F38AE" w:rsidRDefault="000F38AE" w:rsidP="000F38AE">
      <w:pPr>
        <w:jc w:val="both"/>
        <w:rPr>
          <w:rFonts w:ascii="Times New Roman" w:hAnsi="Times New Roman" w:cs="Times New Roman"/>
          <w:sz w:val="22"/>
          <w:szCs w:val="22"/>
        </w:rPr>
      </w:pPr>
    </w:p>
    <w:p w14:paraId="75420533" w14:textId="42B8DB18"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Les différences entre l’arrestation et la détention aux fins d’enquête :</w:t>
      </w:r>
    </w:p>
    <w:p w14:paraId="48B9F100" w14:textId="77777777" w:rsidR="000F38AE" w:rsidRDefault="000F38AE" w:rsidP="000F38AE">
      <w:pPr>
        <w:jc w:val="both"/>
        <w:rPr>
          <w:rFonts w:ascii="Times New Roman" w:hAnsi="Times New Roman" w:cs="Times New Roman"/>
          <w:sz w:val="22"/>
          <w:szCs w:val="22"/>
        </w:rPr>
      </w:pPr>
    </w:p>
    <w:p w14:paraId="205F5934" w14:textId="69A27D26"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La jurisprudence n’a pas vraiment abordée cette question.</w:t>
      </w:r>
    </w:p>
    <w:p w14:paraId="289EA812" w14:textId="77777777" w:rsidR="000F38AE" w:rsidRDefault="000F38AE" w:rsidP="000F38AE">
      <w:pPr>
        <w:jc w:val="both"/>
        <w:rPr>
          <w:rFonts w:ascii="Times New Roman" w:hAnsi="Times New Roman" w:cs="Times New Roman"/>
          <w:sz w:val="22"/>
          <w:szCs w:val="22"/>
        </w:rPr>
      </w:pPr>
    </w:p>
    <w:p w14:paraId="19A80701" w14:textId="6C86A5D6" w:rsidR="000F38AE" w:rsidRDefault="000F38AE"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De l’arrestation par un citoyen :</w:t>
      </w:r>
    </w:p>
    <w:p w14:paraId="0494E234" w14:textId="77777777" w:rsidR="000F38AE" w:rsidRDefault="000F38AE" w:rsidP="000F38AE">
      <w:pPr>
        <w:jc w:val="both"/>
        <w:rPr>
          <w:rFonts w:ascii="Times New Roman" w:hAnsi="Times New Roman" w:cs="Times New Roman"/>
          <w:sz w:val="22"/>
          <w:szCs w:val="22"/>
          <w:u w:val="single"/>
        </w:rPr>
      </w:pPr>
    </w:p>
    <w:p w14:paraId="5EB6A840" w14:textId="72A6DFAA" w:rsidR="000F38AE" w:rsidRDefault="000F38AE" w:rsidP="000F38AE">
      <w:pPr>
        <w:jc w:val="both"/>
        <w:rPr>
          <w:rFonts w:ascii="Times New Roman" w:hAnsi="Times New Roman" w:cs="Times New Roman"/>
          <w:sz w:val="22"/>
          <w:szCs w:val="22"/>
        </w:rPr>
      </w:pPr>
      <w:r>
        <w:rPr>
          <w:rFonts w:ascii="Times New Roman" w:hAnsi="Times New Roman" w:cs="Times New Roman"/>
          <w:sz w:val="22"/>
          <w:szCs w:val="22"/>
        </w:rPr>
        <w:t>Possible par l’art. 494 C.cr.</w:t>
      </w:r>
    </w:p>
    <w:p w14:paraId="400D0CBD" w14:textId="77777777" w:rsidR="00DF4578" w:rsidRPr="00DF4578" w:rsidRDefault="00DF4578" w:rsidP="00880034">
      <w:pPr>
        <w:pStyle w:val="Paragraphedeliste"/>
        <w:numPr>
          <w:ilvl w:val="0"/>
          <w:numId w:val="29"/>
        </w:numPr>
        <w:jc w:val="both"/>
        <w:rPr>
          <w:rFonts w:ascii="Times New Roman" w:hAnsi="Times New Roman" w:cs="Times New Roman"/>
          <w:sz w:val="20"/>
          <w:szCs w:val="20"/>
        </w:rPr>
      </w:pPr>
      <w:r w:rsidRPr="00DF4578">
        <w:rPr>
          <w:rFonts w:ascii="Times New Roman" w:hAnsi="Times New Roman" w:cs="Times New Roman"/>
          <w:sz w:val="20"/>
          <w:szCs w:val="20"/>
        </w:rPr>
        <w:t xml:space="preserve">Il est important que cela soit un acte criminel et </w:t>
      </w:r>
      <w:r w:rsidRPr="00DF4578">
        <w:rPr>
          <w:rFonts w:ascii="Times New Roman" w:hAnsi="Times New Roman" w:cs="Times New Roman"/>
          <w:b/>
          <w:sz w:val="20"/>
          <w:szCs w:val="20"/>
        </w:rPr>
        <w:t>donc non une infraction sommaire ou de responsabilité strict</w:t>
      </w:r>
      <w:r w:rsidRPr="00DF4578">
        <w:rPr>
          <w:rFonts w:ascii="Times New Roman" w:hAnsi="Times New Roman" w:cs="Times New Roman"/>
          <w:sz w:val="20"/>
          <w:szCs w:val="20"/>
        </w:rPr>
        <w:t>.</w:t>
      </w:r>
    </w:p>
    <w:p w14:paraId="50E67FC4" w14:textId="75782B04" w:rsidR="00DF4578" w:rsidRPr="00DF4578" w:rsidRDefault="00DF4578" w:rsidP="00880034">
      <w:pPr>
        <w:pStyle w:val="Paragraphedeliste"/>
        <w:numPr>
          <w:ilvl w:val="0"/>
          <w:numId w:val="29"/>
        </w:numPr>
        <w:jc w:val="both"/>
        <w:rPr>
          <w:rFonts w:ascii="Times New Roman" w:hAnsi="Times New Roman" w:cs="Times New Roman"/>
          <w:sz w:val="20"/>
          <w:szCs w:val="20"/>
        </w:rPr>
      </w:pPr>
      <w:r w:rsidRPr="00DF4578">
        <w:rPr>
          <w:rFonts w:ascii="Times New Roman" w:hAnsi="Times New Roman" w:cs="Times New Roman"/>
          <w:sz w:val="20"/>
          <w:szCs w:val="20"/>
        </w:rPr>
        <w:t>Elle doit de plus, être de surcroit commise sous les yeux du citoyens.</w:t>
      </w:r>
    </w:p>
    <w:p w14:paraId="6F5CEBDA" w14:textId="77777777" w:rsidR="000F38AE" w:rsidRDefault="000F38AE" w:rsidP="000F38AE">
      <w:pPr>
        <w:jc w:val="both"/>
        <w:rPr>
          <w:rFonts w:ascii="Times New Roman" w:hAnsi="Times New Roman" w:cs="Times New Roman"/>
          <w:sz w:val="22"/>
          <w:szCs w:val="22"/>
        </w:rPr>
      </w:pPr>
    </w:p>
    <w:p w14:paraId="1E171FC8" w14:textId="797DC0AE" w:rsidR="00DF4578" w:rsidRDefault="00DF4578" w:rsidP="000F38AE">
      <w:pPr>
        <w:jc w:val="both"/>
        <w:rPr>
          <w:rFonts w:ascii="Times New Roman" w:hAnsi="Times New Roman" w:cs="Times New Roman"/>
          <w:sz w:val="22"/>
          <w:szCs w:val="22"/>
          <w:u w:val="single"/>
        </w:rPr>
      </w:pPr>
      <w:r>
        <w:rPr>
          <w:rFonts w:ascii="Times New Roman" w:hAnsi="Times New Roman" w:cs="Times New Roman"/>
          <w:sz w:val="22"/>
          <w:szCs w:val="22"/>
          <w:u w:val="single"/>
        </w:rPr>
        <w:t>De l’arrestation pour acte criminel fondée sur des motifs raisonnable (p. 43).</w:t>
      </w:r>
    </w:p>
    <w:p w14:paraId="6F35AEBF" w14:textId="77777777" w:rsidR="00DF4578" w:rsidRDefault="00DF4578" w:rsidP="000F38AE">
      <w:pPr>
        <w:jc w:val="both"/>
        <w:rPr>
          <w:rFonts w:ascii="Times New Roman" w:hAnsi="Times New Roman" w:cs="Times New Roman"/>
          <w:sz w:val="22"/>
          <w:szCs w:val="22"/>
          <w:u w:val="single"/>
        </w:rPr>
      </w:pPr>
    </w:p>
    <w:p w14:paraId="6855D79B" w14:textId="0BCCD6DA" w:rsidR="00DF4578" w:rsidRDefault="00DF4578" w:rsidP="000F38AE">
      <w:pPr>
        <w:jc w:val="both"/>
        <w:rPr>
          <w:rFonts w:ascii="Times New Roman" w:hAnsi="Times New Roman" w:cs="Times New Roman"/>
          <w:sz w:val="22"/>
          <w:szCs w:val="22"/>
        </w:rPr>
      </w:pPr>
      <w:r>
        <w:rPr>
          <w:rFonts w:ascii="Times New Roman" w:hAnsi="Times New Roman" w:cs="Times New Roman"/>
          <w:sz w:val="22"/>
          <w:szCs w:val="22"/>
        </w:rPr>
        <w:t>Art. 495(1) a) C.cr.</w:t>
      </w:r>
    </w:p>
    <w:p w14:paraId="403D5403" w14:textId="631B2710" w:rsidR="00DF4578" w:rsidRDefault="00DF4578" w:rsidP="00880034">
      <w:pPr>
        <w:pStyle w:val="Paragraphedeliste"/>
        <w:numPr>
          <w:ilvl w:val="0"/>
          <w:numId w:val="30"/>
        </w:numPr>
        <w:jc w:val="both"/>
        <w:rPr>
          <w:rFonts w:ascii="Times New Roman" w:hAnsi="Times New Roman" w:cs="Times New Roman"/>
          <w:sz w:val="22"/>
          <w:szCs w:val="22"/>
        </w:rPr>
      </w:pPr>
      <w:r>
        <w:rPr>
          <w:rFonts w:ascii="Times New Roman" w:hAnsi="Times New Roman" w:cs="Times New Roman"/>
          <w:sz w:val="22"/>
          <w:szCs w:val="22"/>
        </w:rPr>
        <w:t>Cela se fait sans mandat.</w:t>
      </w:r>
    </w:p>
    <w:p w14:paraId="6BCAEE0C" w14:textId="3F54A9DD" w:rsidR="00DF4578" w:rsidRPr="00DF4578" w:rsidRDefault="00DF4578" w:rsidP="00DF4578">
      <w:pPr>
        <w:jc w:val="both"/>
        <w:rPr>
          <w:rFonts w:ascii="Times New Roman" w:hAnsi="Times New Roman" w:cs="Times New Roman"/>
          <w:sz w:val="22"/>
          <w:szCs w:val="22"/>
        </w:rPr>
      </w:pPr>
      <w:r>
        <w:rPr>
          <w:rFonts w:ascii="Times New Roman" w:hAnsi="Times New Roman" w:cs="Times New Roman"/>
          <w:sz w:val="22"/>
          <w:szCs w:val="22"/>
        </w:rPr>
        <w:t xml:space="preserve">À l’art. 495C.cr., </w:t>
      </w:r>
      <w:r w:rsidRPr="00DF4578">
        <w:rPr>
          <w:rFonts w:ascii="Times New Roman" w:hAnsi="Times New Roman" w:cs="Times New Roman"/>
          <w:sz w:val="20"/>
          <w:szCs w:val="20"/>
        </w:rPr>
        <w:t>il faut faire attention de ne pas se faire piégé au barreau avec ça : 494 et 495 ; l’un exige uniquement l’acte criminel ; l’autre permet aussi les actes par procédure sommaires</w:t>
      </w:r>
      <w:r>
        <w:rPr>
          <w:rFonts w:ascii="Times New Roman" w:hAnsi="Times New Roman" w:cs="Times New Roman"/>
          <w:sz w:val="20"/>
          <w:szCs w:val="20"/>
        </w:rPr>
        <w:t>.</w:t>
      </w:r>
    </w:p>
    <w:p w14:paraId="4D077073" w14:textId="77777777" w:rsidR="000F38AE" w:rsidRPr="000F38AE" w:rsidRDefault="000F38AE" w:rsidP="000F38AE">
      <w:pPr>
        <w:jc w:val="both"/>
        <w:rPr>
          <w:rFonts w:ascii="Times New Roman" w:hAnsi="Times New Roman" w:cs="Times New Roman"/>
          <w:sz w:val="22"/>
          <w:szCs w:val="22"/>
        </w:rPr>
      </w:pPr>
    </w:p>
    <w:p w14:paraId="7DB8A50B" w14:textId="04F057A3" w:rsid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R. c. Feeney</w:t>
      </w:r>
      <w:r w:rsidRPr="00BF6408">
        <w:rPr>
          <w:rFonts w:ascii="Times New Roman" w:hAnsi="Times New Roman" w:cs="Verdana"/>
          <w:b/>
          <w:color w:val="3E3E3E"/>
          <w:sz w:val="22"/>
          <w:szCs w:val="22"/>
        </w:rPr>
        <w:t>, [1997] 2 RCS 13</w:t>
      </w:r>
      <w:r w:rsidR="00DF4578">
        <w:rPr>
          <w:rFonts w:ascii="Times New Roman" w:hAnsi="Times New Roman" w:cs="Verdana"/>
          <w:b/>
          <w:color w:val="3E3E3E"/>
          <w:sz w:val="22"/>
          <w:szCs w:val="22"/>
        </w:rPr>
        <w:t xml:space="preserve"> (mandat feeney) (p.44). :</w:t>
      </w:r>
    </w:p>
    <w:p w14:paraId="248C4580" w14:textId="77777777" w:rsidR="00DF4578" w:rsidRPr="00DF4578" w:rsidRDefault="00DF4578" w:rsidP="00880034">
      <w:pPr>
        <w:pStyle w:val="Paragraphedeliste"/>
        <w:numPr>
          <w:ilvl w:val="0"/>
          <w:numId w:val="30"/>
        </w:numPr>
        <w:jc w:val="both"/>
        <w:rPr>
          <w:rFonts w:ascii="Times New Roman" w:hAnsi="Times New Roman" w:cs="Times New Roman"/>
          <w:sz w:val="20"/>
          <w:szCs w:val="20"/>
          <w:lang w:val="fr-CA"/>
        </w:rPr>
      </w:pPr>
      <w:r w:rsidRPr="00DF4578">
        <w:rPr>
          <w:rFonts w:ascii="Times New Roman" w:hAnsi="Times New Roman" w:cs="Times New Roman"/>
          <w:sz w:val="20"/>
          <w:szCs w:val="20"/>
          <w:lang w:val="fr-CA"/>
        </w:rPr>
        <w:t xml:space="preserve">Il ressort clairement du par. 450(1) [par. 495(1)] que la police devait avoir des motifs raisonnables et probables de croire que l’appelant avait commis l’infraction de voies de fait graves, sans quoi elle ne pouvait l’arrêter.  En l’absence de cette importante mesure protectrice, même la société la plus démocratique ne pourrait que trop facilement devenir la proie des abus et des excès d’un État policier.  Afin de sauvegarder la liberté des citoyens, le </w:t>
      </w:r>
      <w:bookmarkStart w:id="0" w:name="reflex-statute-27824708"/>
      <w:r w:rsidRPr="00DF4578">
        <w:rPr>
          <w:rFonts w:ascii="Times New Roman" w:hAnsi="Times New Roman" w:cs="Times New Roman"/>
          <w:i/>
          <w:iCs/>
          <w:sz w:val="20"/>
          <w:szCs w:val="20"/>
          <w:lang w:val="fr-CA"/>
        </w:rPr>
        <w:fldChar w:fldCharType="begin"/>
      </w:r>
      <w:r w:rsidRPr="00DF4578">
        <w:rPr>
          <w:rFonts w:ascii="Times New Roman" w:hAnsi="Times New Roman" w:cs="Times New Roman"/>
          <w:i/>
          <w:iCs/>
          <w:sz w:val="20"/>
          <w:szCs w:val="20"/>
          <w:lang w:val="fr-CA"/>
        </w:rPr>
        <w:instrText xml:space="preserve"> HYPERLINK "http://www.canlii.org/fr/ca/legis/lois/lrc-1985-c-c-46/derniere/lrc-1985-c-c-46.html" </w:instrText>
      </w:r>
      <w:r w:rsidRPr="00DF4578">
        <w:rPr>
          <w:rFonts w:ascii="Times New Roman" w:hAnsi="Times New Roman" w:cs="Times New Roman"/>
          <w:i/>
          <w:iCs/>
          <w:sz w:val="20"/>
          <w:szCs w:val="20"/>
          <w:lang w:val="fr-CA"/>
        </w:rPr>
        <w:fldChar w:fldCharType="separate"/>
      </w:r>
      <w:r w:rsidRPr="00DF4578">
        <w:rPr>
          <w:rStyle w:val="Lienhypertexte"/>
          <w:rFonts w:ascii="Times New Roman" w:hAnsi="Times New Roman" w:cs="Times New Roman"/>
          <w:i/>
          <w:iCs/>
          <w:sz w:val="20"/>
          <w:szCs w:val="20"/>
          <w:lang w:val="fr-CA"/>
        </w:rPr>
        <w:t>Code criminel</w:t>
      </w:r>
      <w:r w:rsidRPr="00DF4578">
        <w:rPr>
          <w:rFonts w:ascii="Times New Roman" w:hAnsi="Times New Roman" w:cs="Times New Roman"/>
          <w:sz w:val="20"/>
          <w:szCs w:val="20"/>
        </w:rPr>
        <w:fldChar w:fldCharType="end"/>
      </w:r>
      <w:bookmarkEnd w:id="0"/>
      <w:r w:rsidRPr="00DF4578">
        <w:rPr>
          <w:rFonts w:ascii="Times New Roman" w:hAnsi="Times New Roman" w:cs="Times New Roman"/>
          <w:sz w:val="20"/>
          <w:szCs w:val="20"/>
          <w:lang w:val="fr-CA"/>
        </w:rPr>
        <w:t xml:space="preserve"> exige que la police, lorsqu’elle tente d’obtenir un mandat d’arrestation, démontre à un officier de justice qu’elle a des motifs raisonnables et probables de croire que la personne à arrêter a perpétré l’infraction.  </w:t>
      </w:r>
      <w:r w:rsidRPr="00DF4578">
        <w:rPr>
          <w:rFonts w:ascii="Times New Roman" w:hAnsi="Times New Roman" w:cs="Times New Roman"/>
          <w:sz w:val="20"/>
          <w:szCs w:val="20"/>
          <w:u w:val="single"/>
          <w:lang w:val="fr-CA"/>
        </w:rPr>
        <w:t>Dans le cas d’une arrestation sans mandat, il importe encore davantage que la police établisse l’existence de ces mêmes motifs raisonnables et probables justifiant l’arrestation</w:t>
      </w:r>
      <w:r w:rsidRPr="00DF4578">
        <w:rPr>
          <w:rFonts w:ascii="Times New Roman" w:hAnsi="Times New Roman" w:cs="Times New Roman"/>
          <w:sz w:val="20"/>
          <w:szCs w:val="20"/>
          <w:lang w:val="fr-CA"/>
        </w:rPr>
        <w:t>.  [Je souligne.]</w:t>
      </w:r>
    </w:p>
    <w:p w14:paraId="135ECAFB" w14:textId="77777777" w:rsidR="00DF4578" w:rsidRDefault="00DF4578" w:rsidP="00DF4578">
      <w:pPr>
        <w:widowControl w:val="0"/>
        <w:autoSpaceDE w:val="0"/>
        <w:autoSpaceDN w:val="0"/>
        <w:adjustRightInd w:val="0"/>
        <w:spacing w:after="300"/>
        <w:jc w:val="both"/>
        <w:rPr>
          <w:rFonts w:ascii="Times New Roman" w:hAnsi="Times New Roman" w:cs="Verdana"/>
          <w:b/>
          <w:color w:val="3E3E3E"/>
          <w:sz w:val="22"/>
          <w:szCs w:val="22"/>
        </w:rPr>
      </w:pPr>
    </w:p>
    <w:p w14:paraId="158414D8" w14:textId="3F1F81D3" w:rsidR="00DF4578" w:rsidRDefault="00DF4578" w:rsidP="00DF4578">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De l’arrestation pour infraction sommaire</w:t>
      </w:r>
    </w:p>
    <w:p w14:paraId="17FF7B07" w14:textId="36C46407" w:rsidR="00DF4578" w:rsidRDefault="00DF4578" w:rsidP="00DF4578">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 495(1) b) C.cr.</w:t>
      </w:r>
    </w:p>
    <w:p w14:paraId="1977F198" w14:textId="3A0A68B5" w:rsidR="00DF4578" w:rsidRDefault="00DF4578" w:rsidP="00DF4578">
      <w:pPr>
        <w:widowControl w:val="0"/>
        <w:autoSpaceDE w:val="0"/>
        <w:autoSpaceDN w:val="0"/>
        <w:adjustRightInd w:val="0"/>
        <w:spacing w:after="300"/>
        <w:jc w:val="both"/>
        <w:rPr>
          <w:rFonts w:ascii="Times New Roman" w:hAnsi="Times New Roman" w:cs="Verdana"/>
          <w:color w:val="3E3E3E"/>
          <w:sz w:val="22"/>
          <w:szCs w:val="22"/>
          <w:u w:val="single"/>
        </w:rPr>
      </w:pPr>
      <w:r>
        <w:rPr>
          <w:rFonts w:ascii="Times New Roman" w:hAnsi="Times New Roman" w:cs="Verdana"/>
          <w:color w:val="3E3E3E"/>
          <w:sz w:val="22"/>
          <w:szCs w:val="22"/>
          <w:u w:val="single"/>
        </w:rPr>
        <w:t>De l’arrestation en vertu d’un mandat exécutoire</w:t>
      </w:r>
    </w:p>
    <w:p w14:paraId="0439D76F" w14:textId="5C3E8B95" w:rsidR="00DF4578" w:rsidRDefault="00DF4578" w:rsidP="00DF4578">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Une fois le mandat émis, tout policier peut procéder à l’arrestation : 494(1) c) C.cr.</w:t>
      </w:r>
    </w:p>
    <w:p w14:paraId="667DBD9A" w14:textId="7B67774F" w:rsidR="00DF4578" w:rsidRPr="00DF4578" w:rsidRDefault="00DF4578" w:rsidP="00880034">
      <w:pPr>
        <w:pStyle w:val="Paragraphedeliste"/>
        <w:widowControl w:val="0"/>
        <w:numPr>
          <w:ilvl w:val="0"/>
          <w:numId w:val="30"/>
        </w:numPr>
        <w:autoSpaceDE w:val="0"/>
        <w:autoSpaceDN w:val="0"/>
        <w:adjustRightInd w:val="0"/>
        <w:spacing w:after="300"/>
        <w:jc w:val="both"/>
        <w:rPr>
          <w:rFonts w:ascii="Times New Roman" w:hAnsi="Times New Roman" w:cs="Times New Roman"/>
          <w:color w:val="3E3E3E"/>
          <w:sz w:val="20"/>
          <w:szCs w:val="20"/>
        </w:rPr>
      </w:pPr>
      <w:r w:rsidRPr="00DF4578">
        <w:rPr>
          <w:rFonts w:ascii="Times New Roman" w:hAnsi="Times New Roman" w:cs="Times New Roman"/>
          <w:sz w:val="20"/>
          <w:szCs w:val="20"/>
        </w:rPr>
        <w:t>Si le policier sait qu’il y a un mandat, il peut arrêter même s’il ne la pas, mais c’est plus toutché avec la Charte ; il doit préciser qu’il arrête l’inculpé et de dire qu’il y a un mandat contre lui et, selon le prof, c’est pas encore tranché, mais il devrait dire les motifs du mandat.</w:t>
      </w:r>
    </w:p>
    <w:p w14:paraId="4B5910DA" w14:textId="4D4A9F94" w:rsidR="00DF4578" w:rsidRDefault="00DF4578" w:rsidP="00DF4578">
      <w:pPr>
        <w:widowControl w:val="0"/>
        <w:autoSpaceDE w:val="0"/>
        <w:autoSpaceDN w:val="0"/>
        <w:adjustRightInd w:val="0"/>
        <w:spacing w:after="300"/>
        <w:jc w:val="both"/>
        <w:rPr>
          <w:rFonts w:ascii="Times New Roman" w:hAnsi="Times New Roman" w:cs="Times New Roman"/>
          <w:color w:val="3E3E3E"/>
          <w:sz w:val="22"/>
          <w:szCs w:val="22"/>
          <w:u w:val="single"/>
        </w:rPr>
      </w:pPr>
      <w:r w:rsidRPr="00DF4578">
        <w:rPr>
          <w:rFonts w:ascii="Times New Roman" w:hAnsi="Times New Roman" w:cs="Times New Roman"/>
          <w:color w:val="3E3E3E"/>
          <w:sz w:val="22"/>
          <w:szCs w:val="22"/>
          <w:u w:val="single"/>
        </w:rPr>
        <w:t>De l’arrestation pour violation de la paix (p. 45) :</w:t>
      </w:r>
    </w:p>
    <w:p w14:paraId="42D8C1B0" w14:textId="4D89D695" w:rsidR="00DF4578" w:rsidRDefault="00DF4578" w:rsidP="00DF457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 31(1) C.cr.</w:t>
      </w:r>
    </w:p>
    <w:p w14:paraId="72C05229" w14:textId="77777777" w:rsidR="002F2E14" w:rsidRDefault="00DF4578" w:rsidP="00880034">
      <w:pPr>
        <w:pStyle w:val="Paragraphedeliste"/>
        <w:widowControl w:val="0"/>
        <w:numPr>
          <w:ilvl w:val="0"/>
          <w:numId w:val="30"/>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violation de la paix suppose des actes de violence, de révolte, etc.</w:t>
      </w:r>
    </w:p>
    <w:p w14:paraId="746B1FA2" w14:textId="7ED11A27" w:rsidR="002F2E14" w:rsidRPr="002F2E14" w:rsidRDefault="002F2E14" w:rsidP="00880034">
      <w:pPr>
        <w:pStyle w:val="Paragraphedeliste"/>
        <w:widowControl w:val="0"/>
        <w:numPr>
          <w:ilvl w:val="0"/>
          <w:numId w:val="30"/>
        </w:numPr>
        <w:autoSpaceDE w:val="0"/>
        <w:autoSpaceDN w:val="0"/>
        <w:adjustRightInd w:val="0"/>
        <w:spacing w:after="300"/>
        <w:jc w:val="both"/>
        <w:rPr>
          <w:rFonts w:ascii="Times New Roman" w:hAnsi="Times New Roman" w:cs="Times New Roman"/>
          <w:color w:val="3E3E3E"/>
          <w:sz w:val="20"/>
          <w:szCs w:val="20"/>
        </w:rPr>
      </w:pPr>
      <w:r w:rsidRPr="002F2E14">
        <w:rPr>
          <w:rFonts w:ascii="Times New Roman" w:hAnsi="Times New Roman" w:cs="Times New Roman"/>
          <w:sz w:val="20"/>
          <w:szCs w:val="20"/>
        </w:rPr>
        <w:t>Selon le prof</w:t>
      </w:r>
      <w:r>
        <w:rPr>
          <w:rFonts w:ascii="Times New Roman" w:hAnsi="Times New Roman" w:cs="Times New Roman"/>
          <w:sz w:val="20"/>
          <w:szCs w:val="20"/>
        </w:rPr>
        <w:t>esseur stylios</w:t>
      </w:r>
      <w:r w:rsidRPr="002F2E14">
        <w:rPr>
          <w:rFonts w:ascii="Times New Roman" w:hAnsi="Times New Roman" w:cs="Times New Roman"/>
          <w:sz w:val="20"/>
          <w:szCs w:val="20"/>
        </w:rPr>
        <w:t>, c’est une infraction de common law codifier, et il n’existe aucune autre disposition de ce genre, de «violation de la paix». Ça viole potentiellement la charte à l’art. 9. Le terme est trop vague. Et la jurisprudence hésite beaucoup sur cette disposition. C’est très rare qu’on invoque cet article, car c’est potentiellement inconstitutionnel</w:t>
      </w:r>
      <w:r>
        <w:rPr>
          <w:rFonts w:ascii="Times New Roman" w:hAnsi="Times New Roman" w:cs="Times New Roman"/>
          <w:sz w:val="20"/>
          <w:szCs w:val="20"/>
        </w:rPr>
        <w:t>.</w:t>
      </w:r>
    </w:p>
    <w:p w14:paraId="36E53A1D" w14:textId="323D3A25" w:rsidR="002F2E14" w:rsidRPr="002F2E14" w:rsidRDefault="002F2E14" w:rsidP="002F2E14">
      <w:pPr>
        <w:widowControl w:val="0"/>
        <w:autoSpaceDE w:val="0"/>
        <w:autoSpaceDN w:val="0"/>
        <w:adjustRightInd w:val="0"/>
        <w:spacing w:after="300"/>
        <w:jc w:val="both"/>
        <w:rPr>
          <w:rFonts w:ascii="Times New Roman" w:hAnsi="Times New Roman" w:cs="Times New Roman"/>
          <w:color w:val="3E3E3E"/>
          <w:sz w:val="22"/>
          <w:szCs w:val="22"/>
          <w:u w:val="single"/>
        </w:rPr>
      </w:pPr>
      <w:r w:rsidRPr="002F2E14">
        <w:rPr>
          <w:rFonts w:ascii="Times New Roman" w:hAnsi="Times New Roman" w:cs="Times New Roman"/>
          <w:color w:val="3E3E3E"/>
          <w:sz w:val="22"/>
          <w:szCs w:val="22"/>
          <w:u w:val="single"/>
        </w:rPr>
        <w:t>L’entrée dans une maison d’habitation pour arrestation : le mandat de feeney (p.45) :</w:t>
      </w:r>
    </w:p>
    <w:p w14:paraId="71EC5FD3" w14:textId="0FC40875" w:rsidR="002F2E14" w:rsidRDefault="002F2E14" w:rsidP="002F2E14">
      <w:pPr>
        <w:widowControl w:val="0"/>
        <w:autoSpaceDE w:val="0"/>
        <w:autoSpaceDN w:val="0"/>
        <w:adjustRightInd w:val="0"/>
        <w:spacing w:after="300"/>
        <w:jc w:val="both"/>
        <w:rPr>
          <w:rFonts w:ascii="Times New Roman" w:hAnsi="Times New Roman" w:cs="Times New Roman"/>
          <w:b/>
          <w:i/>
          <w:sz w:val="22"/>
          <w:szCs w:val="22"/>
        </w:rPr>
      </w:pPr>
      <w:r w:rsidRPr="002F2E14">
        <w:rPr>
          <w:rFonts w:ascii="Times New Roman" w:hAnsi="Times New Roman" w:cs="Times New Roman"/>
          <w:i/>
          <w:sz w:val="22"/>
          <w:szCs w:val="22"/>
        </w:rPr>
        <w:t>En common law, ça prend des motifs raisonnable de croire que la personne se trouve dans la maison d’habitation, (2) il faut que la police s’annonce avant d’entrée (principe courtoisie élémentaire), (3) l’officier un coup rentré, croit qu’il a des motifs raisonnable de procédé à l’arrestation (on est dans sa croyance subjective) et (4) objectivement parlant il existe bien des motifs raisonnable et probable de procédé à l’arrestation de l’individu. C’est la règle de common law (arrestation sans mandat dans la maison ; sa prenait les critère pl</w:t>
      </w:r>
      <w:r>
        <w:rPr>
          <w:rFonts w:ascii="Times New Roman" w:hAnsi="Times New Roman" w:cs="Times New Roman"/>
          <w:i/>
          <w:sz w:val="22"/>
          <w:szCs w:val="22"/>
        </w:rPr>
        <w:t xml:space="preserve">us haut), mais cela à quelque peu changé avec </w:t>
      </w:r>
      <w:r>
        <w:rPr>
          <w:rFonts w:ascii="Times New Roman" w:hAnsi="Times New Roman" w:cs="Times New Roman"/>
          <w:b/>
          <w:i/>
          <w:sz w:val="22"/>
          <w:szCs w:val="22"/>
        </w:rPr>
        <w:t>l’arrêt Feeney</w:t>
      </w:r>
    </w:p>
    <w:p w14:paraId="74738BB8" w14:textId="07DB822A" w:rsidR="002F2E14" w:rsidRDefault="002F2E14" w:rsidP="002F2E14">
      <w:pPr>
        <w:widowControl w:val="0"/>
        <w:autoSpaceDE w:val="0"/>
        <w:autoSpaceDN w:val="0"/>
        <w:adjustRightInd w:val="0"/>
        <w:spacing w:after="300"/>
        <w:jc w:val="both"/>
        <w:rPr>
          <w:rFonts w:ascii="Times New Roman" w:hAnsi="Times New Roman" w:cs="Times New Roman"/>
          <w:b/>
          <w:i/>
          <w:sz w:val="22"/>
          <w:szCs w:val="22"/>
        </w:rPr>
      </w:pPr>
      <w:r>
        <w:rPr>
          <w:rFonts w:ascii="Times New Roman" w:hAnsi="Times New Roman" w:cs="Times New Roman"/>
          <w:b/>
          <w:i/>
          <w:sz w:val="22"/>
          <w:szCs w:val="22"/>
        </w:rPr>
        <w:t>R. c. Feeney [1997]</w:t>
      </w:r>
    </w:p>
    <w:p w14:paraId="6E8538A8" w14:textId="02BE8E12" w:rsidR="002F2E14" w:rsidRDefault="002F2E14" w:rsidP="00880034">
      <w:pPr>
        <w:pStyle w:val="Paragraphedeliste"/>
        <w:widowControl w:val="0"/>
        <w:numPr>
          <w:ilvl w:val="0"/>
          <w:numId w:val="3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principe est codifié à l’art. 529 C.cr.</w:t>
      </w:r>
    </w:p>
    <w:p w14:paraId="21E0B4A2" w14:textId="23BBDC81" w:rsidR="002F2E14" w:rsidRDefault="002F2E14" w:rsidP="002F2E1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télémandat</w:t>
      </w:r>
    </w:p>
    <w:p w14:paraId="1C7731BD" w14:textId="726383E4" w:rsidR="002F2E14" w:rsidRDefault="002F2E14" w:rsidP="00880034">
      <w:pPr>
        <w:pStyle w:val="Paragraphedeliste"/>
        <w:numPr>
          <w:ilvl w:val="0"/>
          <w:numId w:val="31"/>
        </w:numPr>
        <w:jc w:val="both"/>
        <w:rPr>
          <w:rFonts w:ascii="Times New Roman" w:hAnsi="Times New Roman" w:cs="Times New Roman"/>
          <w:sz w:val="20"/>
          <w:szCs w:val="20"/>
        </w:rPr>
      </w:pPr>
      <w:r w:rsidRPr="002F2E14">
        <w:rPr>
          <w:rFonts w:ascii="Times New Roman" w:hAnsi="Times New Roman" w:cs="Times New Roman"/>
          <w:color w:val="3E3E3E"/>
          <w:sz w:val="22"/>
          <w:szCs w:val="22"/>
        </w:rPr>
        <w:t xml:space="preserve">Art. 529.5 C.cr. : </w:t>
      </w:r>
      <w:r w:rsidRPr="002F2E14">
        <w:rPr>
          <w:rFonts w:ascii="Times New Roman" w:hAnsi="Times New Roman" w:cs="Times New Roman"/>
          <w:sz w:val="20"/>
          <w:szCs w:val="20"/>
        </w:rPr>
        <w:t>Applicable même si le suspect est dans la résidence d’un tiers, il faut un mandat l’arrêt à décidé que pour faire ça, ça prenait un mandat (contredit la règle de common law</w:t>
      </w:r>
      <w:r>
        <w:rPr>
          <w:rFonts w:ascii="Times New Roman" w:hAnsi="Times New Roman" w:cs="Times New Roman"/>
          <w:sz w:val="20"/>
          <w:szCs w:val="20"/>
        </w:rPr>
        <w:t xml:space="preserve"> </w:t>
      </w:r>
      <w:r w:rsidRPr="002F2E14">
        <w:rPr>
          <w:rFonts w:ascii="Times New Roman" w:hAnsi="Times New Roman" w:cs="Times New Roman"/>
          <w:sz w:val="20"/>
          <w:szCs w:val="20"/>
        </w:rPr>
        <w:t>Sauf si le propriétaire accepte de faire entrer la police. Si le propriétaire n’est pas le suspect et qu’il refuse que les polices entre, puisqu’il n’on pas de mandat, il devront aller chercher un mandat.</w:t>
      </w:r>
    </w:p>
    <w:p w14:paraId="6EC7C46D" w14:textId="77777777" w:rsidR="002F2E14" w:rsidRDefault="002F2E14" w:rsidP="002F2E14">
      <w:pPr>
        <w:jc w:val="both"/>
        <w:rPr>
          <w:rFonts w:ascii="Times New Roman" w:hAnsi="Times New Roman" w:cs="Times New Roman"/>
          <w:sz w:val="20"/>
          <w:szCs w:val="20"/>
        </w:rPr>
      </w:pPr>
    </w:p>
    <w:p w14:paraId="011E4D69" w14:textId="72F8FD81" w:rsidR="002F2E14" w:rsidRPr="009E0557" w:rsidRDefault="002F2E14" w:rsidP="002F2E14">
      <w:pPr>
        <w:jc w:val="both"/>
        <w:rPr>
          <w:rFonts w:ascii="Times New Roman" w:hAnsi="Times New Roman" w:cs="Times New Roman"/>
          <w:sz w:val="22"/>
          <w:szCs w:val="22"/>
          <w:u w:val="single"/>
        </w:rPr>
      </w:pPr>
      <w:r w:rsidRPr="009E0557">
        <w:rPr>
          <w:rFonts w:ascii="Times New Roman" w:hAnsi="Times New Roman" w:cs="Times New Roman"/>
          <w:sz w:val="22"/>
          <w:szCs w:val="22"/>
          <w:u w:val="single"/>
        </w:rPr>
        <w:t>Les pouvoirs de pénétrer sans mandat (p.47)</w:t>
      </w:r>
      <w:r w:rsidR="009E0557" w:rsidRPr="009E0557">
        <w:rPr>
          <w:rFonts w:ascii="Times New Roman" w:hAnsi="Times New Roman" w:cs="Times New Roman"/>
          <w:sz w:val="22"/>
          <w:szCs w:val="22"/>
          <w:u w:val="single"/>
        </w:rPr>
        <w:t> :</w:t>
      </w:r>
    </w:p>
    <w:p w14:paraId="55222F87" w14:textId="77777777" w:rsidR="009E0557" w:rsidRDefault="009E0557" w:rsidP="002F2E14">
      <w:pPr>
        <w:jc w:val="both"/>
        <w:rPr>
          <w:rFonts w:ascii="Times New Roman" w:hAnsi="Times New Roman" w:cs="Times New Roman"/>
          <w:sz w:val="20"/>
          <w:szCs w:val="20"/>
          <w:u w:val="single"/>
        </w:rPr>
      </w:pPr>
    </w:p>
    <w:p w14:paraId="1B863D04" w14:textId="07DF764F" w:rsidR="009E0557" w:rsidRPr="009E0557" w:rsidRDefault="009E0557" w:rsidP="002F2E14">
      <w:pPr>
        <w:jc w:val="both"/>
        <w:rPr>
          <w:rFonts w:ascii="Times New Roman" w:hAnsi="Times New Roman" w:cs="Times New Roman"/>
          <w:sz w:val="22"/>
          <w:szCs w:val="22"/>
        </w:rPr>
      </w:pPr>
      <w:r w:rsidRPr="009E0557">
        <w:rPr>
          <w:rFonts w:ascii="Times New Roman" w:hAnsi="Times New Roman" w:cs="Times New Roman"/>
          <w:sz w:val="22"/>
          <w:szCs w:val="22"/>
        </w:rPr>
        <w:t>Art. 529.3 C.cr.</w:t>
      </w:r>
    </w:p>
    <w:p w14:paraId="7D540A42" w14:textId="77777777" w:rsidR="009E0557" w:rsidRPr="009E0557" w:rsidRDefault="009E0557" w:rsidP="002F2E14">
      <w:pPr>
        <w:jc w:val="both"/>
        <w:rPr>
          <w:rFonts w:ascii="Times New Roman" w:hAnsi="Times New Roman" w:cs="Times New Roman"/>
          <w:sz w:val="22"/>
          <w:szCs w:val="22"/>
        </w:rPr>
      </w:pPr>
    </w:p>
    <w:p w14:paraId="1C1A8CDA" w14:textId="00F7AC8D" w:rsidR="009E0557" w:rsidRDefault="009E0557" w:rsidP="002F2E14">
      <w:pPr>
        <w:jc w:val="both"/>
        <w:rPr>
          <w:rFonts w:ascii="Times New Roman" w:hAnsi="Times New Roman" w:cs="Times New Roman"/>
          <w:sz w:val="22"/>
          <w:szCs w:val="22"/>
        </w:rPr>
      </w:pPr>
      <w:r w:rsidRPr="009E0557">
        <w:rPr>
          <w:rFonts w:ascii="Times New Roman" w:hAnsi="Times New Roman" w:cs="Times New Roman"/>
          <w:sz w:val="22"/>
          <w:szCs w:val="22"/>
        </w:rPr>
        <w:t>Le cas de la prise en chasse</w:t>
      </w:r>
      <w:r>
        <w:rPr>
          <w:rFonts w:ascii="Times New Roman" w:hAnsi="Times New Roman" w:cs="Times New Roman"/>
          <w:sz w:val="22"/>
          <w:szCs w:val="22"/>
        </w:rPr>
        <w:t> :</w:t>
      </w:r>
    </w:p>
    <w:p w14:paraId="38A33C18" w14:textId="1F8C5BF3" w:rsidR="009E0557" w:rsidRDefault="009E0557" w:rsidP="002F2E14">
      <w:pPr>
        <w:jc w:val="both"/>
        <w:rPr>
          <w:rFonts w:ascii="Times New Roman" w:hAnsi="Times New Roman" w:cs="Times New Roman"/>
          <w:b/>
          <w:i/>
          <w:sz w:val="22"/>
          <w:szCs w:val="22"/>
        </w:rPr>
      </w:pPr>
      <w:r>
        <w:rPr>
          <w:rFonts w:ascii="Times New Roman" w:hAnsi="Times New Roman" w:cs="Times New Roman"/>
          <w:b/>
          <w:i/>
          <w:sz w:val="22"/>
          <w:szCs w:val="22"/>
        </w:rPr>
        <w:t>R. c. Macooh [1993] :</w:t>
      </w:r>
    </w:p>
    <w:p w14:paraId="0B2DAA78" w14:textId="77777777" w:rsidR="00267FC0" w:rsidRDefault="00267FC0" w:rsidP="00880034">
      <w:pPr>
        <w:pStyle w:val="Paragraphedeliste"/>
        <w:numPr>
          <w:ilvl w:val="0"/>
          <w:numId w:val="31"/>
        </w:numPr>
        <w:jc w:val="both"/>
        <w:rPr>
          <w:rFonts w:ascii="Times New Roman" w:hAnsi="Times New Roman" w:cs="Times New Roman"/>
          <w:b/>
          <w:sz w:val="20"/>
          <w:szCs w:val="20"/>
        </w:rPr>
      </w:pPr>
      <w:r w:rsidRPr="00267FC0">
        <w:rPr>
          <w:rFonts w:ascii="Times New Roman" w:hAnsi="Times New Roman" w:cs="Times New Roman"/>
          <w:b/>
          <w:sz w:val="20"/>
          <w:szCs w:val="20"/>
        </w:rPr>
        <w:t>Généralement, l'essence de la prise en chasse est qu'elle doit être continue et effectuée avec diligence raisonnable, de façon à ce que la poursuite et la capture, avec la perpétration de l'infraction, puissent être considérées comme faisant partie d'une seule opération.</w:t>
      </w:r>
    </w:p>
    <w:p w14:paraId="60B75A62" w14:textId="77777777" w:rsidR="00267FC0" w:rsidRDefault="00267FC0" w:rsidP="00267FC0">
      <w:pPr>
        <w:jc w:val="both"/>
        <w:rPr>
          <w:rFonts w:ascii="Times New Roman" w:hAnsi="Times New Roman" w:cs="Times New Roman"/>
          <w:sz w:val="20"/>
          <w:szCs w:val="20"/>
        </w:rPr>
      </w:pPr>
    </w:p>
    <w:p w14:paraId="43205E04" w14:textId="181F7493" w:rsidR="00267FC0" w:rsidRPr="00267FC0" w:rsidRDefault="00267FC0" w:rsidP="00267FC0">
      <w:pPr>
        <w:jc w:val="both"/>
        <w:rPr>
          <w:rFonts w:ascii="Times New Roman" w:hAnsi="Times New Roman" w:cs="Times New Roman"/>
          <w:sz w:val="22"/>
          <w:szCs w:val="22"/>
        </w:rPr>
      </w:pPr>
      <w:r w:rsidRPr="00267FC0">
        <w:rPr>
          <w:rFonts w:ascii="Times New Roman" w:hAnsi="Times New Roman" w:cs="Times New Roman"/>
          <w:b/>
          <w:sz w:val="22"/>
          <w:szCs w:val="22"/>
        </w:rPr>
        <w:t>La courtoisie élémentaire</w:t>
      </w:r>
      <w:r>
        <w:rPr>
          <w:rFonts w:ascii="Times New Roman" w:hAnsi="Times New Roman" w:cs="Times New Roman"/>
          <w:sz w:val="22"/>
          <w:szCs w:val="22"/>
        </w:rPr>
        <w:t xml:space="preserve"> s’impose lorsque la police à un mandat pour entrée dans une maison. Signaler la présence policière et attendre de se faire répondre avant d’entrée. Des situations feront en sorte que la force pourra être utilisée.</w:t>
      </w:r>
    </w:p>
    <w:p w14:paraId="66B04B8C" w14:textId="77777777" w:rsidR="009E0557" w:rsidRDefault="009E0557" w:rsidP="00267FC0">
      <w:pPr>
        <w:jc w:val="both"/>
        <w:rPr>
          <w:rFonts w:ascii="Times New Roman" w:hAnsi="Times New Roman" w:cs="Times New Roman"/>
          <w:b/>
          <w:i/>
          <w:sz w:val="22"/>
          <w:szCs w:val="22"/>
        </w:rPr>
      </w:pPr>
    </w:p>
    <w:p w14:paraId="43082774" w14:textId="5F5E0027" w:rsidR="00267FC0" w:rsidRDefault="00267FC0" w:rsidP="00267FC0">
      <w:pPr>
        <w:jc w:val="both"/>
        <w:rPr>
          <w:rFonts w:ascii="Times New Roman" w:hAnsi="Times New Roman" w:cs="Times New Roman"/>
          <w:b/>
          <w:sz w:val="22"/>
          <w:szCs w:val="22"/>
        </w:rPr>
      </w:pPr>
      <w:r>
        <w:rPr>
          <w:rFonts w:ascii="Times New Roman" w:hAnsi="Times New Roman" w:cs="Times New Roman"/>
          <w:b/>
          <w:sz w:val="22"/>
          <w:szCs w:val="22"/>
        </w:rPr>
        <w:t>L’exception aux règles de courtoisie élémentaire (p.47) :</w:t>
      </w:r>
    </w:p>
    <w:p w14:paraId="3438B754" w14:textId="602A8409" w:rsidR="00267FC0" w:rsidRDefault="00267FC0" w:rsidP="00267FC0">
      <w:pPr>
        <w:jc w:val="both"/>
        <w:rPr>
          <w:rFonts w:ascii="Times New Roman" w:hAnsi="Times New Roman" w:cs="Times New Roman"/>
          <w:b/>
          <w:i/>
          <w:sz w:val="22"/>
          <w:szCs w:val="22"/>
        </w:rPr>
      </w:pPr>
      <w:r>
        <w:rPr>
          <w:rFonts w:ascii="Times New Roman" w:hAnsi="Times New Roman" w:cs="Times New Roman"/>
          <w:b/>
          <w:i/>
          <w:sz w:val="22"/>
          <w:szCs w:val="22"/>
        </w:rPr>
        <w:t>R. c. Cornell 2010 :</w:t>
      </w:r>
    </w:p>
    <w:p w14:paraId="5A182B87" w14:textId="09C1440F" w:rsidR="00267FC0" w:rsidRPr="00267FC0" w:rsidRDefault="00267FC0" w:rsidP="00880034">
      <w:pPr>
        <w:pStyle w:val="Paragraphedeliste"/>
        <w:numPr>
          <w:ilvl w:val="0"/>
          <w:numId w:val="31"/>
        </w:numPr>
        <w:jc w:val="both"/>
        <w:rPr>
          <w:rFonts w:ascii="Times New Roman" w:hAnsi="Times New Roman" w:cs="Times New Roman"/>
          <w:sz w:val="22"/>
          <w:szCs w:val="22"/>
        </w:rPr>
      </w:pPr>
      <w:r w:rsidRPr="00267FC0">
        <w:rPr>
          <w:rFonts w:ascii="Times New Roman" w:hAnsi="Times New Roman" w:cs="Times New Roman"/>
          <w:sz w:val="20"/>
          <w:szCs w:val="20"/>
        </w:rPr>
        <w:t>Sauf en cas d’urgence, les policiers doivent s’annoncer avant d’entrer de force dans une maison d’habitation.  Normalement, ils doivent : (1) donner avis de leur présence en frappant ou en sonnant à la porte; (2) donner avis de leur autorité, en s’identifiant comme policiers chargés d’appliquer la loi; (3) donner avis du but de leur visite, en énonçant un motif légitime d’entrer. Même si le principe voulant que les policiers frappent à la porte et annonce leur présence n’est pas absolu, s’ils décident d’y déroger, les policiers doivent expliquer pourquoi ils jugent nécessaire de le faire.</w:t>
      </w:r>
    </w:p>
    <w:p w14:paraId="6D1E2116" w14:textId="77777777" w:rsidR="00267FC0" w:rsidRDefault="00267FC0" w:rsidP="00267FC0">
      <w:pPr>
        <w:jc w:val="both"/>
        <w:rPr>
          <w:rFonts w:ascii="Times New Roman" w:hAnsi="Times New Roman" w:cs="Times New Roman"/>
          <w:sz w:val="22"/>
          <w:szCs w:val="22"/>
        </w:rPr>
      </w:pPr>
    </w:p>
    <w:p w14:paraId="2AAC3F41" w14:textId="75AC31C8" w:rsidR="00267FC0" w:rsidRDefault="00267FC0" w:rsidP="00267FC0">
      <w:pPr>
        <w:jc w:val="both"/>
        <w:rPr>
          <w:rFonts w:ascii="Times New Roman" w:hAnsi="Times New Roman" w:cs="Times New Roman"/>
          <w:b/>
          <w:sz w:val="22"/>
          <w:szCs w:val="22"/>
        </w:rPr>
      </w:pPr>
      <w:r>
        <w:rPr>
          <w:rFonts w:ascii="Times New Roman" w:hAnsi="Times New Roman" w:cs="Times New Roman"/>
          <w:b/>
          <w:sz w:val="22"/>
          <w:szCs w:val="22"/>
        </w:rPr>
        <w:t>Les modalités du mandat Feeney (p.48) :</w:t>
      </w:r>
    </w:p>
    <w:p w14:paraId="02AE0DB5" w14:textId="11F65F5C" w:rsidR="00267FC0" w:rsidRPr="00267FC0" w:rsidRDefault="00267FC0" w:rsidP="00880034">
      <w:pPr>
        <w:pStyle w:val="Paragraphedeliste"/>
        <w:numPr>
          <w:ilvl w:val="0"/>
          <w:numId w:val="31"/>
        </w:numPr>
        <w:jc w:val="both"/>
        <w:rPr>
          <w:rFonts w:ascii="Times New Roman" w:hAnsi="Times New Roman" w:cs="Times New Roman"/>
          <w:sz w:val="20"/>
          <w:szCs w:val="20"/>
        </w:rPr>
      </w:pPr>
      <w:r w:rsidRPr="00267FC0">
        <w:rPr>
          <w:rFonts w:ascii="Times New Roman" w:hAnsi="Times New Roman" w:cs="Times New Roman"/>
          <w:sz w:val="20"/>
          <w:szCs w:val="20"/>
        </w:rPr>
        <w:t>Obligation de divulguer le mandat. On doit donné avis de présence en frappant la porte et en s’identifiant (policier).</w:t>
      </w:r>
    </w:p>
    <w:p w14:paraId="6A508123" w14:textId="77777777" w:rsidR="00267FC0" w:rsidRPr="00267FC0" w:rsidRDefault="00267FC0" w:rsidP="00267FC0">
      <w:pPr>
        <w:jc w:val="both"/>
        <w:rPr>
          <w:rFonts w:ascii="Times New Roman" w:hAnsi="Times New Roman" w:cs="Times New Roman"/>
          <w:sz w:val="20"/>
          <w:szCs w:val="20"/>
        </w:rPr>
      </w:pPr>
    </w:p>
    <w:p w14:paraId="2D771840" w14:textId="77777777" w:rsidR="00267FC0" w:rsidRPr="00267FC0" w:rsidRDefault="00267FC0" w:rsidP="00880034">
      <w:pPr>
        <w:pStyle w:val="Paragraphedeliste"/>
        <w:numPr>
          <w:ilvl w:val="0"/>
          <w:numId w:val="31"/>
        </w:numPr>
        <w:jc w:val="both"/>
        <w:rPr>
          <w:rFonts w:ascii="Times New Roman" w:hAnsi="Times New Roman" w:cs="Times New Roman"/>
          <w:b/>
          <w:sz w:val="20"/>
          <w:szCs w:val="20"/>
        </w:rPr>
      </w:pPr>
      <w:r w:rsidRPr="00267FC0">
        <w:rPr>
          <w:rFonts w:ascii="Times New Roman" w:hAnsi="Times New Roman" w:cs="Times New Roman"/>
          <w:sz w:val="20"/>
          <w:szCs w:val="20"/>
        </w:rPr>
        <w:t xml:space="preserve">Si la personne refuse de laisser entré la police, là eu y peuvent pénétré dans le milieu. C’est pas à cause qu’il y a des règles de courtoisie qu’on peut y refusé. Cependant, y’a des cas ou la situation ne se prête pas à la courtoisie (notamment en situation d’urgence) et là la police n’est pas tenu aux règles de courtoisie. </w:t>
      </w:r>
      <w:r w:rsidRPr="00267FC0">
        <w:rPr>
          <w:rFonts w:ascii="Times New Roman" w:hAnsi="Times New Roman" w:cs="Times New Roman"/>
          <w:b/>
          <w:sz w:val="20"/>
          <w:szCs w:val="20"/>
        </w:rPr>
        <w:t>Mais la police devra expliquer pourquoi.</w:t>
      </w:r>
    </w:p>
    <w:p w14:paraId="4CEA1562" w14:textId="77777777" w:rsidR="00267FC0" w:rsidRPr="00267FC0" w:rsidRDefault="00267FC0" w:rsidP="00267FC0">
      <w:pPr>
        <w:jc w:val="both"/>
        <w:rPr>
          <w:rFonts w:ascii="Times New Roman" w:hAnsi="Times New Roman" w:cs="Times New Roman"/>
          <w:sz w:val="20"/>
          <w:szCs w:val="20"/>
        </w:rPr>
      </w:pPr>
    </w:p>
    <w:p w14:paraId="4B432B0A" w14:textId="77777777" w:rsidR="00267FC0" w:rsidRPr="00267FC0" w:rsidRDefault="00267FC0" w:rsidP="00880034">
      <w:pPr>
        <w:pStyle w:val="Paragraphedeliste"/>
        <w:numPr>
          <w:ilvl w:val="0"/>
          <w:numId w:val="31"/>
        </w:numPr>
        <w:jc w:val="both"/>
        <w:rPr>
          <w:rFonts w:ascii="Times New Roman" w:hAnsi="Times New Roman" w:cs="Times New Roman"/>
          <w:sz w:val="20"/>
          <w:szCs w:val="20"/>
        </w:rPr>
      </w:pPr>
      <w:r w:rsidRPr="00267FC0">
        <w:rPr>
          <w:rFonts w:ascii="Times New Roman" w:hAnsi="Times New Roman" w:cs="Times New Roman"/>
          <w:sz w:val="20"/>
          <w:szCs w:val="20"/>
        </w:rPr>
        <w:t>Le juge dicte les modalités du mandat pour que cela soit raisonnable dans les circonstances. Il peut dire : éviter d’arrêter quand les enfants sont là, c’est les types de modalités que le juge peut donné et les polices doivent respecter ça, s’il ne le fait pas il doivent se justifier. Mais les juge font preuve de déférence, car y’a quand même un soucis de conservation de la preuve.</w:t>
      </w:r>
    </w:p>
    <w:p w14:paraId="69FEB320" w14:textId="7D11D997" w:rsidR="00267FC0" w:rsidRDefault="00B44495" w:rsidP="00880034">
      <w:pPr>
        <w:pStyle w:val="Paragraphedeliste"/>
        <w:numPr>
          <w:ilvl w:val="0"/>
          <w:numId w:val="31"/>
        </w:numPr>
        <w:jc w:val="both"/>
        <w:rPr>
          <w:rFonts w:ascii="Times New Roman" w:hAnsi="Times New Roman" w:cs="Times New Roman"/>
          <w:b/>
          <w:sz w:val="22"/>
          <w:szCs w:val="22"/>
        </w:rPr>
      </w:pPr>
      <w:r>
        <w:rPr>
          <w:rFonts w:ascii="Times New Roman" w:hAnsi="Times New Roman" w:cs="Times New Roman"/>
          <w:b/>
          <w:sz w:val="22"/>
          <w:szCs w:val="22"/>
        </w:rPr>
        <w:t>Art. 529.2 C.cr.</w:t>
      </w:r>
    </w:p>
    <w:p w14:paraId="30D56BA5" w14:textId="77777777" w:rsidR="00B44495" w:rsidRDefault="00B44495" w:rsidP="00B44495">
      <w:pPr>
        <w:jc w:val="both"/>
        <w:rPr>
          <w:rFonts w:ascii="Times New Roman" w:hAnsi="Times New Roman" w:cs="Times New Roman"/>
          <w:b/>
          <w:sz w:val="22"/>
          <w:szCs w:val="22"/>
        </w:rPr>
      </w:pPr>
    </w:p>
    <w:p w14:paraId="561E6A51" w14:textId="64A24C5A" w:rsidR="00B44495" w:rsidRDefault="00B44495" w:rsidP="00B44495">
      <w:pPr>
        <w:jc w:val="both"/>
        <w:rPr>
          <w:rFonts w:ascii="Times New Roman" w:hAnsi="Times New Roman" w:cs="Times New Roman"/>
          <w:sz w:val="22"/>
          <w:szCs w:val="22"/>
          <w:u w:val="single"/>
        </w:rPr>
      </w:pPr>
      <w:r>
        <w:rPr>
          <w:rFonts w:ascii="Times New Roman" w:hAnsi="Times New Roman" w:cs="Times New Roman"/>
          <w:sz w:val="22"/>
          <w:szCs w:val="22"/>
          <w:u w:val="single"/>
        </w:rPr>
        <w:t>Règles particulières : l’obligation de ne pas procéder à une arrestation sans mandat ou de relâcher un suspect après l’arrestation (p.49).</w:t>
      </w:r>
    </w:p>
    <w:p w14:paraId="29C423E8" w14:textId="02FAB394" w:rsidR="00B44495" w:rsidRPr="00B44495" w:rsidRDefault="00B44495" w:rsidP="00880034">
      <w:pPr>
        <w:pStyle w:val="Paragraphedeliste"/>
        <w:numPr>
          <w:ilvl w:val="0"/>
          <w:numId w:val="32"/>
        </w:numPr>
        <w:jc w:val="both"/>
        <w:rPr>
          <w:rFonts w:ascii="Times New Roman" w:hAnsi="Times New Roman" w:cs="Times New Roman"/>
          <w:sz w:val="22"/>
          <w:szCs w:val="22"/>
          <w:u w:val="single"/>
        </w:rPr>
      </w:pPr>
      <w:r w:rsidRPr="00B44495">
        <w:rPr>
          <w:rFonts w:ascii="Times New Roman" w:hAnsi="Times New Roman" w:cs="Times New Roman"/>
          <w:sz w:val="20"/>
          <w:szCs w:val="20"/>
        </w:rPr>
        <w:t>Art. 495(2) C.cr</w:t>
      </w:r>
      <w:r>
        <w:rPr>
          <w:rFonts w:ascii="Times New Roman" w:hAnsi="Times New Roman" w:cs="Times New Roman"/>
          <w:sz w:val="22"/>
          <w:szCs w:val="22"/>
        </w:rPr>
        <w:t>.</w:t>
      </w:r>
    </w:p>
    <w:p w14:paraId="66C7E77D" w14:textId="0B72FEC4" w:rsidR="00B44495" w:rsidRDefault="00B44495" w:rsidP="00B44495">
      <w:pPr>
        <w:jc w:val="both"/>
        <w:rPr>
          <w:rFonts w:ascii="Times New Roman" w:hAnsi="Times New Roman" w:cs="Times New Roman"/>
          <w:sz w:val="22"/>
          <w:szCs w:val="22"/>
        </w:rPr>
      </w:pPr>
      <w:r>
        <w:rPr>
          <w:rFonts w:ascii="Times New Roman" w:hAnsi="Times New Roman" w:cs="Times New Roman"/>
          <w:sz w:val="22"/>
          <w:szCs w:val="22"/>
        </w:rPr>
        <w:t>L’obligation de remettre en liberté</w:t>
      </w:r>
    </w:p>
    <w:p w14:paraId="2044D383" w14:textId="4402F3D6" w:rsidR="00B44495" w:rsidRPr="00B44495" w:rsidRDefault="00B44495" w:rsidP="00880034">
      <w:pPr>
        <w:pStyle w:val="Paragraphedeliste"/>
        <w:numPr>
          <w:ilvl w:val="0"/>
          <w:numId w:val="32"/>
        </w:numPr>
        <w:jc w:val="both"/>
        <w:rPr>
          <w:rFonts w:ascii="Times New Roman" w:hAnsi="Times New Roman" w:cs="Times New Roman"/>
          <w:sz w:val="22"/>
          <w:szCs w:val="22"/>
        </w:rPr>
      </w:pPr>
      <w:r>
        <w:rPr>
          <w:rFonts w:ascii="Times New Roman" w:hAnsi="Times New Roman" w:cs="Times New Roman"/>
          <w:sz w:val="20"/>
          <w:szCs w:val="20"/>
        </w:rPr>
        <w:t>Art. 497(1) et (1.1) C.cr.</w:t>
      </w:r>
    </w:p>
    <w:p w14:paraId="28C0B91D" w14:textId="77777777" w:rsidR="00B44495" w:rsidRDefault="00B44495" w:rsidP="00B44495">
      <w:pPr>
        <w:jc w:val="both"/>
      </w:pPr>
    </w:p>
    <w:p w14:paraId="551EA103" w14:textId="30D74CB1" w:rsidR="00B44495" w:rsidRPr="00B44495" w:rsidRDefault="00B44495" w:rsidP="00B44495">
      <w:pPr>
        <w:jc w:val="both"/>
        <w:rPr>
          <w:rFonts w:ascii="Times New Roman" w:hAnsi="Times New Roman" w:cs="Times New Roman"/>
          <w:sz w:val="22"/>
          <w:szCs w:val="22"/>
        </w:rPr>
      </w:pPr>
      <w:r w:rsidRPr="00B44495">
        <w:rPr>
          <w:rFonts w:ascii="Times New Roman" w:hAnsi="Times New Roman" w:cs="Times New Roman"/>
          <w:sz w:val="22"/>
          <w:szCs w:val="22"/>
        </w:rPr>
        <w:t>Libération conditionnelle</w:t>
      </w:r>
    </w:p>
    <w:p w14:paraId="1313DD0A" w14:textId="77777777" w:rsidR="00B44495" w:rsidRPr="00B44495" w:rsidRDefault="00B44495" w:rsidP="00880034">
      <w:pPr>
        <w:pStyle w:val="Paragraphedeliste"/>
        <w:numPr>
          <w:ilvl w:val="0"/>
          <w:numId w:val="32"/>
        </w:numPr>
        <w:jc w:val="both"/>
        <w:rPr>
          <w:sz w:val="20"/>
          <w:szCs w:val="20"/>
        </w:rPr>
      </w:pPr>
      <w:r w:rsidRPr="00B44495">
        <w:rPr>
          <w:sz w:val="20"/>
          <w:szCs w:val="20"/>
        </w:rPr>
        <w:t>Article 503(2) C. cr.</w:t>
      </w:r>
    </w:p>
    <w:p w14:paraId="024146B6" w14:textId="77777777" w:rsidR="00B44495" w:rsidRDefault="00B44495" w:rsidP="00B44495">
      <w:pPr>
        <w:jc w:val="both"/>
      </w:pPr>
    </w:p>
    <w:p w14:paraId="5A99537B" w14:textId="0CD13304" w:rsidR="00B44495" w:rsidRPr="00B44495" w:rsidRDefault="00B44495" w:rsidP="00B44495">
      <w:pPr>
        <w:jc w:val="both"/>
        <w:rPr>
          <w:sz w:val="22"/>
          <w:szCs w:val="22"/>
        </w:rPr>
      </w:pPr>
      <w:r w:rsidRPr="00B44495">
        <w:rPr>
          <w:sz w:val="22"/>
          <w:szCs w:val="22"/>
        </w:rPr>
        <w:t>Exception pour les crimes graves</w:t>
      </w:r>
    </w:p>
    <w:p w14:paraId="472487E0" w14:textId="77777777" w:rsidR="00B44495" w:rsidRPr="00B44495" w:rsidRDefault="00B44495" w:rsidP="00880034">
      <w:pPr>
        <w:pStyle w:val="Paragraphedeliste"/>
        <w:numPr>
          <w:ilvl w:val="0"/>
          <w:numId w:val="32"/>
        </w:numPr>
        <w:jc w:val="both"/>
        <w:rPr>
          <w:sz w:val="20"/>
          <w:szCs w:val="20"/>
        </w:rPr>
      </w:pPr>
      <w:r w:rsidRPr="00B44495">
        <w:rPr>
          <w:sz w:val="20"/>
          <w:szCs w:val="20"/>
        </w:rPr>
        <w:t>Article 522 C. cr.</w:t>
      </w:r>
    </w:p>
    <w:p w14:paraId="7ADD4AC2" w14:textId="32C832FD"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p>
    <w:p w14:paraId="1689E7CB"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Récapitulatif des lectures</w:t>
      </w:r>
    </w:p>
    <w:p w14:paraId="438E1F34"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obligatoire(s) :</w:t>
      </w:r>
    </w:p>
    <w:p w14:paraId="3E4FDA2B" w14:textId="77777777" w:rsidR="00BF6408" w:rsidRPr="00BF6408" w:rsidRDefault="00BF6408" w:rsidP="00BF6408">
      <w:pPr>
        <w:widowControl w:val="0"/>
        <w:autoSpaceDE w:val="0"/>
        <w:autoSpaceDN w:val="0"/>
        <w:adjustRightInd w:val="0"/>
        <w:spacing w:after="300"/>
        <w:rPr>
          <w:rFonts w:ascii="Times New Roman" w:hAnsi="Times New Roman" w:cs="Verdana"/>
          <w:b/>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 xml:space="preserve"> R. c. Mann</w:t>
      </w:r>
      <w:r w:rsidRPr="00BF6408">
        <w:rPr>
          <w:rFonts w:ascii="Times New Roman" w:hAnsi="Times New Roman" w:cs="Verdana"/>
          <w:b/>
          <w:color w:val="3E3E3E"/>
          <w:sz w:val="22"/>
          <w:szCs w:val="22"/>
        </w:rPr>
        <w:t>, [2004] 3 RCS 59</w:t>
      </w:r>
    </w:p>
    <w:p w14:paraId="18717A04"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 xml:space="preserve"> R. c. Feeney</w:t>
      </w:r>
      <w:r w:rsidRPr="00BF6408">
        <w:rPr>
          <w:rFonts w:ascii="Times New Roman" w:hAnsi="Times New Roman" w:cs="Verdana"/>
          <w:b/>
          <w:color w:val="3E3E3E"/>
          <w:sz w:val="22"/>
          <w:szCs w:val="22"/>
        </w:rPr>
        <w:t>, [1997] 2 RCS 13</w:t>
      </w:r>
    </w:p>
    <w:p w14:paraId="5462AF7D"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optionnelle(s)</w:t>
      </w:r>
    </w:p>
    <w:p w14:paraId="68F3258D"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Doctrine :</w:t>
      </w:r>
    </w:p>
    <w:p w14:paraId="52F47594"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Alexandre Boucher, François Lacasse et Thierry Nadon, La création de la détention pour enquête en common law : dérive jurisprudentielle ou évolution nécessaire ? Un point de vue pragmatique., (2009) 50 C. de D. 771.</w:t>
      </w:r>
    </w:p>
    <w:p w14:paraId="074F8310" w14:textId="77777777" w:rsidR="00BF6408" w:rsidRDefault="00BF6408" w:rsidP="00BF6408">
      <w:pPr>
        <w:widowControl w:val="0"/>
        <w:autoSpaceDE w:val="0"/>
        <w:autoSpaceDN w:val="0"/>
        <w:adjustRightInd w:val="0"/>
        <w:spacing w:after="300"/>
        <w:jc w:val="center"/>
        <w:rPr>
          <w:rFonts w:ascii="Times New Roman" w:hAnsi="Times New Roman" w:cs="Verdana"/>
          <w:color w:val="3E3E3E"/>
          <w:sz w:val="22"/>
          <w:szCs w:val="22"/>
        </w:rPr>
      </w:pPr>
      <w:r w:rsidRPr="00BF6408">
        <w:rPr>
          <w:rFonts w:ascii="Times New Roman" w:hAnsi="Times New Roman" w:cs="Verdana"/>
          <w:color w:val="3E3E3E"/>
          <w:sz w:val="22"/>
          <w:szCs w:val="22"/>
        </w:rPr>
        <w:t>James Stribopoulos, The limits of Judicially Created Police Powers : Investigative Detention After Mann, (2007) 52 Crim. L.Q. 299.</w:t>
      </w:r>
    </w:p>
    <w:p w14:paraId="1063BD8E" w14:textId="77777777" w:rsidR="00BF6408" w:rsidRDefault="00BF6408" w:rsidP="00BF6408">
      <w:pPr>
        <w:widowControl w:val="0"/>
        <w:autoSpaceDE w:val="0"/>
        <w:autoSpaceDN w:val="0"/>
        <w:adjustRightInd w:val="0"/>
        <w:spacing w:after="300"/>
        <w:jc w:val="center"/>
        <w:rPr>
          <w:rFonts w:ascii="Times New Roman" w:hAnsi="Times New Roman" w:cs="Verdana"/>
          <w:color w:val="3E3E3E"/>
          <w:sz w:val="22"/>
          <w:szCs w:val="22"/>
        </w:rPr>
      </w:pPr>
    </w:p>
    <w:p w14:paraId="5D6BA1AA" w14:textId="77777777" w:rsidR="00BF6408" w:rsidRDefault="00BF6408" w:rsidP="00BF6408">
      <w:pPr>
        <w:widowControl w:val="0"/>
        <w:autoSpaceDE w:val="0"/>
        <w:autoSpaceDN w:val="0"/>
        <w:adjustRightInd w:val="0"/>
        <w:spacing w:after="300"/>
        <w:jc w:val="center"/>
        <w:rPr>
          <w:rFonts w:ascii="Times New Roman" w:hAnsi="Times New Roman" w:cs="Verdana"/>
          <w:b/>
          <w:color w:val="3E3E3E"/>
        </w:rPr>
      </w:pPr>
      <w:r>
        <w:rPr>
          <w:rFonts w:ascii="Times New Roman" w:hAnsi="Times New Roman" w:cs="Verdana"/>
          <w:b/>
          <w:color w:val="3E3E3E"/>
        </w:rPr>
        <w:t>COURS 4</w:t>
      </w:r>
    </w:p>
    <w:p w14:paraId="512BBAAE" w14:textId="77777777" w:rsidR="00BE2F2C"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C</w:t>
      </w:r>
      <w:r w:rsidR="00BE2F2C">
        <w:rPr>
          <w:rFonts w:ascii="Times New Roman" w:hAnsi="Times New Roman" w:cs="Verdana"/>
          <w:b/>
          <w:bCs/>
          <w:color w:val="3E3E3E"/>
          <w:sz w:val="22"/>
          <w:szCs w:val="22"/>
        </w:rPr>
        <w:t xml:space="preserve">hapitre II.   Fouilles, perquisitions et </w:t>
      </w:r>
      <w:r w:rsidRPr="00BF6408">
        <w:rPr>
          <w:rFonts w:ascii="Times New Roman" w:hAnsi="Times New Roman" w:cs="Verdana"/>
          <w:b/>
          <w:bCs/>
          <w:color w:val="3E3E3E"/>
          <w:sz w:val="22"/>
          <w:szCs w:val="22"/>
        </w:rPr>
        <w:t>saisies</w:t>
      </w:r>
    </w:p>
    <w:p w14:paraId="169AF0F0" w14:textId="15A59768"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Introduction</w:t>
      </w:r>
    </w:p>
    <w:p w14:paraId="5119E96C" w14:textId="77777777" w:rsid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*Article 8 de la Charte</w:t>
      </w:r>
    </w:p>
    <w:p w14:paraId="0CAE1D5E" w14:textId="191790F8" w:rsidR="00BE2F2C" w:rsidRDefault="00BE2F2C" w:rsidP="00BF6408">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b/>
          <w:color w:val="3E3E3E"/>
          <w:sz w:val="22"/>
          <w:szCs w:val="22"/>
        </w:rPr>
        <w:t>1. La fouille, perquisition et saisie en common law :</w:t>
      </w:r>
    </w:p>
    <w:p w14:paraId="38214480" w14:textId="6F4DA422" w:rsidR="00BE2F2C" w:rsidRDefault="00BE2F2C" w:rsidP="00BF6408">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Eccles c. Bourque et al. [1975]</w:t>
      </w:r>
    </w:p>
    <w:p w14:paraId="64448FAD" w14:textId="698A00B9" w:rsidR="009E32FA" w:rsidRPr="009E32FA" w:rsidRDefault="009E32FA" w:rsidP="00880034">
      <w:pPr>
        <w:pStyle w:val="Paragraphedeliste"/>
        <w:widowControl w:val="0"/>
        <w:numPr>
          <w:ilvl w:val="0"/>
          <w:numId w:val="32"/>
        </w:numPr>
        <w:autoSpaceDE w:val="0"/>
        <w:autoSpaceDN w:val="0"/>
        <w:adjustRightInd w:val="0"/>
        <w:spacing w:after="300"/>
        <w:jc w:val="both"/>
        <w:rPr>
          <w:rFonts w:ascii="Times New Roman" w:hAnsi="Times New Roman" w:cs="Verdana"/>
          <w:color w:val="3E3E3E"/>
          <w:sz w:val="20"/>
          <w:szCs w:val="20"/>
        </w:rPr>
      </w:pPr>
      <w:r w:rsidRPr="009E32FA">
        <w:rPr>
          <w:rFonts w:ascii="Times New Roman" w:hAnsi="Times New Roman" w:cs="Verdana"/>
          <w:color w:val="3E3E3E"/>
          <w:sz w:val="20"/>
          <w:szCs w:val="20"/>
        </w:rPr>
        <w:t xml:space="preserve">L’arrêt relate un arrêt de principe selon lequel, </w:t>
      </w:r>
      <w:r w:rsidRPr="009E32FA">
        <w:rPr>
          <w:rFonts w:ascii="Times New Roman" w:hAnsi="Times New Roman" w:cs="Verdana"/>
          <w:i/>
          <w:color w:val="3E3E3E"/>
          <w:sz w:val="20"/>
          <w:szCs w:val="20"/>
        </w:rPr>
        <w:t>la maison est comme le château du Roi</w:t>
      </w:r>
      <w:r w:rsidRPr="009E32FA">
        <w:rPr>
          <w:rFonts w:ascii="Times New Roman" w:hAnsi="Times New Roman" w:cs="Verdana"/>
          <w:color w:val="3E3E3E"/>
          <w:sz w:val="20"/>
          <w:szCs w:val="20"/>
        </w:rPr>
        <w:t>.</w:t>
      </w:r>
    </w:p>
    <w:p w14:paraId="4377E49C" w14:textId="6691CEAD" w:rsidR="009E32FA" w:rsidRDefault="009E32FA" w:rsidP="009E32FA">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b/>
          <w:color w:val="3E3E3E"/>
          <w:sz w:val="22"/>
          <w:szCs w:val="22"/>
        </w:rPr>
        <w:t>2. La fouille, perquisition et saisie avant la Charte :</w:t>
      </w:r>
    </w:p>
    <w:p w14:paraId="1CEC32AD" w14:textId="35846C75" w:rsidR="009E32FA" w:rsidRPr="009E32FA" w:rsidRDefault="009E32FA" w:rsidP="00880034">
      <w:pPr>
        <w:pStyle w:val="Paragraphedeliste"/>
        <w:widowControl w:val="0"/>
        <w:numPr>
          <w:ilvl w:val="0"/>
          <w:numId w:val="32"/>
        </w:numPr>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0"/>
          <w:szCs w:val="20"/>
        </w:rPr>
        <w:t>Art. 487 C.cr.</w:t>
      </w:r>
    </w:p>
    <w:p w14:paraId="6435BFEC" w14:textId="77777777" w:rsidR="009E32FA" w:rsidRPr="009E32FA" w:rsidRDefault="009E32FA" w:rsidP="00880034">
      <w:pPr>
        <w:pStyle w:val="Paragraphedeliste"/>
        <w:widowControl w:val="0"/>
        <w:numPr>
          <w:ilvl w:val="0"/>
          <w:numId w:val="32"/>
        </w:numPr>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0"/>
          <w:szCs w:val="20"/>
        </w:rPr>
        <w:t>Art. 447(3) C.cr.</w:t>
      </w:r>
    </w:p>
    <w:p w14:paraId="6F2098D3" w14:textId="7D10A609" w:rsidR="00BF6408" w:rsidRPr="009E32FA" w:rsidRDefault="00BF6408" w:rsidP="009E32FA">
      <w:pPr>
        <w:pStyle w:val="Paragraphedeliste"/>
        <w:widowControl w:val="0"/>
        <w:autoSpaceDE w:val="0"/>
        <w:autoSpaceDN w:val="0"/>
        <w:adjustRightInd w:val="0"/>
        <w:spacing w:after="300"/>
        <w:jc w:val="both"/>
        <w:rPr>
          <w:rFonts w:ascii="Times New Roman" w:hAnsi="Times New Roman" w:cs="Verdana"/>
          <w:b/>
          <w:color w:val="3E3E3E"/>
          <w:sz w:val="22"/>
          <w:szCs w:val="22"/>
        </w:rPr>
      </w:pPr>
      <w:r w:rsidRPr="009E32FA">
        <w:rPr>
          <w:rFonts w:ascii="Times New Roman" w:hAnsi="Times New Roman" w:cs="Verdana"/>
          <w:i/>
          <w:iCs/>
          <w:color w:val="3E3E3E"/>
          <w:sz w:val="22"/>
          <w:szCs w:val="22"/>
        </w:rPr>
        <w:t> </w:t>
      </w:r>
    </w:p>
    <w:p w14:paraId="5093CB2A"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bCs/>
          <w:color w:val="3E3E3E"/>
          <w:sz w:val="22"/>
          <w:szCs w:val="22"/>
        </w:rPr>
        <w:t>Section I.       Les limites constitutionnelles aux fouilles et saisies : Article 8 de la Charte</w:t>
      </w:r>
    </w:p>
    <w:p w14:paraId="50E5F57B" w14:textId="77777777" w:rsidR="00BF6408" w:rsidRDefault="00BF6408" w:rsidP="00BF6408">
      <w:pPr>
        <w:widowControl w:val="0"/>
        <w:autoSpaceDE w:val="0"/>
        <w:autoSpaceDN w:val="0"/>
        <w:adjustRightInd w:val="0"/>
        <w:spacing w:after="300"/>
        <w:rPr>
          <w:rFonts w:ascii="Times New Roman" w:hAnsi="Times New Roman" w:cs="Verdana"/>
          <w:i/>
          <w:iCs/>
          <w:color w:val="3E3E3E"/>
          <w:sz w:val="22"/>
          <w:szCs w:val="22"/>
        </w:rPr>
      </w:pPr>
      <w:r w:rsidRPr="00BF6408">
        <w:rPr>
          <w:rFonts w:ascii="Times New Roman" w:hAnsi="Times New Roman" w:cs="Verdana"/>
          <w:color w:val="3E3E3E"/>
          <w:sz w:val="22"/>
          <w:szCs w:val="22"/>
        </w:rPr>
        <w:t xml:space="preserve">§1. Les origines de l’article 8 de la </w:t>
      </w:r>
      <w:r w:rsidRPr="00BF6408">
        <w:rPr>
          <w:rFonts w:ascii="Times New Roman" w:hAnsi="Times New Roman" w:cs="Verdana"/>
          <w:i/>
          <w:iCs/>
          <w:color w:val="3E3E3E"/>
          <w:sz w:val="22"/>
          <w:szCs w:val="22"/>
        </w:rPr>
        <w:t>Charte</w:t>
      </w:r>
      <w:r>
        <w:rPr>
          <w:rFonts w:ascii="Times New Roman" w:hAnsi="Times New Roman" w:cs="Verdana"/>
          <w:i/>
          <w:iCs/>
          <w:color w:val="3E3E3E"/>
          <w:sz w:val="22"/>
          <w:szCs w:val="22"/>
        </w:rPr>
        <w:t> ;</w:t>
      </w:r>
    </w:p>
    <w:p w14:paraId="02BE974B" w14:textId="4FE10DA2" w:rsidR="009E32FA" w:rsidRPr="009E32FA" w:rsidRDefault="009E32FA" w:rsidP="00880034">
      <w:pPr>
        <w:pStyle w:val="Paragraphedeliste"/>
        <w:widowControl w:val="0"/>
        <w:numPr>
          <w:ilvl w:val="0"/>
          <w:numId w:val="33"/>
        </w:numPr>
        <w:autoSpaceDE w:val="0"/>
        <w:autoSpaceDN w:val="0"/>
        <w:adjustRightInd w:val="0"/>
        <w:spacing w:after="300"/>
        <w:rPr>
          <w:rFonts w:ascii="Times New Roman" w:hAnsi="Times New Roman" w:cs="Verdana"/>
          <w:color w:val="3E3E3E"/>
          <w:sz w:val="20"/>
          <w:szCs w:val="20"/>
        </w:rPr>
      </w:pPr>
      <w:r w:rsidRPr="009E32FA">
        <w:rPr>
          <w:rFonts w:ascii="Times New Roman" w:hAnsi="Times New Roman" w:cs="Verdana"/>
          <w:color w:val="3E3E3E"/>
          <w:sz w:val="20"/>
          <w:szCs w:val="20"/>
        </w:rPr>
        <w:t>IVème amendement de la Constitution US</w:t>
      </w:r>
    </w:p>
    <w:p w14:paraId="210746C1" w14:textId="243A7B01" w:rsidR="00BF6408" w:rsidRPr="009E32FA" w:rsidRDefault="009E32FA" w:rsidP="00880034">
      <w:pPr>
        <w:pStyle w:val="Paragraphedeliste"/>
        <w:widowControl w:val="0"/>
        <w:numPr>
          <w:ilvl w:val="0"/>
          <w:numId w:val="33"/>
        </w:numPr>
        <w:autoSpaceDE w:val="0"/>
        <w:autoSpaceDN w:val="0"/>
        <w:adjustRightInd w:val="0"/>
        <w:spacing w:after="300"/>
        <w:rPr>
          <w:rFonts w:ascii="Times New Roman" w:hAnsi="Times New Roman" w:cs="Verdana"/>
          <w:color w:val="3E3E3E"/>
          <w:sz w:val="20"/>
          <w:szCs w:val="20"/>
        </w:rPr>
      </w:pPr>
      <w:r w:rsidRPr="009E32FA">
        <w:rPr>
          <w:rFonts w:ascii="Times New Roman" w:hAnsi="Times New Roman" w:cs="Verdana"/>
          <w:color w:val="3E3E3E"/>
          <w:sz w:val="20"/>
          <w:szCs w:val="20"/>
        </w:rPr>
        <w:t>Art. 17 Pacte international relatif aux droits civils et politiques</w:t>
      </w:r>
    </w:p>
    <w:p w14:paraId="5A44A489" w14:textId="77777777" w:rsidR="009E32FA"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xml:space="preserve">§2. Objet de l’article 8 de la </w:t>
      </w:r>
      <w:r w:rsidRPr="00BF6408">
        <w:rPr>
          <w:rFonts w:ascii="Times New Roman" w:hAnsi="Times New Roman" w:cs="Verdana"/>
          <w:i/>
          <w:iCs/>
          <w:color w:val="3E3E3E"/>
          <w:sz w:val="22"/>
          <w:szCs w:val="22"/>
        </w:rPr>
        <w:t>Charte</w:t>
      </w:r>
      <w:r>
        <w:rPr>
          <w:rFonts w:ascii="Times New Roman" w:hAnsi="Times New Roman" w:cs="Verdana"/>
          <w:i/>
          <w:iCs/>
          <w:color w:val="3E3E3E"/>
          <w:sz w:val="22"/>
          <w:szCs w:val="22"/>
        </w:rPr>
        <w:t> ;</w:t>
      </w:r>
    </w:p>
    <w:p w14:paraId="142CC3B8" w14:textId="166910F6" w:rsidR="00BF6408" w:rsidRDefault="00BF6408" w:rsidP="00BF6408">
      <w:pPr>
        <w:widowControl w:val="0"/>
        <w:autoSpaceDE w:val="0"/>
        <w:autoSpaceDN w:val="0"/>
        <w:adjustRightInd w:val="0"/>
        <w:spacing w:after="300"/>
        <w:rPr>
          <w:rFonts w:ascii="Times New Roman" w:hAnsi="Times New Roman" w:cs="Verdana"/>
          <w:i/>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Hunter et autres c. Southam Inc</w:t>
      </w:r>
      <w:r w:rsidRPr="00BF6408">
        <w:rPr>
          <w:rFonts w:ascii="Times New Roman" w:hAnsi="Times New Roman" w:cs="Verdana"/>
          <w:b/>
          <w:color w:val="3E3E3E"/>
          <w:sz w:val="22"/>
          <w:szCs w:val="22"/>
        </w:rPr>
        <w:t>., [1984] 2 RCS 145</w:t>
      </w:r>
      <w:r>
        <w:rPr>
          <w:rFonts w:ascii="Times New Roman" w:hAnsi="Times New Roman" w:cs="Verdana"/>
          <w:b/>
          <w:color w:val="3E3E3E"/>
          <w:sz w:val="22"/>
          <w:szCs w:val="22"/>
        </w:rPr>
        <w:t xml:space="preserve"> (</w:t>
      </w:r>
      <w:r>
        <w:rPr>
          <w:rFonts w:ascii="Times New Roman" w:hAnsi="Times New Roman" w:cs="Verdana"/>
          <w:i/>
          <w:color w:val="3E3E3E"/>
          <w:sz w:val="22"/>
          <w:szCs w:val="22"/>
        </w:rPr>
        <w:t>Arrêt important)</w:t>
      </w:r>
    </w:p>
    <w:p w14:paraId="57BC6423" w14:textId="5CBA8D2E" w:rsidR="009E32FA" w:rsidRPr="009E32FA" w:rsidRDefault="009E32FA" w:rsidP="00880034">
      <w:pPr>
        <w:pStyle w:val="Paragraphedeliste"/>
        <w:widowControl w:val="0"/>
        <w:numPr>
          <w:ilvl w:val="0"/>
          <w:numId w:val="34"/>
        </w:numPr>
        <w:autoSpaceDE w:val="0"/>
        <w:autoSpaceDN w:val="0"/>
        <w:adjustRightInd w:val="0"/>
        <w:spacing w:after="300"/>
        <w:rPr>
          <w:rFonts w:ascii="Times New Roman" w:hAnsi="Times New Roman" w:cs="Verdana"/>
          <w:color w:val="3E3E3E"/>
          <w:sz w:val="22"/>
          <w:szCs w:val="22"/>
        </w:rPr>
      </w:pPr>
      <w:r w:rsidRPr="009E32FA">
        <w:rPr>
          <w:rFonts w:ascii="Times New Roman" w:hAnsi="Times New Roman" w:cs="Times New Roman"/>
          <w:sz w:val="20"/>
          <w:szCs w:val="20"/>
          <w:lang w:val="fr-CA"/>
        </w:rPr>
        <w:t>À mon avis, cela nous amène à conclure également que la constitutionnalité d’une fouille, d’une perquisition et d’une saisie ou d’une loi autorisant une fouille, une perquisition ou une saisie doit être appréciée en fonction surtout de l’effet «raisonnable» ou «abusif» sur l’objet de la fouille, de la perquisition ou de la saisie et non simplement en fonction de sa rationalité dans la poursuite de quelque objectif gouvernemental valable.</w:t>
      </w:r>
    </w:p>
    <w:p w14:paraId="7BC70DBA" w14:textId="0FD85C44" w:rsidR="009E32FA" w:rsidRDefault="009E32FA" w:rsidP="009E32FA">
      <w:pPr>
        <w:widowControl w:val="0"/>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2"/>
          <w:szCs w:val="22"/>
          <w:u w:val="single"/>
        </w:rPr>
        <w:t xml:space="preserve">L’interprétation large et libérale de l’article 8 </w:t>
      </w:r>
      <w:r>
        <w:rPr>
          <w:rFonts w:ascii="Times New Roman" w:hAnsi="Times New Roman" w:cs="Verdana"/>
          <w:color w:val="3E3E3E"/>
          <w:sz w:val="22"/>
          <w:szCs w:val="22"/>
        </w:rPr>
        <w:t>(p. 2) :</w:t>
      </w:r>
    </w:p>
    <w:p w14:paraId="7A585D70" w14:textId="2B058F7E" w:rsidR="009E32FA" w:rsidRDefault="009E32FA" w:rsidP="009E32FA">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b/>
          <w:i/>
          <w:color w:val="3E3E3E"/>
          <w:sz w:val="22"/>
          <w:szCs w:val="22"/>
        </w:rPr>
        <w:t>R. c. Dyment [1988]</w:t>
      </w:r>
    </w:p>
    <w:p w14:paraId="7AEB9874" w14:textId="467AB7FB" w:rsidR="005E3E3A" w:rsidRPr="00FC3870" w:rsidRDefault="00FC3870" w:rsidP="00880034">
      <w:pPr>
        <w:pStyle w:val="Paragraphedeliste"/>
        <w:widowControl w:val="0"/>
        <w:numPr>
          <w:ilvl w:val="0"/>
          <w:numId w:val="34"/>
        </w:numPr>
        <w:autoSpaceDE w:val="0"/>
        <w:autoSpaceDN w:val="0"/>
        <w:adjustRightInd w:val="0"/>
        <w:spacing w:after="300"/>
        <w:rPr>
          <w:rFonts w:ascii="Times New Roman" w:hAnsi="Times New Roman" w:cs="Verdana"/>
          <w:color w:val="3E3E3E"/>
          <w:sz w:val="22"/>
          <w:szCs w:val="22"/>
        </w:rPr>
      </w:pPr>
      <w:r w:rsidRPr="00FC3870">
        <w:rPr>
          <w:rFonts w:ascii="Times New Roman" w:eastAsia="Times New Roman" w:hAnsi="Times New Roman" w:cs="Times New Roman"/>
          <w:spacing w:val="-3"/>
          <w:sz w:val="20"/>
          <w:szCs w:val="20"/>
        </w:rPr>
        <w:t xml:space="preserve">Et ce droit, à l'instar des autres droits garantis par la </w:t>
      </w:r>
      <w:r w:rsidRPr="00FC3870">
        <w:rPr>
          <w:rFonts w:ascii="Times New Roman" w:eastAsia="Times New Roman" w:hAnsi="Times New Roman" w:cs="Times New Roman"/>
          <w:i/>
          <w:iCs/>
          <w:spacing w:val="-3"/>
          <w:sz w:val="20"/>
          <w:szCs w:val="20"/>
        </w:rPr>
        <w:t>Charte</w:t>
      </w:r>
      <w:r w:rsidRPr="00FC3870">
        <w:rPr>
          <w:rFonts w:ascii="Times New Roman" w:eastAsia="Times New Roman" w:hAnsi="Times New Roman" w:cs="Times New Roman"/>
          <w:spacing w:val="-3"/>
          <w:sz w:val="20"/>
          <w:szCs w:val="20"/>
        </w:rPr>
        <w:t>, doit recevoir une interprétation large et libérale, de manière à garantir au citoyen le droit d'être protégé contre les atteintes du gouvernement à ses attentes raisonnables en matière de vie privée [para</w:t>
      </w:r>
      <w:r>
        <w:rPr>
          <w:rFonts w:ascii="Times New Roman" w:eastAsia="Times New Roman" w:hAnsi="Times New Roman" w:cs="Times New Roman"/>
          <w:spacing w:val="-3"/>
          <w:sz w:val="20"/>
          <w:szCs w:val="20"/>
          <w:u w:val="single"/>
        </w:rPr>
        <w:t xml:space="preserve"> 15]</w:t>
      </w:r>
    </w:p>
    <w:p w14:paraId="6CF0F6D1" w14:textId="78BC7A28" w:rsidR="00FC3870" w:rsidRDefault="00FC3870" w:rsidP="00FC3870">
      <w:pPr>
        <w:widowControl w:val="0"/>
        <w:autoSpaceDE w:val="0"/>
        <w:autoSpaceDN w:val="0"/>
        <w:adjustRightInd w:val="0"/>
        <w:spacing w:after="300"/>
        <w:rPr>
          <w:rFonts w:ascii="Times New Roman" w:hAnsi="Times New Roman" w:cs="Verdana"/>
          <w:b/>
          <w:i/>
          <w:color w:val="3E3E3E"/>
          <w:sz w:val="22"/>
          <w:szCs w:val="22"/>
        </w:rPr>
      </w:pPr>
      <w:r>
        <w:rPr>
          <w:rFonts w:ascii="Times New Roman" w:hAnsi="Times New Roman" w:cs="Verdana"/>
          <w:b/>
          <w:i/>
          <w:color w:val="3E3E3E"/>
          <w:sz w:val="22"/>
          <w:szCs w:val="22"/>
        </w:rPr>
        <w:t>Hunter et autres c. Southam (p.3)</w:t>
      </w:r>
    </w:p>
    <w:p w14:paraId="74B81407" w14:textId="77777777" w:rsidR="00FC3870" w:rsidRPr="00FC3870" w:rsidRDefault="00FC3870" w:rsidP="00880034">
      <w:pPr>
        <w:pStyle w:val="Paragraphedeliste"/>
        <w:widowControl w:val="0"/>
        <w:numPr>
          <w:ilvl w:val="0"/>
          <w:numId w:val="34"/>
        </w:numPr>
        <w:autoSpaceDE w:val="0"/>
        <w:autoSpaceDN w:val="0"/>
        <w:adjustRightInd w:val="0"/>
        <w:spacing w:after="300"/>
        <w:rPr>
          <w:rFonts w:ascii="Times New Roman" w:hAnsi="Times New Roman" w:cs="Verdana"/>
          <w:i/>
          <w:color w:val="3E3E3E"/>
          <w:sz w:val="22"/>
          <w:szCs w:val="22"/>
        </w:rPr>
      </w:pPr>
      <w:r w:rsidRPr="00FC3870">
        <w:rPr>
          <w:rFonts w:ascii="Times New Roman" w:hAnsi="Times New Roman" w:cs="Times New Roman"/>
          <w:sz w:val="20"/>
          <w:szCs w:val="20"/>
        </w:rPr>
        <w:t xml:space="preserve">À mon avis, les droits protégés par l’art. 8 ont une portée plus large que ceux qui sont énoncés dans l’arrêt </w:t>
      </w:r>
      <w:r w:rsidRPr="00FC3870">
        <w:rPr>
          <w:rFonts w:ascii="Times New Roman" w:hAnsi="Times New Roman" w:cs="Times New Roman"/>
          <w:i/>
          <w:iCs/>
          <w:sz w:val="20"/>
          <w:szCs w:val="20"/>
        </w:rPr>
        <w:t>Entick v. Carrington [...]</w:t>
      </w:r>
      <w:r w:rsidRPr="00FC3870">
        <w:rPr>
          <w:rFonts w:ascii="Times New Roman" w:hAnsi="Times New Roman" w:cs="Times New Roman"/>
          <w:sz w:val="20"/>
          <w:szCs w:val="20"/>
        </w:rPr>
        <w:t>Il garantit un droit général à la protection contre les fouilles, les perquisitions et les saisies abusives.</w:t>
      </w:r>
    </w:p>
    <w:p w14:paraId="3007DE5D" w14:textId="54E53F23" w:rsidR="00FC3870" w:rsidRPr="00FC3870" w:rsidRDefault="00FC3870" w:rsidP="00880034">
      <w:pPr>
        <w:pStyle w:val="Paragraphedeliste"/>
        <w:widowControl w:val="0"/>
        <w:numPr>
          <w:ilvl w:val="0"/>
          <w:numId w:val="34"/>
        </w:numPr>
        <w:autoSpaceDE w:val="0"/>
        <w:autoSpaceDN w:val="0"/>
        <w:adjustRightInd w:val="0"/>
        <w:spacing w:after="300"/>
        <w:rPr>
          <w:rFonts w:ascii="Times New Roman" w:hAnsi="Times New Roman" w:cs="Verdana"/>
          <w:i/>
          <w:color w:val="3E3E3E"/>
          <w:sz w:val="20"/>
          <w:szCs w:val="20"/>
        </w:rPr>
      </w:pPr>
      <w:r w:rsidRPr="00FC3870">
        <w:rPr>
          <w:rFonts w:ascii="Times New Roman" w:hAnsi="Times New Roman" w:cs="Times New Roman"/>
          <w:sz w:val="20"/>
          <w:szCs w:val="20"/>
        </w:rPr>
        <w:t>L’article 8 protège le droit à la vie privé :</w:t>
      </w:r>
    </w:p>
    <w:p w14:paraId="13DD6968" w14:textId="705F3266" w:rsidR="00FC3870" w:rsidRDefault="00FC3870" w:rsidP="00880034">
      <w:pPr>
        <w:pStyle w:val="Paragraphedeliste"/>
        <w:numPr>
          <w:ilvl w:val="0"/>
          <w:numId w:val="34"/>
        </w:numPr>
        <w:rPr>
          <w:rFonts w:ascii="Times New Roman" w:hAnsi="Times New Roman" w:cs="Times New Roman"/>
          <w:sz w:val="20"/>
          <w:szCs w:val="20"/>
        </w:rPr>
      </w:pPr>
      <w:r w:rsidRPr="00FC3870">
        <w:rPr>
          <w:rFonts w:ascii="Times New Roman" w:hAnsi="Times New Roman" w:cs="Times New Roman"/>
          <w:sz w:val="20"/>
          <w:szCs w:val="20"/>
        </w:rPr>
        <w:t>L’article 8 : met en balance le droit au respect à la vie privée et le droit du gouvernement de s’immiscer dans la vie privée des particulier pour assurer l’application de la loi.</w:t>
      </w:r>
    </w:p>
    <w:p w14:paraId="145D1E72" w14:textId="5698DA90" w:rsidR="00BF6408" w:rsidRPr="00FC3870" w:rsidRDefault="00FC3870" w:rsidP="00880034">
      <w:pPr>
        <w:pStyle w:val="Paragraphedeliste"/>
        <w:numPr>
          <w:ilvl w:val="0"/>
          <w:numId w:val="34"/>
        </w:numPr>
        <w:rPr>
          <w:rFonts w:ascii="Times New Roman" w:hAnsi="Times New Roman" w:cs="Times New Roman"/>
          <w:sz w:val="20"/>
          <w:szCs w:val="20"/>
        </w:rPr>
      </w:pPr>
      <w:r w:rsidRPr="005A0F25">
        <w:rPr>
          <w:rFonts w:ascii="Times New Roman" w:hAnsi="Times New Roman" w:cs="Times New Roman"/>
          <w:b/>
          <w:sz w:val="20"/>
          <w:szCs w:val="20"/>
          <w:lang w:val="fr-CA"/>
        </w:rPr>
        <w:t>j’hésiterais à exclure la possibilité que le droit à la protection contre les fouilles, les perquisitions et les saisies abusives protège d’autres droits que le droit à la vie privée mais, pour les fins du présent pourvoi, je suis convaincu que la protection qu’il offre est au moins aussi étendue</w:t>
      </w:r>
      <w:r>
        <w:rPr>
          <w:rFonts w:ascii="Times New Roman" w:hAnsi="Times New Roman" w:cs="Times New Roman"/>
          <w:b/>
          <w:sz w:val="20"/>
          <w:szCs w:val="20"/>
          <w:lang w:val="fr-CA"/>
        </w:rPr>
        <w:t xml:space="preserve"> [...]</w:t>
      </w:r>
      <w:r w:rsidRPr="005A0F25">
        <w:rPr>
          <w:rFonts w:ascii="Times New Roman" w:hAnsi="Times New Roman" w:cs="Times New Roman"/>
          <w:sz w:val="20"/>
          <w:szCs w:val="20"/>
          <w:lang w:val="fr-CA"/>
        </w:rPr>
        <w:t xml:space="preserve">Cette limitation du droit garanti par l’art. 8, qu’elle soit exprimée sous la forme négative, c’est-à-dire comme une protection contre les fouilles, les perquisitions et les saisies «abusives», ou sous la forme positive comme le droit de s’attendre «raisonnablement» </w:t>
      </w:r>
      <w:r w:rsidRPr="005A0F25">
        <w:rPr>
          <w:rFonts w:ascii="Times New Roman" w:hAnsi="Times New Roman" w:cs="Times New Roman"/>
          <w:b/>
          <w:sz w:val="20"/>
          <w:szCs w:val="20"/>
          <w:lang w:val="fr-CA"/>
        </w:rPr>
        <w:t>à la protection de la vie privée, indique qu’il faut apprécier si, dans une situation donnée, le droit du public de ne pas être importuné par le gouvernement doit céder le pas au droit du gouvernement de s’immiscer dans la vie privée des particuliers afin de réaliser ses fins et, notamment, d’assurer l’application de la loi.</w:t>
      </w:r>
    </w:p>
    <w:p w14:paraId="41059E0E" w14:textId="77777777" w:rsidR="00FC3870" w:rsidRPr="00FC3870" w:rsidRDefault="00FC3870" w:rsidP="00FC3870">
      <w:pPr>
        <w:pStyle w:val="Paragraphedeliste"/>
        <w:rPr>
          <w:rFonts w:ascii="Times New Roman" w:hAnsi="Times New Roman" w:cs="Times New Roman"/>
          <w:sz w:val="20"/>
          <w:szCs w:val="20"/>
        </w:rPr>
      </w:pPr>
    </w:p>
    <w:p w14:paraId="5365C285" w14:textId="77777777" w:rsidR="00BF6408" w:rsidRPr="00BF6408" w:rsidRDefault="00BF6408" w:rsidP="00BF6408">
      <w:pPr>
        <w:widowControl w:val="0"/>
        <w:autoSpaceDE w:val="0"/>
        <w:autoSpaceDN w:val="0"/>
        <w:adjustRightInd w:val="0"/>
        <w:spacing w:after="300"/>
        <w:rPr>
          <w:rFonts w:ascii="Times New Roman" w:hAnsi="Times New Roman" w:cs="Verdana"/>
          <w:color w:val="3E3E3E"/>
          <w:sz w:val="22"/>
          <w:szCs w:val="22"/>
        </w:rPr>
      </w:pPr>
      <w:r w:rsidRPr="00BF6408">
        <w:rPr>
          <w:rFonts w:ascii="Times New Roman" w:hAnsi="Times New Roman" w:cs="Verdana"/>
          <w:color w:val="3E3E3E"/>
          <w:sz w:val="22"/>
          <w:szCs w:val="22"/>
        </w:rPr>
        <w:t xml:space="preserve">§3. Les éléments de l’article 8 de la </w:t>
      </w:r>
      <w:r w:rsidRPr="00BF6408">
        <w:rPr>
          <w:rFonts w:ascii="Times New Roman" w:hAnsi="Times New Roman" w:cs="Verdana"/>
          <w:i/>
          <w:iCs/>
          <w:color w:val="3E3E3E"/>
          <w:sz w:val="22"/>
          <w:szCs w:val="22"/>
        </w:rPr>
        <w:t>Charte</w:t>
      </w:r>
      <w:r>
        <w:rPr>
          <w:rFonts w:ascii="Times New Roman" w:hAnsi="Times New Roman" w:cs="Verdana"/>
          <w:i/>
          <w:iCs/>
          <w:color w:val="3E3E3E"/>
          <w:sz w:val="22"/>
          <w:szCs w:val="22"/>
        </w:rPr>
        <w:t> ;</w:t>
      </w:r>
    </w:p>
    <w:p w14:paraId="10992B29" w14:textId="39B31967" w:rsidR="00FC3870" w:rsidRPr="00FC3870"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r w:rsidR="00FC3870">
        <w:rPr>
          <w:rFonts w:ascii="Times New Roman" w:hAnsi="Times New Roman" w:cs="Verdana"/>
          <w:color w:val="3E3E3E"/>
          <w:sz w:val="22"/>
          <w:szCs w:val="22"/>
        </w:rPr>
        <w:t xml:space="preserve">Pour que l’article entre en jeu, ça prend un acte positif de l’intervention de l’État. Si les éléments de preuves recueillies ont été fait en violation de manière abusive, la preuve </w:t>
      </w:r>
      <w:r w:rsidR="00FC3870">
        <w:rPr>
          <w:rFonts w:ascii="Times New Roman" w:hAnsi="Times New Roman" w:cs="Verdana"/>
          <w:i/>
          <w:color w:val="3E3E3E"/>
          <w:sz w:val="22"/>
          <w:szCs w:val="22"/>
        </w:rPr>
        <w:t>risque</w:t>
      </w:r>
      <w:r w:rsidR="00FC3870">
        <w:rPr>
          <w:rFonts w:ascii="Times New Roman" w:hAnsi="Times New Roman" w:cs="Verdana"/>
          <w:color w:val="3E3E3E"/>
          <w:sz w:val="22"/>
          <w:szCs w:val="22"/>
        </w:rPr>
        <w:t xml:space="preserve"> d’être rejeté, l’art. 24(2) de la Charte étant le remède.</w:t>
      </w:r>
    </w:p>
    <w:p w14:paraId="1DD1DB2F" w14:textId="758B474B"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§4. Le test de l’atteinte raisonnable à la protection de la vie privée</w:t>
      </w:r>
      <w:r>
        <w:rPr>
          <w:rFonts w:ascii="Times New Roman" w:hAnsi="Times New Roman" w:cs="Verdana"/>
          <w:color w:val="3E3E3E"/>
          <w:sz w:val="22"/>
          <w:szCs w:val="22"/>
        </w:rPr>
        <w:t> ;</w:t>
      </w:r>
    </w:p>
    <w:p w14:paraId="16D25485" w14:textId="1F225F2B" w:rsid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A. Principes généraux</w:t>
      </w:r>
      <w:r w:rsidR="00E252DC">
        <w:rPr>
          <w:rFonts w:ascii="Times New Roman" w:hAnsi="Times New Roman" w:cs="Verdana"/>
          <w:b/>
          <w:color w:val="3E3E3E"/>
          <w:sz w:val="22"/>
          <w:szCs w:val="22"/>
        </w:rPr>
        <w:t xml:space="preserve"> (p.4) :</w:t>
      </w:r>
    </w:p>
    <w:p w14:paraId="04A9C553" w14:textId="27104EDD" w:rsidR="00E252DC" w:rsidRDefault="00E252DC" w:rsidP="00BF640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A.M. 2008</w:t>
      </w:r>
    </w:p>
    <w:p w14:paraId="0003A652" w14:textId="18CDC010" w:rsidR="00E252DC" w:rsidRPr="00E252DC" w:rsidRDefault="00E252DC" w:rsidP="00880034">
      <w:pPr>
        <w:pStyle w:val="Paragraphedeliste"/>
        <w:widowControl w:val="0"/>
        <w:numPr>
          <w:ilvl w:val="0"/>
          <w:numId w:val="35"/>
        </w:numPr>
        <w:autoSpaceDE w:val="0"/>
        <w:autoSpaceDN w:val="0"/>
        <w:adjustRightInd w:val="0"/>
        <w:spacing w:after="300"/>
        <w:jc w:val="both"/>
        <w:rPr>
          <w:rFonts w:ascii="Times New Roman" w:hAnsi="Times New Roman" w:cs="Times New Roman"/>
          <w:color w:val="3E3E3E"/>
          <w:sz w:val="20"/>
          <w:szCs w:val="20"/>
        </w:rPr>
      </w:pPr>
      <w:r w:rsidRPr="00E252DC">
        <w:rPr>
          <w:rFonts w:ascii="Times New Roman" w:hAnsi="Times New Roman" w:cs="Times New Roman"/>
          <w:b/>
          <w:sz w:val="20"/>
          <w:szCs w:val="20"/>
        </w:rPr>
        <w:t>Je suis également d’accord avec le juge du tribunal pour adolescents pour dire que l’utilisation de chiens renifleurs dans l’école constituait une fouille au sens de l’art. 8</w:t>
      </w:r>
      <w:r w:rsidRPr="00E252DC">
        <w:rPr>
          <w:rFonts w:ascii="Times New Roman" w:hAnsi="Times New Roman" w:cs="Times New Roman"/>
          <w:sz w:val="20"/>
          <w:szCs w:val="20"/>
        </w:rPr>
        <w:t>, c’est</w:t>
      </w:r>
      <w:r w:rsidRPr="00E252DC">
        <w:rPr>
          <w:rFonts w:ascii="Palatino" w:hAnsi="Palatino" w:cs="Palatino"/>
          <w:sz w:val="20"/>
          <w:szCs w:val="20"/>
        </w:rPr>
        <w:t>‑</w:t>
      </w:r>
      <w:r w:rsidRPr="00E252DC">
        <w:rPr>
          <w:rFonts w:ascii="Times New Roman" w:hAnsi="Times New Roman" w:cs="Times New Roman"/>
          <w:sz w:val="20"/>
          <w:szCs w:val="20"/>
        </w:rPr>
        <w:t>à</w:t>
      </w:r>
      <w:r w:rsidRPr="00E252DC">
        <w:rPr>
          <w:rFonts w:ascii="Palatino" w:hAnsi="Palatino" w:cs="Palatino"/>
          <w:sz w:val="20"/>
          <w:szCs w:val="20"/>
        </w:rPr>
        <w:t>‑</w:t>
      </w:r>
      <w:r w:rsidRPr="00E252DC">
        <w:rPr>
          <w:rFonts w:ascii="Times New Roman" w:hAnsi="Times New Roman" w:cs="Times New Roman"/>
          <w:sz w:val="20"/>
          <w:szCs w:val="20"/>
        </w:rPr>
        <w:t>dire une atteinte de l’État à une attente raisonnable en matière de vie privée [8].</w:t>
      </w:r>
    </w:p>
    <w:p w14:paraId="284DEDAC" w14:textId="717B09DB" w:rsidR="00E252DC" w:rsidRDefault="00E252DC" w:rsidP="00E252DC">
      <w:pPr>
        <w:widowControl w:val="0"/>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u w:val="single"/>
        </w:rPr>
        <w:t>La terminologie :</w:t>
      </w:r>
    </w:p>
    <w:p w14:paraId="3D5A75DD" w14:textId="0CA8186B" w:rsidR="00E252DC" w:rsidRDefault="00E252DC" w:rsidP="00E252DC">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Dyment [1988] :</w:t>
      </w:r>
    </w:p>
    <w:p w14:paraId="27BD88E2" w14:textId="16642DE0" w:rsidR="00E252DC" w:rsidRDefault="00E252DC" w:rsidP="00E252DC">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Cet arrêt porte sur la question à savoir, s’il y a eu fouille ou saisie au sens de l’art. 8 lorsque l’agent a pris l’échantillon de sang, offert par le médecin, de l’inculpé.</w:t>
      </w:r>
    </w:p>
    <w:p w14:paraId="1D59BAE9" w14:textId="7D08FCF8" w:rsidR="00E252DC" w:rsidRPr="00E252DC" w:rsidRDefault="00E252DC" w:rsidP="00880034">
      <w:pPr>
        <w:pStyle w:val="Paragraphedeliste"/>
        <w:widowControl w:val="0"/>
        <w:numPr>
          <w:ilvl w:val="0"/>
          <w:numId w:val="35"/>
        </w:numPr>
        <w:autoSpaceDE w:val="0"/>
        <w:autoSpaceDN w:val="0"/>
        <w:adjustRightInd w:val="0"/>
        <w:spacing w:after="300"/>
        <w:jc w:val="both"/>
        <w:rPr>
          <w:rFonts w:ascii="Times New Roman" w:hAnsi="Times New Roman" w:cs="Times New Roman"/>
          <w:color w:val="3E3E3E"/>
          <w:sz w:val="22"/>
          <w:szCs w:val="22"/>
        </w:rPr>
      </w:pPr>
      <w:r w:rsidRPr="00AD3220">
        <w:rPr>
          <w:rFonts w:ascii="Times New Roman" w:hAnsi="Times New Roman" w:cs="Times New Roman"/>
          <w:sz w:val="20"/>
          <w:szCs w:val="20"/>
          <w:lang w:val="fr-CA"/>
        </w:rPr>
        <w:t xml:space="preserve">Toutefois, il faudrait souligner que l'art. 8 de la </w:t>
      </w:r>
      <w:r w:rsidRPr="00AD3220">
        <w:rPr>
          <w:rFonts w:ascii="Times New Roman" w:hAnsi="Times New Roman" w:cs="Times New Roman"/>
          <w:i/>
          <w:iCs/>
          <w:sz w:val="20"/>
          <w:szCs w:val="20"/>
          <w:lang w:val="fr-CA"/>
        </w:rPr>
        <w:t>Charte</w:t>
      </w:r>
      <w:r w:rsidRPr="00AD3220">
        <w:rPr>
          <w:rFonts w:ascii="Times New Roman" w:hAnsi="Times New Roman" w:cs="Times New Roman"/>
          <w:sz w:val="20"/>
          <w:szCs w:val="20"/>
          <w:lang w:val="fr-CA"/>
        </w:rPr>
        <w:t xml:space="preserve"> ne protège pas uniquement contre les fouilles ou les perquisitions, ou contre les saisies liées à des fouilles ou à des perquisitions. Il protège contre les fouilles, les perquisitions </w:t>
      </w:r>
      <w:r w:rsidRPr="00AD3220">
        <w:rPr>
          <w:rFonts w:ascii="Times New Roman" w:hAnsi="Times New Roman" w:cs="Times New Roman"/>
          <w:sz w:val="20"/>
          <w:szCs w:val="20"/>
          <w:u w:val="single"/>
          <w:lang w:val="fr-CA"/>
        </w:rPr>
        <w:t>ou</w:t>
      </w:r>
      <w:r w:rsidRPr="00AD3220">
        <w:rPr>
          <w:rFonts w:ascii="Times New Roman" w:hAnsi="Times New Roman" w:cs="Times New Roman"/>
          <w:sz w:val="20"/>
          <w:szCs w:val="20"/>
          <w:lang w:val="fr-CA"/>
        </w:rPr>
        <w:t xml:space="preserve"> les saisies</w:t>
      </w:r>
      <w:r>
        <w:rPr>
          <w:rFonts w:ascii="Times New Roman" w:hAnsi="Times New Roman" w:cs="Times New Roman"/>
          <w:sz w:val="20"/>
          <w:szCs w:val="20"/>
          <w:lang w:val="fr-CA"/>
        </w:rPr>
        <w:t xml:space="preserve"> [25]</w:t>
      </w:r>
    </w:p>
    <w:p w14:paraId="5CDDB1A6" w14:textId="1D86DE12" w:rsidR="00E252DC" w:rsidRPr="007302AA" w:rsidRDefault="00E252DC" w:rsidP="00880034">
      <w:pPr>
        <w:pStyle w:val="Paragraphedeliste"/>
        <w:widowControl w:val="0"/>
        <w:numPr>
          <w:ilvl w:val="0"/>
          <w:numId w:val="35"/>
        </w:numPr>
        <w:autoSpaceDE w:val="0"/>
        <w:autoSpaceDN w:val="0"/>
        <w:adjustRightInd w:val="0"/>
        <w:spacing w:after="300"/>
        <w:jc w:val="both"/>
        <w:rPr>
          <w:rFonts w:ascii="Times New Roman" w:hAnsi="Times New Roman" w:cs="Times New Roman"/>
          <w:color w:val="3E3E3E"/>
          <w:sz w:val="22"/>
          <w:szCs w:val="22"/>
        </w:rPr>
      </w:pPr>
      <w:r w:rsidRPr="00E252DC">
        <w:rPr>
          <w:rFonts w:ascii="Times New Roman" w:hAnsi="Times New Roman" w:cs="Times New Roman"/>
          <w:sz w:val="20"/>
          <w:szCs w:val="20"/>
          <w:lang w:val="fr-CA"/>
        </w:rPr>
        <w:t>À mon avis, il y a saisie au sens de l'art. 8 lorsque les autorités prennent quelque chose appartenant à une personne sans son consentement [26].</w:t>
      </w:r>
    </w:p>
    <w:p w14:paraId="00EF7F3F" w14:textId="07A7DF58" w:rsidR="007302AA" w:rsidRPr="007302AA" w:rsidRDefault="007302AA" w:rsidP="00880034">
      <w:pPr>
        <w:pStyle w:val="Paragraphedeliste"/>
        <w:widowControl w:val="0"/>
        <w:numPr>
          <w:ilvl w:val="0"/>
          <w:numId w:val="35"/>
        </w:numPr>
        <w:autoSpaceDE w:val="0"/>
        <w:autoSpaceDN w:val="0"/>
        <w:adjustRightInd w:val="0"/>
        <w:spacing w:after="300"/>
        <w:jc w:val="both"/>
        <w:rPr>
          <w:rFonts w:ascii="Times New Roman" w:hAnsi="Times New Roman" w:cs="Times New Roman"/>
          <w:color w:val="3E3E3E"/>
          <w:sz w:val="22"/>
          <w:szCs w:val="22"/>
        </w:rPr>
      </w:pPr>
      <w:r w:rsidRPr="00AD3220">
        <w:rPr>
          <w:rFonts w:ascii="Times New Roman" w:hAnsi="Times New Roman" w:cs="Times New Roman"/>
          <w:sz w:val="20"/>
          <w:szCs w:val="20"/>
          <w:lang w:val="fr-CA"/>
        </w:rPr>
        <w:t>Cependant, la faille la plus importante, et la question décisive, est que lorsque l'agent a reçu l'échantillon des mains du médecin, il a pris quelque chose que le médecin avait en sa possession pour des fins médicales uniquement, sous réserve d'une expectative légitime que cela demeurerait confidentiel. Vu les circonstances dans lesquelles l'échantillon a été recueilli, M. Dyment était en droit de s'attendre raisonnablement à ce que le caractère confidentiel soit préservé</w:t>
      </w:r>
      <w:r>
        <w:rPr>
          <w:rFonts w:ascii="Times New Roman" w:hAnsi="Times New Roman" w:cs="Times New Roman"/>
          <w:sz w:val="20"/>
          <w:szCs w:val="20"/>
          <w:lang w:val="fr-CA"/>
        </w:rPr>
        <w:t xml:space="preserve"> [30].</w:t>
      </w:r>
    </w:p>
    <w:p w14:paraId="37C6DBEA" w14:textId="0AD45BDB" w:rsidR="007302AA" w:rsidRPr="007302AA" w:rsidRDefault="007302AA" w:rsidP="00880034">
      <w:pPr>
        <w:pStyle w:val="Paragraphedeliste"/>
        <w:widowControl w:val="0"/>
        <w:numPr>
          <w:ilvl w:val="0"/>
          <w:numId w:val="35"/>
        </w:numPr>
        <w:autoSpaceDE w:val="0"/>
        <w:autoSpaceDN w:val="0"/>
        <w:adjustRightInd w:val="0"/>
        <w:spacing w:after="300"/>
        <w:jc w:val="both"/>
        <w:rPr>
          <w:rFonts w:ascii="Times New Roman" w:hAnsi="Times New Roman" w:cs="Times New Roman"/>
          <w:color w:val="3E3E3E"/>
          <w:sz w:val="22"/>
          <w:szCs w:val="22"/>
        </w:rPr>
      </w:pPr>
      <w:r w:rsidRPr="00AD3220">
        <w:rPr>
          <w:rFonts w:ascii="Times New Roman" w:hAnsi="Times New Roman" w:cs="Times New Roman"/>
          <w:sz w:val="20"/>
          <w:szCs w:val="20"/>
          <w:lang w:val="fr-CA"/>
        </w:rPr>
        <w:t xml:space="preserve">En d'autres termes, comme il l'a indiqué, cette disposition vise à protéger non seulement la propriété, mais aussi le droit à la vie privée des particuliers contre les fouilles, les perquisitions ou les saisies. </w:t>
      </w:r>
      <w:r w:rsidRPr="007302AA">
        <w:rPr>
          <w:rFonts w:ascii="Times New Roman" w:hAnsi="Times New Roman" w:cs="Times New Roman"/>
          <w:b/>
          <w:sz w:val="20"/>
          <w:szCs w:val="20"/>
          <w:lang w:val="fr-CA"/>
        </w:rPr>
        <w:t>Si je devais tracer la ligne de démarcation entre une saisie et la simple réunion d'éléments de preuve, je la situerais, logiquement et conformément à son objet, au point où on peut raisonnablement affirmer que l'individu n'a plus droit à la préservation du caractère confidentiel de l'objet qui serait saisi.</w:t>
      </w:r>
    </w:p>
    <w:p w14:paraId="3504FCAE" w14:textId="77777777" w:rsidR="00DC6EC5" w:rsidRDefault="007302AA" w:rsidP="00BF64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Certes, l’absence de consentement ne caractérise pas automatiquement une saisie. En effet, si par exemple un constable procède à une enquête et qu’il réunis des éléments de preuve sur un individu, si ce dernier laisse un verre et que le constable s’en emparre dans le cadre d’une enquête, cela peut entrer dans le relèvement de preuve. Le suspect, a en outre, aucune attente en matière de vie privé sur un verre qu’il laisse. </w:t>
      </w:r>
      <w:r>
        <w:rPr>
          <w:rFonts w:ascii="Times New Roman" w:hAnsi="Times New Roman" w:cs="Times New Roman"/>
          <w:i/>
          <w:color w:val="3E3E3E"/>
          <w:sz w:val="22"/>
          <w:szCs w:val="22"/>
        </w:rPr>
        <w:t xml:space="preserve">Voir l’arrêt </w:t>
      </w:r>
      <w:r>
        <w:rPr>
          <w:rFonts w:ascii="Times New Roman" w:hAnsi="Times New Roman" w:cs="Times New Roman"/>
          <w:b/>
          <w:i/>
          <w:color w:val="3E3E3E"/>
          <w:sz w:val="22"/>
          <w:szCs w:val="22"/>
        </w:rPr>
        <w:t>Laroche</w:t>
      </w:r>
      <w:r>
        <w:rPr>
          <w:rFonts w:ascii="Times New Roman" w:hAnsi="Times New Roman" w:cs="Times New Roman"/>
          <w:color w:val="3E3E3E"/>
          <w:sz w:val="22"/>
          <w:szCs w:val="22"/>
        </w:rPr>
        <w:t xml:space="preserve"> pour plus de précision.</w:t>
      </w:r>
    </w:p>
    <w:p w14:paraId="7C499D22" w14:textId="77777777" w:rsidR="00DC6EC5" w:rsidRDefault="00DC6EC5" w:rsidP="00BF640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Qc c. Laroche 2002 (p. 6) :</w:t>
      </w:r>
    </w:p>
    <w:p w14:paraId="4ECF0A36" w14:textId="4370971C" w:rsidR="00BF6408" w:rsidRPr="00DC6EC5" w:rsidRDefault="00DC6EC5" w:rsidP="00880034">
      <w:pPr>
        <w:pStyle w:val="Paragraphedeliste"/>
        <w:widowControl w:val="0"/>
        <w:numPr>
          <w:ilvl w:val="0"/>
          <w:numId w:val="36"/>
        </w:numPr>
        <w:autoSpaceDE w:val="0"/>
        <w:autoSpaceDN w:val="0"/>
        <w:adjustRightInd w:val="0"/>
        <w:spacing w:after="300"/>
        <w:jc w:val="both"/>
        <w:rPr>
          <w:rFonts w:ascii="Times New Roman" w:hAnsi="Times New Roman" w:cs="Times New Roman"/>
          <w:color w:val="3E3E3E"/>
          <w:sz w:val="22"/>
          <w:szCs w:val="22"/>
        </w:rPr>
      </w:pPr>
      <w:r w:rsidRPr="00DC6EC5">
        <w:rPr>
          <w:rFonts w:ascii="Times New Roman" w:hAnsi="Times New Roman" w:cs="Times New Roman"/>
          <w:sz w:val="20"/>
          <w:szCs w:val="20"/>
        </w:rPr>
        <w:t>Dans l’interprétation du mot « saisie », il ne suffit pas de s’arrêter au procédé.  Il faut examiner le contexte et l’objectif de la garantie.  Faire fi de la finalité et du cadre de cette disposition risque de la vider d’une partie de son effet dans bien des situations où les intérêts constitutionnels de protection de la vie privée, sinon de régularité et d’équité fondamentale de la procédure pénale se trouvent en jeu.</w:t>
      </w:r>
      <w:r>
        <w:rPr>
          <w:rFonts w:ascii="Times New Roman" w:hAnsi="Times New Roman" w:cs="Times New Roman"/>
          <w:sz w:val="20"/>
          <w:szCs w:val="20"/>
        </w:rPr>
        <w:t xml:space="preserve"> [...]</w:t>
      </w:r>
      <w:r w:rsidRPr="00DC6EC5">
        <w:rPr>
          <w:rFonts w:ascii="Times New Roman" w:hAnsi="Times New Roman" w:cs="Times New Roman"/>
          <w:sz w:val="20"/>
          <w:szCs w:val="20"/>
        </w:rPr>
        <w:t>Par conséquent, la protection que la Charte assure contre les saisies abusives ne devrait pas s’appliquer à des mesures gouvernementales du seul fait que ces mesures portent atteinte au droit de propriét</w:t>
      </w:r>
      <w:r>
        <w:rPr>
          <w:rFonts w:ascii="Times New Roman" w:hAnsi="Times New Roman" w:cs="Times New Roman"/>
          <w:sz w:val="20"/>
          <w:szCs w:val="20"/>
        </w:rPr>
        <w:t>é. </w:t>
      </w:r>
      <w:r w:rsidRPr="00DC6EC5">
        <w:rPr>
          <w:rFonts w:ascii="Times New Roman" w:hAnsi="Times New Roman" w:cs="Times New Roman"/>
          <w:sz w:val="20"/>
          <w:szCs w:val="20"/>
        </w:rPr>
        <w:t>En particulier, lorsqu’un bien est confisqué par l’État autrement que dans le cadre d’une enquête administrative ou criminelle, il n’y a pas « saisie » au sens de la Charte.  Un certain nombre de décisions illustrent cette perception de la saisie.  La rétention d’un bien ne constitue pas en soi une saisie au sens de la Charte — l’enquête administrative ou criminelle doit avoir une incidence additionnelle sur le droit à la vie privée.</w:t>
      </w:r>
    </w:p>
    <w:p w14:paraId="5161D4E1" w14:textId="39D020D5" w:rsidR="00DC6EC5" w:rsidRDefault="00DC6EC5" w:rsidP="00DC6EC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Evans 1996 (p. 7)</w:t>
      </w:r>
    </w:p>
    <w:p w14:paraId="0D8B733A" w14:textId="2249C54C" w:rsidR="00DC6EC5" w:rsidRPr="00DC6EC5" w:rsidRDefault="00DC6EC5" w:rsidP="00880034">
      <w:pPr>
        <w:pStyle w:val="Paragraphedeliste"/>
        <w:widowControl w:val="0"/>
        <w:numPr>
          <w:ilvl w:val="0"/>
          <w:numId w:val="36"/>
        </w:numPr>
        <w:autoSpaceDE w:val="0"/>
        <w:autoSpaceDN w:val="0"/>
        <w:adjustRightInd w:val="0"/>
        <w:spacing w:after="300"/>
        <w:jc w:val="both"/>
        <w:rPr>
          <w:rFonts w:ascii="Times New Roman" w:hAnsi="Times New Roman" w:cs="Times New Roman"/>
          <w:b/>
          <w:i/>
          <w:color w:val="3E3E3E"/>
          <w:sz w:val="22"/>
          <w:szCs w:val="22"/>
        </w:rPr>
      </w:pPr>
      <w:r w:rsidRPr="004C0591">
        <w:rPr>
          <w:rFonts w:ascii="Times New Roman" w:hAnsi="Times New Roman" w:cs="Times New Roman"/>
          <w:sz w:val="20"/>
          <w:szCs w:val="20"/>
        </w:rPr>
        <w:t>tout type d'enquête gouvernementale ne constituera pas forcément, sur le plan constitutionnel, une «fouille ou perquisition».  Au contraire, ce n'est que lorsque les enquêtes de l'État empiètent sur un droit raisonnable des particuliers à la vie privée que l'action gouvernementale en cause constitue une «fouille ou perquisition» au sens de l'art. 8.</w:t>
      </w:r>
    </w:p>
    <w:p w14:paraId="0322B367" w14:textId="407DA14E" w:rsidR="00DC6EC5" w:rsidRDefault="00DC6EC5" w:rsidP="00DC6EC5">
      <w:pPr>
        <w:widowControl w:val="0"/>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u w:val="single"/>
        </w:rPr>
        <w:t>Les questions à ce poser pour déterminer si l’action est abusive ou non au sens de l’art. 8 :</w:t>
      </w:r>
    </w:p>
    <w:p w14:paraId="2EA1FE56" w14:textId="7976991B" w:rsidR="00DC6EC5" w:rsidRDefault="00DC6EC5" w:rsidP="00DC6EC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Edwards 1996</w:t>
      </w:r>
    </w:p>
    <w:p w14:paraId="17A6EA48" w14:textId="48E6AEDF" w:rsidR="00DC6EC5" w:rsidRPr="00DC6EC5" w:rsidRDefault="00DC6EC5" w:rsidP="00880034">
      <w:pPr>
        <w:pStyle w:val="Paragraphedeliste"/>
        <w:widowControl w:val="0"/>
        <w:numPr>
          <w:ilvl w:val="0"/>
          <w:numId w:val="36"/>
        </w:numPr>
        <w:autoSpaceDE w:val="0"/>
        <w:autoSpaceDN w:val="0"/>
        <w:adjustRightInd w:val="0"/>
        <w:spacing w:after="300"/>
        <w:jc w:val="both"/>
        <w:rPr>
          <w:rFonts w:ascii="Times New Roman" w:hAnsi="Times New Roman" w:cs="Times New Roman"/>
          <w:color w:val="3E3E3E"/>
          <w:sz w:val="20"/>
          <w:szCs w:val="20"/>
        </w:rPr>
      </w:pPr>
      <w:r w:rsidRPr="00DC6EC5">
        <w:rPr>
          <w:rFonts w:ascii="Times New Roman" w:hAnsi="Times New Roman" w:cs="Times New Roman"/>
          <w:sz w:val="20"/>
          <w:szCs w:val="20"/>
        </w:rPr>
        <w:t xml:space="preserve">Dans toute attaque fondée sur l'art. 8, il faut répondre à deux questions distinctes.  </w:t>
      </w:r>
      <w:r w:rsidRPr="00DC6EC5">
        <w:rPr>
          <w:rFonts w:ascii="Times New Roman" w:hAnsi="Times New Roman" w:cs="Times New Roman"/>
          <w:b/>
          <w:sz w:val="20"/>
          <w:szCs w:val="20"/>
        </w:rPr>
        <w:t>La première est de savoir si l'accusé pouvait raisonnablement s'attendre au respect de sa vie privée.  La seconde est de savoir si la perquisition constituait une atteinte abusive à ce droit à la vie privée.</w:t>
      </w:r>
    </w:p>
    <w:p w14:paraId="54CF84BE" w14:textId="5C6F287D" w:rsidR="00DC6EC5" w:rsidRDefault="00DC6EC5" w:rsidP="00DC6EC5">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 xml:space="preserve">1. </w:t>
      </w:r>
      <w:r>
        <w:rPr>
          <w:rFonts w:ascii="Times New Roman" w:hAnsi="Times New Roman" w:cs="Times New Roman"/>
          <w:i/>
          <w:color w:val="3E3E3E"/>
          <w:sz w:val="22"/>
          <w:szCs w:val="22"/>
        </w:rPr>
        <w:t>Illustration de la première question :</w:t>
      </w:r>
    </w:p>
    <w:p w14:paraId="2F713A2C" w14:textId="71286DEB" w:rsidR="00DC6EC5" w:rsidRDefault="00DC6EC5" w:rsidP="00DC6EC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Wong 1990 (p. 7)</w:t>
      </w:r>
    </w:p>
    <w:p w14:paraId="25D18001" w14:textId="611A9D99" w:rsidR="00DC6EC5" w:rsidRPr="00B271F4" w:rsidRDefault="00B271F4" w:rsidP="00880034">
      <w:pPr>
        <w:pStyle w:val="Paragraphedeliste"/>
        <w:widowControl w:val="0"/>
        <w:numPr>
          <w:ilvl w:val="0"/>
          <w:numId w:val="36"/>
        </w:numPr>
        <w:autoSpaceDE w:val="0"/>
        <w:autoSpaceDN w:val="0"/>
        <w:adjustRightInd w:val="0"/>
        <w:spacing w:after="300"/>
        <w:jc w:val="both"/>
        <w:rPr>
          <w:rFonts w:ascii="Times New Roman" w:hAnsi="Times New Roman" w:cs="Times New Roman"/>
          <w:b/>
          <w:i/>
          <w:color w:val="3E3E3E"/>
          <w:sz w:val="22"/>
          <w:szCs w:val="22"/>
        </w:rPr>
      </w:pPr>
      <w:r w:rsidRPr="00B271F4">
        <w:rPr>
          <w:rFonts w:ascii="Times New Roman" w:hAnsi="Times New Roman" w:cs="Times New Roman"/>
          <w:sz w:val="20"/>
          <w:szCs w:val="20"/>
          <w:lang w:val="fr-CA"/>
        </w:rPr>
        <w:t>J'estime fermement que si une société libre et ouverte ne peut tolérer la possibilité qu'en l'absence d'autorisation judiciaire, les agents de l'État aient le droit d'enregistrer les propos de qui ils veulent, il est également inconcevable que l'État ait le pouvoir discrétionnaire illimité de soumettre qui il veut à une surveillance magnétoscopique effectuée subrepticement.</w:t>
      </w:r>
    </w:p>
    <w:p w14:paraId="551CE2ED" w14:textId="48DCF795" w:rsidR="00B271F4" w:rsidRDefault="00B271F4" w:rsidP="00B271F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La formulation de la première question, dans l’arrêt, était grosso modo : est-ce que les accusés, dans une chambre d’hôtel, pouvaient raisonnablement s’attendre au respect de leur vie privé, est-ce que les conversation on vocation à être privé ? La CSC, dans </w:t>
      </w:r>
      <w:r>
        <w:rPr>
          <w:rFonts w:ascii="Times New Roman" w:hAnsi="Times New Roman" w:cs="Times New Roman"/>
          <w:b/>
          <w:color w:val="3E3E3E"/>
          <w:sz w:val="22"/>
          <w:szCs w:val="22"/>
        </w:rPr>
        <w:t xml:space="preserve">Wong, </w:t>
      </w:r>
      <w:r>
        <w:rPr>
          <w:rFonts w:ascii="Times New Roman" w:hAnsi="Times New Roman" w:cs="Times New Roman"/>
          <w:color w:val="3E3E3E"/>
          <w:sz w:val="22"/>
          <w:szCs w:val="22"/>
        </w:rPr>
        <w:t>vient dire que oui.</w:t>
      </w:r>
    </w:p>
    <w:p w14:paraId="6012F601" w14:textId="77AEBF9F" w:rsidR="00B271F4" w:rsidRDefault="00B271F4" w:rsidP="00B271F4">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 xml:space="preserve">1.1. </w:t>
      </w:r>
      <w:r>
        <w:rPr>
          <w:rFonts w:ascii="Times New Roman" w:hAnsi="Times New Roman" w:cs="Times New Roman"/>
          <w:i/>
          <w:color w:val="3E3E3E"/>
          <w:sz w:val="22"/>
          <w:szCs w:val="22"/>
        </w:rPr>
        <w:t>Le critère de «l’ensemble des circonstances» aux fins de détermination de savoir s’il y a une atteinte raisonnable à la vie privée dans une situation donnée (p. 10) :</w:t>
      </w:r>
    </w:p>
    <w:p w14:paraId="05FA2C67" w14:textId="5A54509A" w:rsidR="00B271F4" w:rsidRDefault="00743687" w:rsidP="00B271F4">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Edwards 1996</w:t>
      </w:r>
    </w:p>
    <w:p w14:paraId="210A215C" w14:textId="14E476DA" w:rsidR="00743687" w:rsidRPr="00743687" w:rsidRDefault="00743687" w:rsidP="00880034">
      <w:pPr>
        <w:pStyle w:val="Paragraphedeliste"/>
        <w:numPr>
          <w:ilvl w:val="0"/>
          <w:numId w:val="36"/>
        </w:numPr>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Les facteurs qui peuvent être pris en considération dans l'appréciation de l'ensemble des circonstances incluent notamment:</w:t>
      </w:r>
    </w:p>
    <w:p w14:paraId="1CAE83DE"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6E058D06"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(i) la présence au moment de la perquisition;</w:t>
      </w:r>
    </w:p>
    <w:p w14:paraId="660013EA"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2C08F836"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(ii) la possession ou le contrôle du bien ou du lieu faisant l'objet de la fouille ou de la perquisition;</w:t>
      </w:r>
    </w:p>
    <w:p w14:paraId="6F270149"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46694D46"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(iii)      la propriété du bien ou du lieu;</w:t>
      </w:r>
    </w:p>
    <w:p w14:paraId="50C644BB"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61478CA7"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(iv)      l'usage historique du bien ou de l'article;</w:t>
      </w:r>
    </w:p>
    <w:p w14:paraId="10EBD0E4"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41B975B9"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(v)      l'habilité à régir l'accès au lieu, y compris le droit d'y recevoir ou d'en exclure autrui;</w:t>
      </w:r>
    </w:p>
    <w:p w14:paraId="02E60B35"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4E48B14B"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(vi)      l'existence d'une attente subjective en matière de vie privée;</w:t>
      </w:r>
    </w:p>
    <w:p w14:paraId="55C65733"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350C1EE9"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(vii)      le caractère raisonnable de l'attente, sur le plan objectif.</w:t>
      </w:r>
    </w:p>
    <w:p w14:paraId="2D0AB340" w14:textId="77777777" w:rsidR="00743687" w:rsidRPr="00743687" w:rsidRDefault="00743687" w:rsidP="00743687">
      <w:pPr>
        <w:ind w:left="567"/>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w:t>
      </w:r>
    </w:p>
    <w:p w14:paraId="6295E9AE" w14:textId="77777777" w:rsidR="00743687" w:rsidRDefault="00743687" w:rsidP="00880034">
      <w:pPr>
        <w:pStyle w:val="Paragraphedeliste"/>
        <w:numPr>
          <w:ilvl w:val="0"/>
          <w:numId w:val="36"/>
        </w:numPr>
        <w:jc w:val="both"/>
        <w:rPr>
          <w:rFonts w:ascii="Times New Roman" w:hAnsi="Times New Roman" w:cs="Times New Roman"/>
          <w:sz w:val="22"/>
          <w:szCs w:val="22"/>
          <w:lang w:val="fr-CA"/>
        </w:rPr>
      </w:pPr>
      <w:r w:rsidRPr="00743687">
        <w:rPr>
          <w:rFonts w:ascii="Times New Roman" w:hAnsi="Times New Roman" w:cs="Times New Roman"/>
          <w:sz w:val="22"/>
          <w:szCs w:val="22"/>
          <w:lang w:val="fr-CA"/>
        </w:rPr>
        <w:t>Si l'accusé établit l'existence d'une attente raisonnable en matière de vie privée, il faut alors, dans un deuxième temps, déterminer si la perquisition ou la fouille a été effectuée de façon raisonnable</w:t>
      </w:r>
    </w:p>
    <w:p w14:paraId="012DEFC7" w14:textId="24E4F184" w:rsidR="00743687" w:rsidRDefault="00743687" w:rsidP="00743687">
      <w:pPr>
        <w:jc w:val="both"/>
        <w:rPr>
          <w:rFonts w:ascii="Times New Roman" w:hAnsi="Times New Roman" w:cs="Times New Roman"/>
          <w:sz w:val="22"/>
          <w:szCs w:val="22"/>
          <w:lang w:val="fr-CA"/>
        </w:rPr>
      </w:pPr>
    </w:p>
    <w:p w14:paraId="45285551" w14:textId="5E94AD1C" w:rsidR="00743687" w:rsidRDefault="00743687" w:rsidP="00743687">
      <w:pPr>
        <w:jc w:val="both"/>
        <w:rPr>
          <w:rFonts w:ascii="Times New Roman" w:hAnsi="Times New Roman" w:cs="Times New Roman"/>
          <w:sz w:val="22"/>
          <w:szCs w:val="22"/>
          <w:lang w:val="fr-CA"/>
        </w:rPr>
      </w:pPr>
      <w:r>
        <w:rPr>
          <w:rFonts w:ascii="Times New Roman" w:hAnsi="Times New Roman" w:cs="Times New Roman"/>
          <w:sz w:val="22"/>
          <w:szCs w:val="22"/>
          <w:lang w:val="fr-CA"/>
        </w:rPr>
        <w:t>1) principe généraux applicables dans tous les cas (p.12) :</w:t>
      </w:r>
    </w:p>
    <w:p w14:paraId="31441BC9" w14:textId="77777777" w:rsidR="00743687" w:rsidRDefault="00743687" w:rsidP="00743687">
      <w:pPr>
        <w:jc w:val="both"/>
        <w:rPr>
          <w:rFonts w:ascii="Times New Roman" w:hAnsi="Times New Roman" w:cs="Times New Roman"/>
          <w:sz w:val="22"/>
          <w:szCs w:val="22"/>
          <w:lang w:val="fr-CA"/>
        </w:rPr>
      </w:pPr>
    </w:p>
    <w:p w14:paraId="7DD8493D" w14:textId="76F69179" w:rsidR="00743687" w:rsidRDefault="00743687" w:rsidP="00743687">
      <w:pPr>
        <w:jc w:val="both"/>
        <w:rPr>
          <w:rFonts w:ascii="Times New Roman" w:hAnsi="Times New Roman" w:cs="Times New Roman"/>
          <w:b/>
          <w:sz w:val="22"/>
          <w:szCs w:val="22"/>
          <w:lang w:val="fr-CA"/>
        </w:rPr>
      </w:pPr>
      <w:r>
        <w:rPr>
          <w:rFonts w:ascii="Times New Roman" w:hAnsi="Times New Roman" w:cs="Times New Roman"/>
          <w:sz w:val="22"/>
          <w:szCs w:val="22"/>
          <w:lang w:val="fr-CA"/>
        </w:rPr>
        <w:t>L’exercice d’une activité illégale ne rentre pas en considération dans l’analyse (</w:t>
      </w:r>
      <w:r>
        <w:rPr>
          <w:rFonts w:ascii="Times New Roman" w:hAnsi="Times New Roman" w:cs="Times New Roman"/>
          <w:b/>
          <w:sz w:val="22"/>
          <w:szCs w:val="22"/>
          <w:lang w:val="fr-CA"/>
        </w:rPr>
        <w:t>Arrêt Wong).</w:t>
      </w:r>
    </w:p>
    <w:p w14:paraId="5960F07B" w14:textId="77777777" w:rsidR="00743687" w:rsidRDefault="00743687" w:rsidP="00743687">
      <w:pPr>
        <w:jc w:val="both"/>
        <w:rPr>
          <w:rFonts w:ascii="Times New Roman" w:hAnsi="Times New Roman" w:cs="Times New Roman"/>
          <w:b/>
          <w:sz w:val="22"/>
          <w:szCs w:val="22"/>
          <w:lang w:val="fr-CA"/>
        </w:rPr>
      </w:pPr>
    </w:p>
    <w:p w14:paraId="6C37B349" w14:textId="155AC857" w:rsidR="00743687" w:rsidRDefault="00743687" w:rsidP="00743687">
      <w:pPr>
        <w:jc w:val="both"/>
        <w:rPr>
          <w:rFonts w:ascii="Times New Roman" w:hAnsi="Times New Roman" w:cs="Times New Roman"/>
          <w:sz w:val="22"/>
          <w:szCs w:val="22"/>
          <w:lang w:val="fr-CA"/>
        </w:rPr>
      </w:pPr>
      <w:r>
        <w:rPr>
          <w:rFonts w:ascii="Times New Roman" w:hAnsi="Times New Roman" w:cs="Times New Roman"/>
          <w:sz w:val="22"/>
          <w:szCs w:val="22"/>
          <w:lang w:val="fr-CA"/>
        </w:rPr>
        <w:t>2) L’attente en matière de vie privée est de nature normative et non descriptive :</w:t>
      </w:r>
    </w:p>
    <w:p w14:paraId="56C47411" w14:textId="77777777" w:rsidR="00743687" w:rsidRDefault="00743687" w:rsidP="00743687">
      <w:pPr>
        <w:jc w:val="both"/>
        <w:rPr>
          <w:rFonts w:ascii="Times New Roman" w:hAnsi="Times New Roman" w:cs="Times New Roman"/>
          <w:sz w:val="22"/>
          <w:szCs w:val="22"/>
          <w:lang w:val="fr-CA"/>
        </w:rPr>
      </w:pPr>
    </w:p>
    <w:p w14:paraId="49A58E6F" w14:textId="676B31CE" w:rsidR="00743687" w:rsidRPr="00743687" w:rsidRDefault="00743687" w:rsidP="00880034">
      <w:pPr>
        <w:pStyle w:val="Paragraphedeliste"/>
        <w:numPr>
          <w:ilvl w:val="0"/>
          <w:numId w:val="36"/>
        </w:numPr>
        <w:jc w:val="both"/>
        <w:rPr>
          <w:rFonts w:ascii="Times New Roman" w:hAnsi="Times New Roman" w:cs="Times New Roman"/>
          <w:sz w:val="20"/>
          <w:szCs w:val="20"/>
          <w:lang w:val="fr-CA"/>
        </w:rPr>
      </w:pPr>
      <w:r w:rsidRPr="00743687">
        <w:rPr>
          <w:rFonts w:ascii="Times New Roman" w:hAnsi="Times New Roman" w:cs="Times New Roman"/>
          <w:sz w:val="20"/>
          <w:szCs w:val="20"/>
          <w:lang w:val="fr-CA"/>
        </w:rPr>
        <w:t xml:space="preserve">Exprimé dans </w:t>
      </w:r>
      <w:r w:rsidRPr="00743687">
        <w:rPr>
          <w:rFonts w:ascii="Times New Roman" w:hAnsi="Times New Roman" w:cs="Times New Roman"/>
          <w:b/>
          <w:sz w:val="20"/>
          <w:szCs w:val="20"/>
          <w:lang w:val="fr-CA"/>
        </w:rPr>
        <w:t>Wong</w:t>
      </w:r>
    </w:p>
    <w:p w14:paraId="166290DF" w14:textId="0F2D50A0" w:rsidR="00743687" w:rsidRDefault="00D206D7" w:rsidP="0074368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Patrick 2009 :</w:t>
      </w:r>
    </w:p>
    <w:p w14:paraId="587AD2F4" w14:textId="62E4AF61" w:rsidR="00D206D7" w:rsidRPr="00D206D7" w:rsidRDefault="00D206D7" w:rsidP="00880034">
      <w:pPr>
        <w:pStyle w:val="Paragraphedeliste"/>
        <w:numPr>
          <w:ilvl w:val="0"/>
          <w:numId w:val="36"/>
        </w:numPr>
        <w:jc w:val="both"/>
        <w:rPr>
          <w:rFonts w:ascii="Times New Roman" w:hAnsi="Times New Roman" w:cs="Times New Roman"/>
          <w:b/>
          <w:i/>
          <w:sz w:val="20"/>
          <w:szCs w:val="20"/>
          <w:lang w:val="fr-CA"/>
        </w:rPr>
      </w:pPr>
      <w:r w:rsidRPr="00D206D7">
        <w:rPr>
          <w:rFonts w:ascii="Times New Roman" w:hAnsi="Times New Roman" w:cs="Times New Roman"/>
          <w:sz w:val="20"/>
          <w:szCs w:val="20"/>
          <w:lang w:val="fr-CA"/>
        </w:rPr>
        <w:t>L’attente en matière de vie privée est de nature normative et non descriptive » (</w:t>
      </w:r>
      <w:r w:rsidRPr="00D206D7">
        <w:rPr>
          <w:rFonts w:ascii="Times New Roman" w:hAnsi="Times New Roman" w:cs="Times New Roman"/>
          <w:i/>
          <w:iCs/>
          <w:sz w:val="20"/>
          <w:szCs w:val="20"/>
          <w:lang w:val="fr-CA"/>
        </w:rPr>
        <w:t>Tessling</w:t>
      </w:r>
      <w:r w:rsidRPr="00D206D7">
        <w:rPr>
          <w:rFonts w:ascii="Times New Roman" w:hAnsi="Times New Roman" w:cs="Times New Roman"/>
          <w:sz w:val="20"/>
          <w:szCs w:val="20"/>
          <w:lang w:val="fr-CA"/>
        </w:rPr>
        <w:t>, par. 42).  Un gouvernement qui fouine de plus en plus dans la vie des citoyens, suscitant ainsi leur méfiance et réduisant leurs attentes quant au respect de leur vie privée, ne parviendra pas de ce fait à restreindre unilatéralement le droit constitutionnel de ceux</w:t>
      </w:r>
      <w:r w:rsidRPr="00D206D7">
        <w:rPr>
          <w:rFonts w:ascii="Times New Roman" w:hAnsi="Times New Roman" w:cs="Times New Roman"/>
          <w:sz w:val="20"/>
          <w:szCs w:val="20"/>
          <w:lang w:val="fr-CA"/>
        </w:rPr>
        <w:noBreakHyphen/>
        <w:t>ci à la protection de leur vie privée [...]le droit du public de ne pas être importuné par le gouvernement doit céder le pas au droit du gouvernement de s’immiscer dans la vie privée des particuliers afin de réaliser ses fins et, notamment, d’assurer l’application de la loi</w:t>
      </w:r>
    </w:p>
    <w:p w14:paraId="7A2917A4" w14:textId="77777777" w:rsidR="00D206D7" w:rsidRDefault="00D206D7" w:rsidP="00D206D7">
      <w:pPr>
        <w:jc w:val="both"/>
        <w:rPr>
          <w:rFonts w:ascii="Times New Roman" w:hAnsi="Times New Roman" w:cs="Times New Roman"/>
          <w:b/>
          <w:i/>
          <w:sz w:val="20"/>
          <w:szCs w:val="20"/>
          <w:lang w:val="fr-CA"/>
        </w:rPr>
      </w:pPr>
    </w:p>
    <w:p w14:paraId="78461810" w14:textId="2A46713C" w:rsidR="00D206D7" w:rsidRDefault="00D206D7" w:rsidP="00D206D7">
      <w:pPr>
        <w:jc w:val="both"/>
        <w:rPr>
          <w:rFonts w:ascii="Times New Roman" w:hAnsi="Times New Roman" w:cs="Times New Roman"/>
          <w:b/>
          <w:i/>
          <w:sz w:val="20"/>
          <w:szCs w:val="20"/>
          <w:lang w:val="fr-CA"/>
        </w:rPr>
      </w:pPr>
      <w:r>
        <w:rPr>
          <w:rFonts w:ascii="Times New Roman" w:hAnsi="Times New Roman" w:cs="Times New Roman"/>
          <w:b/>
          <w:i/>
          <w:sz w:val="20"/>
          <w:szCs w:val="20"/>
          <w:lang w:val="fr-CA"/>
        </w:rPr>
        <w:t>R. Tessling 2004 (p. 13) :</w:t>
      </w:r>
    </w:p>
    <w:p w14:paraId="6B72C636" w14:textId="74AF817A" w:rsidR="00D206D7" w:rsidRPr="00D206D7" w:rsidRDefault="00D206D7" w:rsidP="00880034">
      <w:pPr>
        <w:pStyle w:val="Paragraphedeliste"/>
        <w:numPr>
          <w:ilvl w:val="0"/>
          <w:numId w:val="36"/>
        </w:numPr>
        <w:jc w:val="both"/>
        <w:rPr>
          <w:rFonts w:ascii="Times New Roman" w:hAnsi="Times New Roman" w:cs="Times New Roman"/>
          <w:i/>
          <w:sz w:val="20"/>
          <w:szCs w:val="20"/>
          <w:lang w:val="fr-CA"/>
        </w:rPr>
      </w:pPr>
      <w:r w:rsidRPr="00D206D7">
        <w:rPr>
          <w:rFonts w:ascii="Times New Roman" w:hAnsi="Times New Roman" w:cs="Times New Roman"/>
          <w:sz w:val="20"/>
          <w:szCs w:val="20"/>
          <w:lang w:val="fr-CA"/>
        </w:rPr>
        <w:t xml:space="preserve">Affirmer qu’un particulier qui laisse ses ordures au ramassage n’a pas d’attente raisonnable en matière de vie privée à leur sujet est une chose.  Mais c’en est une toute autre de dire qu’une personne qui craint que son téléphone soit sur écoute n’a plus d’attente </w:t>
      </w:r>
      <w:r w:rsidRPr="00D206D7">
        <w:rPr>
          <w:rFonts w:ascii="Times New Roman" w:hAnsi="Times New Roman" w:cs="Times New Roman"/>
          <w:i/>
          <w:iCs/>
          <w:sz w:val="20"/>
          <w:szCs w:val="20"/>
          <w:lang w:val="fr-CA"/>
        </w:rPr>
        <w:t>subjective</w:t>
      </w:r>
      <w:r w:rsidRPr="00D206D7">
        <w:rPr>
          <w:rFonts w:ascii="Times New Roman" w:hAnsi="Times New Roman" w:cs="Times New Roman"/>
          <w:sz w:val="20"/>
          <w:szCs w:val="20"/>
          <w:lang w:val="fr-CA"/>
        </w:rPr>
        <w:t xml:space="preserve"> en matière de vie privée et qu’elle ne peut plus de ce fait revendiquer la protection de l’art. 8.  L’attente en matière de vie privée est de nature normative et non descriptive.</w:t>
      </w:r>
    </w:p>
    <w:p w14:paraId="0F7FF202" w14:textId="0CE6B351" w:rsidR="00D206D7" w:rsidRDefault="00D206D7" w:rsidP="00D206D7">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 xml:space="preserve"> </w:t>
      </w:r>
    </w:p>
    <w:p w14:paraId="0979D031" w14:textId="7D5AA040" w:rsidR="00D206D7" w:rsidRDefault="00D206D7" w:rsidP="00D206D7">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Edwards [1996]</w:t>
      </w:r>
    </w:p>
    <w:p w14:paraId="2134B042" w14:textId="2702E06D" w:rsidR="00D206D7" w:rsidRDefault="00D206D7" w:rsidP="00D206D7">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Cet arrêt vise à éclaircir la deuxième question à ce poser</w:t>
      </w:r>
    </w:p>
    <w:p w14:paraId="664FC10B" w14:textId="46D73898" w:rsidR="00682A67" w:rsidRPr="00682A67" w:rsidRDefault="00682A67" w:rsidP="00880034">
      <w:pPr>
        <w:pStyle w:val="Paragraphedeliste"/>
        <w:widowControl w:val="0"/>
        <w:numPr>
          <w:ilvl w:val="0"/>
          <w:numId w:val="36"/>
        </w:numPr>
        <w:autoSpaceDE w:val="0"/>
        <w:autoSpaceDN w:val="0"/>
        <w:adjustRightInd w:val="0"/>
        <w:spacing w:after="300"/>
        <w:jc w:val="both"/>
        <w:rPr>
          <w:rFonts w:ascii="Times New Roman" w:hAnsi="Times New Roman" w:cs="Verdana"/>
          <w:color w:val="3E3E3E"/>
          <w:sz w:val="22"/>
          <w:szCs w:val="22"/>
        </w:rPr>
      </w:pPr>
      <w:r w:rsidRPr="00682A67">
        <w:rPr>
          <w:rFonts w:ascii="Times New Roman" w:hAnsi="Times New Roman" w:cs="Times New Roman"/>
          <w:sz w:val="20"/>
          <w:szCs w:val="20"/>
          <w:lang w:val="fr-CA"/>
        </w:rPr>
        <w:t>L'atteinte aux droits d'un tiers à la vie privée peut toutefois être pertinente au second stade de l'analyse fondée sur l'art. 8, lorsqu'il s'agit de savoir si la perquisition était raisonnable [36]</w:t>
      </w:r>
      <w:r>
        <w:rPr>
          <w:rFonts w:ascii="Times New Roman" w:hAnsi="Times New Roman" w:cs="Times New Roman"/>
          <w:sz w:val="20"/>
          <w:szCs w:val="20"/>
          <w:lang w:val="fr-CA"/>
        </w:rPr>
        <w:t xml:space="preserve"> [...]</w:t>
      </w:r>
      <w:r w:rsidRPr="006834E9">
        <w:rPr>
          <w:rFonts w:ascii="Times New Roman" w:hAnsi="Times New Roman" w:cs="Times New Roman"/>
          <w:sz w:val="20"/>
          <w:szCs w:val="20"/>
          <w:lang w:val="fr-CA"/>
        </w:rPr>
        <w:t>Il importe de faire remarquer que le juge Sopinka a pris soin de souligner que l'atteinte aux droits d'un tiers à la vie privée n'est pas déterminante en ce qui concerne le caractère raisonnable de la fouille ou de la perquisition</w:t>
      </w:r>
      <w:r>
        <w:rPr>
          <w:rFonts w:ascii="Times New Roman" w:hAnsi="Times New Roman" w:cs="Times New Roman"/>
          <w:sz w:val="20"/>
          <w:szCs w:val="20"/>
          <w:lang w:val="fr-CA"/>
        </w:rPr>
        <w:t xml:space="preserve"> [37].</w:t>
      </w:r>
    </w:p>
    <w:p w14:paraId="2EEAFFA4" w14:textId="27B886BF" w:rsidR="00682A67" w:rsidRPr="00682A67" w:rsidRDefault="00682A67" w:rsidP="00880034">
      <w:pPr>
        <w:pStyle w:val="Paragraphedeliste"/>
        <w:widowControl w:val="0"/>
        <w:numPr>
          <w:ilvl w:val="0"/>
          <w:numId w:val="36"/>
        </w:numPr>
        <w:autoSpaceDE w:val="0"/>
        <w:autoSpaceDN w:val="0"/>
        <w:adjustRightInd w:val="0"/>
        <w:spacing w:after="300"/>
        <w:jc w:val="both"/>
        <w:rPr>
          <w:rFonts w:ascii="Times New Roman" w:hAnsi="Times New Roman" w:cs="Verdana"/>
          <w:color w:val="3E3E3E"/>
          <w:sz w:val="22"/>
          <w:szCs w:val="22"/>
        </w:rPr>
      </w:pPr>
      <w:r w:rsidRPr="00682A67">
        <w:rPr>
          <w:rFonts w:ascii="Times New Roman" w:hAnsi="Times New Roman" w:cs="Times New Roman"/>
          <w:sz w:val="20"/>
          <w:szCs w:val="20"/>
          <w:lang w:val="fr-CA"/>
        </w:rPr>
        <w:t>L'article 8 garantit un droit général à la protection contre les fouilles, les perquisitions et les saisies abusives, qui protège, à tout le moins, le droit d'une personne d'avoir une attente raisonnable en matière de vie privée.  Par conséquent, l'art. 8 peut servir à donner qualité à l'accusé qui pouvait raisonnablement s'attendre au respect de sa vie privée dans les lieux où la saisie a été effectuée, même s'il n'avait aucun droit de propriété ou de possession sur les lieux ou les articles saisis</w:t>
      </w:r>
      <w:r>
        <w:rPr>
          <w:rFonts w:ascii="Times New Roman" w:hAnsi="Times New Roman" w:cs="Times New Roman"/>
          <w:sz w:val="20"/>
          <w:szCs w:val="20"/>
          <w:lang w:val="fr-CA"/>
        </w:rPr>
        <w:t>.</w:t>
      </w:r>
    </w:p>
    <w:p w14:paraId="00992B0C" w14:textId="77DFB6DF" w:rsidR="00682A67" w:rsidRPr="00682A67" w:rsidRDefault="00682A67" w:rsidP="00880034">
      <w:pPr>
        <w:pStyle w:val="Paragraphedeliste"/>
        <w:widowControl w:val="0"/>
        <w:numPr>
          <w:ilvl w:val="0"/>
          <w:numId w:val="36"/>
        </w:numPr>
        <w:autoSpaceDE w:val="0"/>
        <w:autoSpaceDN w:val="0"/>
        <w:adjustRightInd w:val="0"/>
        <w:spacing w:after="300"/>
        <w:jc w:val="both"/>
        <w:rPr>
          <w:rFonts w:ascii="Times New Roman" w:hAnsi="Times New Roman" w:cs="Verdana"/>
          <w:color w:val="3E3E3E"/>
          <w:sz w:val="22"/>
          <w:szCs w:val="22"/>
        </w:rPr>
      </w:pPr>
      <w:r w:rsidRPr="00682A67">
        <w:rPr>
          <w:rFonts w:ascii="Times New Roman" w:hAnsi="Times New Roman" w:cs="Times New Roman"/>
          <w:sz w:val="20"/>
          <w:szCs w:val="20"/>
          <w:lang w:val="fr-CA"/>
        </w:rPr>
        <w:t>Et puisque cette attente raisonnable en matière de vie privée est un droit protégé par la Charte, le fardeau d'en prouver la violation incombe à l'appelant. [. . .] Rien dans le dossier ne permet de dire que l'appelant pouvait raisonnablement s'attendre au respect de sa vie privée dans l'appartement de McInnis ou dans toute partie de celui</w:t>
      </w:r>
      <w:r w:rsidRPr="00682A67">
        <w:rPr>
          <w:rFonts w:ascii="Times New Roman" w:hAnsi="Times New Roman" w:cs="Times New Roman"/>
          <w:sz w:val="20"/>
          <w:szCs w:val="20"/>
          <w:lang w:val="fr-CA"/>
        </w:rPr>
        <w:noBreakHyphen/>
        <w:t>ci où la drogue et les accessoires facilitant la consommation de drogue ont été saisis.  L'appelant est donc dans l'incapacité d'établir qu'</w:t>
      </w:r>
      <w:r w:rsidRPr="00682A67">
        <w:rPr>
          <w:rFonts w:ascii="Times New Roman" w:hAnsi="Times New Roman" w:cs="Times New Roman"/>
          <w:i/>
          <w:iCs/>
          <w:sz w:val="20"/>
          <w:szCs w:val="20"/>
          <w:lang w:val="fr-CA"/>
        </w:rPr>
        <w:t>il</w:t>
      </w:r>
      <w:r w:rsidRPr="00682A67">
        <w:rPr>
          <w:rFonts w:ascii="Times New Roman" w:hAnsi="Times New Roman" w:cs="Times New Roman"/>
          <w:sz w:val="20"/>
          <w:szCs w:val="20"/>
          <w:lang w:val="fr-CA"/>
        </w:rPr>
        <w:t xml:space="preserve"> avait un droit constitutionnellement protégé</w:t>
      </w:r>
      <w:r>
        <w:rPr>
          <w:rFonts w:ascii="Times New Roman" w:hAnsi="Times New Roman" w:cs="Times New Roman"/>
          <w:sz w:val="20"/>
          <w:szCs w:val="20"/>
          <w:lang w:val="fr-CA"/>
        </w:rPr>
        <w:t>.</w:t>
      </w:r>
    </w:p>
    <w:p w14:paraId="5C778085" w14:textId="77777777" w:rsidR="00682A67" w:rsidRPr="00682A67" w:rsidRDefault="00682A67" w:rsidP="00682A67">
      <w:pPr>
        <w:pStyle w:val="Paragraphedeliste"/>
        <w:widowControl w:val="0"/>
        <w:autoSpaceDE w:val="0"/>
        <w:autoSpaceDN w:val="0"/>
        <w:adjustRightInd w:val="0"/>
        <w:spacing w:after="300"/>
        <w:ind w:left="775"/>
        <w:jc w:val="both"/>
        <w:rPr>
          <w:rFonts w:ascii="Times New Roman" w:hAnsi="Times New Roman" w:cs="Verdana"/>
          <w:color w:val="3E3E3E"/>
          <w:sz w:val="22"/>
          <w:szCs w:val="22"/>
        </w:rPr>
      </w:pPr>
    </w:p>
    <w:p w14:paraId="6BC44ED7" w14:textId="77777777" w:rsidR="00BF6408" w:rsidRPr="00BF6408" w:rsidRDefault="00BF6408" w:rsidP="00BF6408">
      <w:pPr>
        <w:widowControl w:val="0"/>
        <w:autoSpaceDE w:val="0"/>
        <w:autoSpaceDN w:val="0"/>
        <w:adjustRightInd w:val="0"/>
        <w:spacing w:after="300"/>
        <w:jc w:val="both"/>
        <w:rPr>
          <w:rFonts w:ascii="Times New Roman" w:hAnsi="Times New Roman" w:cs="Verdana"/>
          <w:i/>
          <w:color w:val="3E3E3E"/>
          <w:sz w:val="22"/>
          <w:szCs w:val="22"/>
        </w:rPr>
      </w:pPr>
      <w:r w:rsidRPr="00BF6408">
        <w:rPr>
          <w:rFonts w:ascii="Times New Roman" w:hAnsi="Times New Roman" w:cs="Verdana"/>
          <w:b/>
          <w:color w:val="3E3E3E"/>
          <w:sz w:val="22"/>
          <w:szCs w:val="22"/>
        </w:rPr>
        <w:t>B. Application du test</w:t>
      </w:r>
      <w:r>
        <w:rPr>
          <w:rFonts w:ascii="Times New Roman" w:hAnsi="Times New Roman" w:cs="Verdana"/>
          <w:b/>
          <w:color w:val="3E3E3E"/>
          <w:sz w:val="22"/>
          <w:szCs w:val="22"/>
        </w:rPr>
        <w:t xml:space="preserve"> (</w:t>
      </w:r>
      <w:r>
        <w:rPr>
          <w:rFonts w:ascii="Times New Roman" w:hAnsi="Times New Roman" w:cs="Verdana"/>
          <w:i/>
          <w:color w:val="3E3E3E"/>
          <w:sz w:val="22"/>
          <w:szCs w:val="22"/>
        </w:rPr>
        <w:t>prof à dit qu’on ne l’appliquerait pas à l’examen, mais il reste pertinent si une des situations qu’on plaide n’est pas couverte par la jurisprudence).</w:t>
      </w:r>
    </w:p>
    <w:p w14:paraId="65117AD3"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p>
    <w:p w14:paraId="326CC314" w14:textId="77777777" w:rsidR="00682A67" w:rsidRDefault="00BF6408" w:rsidP="00682A67">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                       </w:t>
      </w:r>
      <w:r w:rsidRPr="00BF6408">
        <w:rPr>
          <w:rFonts w:ascii="Times New Roman" w:hAnsi="Times New Roman" w:cs="Verdana"/>
          <w:b/>
          <w:color w:val="3E3E3E"/>
          <w:sz w:val="22"/>
          <w:szCs w:val="22"/>
        </w:rPr>
        <w:t>1.</w:t>
      </w:r>
      <w:r w:rsidRPr="00BF6408">
        <w:rPr>
          <w:rFonts w:ascii="Times New Roman" w:hAnsi="Times New Roman" w:cs="Verdana"/>
          <w:color w:val="3E3E3E"/>
          <w:sz w:val="22"/>
          <w:szCs w:val="22"/>
        </w:rPr>
        <w:t xml:space="preserve"> Personnes</w:t>
      </w:r>
      <w:r>
        <w:rPr>
          <w:rFonts w:ascii="Times New Roman" w:hAnsi="Times New Roman" w:cs="Verdana"/>
          <w:color w:val="3E3E3E"/>
          <w:sz w:val="22"/>
          <w:szCs w:val="22"/>
        </w:rPr>
        <w:t> ;</w:t>
      </w:r>
    </w:p>
    <w:p w14:paraId="22F0EEBE" w14:textId="2A33EFAE" w:rsidR="00682A67" w:rsidRDefault="00682A67" w:rsidP="00682A67">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Une atteinte à l’intégrité corporelle constitue une saisie au sens de l’arrêt Dyment. Cela peut causer des troubles physique ou psychologique à une personne (ça que le prof dit). L’intrusion sur les personnes peut être de deux aspect : (1) prendre quelques choses du corps de la personne et (2) chercher sur une personne ou dans ses effet personnelle, une arme, etc.</w:t>
      </w:r>
    </w:p>
    <w:p w14:paraId="098970AF" w14:textId="7AFE8477" w:rsidR="00682A67" w:rsidRDefault="00682A67" w:rsidP="00682A67">
      <w:pPr>
        <w:widowControl w:val="0"/>
        <w:autoSpaceDE w:val="0"/>
        <w:autoSpaceDN w:val="0"/>
        <w:adjustRightInd w:val="0"/>
        <w:spacing w:after="30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b/>
          <w:sz w:val="22"/>
          <w:szCs w:val="22"/>
        </w:rPr>
        <w:t xml:space="preserve">1) </w:t>
      </w:r>
      <w:r>
        <w:rPr>
          <w:rFonts w:ascii="Times New Roman" w:hAnsi="Times New Roman" w:cs="Times New Roman"/>
          <w:sz w:val="22"/>
          <w:szCs w:val="22"/>
        </w:rPr>
        <w:t>Le prélèvement de substances corporelles (p.15) :</w:t>
      </w:r>
    </w:p>
    <w:p w14:paraId="4FAB1FBD" w14:textId="781B82BB" w:rsidR="00682A67" w:rsidRDefault="00682A67" w:rsidP="00880034">
      <w:pPr>
        <w:pStyle w:val="Paragraphedeliste"/>
        <w:widowControl w:val="0"/>
        <w:numPr>
          <w:ilvl w:val="0"/>
          <w:numId w:val="37"/>
        </w:numPr>
        <w:autoSpaceDE w:val="0"/>
        <w:autoSpaceDN w:val="0"/>
        <w:adjustRightInd w:val="0"/>
        <w:spacing w:after="300"/>
        <w:jc w:val="both"/>
        <w:rPr>
          <w:rFonts w:ascii="Times New Roman" w:hAnsi="Times New Roman" w:cs="Verdana"/>
          <w:color w:val="3E3E3E"/>
          <w:sz w:val="20"/>
          <w:szCs w:val="20"/>
        </w:rPr>
      </w:pPr>
      <w:r w:rsidRPr="00682A67">
        <w:rPr>
          <w:rFonts w:ascii="Times New Roman" w:hAnsi="Times New Roman" w:cs="Verdana"/>
          <w:color w:val="3E3E3E"/>
          <w:sz w:val="20"/>
          <w:szCs w:val="20"/>
        </w:rPr>
        <w:t>La jurisprudence nous dit que c’est une atteinte à la vie privée</w:t>
      </w:r>
    </w:p>
    <w:p w14:paraId="52734468" w14:textId="5DBAA884" w:rsidR="00682A67" w:rsidRPr="00682A67" w:rsidRDefault="00682A67" w:rsidP="00682A67">
      <w:pPr>
        <w:widowControl w:val="0"/>
        <w:autoSpaceDE w:val="0"/>
        <w:autoSpaceDN w:val="0"/>
        <w:adjustRightInd w:val="0"/>
        <w:spacing w:after="300"/>
        <w:jc w:val="both"/>
        <w:rPr>
          <w:rFonts w:ascii="Times New Roman" w:hAnsi="Times New Roman" w:cs="Verdana"/>
          <w:i/>
          <w:color w:val="3E3E3E"/>
          <w:sz w:val="22"/>
          <w:szCs w:val="22"/>
        </w:rPr>
      </w:pPr>
      <w:r w:rsidRPr="00682A67">
        <w:rPr>
          <w:rFonts w:ascii="Times New Roman" w:hAnsi="Times New Roman" w:cs="Verdana"/>
          <w:i/>
          <w:color w:val="3E3E3E"/>
          <w:sz w:val="22"/>
          <w:szCs w:val="22"/>
        </w:rPr>
        <w:t>Le cas des personnes condamnées</w:t>
      </w:r>
    </w:p>
    <w:p w14:paraId="7C838CBA" w14:textId="0C229B2E" w:rsidR="00682A67" w:rsidRDefault="00682A67" w:rsidP="00682A67">
      <w:pPr>
        <w:widowControl w:val="0"/>
        <w:autoSpaceDE w:val="0"/>
        <w:autoSpaceDN w:val="0"/>
        <w:adjustRightInd w:val="0"/>
        <w:spacing w:after="300"/>
        <w:jc w:val="both"/>
        <w:rPr>
          <w:rFonts w:ascii="Times New Roman" w:hAnsi="Times New Roman" w:cs="Verdana"/>
          <w:b/>
          <w:i/>
          <w:color w:val="3E3E3E"/>
          <w:sz w:val="20"/>
          <w:szCs w:val="20"/>
        </w:rPr>
      </w:pPr>
      <w:r>
        <w:rPr>
          <w:rFonts w:ascii="Times New Roman" w:hAnsi="Times New Roman" w:cs="Verdana"/>
          <w:b/>
          <w:i/>
          <w:color w:val="3E3E3E"/>
          <w:sz w:val="20"/>
          <w:szCs w:val="20"/>
        </w:rPr>
        <w:t>R. c. Rodgers 2006</w:t>
      </w:r>
    </w:p>
    <w:p w14:paraId="5CDFADFD" w14:textId="434F1898" w:rsidR="00682A67" w:rsidRPr="00682A67" w:rsidRDefault="00682A67" w:rsidP="00880034">
      <w:pPr>
        <w:pStyle w:val="Paragraphedeliste"/>
        <w:widowControl w:val="0"/>
        <w:numPr>
          <w:ilvl w:val="0"/>
          <w:numId w:val="37"/>
        </w:numPr>
        <w:autoSpaceDE w:val="0"/>
        <w:autoSpaceDN w:val="0"/>
        <w:adjustRightInd w:val="0"/>
        <w:spacing w:after="300"/>
        <w:jc w:val="both"/>
        <w:rPr>
          <w:rFonts w:ascii="Times New Roman" w:hAnsi="Times New Roman" w:cs="Verdana"/>
          <w:b/>
          <w:i/>
          <w:color w:val="3E3E3E"/>
          <w:sz w:val="20"/>
          <w:szCs w:val="20"/>
        </w:rPr>
      </w:pPr>
      <w:r w:rsidRPr="00682A67">
        <w:rPr>
          <w:rFonts w:ascii="Times New Roman" w:hAnsi="Times New Roman" w:cs="Times New Roman"/>
          <w:sz w:val="20"/>
          <w:szCs w:val="20"/>
        </w:rPr>
        <w:t xml:space="preserve">Pour les motifs qui suivent, j’arrive à la conclusion que le prélèvement sur les catégories de condamnés désignées d’échantillons d’ADN destinés à la banque de données génétiques n’est pas abusif au sens de l’art. 8 de la </w:t>
      </w:r>
      <w:r w:rsidRPr="00682A67">
        <w:rPr>
          <w:rFonts w:ascii="Times New Roman" w:hAnsi="Times New Roman" w:cs="Times New Roman"/>
          <w:i/>
          <w:iCs/>
          <w:sz w:val="20"/>
          <w:szCs w:val="20"/>
        </w:rPr>
        <w:t>Charte</w:t>
      </w:r>
      <w:r w:rsidRPr="00682A67">
        <w:rPr>
          <w:rFonts w:ascii="Times New Roman" w:hAnsi="Times New Roman" w:cs="Times New Roman"/>
          <w:sz w:val="20"/>
          <w:szCs w:val="20"/>
        </w:rPr>
        <w:t>.  La société a indéniablement intérêt à ce que les organismes chargés du contrôle d’application de la loi recourent à cette technique performante pour identifier les contrevenants.  L’atteinte à l’intégrité physique est minime. </w:t>
      </w:r>
    </w:p>
    <w:p w14:paraId="4C6F4833" w14:textId="468155B5" w:rsidR="00682A67" w:rsidRDefault="00682A67" w:rsidP="00682A67">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 l’«abandon» de substance corporelle</w:t>
      </w:r>
    </w:p>
    <w:p w14:paraId="5F9414C0" w14:textId="71F4FD3D" w:rsidR="00C12A7B" w:rsidRDefault="00C12A7B" w:rsidP="00682A67">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Stillman 1997 (p. 16)</w:t>
      </w:r>
    </w:p>
    <w:p w14:paraId="4EECEAB5" w14:textId="5370AD23" w:rsidR="00C12A7B" w:rsidRPr="00C12A7B" w:rsidRDefault="00C12A7B" w:rsidP="00880034">
      <w:pPr>
        <w:pStyle w:val="Paragraphedeliste"/>
        <w:widowControl w:val="0"/>
        <w:numPr>
          <w:ilvl w:val="0"/>
          <w:numId w:val="37"/>
        </w:numPr>
        <w:autoSpaceDE w:val="0"/>
        <w:autoSpaceDN w:val="0"/>
        <w:adjustRightInd w:val="0"/>
        <w:spacing w:after="300"/>
        <w:jc w:val="both"/>
        <w:rPr>
          <w:rFonts w:ascii="Times New Roman" w:hAnsi="Times New Roman" w:cs="Verdana"/>
          <w:b/>
          <w:i/>
          <w:color w:val="3E3E3E"/>
          <w:sz w:val="22"/>
          <w:szCs w:val="22"/>
        </w:rPr>
      </w:pPr>
      <w:r w:rsidRPr="0038368A">
        <w:rPr>
          <w:rFonts w:ascii="Times New Roman" w:hAnsi="Times New Roman" w:cs="Times New Roman"/>
          <w:sz w:val="20"/>
          <w:szCs w:val="20"/>
        </w:rPr>
        <w:t xml:space="preserve">Par conséquent, lorsqu’un accusé </w:t>
      </w:r>
      <w:r w:rsidRPr="0038368A">
        <w:rPr>
          <w:rFonts w:ascii="Times New Roman" w:hAnsi="Times New Roman" w:cs="Times New Roman"/>
          <w:b/>
          <w:sz w:val="20"/>
          <w:szCs w:val="20"/>
        </w:rPr>
        <w:t>qui n’est pas détenu</w:t>
      </w:r>
      <w:r w:rsidRPr="0038368A">
        <w:rPr>
          <w:rFonts w:ascii="Times New Roman" w:hAnsi="Times New Roman" w:cs="Times New Roman"/>
          <w:sz w:val="20"/>
          <w:szCs w:val="20"/>
        </w:rPr>
        <w:t xml:space="preserve"> jette un papier</w:t>
      </w:r>
      <w:r w:rsidRPr="0038368A">
        <w:rPr>
          <w:rFonts w:ascii="American Typewriter" w:hAnsi="American Typewriter" w:cs="American Typewriter"/>
          <w:sz w:val="20"/>
          <w:szCs w:val="20"/>
        </w:rPr>
        <w:t>‑</w:t>
      </w:r>
      <w:r w:rsidRPr="0038368A">
        <w:rPr>
          <w:rFonts w:ascii="Times New Roman" w:hAnsi="Times New Roman" w:cs="Times New Roman"/>
          <w:sz w:val="20"/>
          <w:szCs w:val="20"/>
        </w:rPr>
        <w:t>mouchoir ou un mégot de cigarette, la police peut normalement recueillir ces objets et les faire analyser, sans avoir à se soucier d’obtenir un consentemen</w:t>
      </w:r>
      <w:r>
        <w:rPr>
          <w:rFonts w:ascii="Times New Roman" w:hAnsi="Times New Roman" w:cs="Times New Roman"/>
          <w:sz w:val="20"/>
          <w:szCs w:val="20"/>
        </w:rPr>
        <w:t>t.</w:t>
      </w:r>
    </w:p>
    <w:p w14:paraId="2FD32CF6" w14:textId="71D72FB3" w:rsidR="00C12A7B" w:rsidRPr="00C12A7B" w:rsidRDefault="00C12A7B" w:rsidP="00C12A7B">
      <w:pPr>
        <w:jc w:val="both"/>
        <w:rPr>
          <w:rFonts w:ascii="Times New Roman" w:hAnsi="Times New Roman" w:cs="Times New Roman"/>
          <w:b/>
          <w:sz w:val="22"/>
          <w:szCs w:val="22"/>
        </w:rPr>
      </w:pPr>
      <w:r w:rsidRPr="00C12A7B">
        <w:rPr>
          <w:rFonts w:ascii="Times New Roman" w:hAnsi="Times New Roman" w:cs="Times New Roman"/>
          <w:sz w:val="22"/>
          <w:szCs w:val="22"/>
        </w:rPr>
        <w:t>Il existe deux exceptions notables en cas d’abandon de substance</w:t>
      </w:r>
      <w:r>
        <w:rPr>
          <w:rFonts w:ascii="Times New Roman" w:hAnsi="Times New Roman" w:cs="Times New Roman"/>
          <w:sz w:val="22"/>
          <w:szCs w:val="22"/>
        </w:rPr>
        <w:t> </w:t>
      </w:r>
      <w:r>
        <w:rPr>
          <w:rFonts w:ascii="Times New Roman" w:hAnsi="Times New Roman" w:cs="Times New Roman"/>
          <w:b/>
          <w:sz w:val="22"/>
          <w:szCs w:val="22"/>
        </w:rPr>
        <w:t>: (</w:t>
      </w:r>
      <w:r w:rsidRPr="00C12A7B">
        <w:rPr>
          <w:rFonts w:ascii="Times New Roman" w:hAnsi="Times New Roman" w:cs="Times New Roman"/>
          <w:sz w:val="22"/>
          <w:szCs w:val="22"/>
        </w:rPr>
        <w:t>1</w:t>
      </w:r>
      <w:r>
        <w:rPr>
          <w:rFonts w:ascii="Times New Roman" w:hAnsi="Times New Roman" w:cs="Times New Roman"/>
          <w:b/>
          <w:sz w:val="22"/>
          <w:szCs w:val="22"/>
        </w:rPr>
        <w:t xml:space="preserve">) </w:t>
      </w:r>
      <w:r w:rsidRPr="00C12A7B">
        <w:rPr>
          <w:rFonts w:ascii="Times New Roman" w:hAnsi="Times New Roman" w:cs="Times New Roman"/>
          <w:sz w:val="22"/>
          <w:szCs w:val="22"/>
        </w:rPr>
        <w:t>il peut exister un minimum d’attente à la vie privée dépendant du lieu de la saisie : imaginer que la police perquisitionne une maison d’un suspect sans mandat en espérant y trouver de l’ADN.</w:t>
      </w:r>
      <w:r>
        <w:rPr>
          <w:rFonts w:ascii="Times New Roman" w:hAnsi="Times New Roman" w:cs="Times New Roman"/>
          <w:b/>
          <w:sz w:val="22"/>
          <w:szCs w:val="22"/>
        </w:rPr>
        <w:t xml:space="preserve">(2) </w:t>
      </w:r>
      <w:r w:rsidRPr="00C12A7B">
        <w:rPr>
          <w:rFonts w:ascii="Times New Roman" w:hAnsi="Times New Roman" w:cs="Times New Roman"/>
          <w:b/>
          <w:sz w:val="22"/>
          <w:szCs w:val="22"/>
        </w:rPr>
        <w:t>si la personne concernée est en détention </w:t>
      </w:r>
      <w:r w:rsidRPr="00C12A7B">
        <w:rPr>
          <w:rFonts w:ascii="Times New Roman" w:hAnsi="Times New Roman" w:cs="Times New Roman"/>
          <w:sz w:val="22"/>
          <w:szCs w:val="22"/>
        </w:rPr>
        <w:t>: voir Stillman plus haut</w:t>
      </w:r>
      <w:r>
        <w:rPr>
          <w:rFonts w:ascii="Times New Roman" w:hAnsi="Times New Roman" w:cs="Times New Roman"/>
          <w:sz w:val="22"/>
          <w:szCs w:val="22"/>
        </w:rPr>
        <w:t xml:space="preserve"> et suivant.</w:t>
      </w:r>
    </w:p>
    <w:p w14:paraId="43777B69" w14:textId="17D683E2" w:rsidR="00C12A7B" w:rsidRPr="00C12A7B" w:rsidRDefault="00C12A7B" w:rsidP="00880034">
      <w:pPr>
        <w:pStyle w:val="Paragraphedeliste"/>
        <w:widowControl w:val="0"/>
        <w:numPr>
          <w:ilvl w:val="0"/>
          <w:numId w:val="37"/>
        </w:numPr>
        <w:autoSpaceDE w:val="0"/>
        <w:autoSpaceDN w:val="0"/>
        <w:adjustRightInd w:val="0"/>
        <w:spacing w:after="300"/>
        <w:jc w:val="both"/>
        <w:rPr>
          <w:rFonts w:ascii="Times New Roman" w:hAnsi="Times New Roman" w:cs="Verdana"/>
          <w:color w:val="3E3E3E"/>
          <w:sz w:val="22"/>
          <w:szCs w:val="22"/>
        </w:rPr>
      </w:pPr>
      <w:r w:rsidRPr="00C12A7B">
        <w:rPr>
          <w:rFonts w:ascii="Times New Roman" w:hAnsi="Times New Roman" w:cs="Times New Roman"/>
          <w:sz w:val="20"/>
          <w:szCs w:val="20"/>
        </w:rPr>
        <w:t>Un certain nombre de décisions appuient la proposition voulant que, lorsqu’un suspect ou un accusé, qui se trouve en présence de la police, se défait d’un objet qui peut constituer un élément de preuve utile pour établir son profil génétique, les policiers peuvent «recueillir» cet élément de preuve sans que cela soit considéré comme une saisie illégale [55].</w:t>
      </w:r>
    </w:p>
    <w:p w14:paraId="1B8E4461" w14:textId="3C17D95B" w:rsidR="00C12A7B" w:rsidRPr="00C12A7B" w:rsidRDefault="00C12A7B" w:rsidP="00880034">
      <w:pPr>
        <w:pStyle w:val="Paragraphedeliste"/>
        <w:widowControl w:val="0"/>
        <w:numPr>
          <w:ilvl w:val="0"/>
          <w:numId w:val="37"/>
        </w:numPr>
        <w:autoSpaceDE w:val="0"/>
        <w:autoSpaceDN w:val="0"/>
        <w:adjustRightInd w:val="0"/>
        <w:spacing w:after="300"/>
        <w:jc w:val="both"/>
        <w:rPr>
          <w:rFonts w:ascii="Times New Roman" w:hAnsi="Times New Roman" w:cs="Verdana"/>
          <w:color w:val="3E3E3E"/>
          <w:sz w:val="22"/>
          <w:szCs w:val="22"/>
        </w:rPr>
      </w:pPr>
      <w:r w:rsidRPr="0038368A">
        <w:rPr>
          <w:rFonts w:ascii="Times New Roman" w:hAnsi="Times New Roman" w:cs="Times New Roman"/>
          <w:sz w:val="20"/>
          <w:szCs w:val="20"/>
        </w:rPr>
        <w:t>La difficulté que pose cet argument, c’est que, lorsqu’un accusé est détenu, la production d’échantillons de substances corporelles n’a rien d’imprévu.  Elle est simplement la conséquence inévitable du fonctionnement normal du corps humain.  Les policiers ne sont capables de profiter de cette production d’échantillons que parce que l’accusé est constamment sous leur surveillance.  C’est pourquoi il est quelque peu trompeur de parler d’«abandon» dans le contexte d’un élément de preuve obtenu auprès d’un accusé qui est détenu</w:t>
      </w:r>
      <w:r>
        <w:rPr>
          <w:rFonts w:ascii="Times New Roman" w:hAnsi="Times New Roman" w:cs="Times New Roman"/>
          <w:sz w:val="20"/>
          <w:szCs w:val="20"/>
        </w:rPr>
        <w:t xml:space="preserve"> [58].</w:t>
      </w:r>
    </w:p>
    <w:p w14:paraId="110E0E49" w14:textId="77777777" w:rsidR="00C12A7B" w:rsidRPr="00C12A7B" w:rsidRDefault="00C12A7B" w:rsidP="00880034">
      <w:pPr>
        <w:pStyle w:val="Paragraphedeliste"/>
        <w:numPr>
          <w:ilvl w:val="0"/>
          <w:numId w:val="37"/>
        </w:numPr>
        <w:jc w:val="both"/>
        <w:rPr>
          <w:rFonts w:ascii="Times New Roman" w:hAnsi="Times New Roman" w:cs="Times New Roman"/>
          <w:sz w:val="20"/>
          <w:szCs w:val="20"/>
        </w:rPr>
      </w:pPr>
      <w:r w:rsidRPr="00C12A7B">
        <w:rPr>
          <w:rFonts w:ascii="Times New Roman" w:hAnsi="Times New Roman" w:cs="Times New Roman"/>
          <w:sz w:val="20"/>
          <w:szCs w:val="20"/>
        </w:rPr>
        <w:t xml:space="preserve">En l’espèce, toutefois, l’accusé avait fait savoir par ses avocats qu’il ne consentirait pas au prélèvement d’échantillons de ses substances corporelles.  Les policiers étaient au courant de cette décision.  En dépit de cela, ils se sont emparés du papier-mouchoir que l’appelant avait jeté alors qu’il était détenu.  Dans ces circonstances, la saisie était abusive et violait les droits garantis à l’appelant par l’art. 8 de la </w:t>
      </w:r>
      <w:r w:rsidRPr="00C12A7B">
        <w:rPr>
          <w:rFonts w:ascii="Times New Roman" w:hAnsi="Times New Roman" w:cs="Times New Roman"/>
          <w:i/>
          <w:iCs/>
          <w:sz w:val="20"/>
          <w:szCs w:val="20"/>
        </w:rPr>
        <w:t>Charte</w:t>
      </w:r>
      <w:r w:rsidRPr="00C12A7B">
        <w:rPr>
          <w:rFonts w:ascii="Times New Roman" w:hAnsi="Times New Roman" w:cs="Times New Roman"/>
          <w:sz w:val="20"/>
          <w:szCs w:val="20"/>
        </w:rPr>
        <w:t>.</w:t>
      </w:r>
    </w:p>
    <w:p w14:paraId="35232E66" w14:textId="77777777" w:rsidR="00663A9C" w:rsidRDefault="00663A9C" w:rsidP="00663A9C">
      <w:pPr>
        <w:widowControl w:val="0"/>
        <w:autoSpaceDE w:val="0"/>
        <w:autoSpaceDN w:val="0"/>
        <w:adjustRightInd w:val="0"/>
        <w:spacing w:after="300"/>
        <w:jc w:val="both"/>
        <w:rPr>
          <w:rFonts w:ascii="Times New Roman" w:hAnsi="Times New Roman" w:cs="Verdana"/>
          <w:color w:val="3E3E3E"/>
          <w:sz w:val="22"/>
          <w:szCs w:val="22"/>
        </w:rPr>
      </w:pPr>
    </w:p>
    <w:p w14:paraId="55DBB0BB" w14:textId="2CE0D083" w:rsidR="00663A9C" w:rsidRDefault="00663A9C" w:rsidP="00663A9C">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empreintes digitales (p. 18)</w:t>
      </w:r>
    </w:p>
    <w:p w14:paraId="75A743CC" w14:textId="5D123209" w:rsidR="00663A9C" w:rsidRDefault="00663A9C" w:rsidP="00663A9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Loi sur l’identification des criminels</w:t>
      </w:r>
    </w:p>
    <w:p w14:paraId="01DB81E0" w14:textId="1A89AAC7" w:rsidR="00663A9C" w:rsidRDefault="00663A9C" w:rsidP="00880034">
      <w:pPr>
        <w:pStyle w:val="Paragraphedeliste"/>
        <w:widowControl w:val="0"/>
        <w:numPr>
          <w:ilvl w:val="0"/>
          <w:numId w:val="38"/>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prise d’empreinte suite à une arrestation illégale n’est pas valide.</w:t>
      </w:r>
    </w:p>
    <w:p w14:paraId="4AEA5347" w14:textId="1BDE551B" w:rsidR="00663A9C" w:rsidRDefault="00663A9C" w:rsidP="00880034">
      <w:pPr>
        <w:pStyle w:val="Paragraphedeliste"/>
        <w:widowControl w:val="0"/>
        <w:numPr>
          <w:ilvl w:val="0"/>
          <w:numId w:val="38"/>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Loi est consitutionnelle.</w:t>
      </w:r>
    </w:p>
    <w:p w14:paraId="2E6961EC" w14:textId="77F166C2" w:rsidR="00663A9C" w:rsidRDefault="00663A9C" w:rsidP="00663A9C">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Feeney 1997 :</w:t>
      </w:r>
    </w:p>
    <w:p w14:paraId="030019CA" w14:textId="4709F9F4" w:rsidR="00663A9C" w:rsidRPr="00663A9C" w:rsidRDefault="00663A9C"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2"/>
          <w:szCs w:val="22"/>
        </w:rPr>
      </w:pPr>
      <w:r w:rsidRPr="004D2C8E">
        <w:rPr>
          <w:rFonts w:ascii="Times New Roman" w:hAnsi="Times New Roman" w:cs="Times New Roman"/>
          <w:sz w:val="20"/>
          <w:szCs w:val="20"/>
        </w:rPr>
        <w:t xml:space="preserve">Il a été décidé dans l’arrêt </w:t>
      </w:r>
      <w:r w:rsidRPr="004D2C8E">
        <w:rPr>
          <w:rFonts w:ascii="Times New Roman" w:hAnsi="Times New Roman" w:cs="Times New Roman"/>
          <w:i/>
          <w:iCs/>
          <w:sz w:val="20"/>
          <w:szCs w:val="20"/>
        </w:rPr>
        <w:t>R. c. Beare</w:t>
      </w:r>
      <w:r w:rsidRPr="004D2C8E">
        <w:rPr>
          <w:rFonts w:ascii="Times New Roman" w:hAnsi="Times New Roman" w:cs="Times New Roman"/>
          <w:sz w:val="20"/>
          <w:szCs w:val="20"/>
        </w:rPr>
        <w:t xml:space="preserve">,[1988] 2 R.C.S. 387, que la prise d’empreintes digitales accessoire à une arrestation légale ne violait pas la </w:t>
      </w:r>
      <w:r w:rsidRPr="004D2C8E">
        <w:rPr>
          <w:rFonts w:ascii="Times New Roman" w:hAnsi="Times New Roman" w:cs="Times New Roman"/>
          <w:i/>
          <w:iCs/>
          <w:sz w:val="20"/>
          <w:szCs w:val="20"/>
        </w:rPr>
        <w:t>Charte</w:t>
      </w:r>
      <w:r w:rsidRPr="004D2C8E">
        <w:rPr>
          <w:rFonts w:ascii="Times New Roman" w:hAnsi="Times New Roman" w:cs="Times New Roman"/>
          <w:sz w:val="20"/>
          <w:szCs w:val="20"/>
        </w:rPr>
        <w:t xml:space="preserve">.  En l’espèce, toutefois, l’arrestation était illégale et comportait diverses violations de la </w:t>
      </w:r>
      <w:r w:rsidRPr="004D2C8E">
        <w:rPr>
          <w:rFonts w:ascii="Times New Roman" w:hAnsi="Times New Roman" w:cs="Times New Roman"/>
          <w:i/>
          <w:iCs/>
          <w:sz w:val="20"/>
          <w:szCs w:val="20"/>
        </w:rPr>
        <w:t>Charte</w:t>
      </w:r>
      <w:r w:rsidRPr="004D2C8E">
        <w:rPr>
          <w:rFonts w:ascii="Times New Roman" w:hAnsi="Times New Roman" w:cs="Times New Roman"/>
          <w:sz w:val="20"/>
          <w:szCs w:val="20"/>
        </w:rPr>
        <w:t xml:space="preserve">.  Obliger l’accusé à fournir des empreintes digitales dans le présent contexte violait, à mon sens, l’art. 8 de la </w:t>
      </w:r>
      <w:r w:rsidRPr="004D2C8E">
        <w:rPr>
          <w:rFonts w:ascii="Times New Roman" w:hAnsi="Times New Roman" w:cs="Times New Roman"/>
          <w:i/>
          <w:iCs/>
          <w:sz w:val="20"/>
          <w:szCs w:val="20"/>
        </w:rPr>
        <w:t>Charte</w:t>
      </w:r>
      <w:r w:rsidRPr="004D2C8E">
        <w:rPr>
          <w:rFonts w:ascii="Times New Roman" w:hAnsi="Times New Roman" w:cs="Times New Roman"/>
          <w:sz w:val="20"/>
          <w:szCs w:val="20"/>
        </w:rPr>
        <w:t>, du fait que cela impliquait une fouille et une saisie relatives au corps de l’appelant, à l’égard duquel, tout au moins quand l’arrestation n’est pas légale, les attentes en matière de vie privée sont nettement élevées</w:t>
      </w:r>
      <w:r>
        <w:rPr>
          <w:rFonts w:ascii="Times New Roman" w:hAnsi="Times New Roman" w:cs="Times New Roman"/>
          <w:sz w:val="20"/>
          <w:szCs w:val="20"/>
        </w:rPr>
        <w:t xml:space="preserve"> [60].</w:t>
      </w:r>
    </w:p>
    <w:p w14:paraId="1A94B051"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                       2</w:t>
      </w:r>
      <w:r w:rsidRPr="00BF6408">
        <w:rPr>
          <w:rFonts w:ascii="Times New Roman" w:hAnsi="Times New Roman" w:cs="Verdana"/>
          <w:color w:val="3E3E3E"/>
          <w:sz w:val="22"/>
          <w:szCs w:val="22"/>
        </w:rPr>
        <w:t>. Biens mobiliers privés</w:t>
      </w:r>
      <w:r>
        <w:rPr>
          <w:rFonts w:ascii="Times New Roman" w:hAnsi="Times New Roman" w:cs="Verdana"/>
          <w:color w:val="3E3E3E"/>
          <w:sz w:val="22"/>
          <w:szCs w:val="22"/>
        </w:rPr>
        <w:t> ;</w:t>
      </w:r>
    </w:p>
    <w:p w14:paraId="553CDA75" w14:textId="1119348B" w:rsidR="00BF6408" w:rsidRDefault="00BF6408" w:rsidP="00BF6408">
      <w:pPr>
        <w:widowControl w:val="0"/>
        <w:autoSpaceDE w:val="0"/>
        <w:autoSpaceDN w:val="0"/>
        <w:adjustRightInd w:val="0"/>
        <w:spacing w:after="300"/>
        <w:jc w:val="both"/>
        <w:rPr>
          <w:rFonts w:ascii="Times New Roman" w:hAnsi="Times New Roman" w:cs="Verdana"/>
          <w:i/>
          <w:color w:val="3E3E3E"/>
          <w:sz w:val="22"/>
          <w:szCs w:val="22"/>
        </w:rPr>
      </w:pPr>
      <w:r w:rsidRPr="00BF6408">
        <w:rPr>
          <w:rFonts w:ascii="Times New Roman" w:hAnsi="Times New Roman" w:cs="Verdana"/>
          <w:color w:val="3E3E3E"/>
          <w:sz w:val="22"/>
          <w:szCs w:val="22"/>
        </w:rPr>
        <w:t> </w:t>
      </w:r>
      <w:r w:rsidR="00EB469B">
        <w:rPr>
          <w:rFonts w:ascii="Times New Roman" w:hAnsi="Times New Roman" w:cs="Verdana"/>
          <w:i/>
          <w:color w:val="3E3E3E"/>
          <w:sz w:val="22"/>
          <w:szCs w:val="22"/>
        </w:rPr>
        <w:t>Le cas des valises</w:t>
      </w:r>
    </w:p>
    <w:p w14:paraId="7C20CB03" w14:textId="4F730173" w:rsidR="00EB469B" w:rsidRP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i/>
          <w:color w:val="3E3E3E"/>
          <w:sz w:val="22"/>
          <w:szCs w:val="22"/>
        </w:rPr>
        <w:t>R. c. Mohamad 2004 (p.19).</w:t>
      </w:r>
    </w:p>
    <w:p w14:paraId="16A19237" w14:textId="34A73C9D" w:rsidR="00EB469B" w:rsidRDefault="00EB469B" w:rsidP="00EB469B">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portefeuilles</w:t>
      </w:r>
    </w:p>
    <w:p w14:paraId="30A492FA" w14:textId="63C7E976" w:rsidR="00EB469B" w:rsidRP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i/>
          <w:color w:val="3E3E3E"/>
          <w:sz w:val="22"/>
          <w:szCs w:val="22"/>
        </w:rPr>
        <w:t>R.v. Gregoire 2005</w:t>
      </w:r>
    </w:p>
    <w:p w14:paraId="18A74327" w14:textId="265C07D1" w:rsidR="00EB469B" w:rsidRDefault="00EB469B" w:rsidP="00EB469B">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ordinateur et appareils de communication</w:t>
      </w:r>
    </w:p>
    <w:p w14:paraId="6161F7E2" w14:textId="2A9CC59E" w:rsidR="00EB469B" w:rsidRDefault="00EB469B" w:rsidP="00EB469B">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 xml:space="preserve">R. c. Morelli 2010 </w:t>
      </w:r>
      <w:r>
        <w:rPr>
          <w:rFonts w:ascii="Times New Roman" w:hAnsi="Times New Roman" w:cs="Verdana"/>
          <w:color w:val="3E3E3E"/>
          <w:sz w:val="22"/>
          <w:szCs w:val="22"/>
        </w:rPr>
        <w:t>(Ordinateur privé)</w:t>
      </w:r>
      <w:r>
        <w:rPr>
          <w:rFonts w:ascii="Times New Roman" w:hAnsi="Times New Roman" w:cs="Verdana"/>
          <w:b/>
          <w:i/>
          <w:color w:val="3E3E3E"/>
          <w:sz w:val="22"/>
          <w:szCs w:val="22"/>
        </w:rPr>
        <w:t> :</w:t>
      </w:r>
    </w:p>
    <w:p w14:paraId="12F23599" w14:textId="682C62E4" w:rsidR="00EB469B" w:rsidRDefault="00EB469B" w:rsidP="00EB469B">
      <w:pPr>
        <w:widowControl w:val="0"/>
        <w:autoSpaceDE w:val="0"/>
        <w:autoSpaceDN w:val="0"/>
        <w:adjustRightInd w:val="0"/>
        <w:spacing w:after="300"/>
        <w:jc w:val="both"/>
        <w:rPr>
          <w:rFonts w:ascii="Times New Roman" w:hAnsi="Times New Roman" w:cs="Verdana"/>
          <w:b/>
          <w:i/>
          <w:color w:val="3E3E3E"/>
          <w:sz w:val="22"/>
          <w:szCs w:val="22"/>
        </w:rPr>
      </w:pPr>
      <w:r w:rsidRPr="00471C27">
        <w:rPr>
          <w:rFonts w:ascii="Times New Roman" w:hAnsi="Times New Roman" w:cs="Times New Roman"/>
          <w:sz w:val="22"/>
          <w:szCs w:val="22"/>
        </w:rPr>
        <w:t>Le pourvoi porte sur le droit de toute personne au Canada, y compris l’appelant, à la protection contre les fouilles, les perquisitions ou les saisies abusives.  Il concerne plus particulièrement la fouille et la saisie d’ordinateurs personnels</w:t>
      </w:r>
      <w:r>
        <w:rPr>
          <w:rFonts w:ascii="Times New Roman" w:hAnsi="Times New Roman" w:cs="Times New Roman"/>
          <w:sz w:val="22"/>
          <w:szCs w:val="22"/>
        </w:rPr>
        <w:t>.</w:t>
      </w:r>
    </w:p>
    <w:p w14:paraId="009B5A72" w14:textId="7D4BA583" w:rsidR="00EB469B" w:rsidRP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b/>
          <w:i/>
          <w:color w:val="3E3E3E"/>
          <w:sz w:val="22"/>
          <w:szCs w:val="22"/>
        </w:rPr>
      </w:pPr>
      <w:r w:rsidRPr="00471C27">
        <w:rPr>
          <w:rFonts w:ascii="Times New Roman" w:hAnsi="Times New Roman" w:cs="Times New Roman"/>
          <w:sz w:val="22"/>
          <w:szCs w:val="22"/>
        </w:rPr>
        <w:t>Il est difficile d’imaginer une perquisition, une fouille et une saisie plus envahissantes, d’une plus grande ampleur ou plus attentatoires à la vie privée que celles d’un ordinateur personnel</w:t>
      </w:r>
      <w:r>
        <w:rPr>
          <w:rFonts w:ascii="Times New Roman" w:hAnsi="Times New Roman" w:cs="Times New Roman"/>
          <w:sz w:val="22"/>
          <w:szCs w:val="22"/>
        </w:rPr>
        <w:t xml:space="preserve"> [2]</w:t>
      </w:r>
    </w:p>
    <w:p w14:paraId="1AAD16AD" w14:textId="65A4B754" w:rsidR="00EB469B" w:rsidRDefault="00EB469B" w:rsidP="00EB469B">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R. v. Bacon &amp; Bacon</w:t>
      </w:r>
      <w:r>
        <w:rPr>
          <w:rFonts w:ascii="Times New Roman" w:hAnsi="Times New Roman" w:cs="Verdana"/>
          <w:color w:val="3E3E3E"/>
          <w:sz w:val="22"/>
          <w:szCs w:val="22"/>
        </w:rPr>
        <w:t xml:space="preserve"> (appareils de communication) (p.20) :</w:t>
      </w:r>
    </w:p>
    <w:p w14:paraId="1B2821E0" w14:textId="5DAD2BBB" w:rsidR="00EB469B" w:rsidRP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2"/>
          <w:szCs w:val="22"/>
        </w:rPr>
      </w:pPr>
      <w:r w:rsidRPr="0018236B">
        <w:rPr>
          <w:rFonts w:ascii="Times New Roman" w:hAnsi="Times New Roman" w:cs="Times New Roman"/>
          <w:sz w:val="20"/>
          <w:szCs w:val="20"/>
        </w:rPr>
        <w:t>Chelsea had a reasonable expectation of privacy to the information contained in her cell phone; it was found in a place to which she had a reasonable expectation of privacy, her bedroom, and there was no lawful authority in the search warrant to search her cell phone. There is a well-recognized right to informational privacy</w:t>
      </w:r>
      <w:r>
        <w:rPr>
          <w:rFonts w:ascii="Times New Roman" w:hAnsi="Times New Roman" w:cs="Times New Roman"/>
          <w:sz w:val="20"/>
          <w:szCs w:val="20"/>
        </w:rPr>
        <w:t xml:space="preserve"> [47].</w:t>
      </w:r>
    </w:p>
    <w:p w14:paraId="577393AD" w14:textId="530E0A52" w:rsidR="00EB469B" w:rsidRDefault="00EB469B" w:rsidP="00EB469B">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d’un agenda ou un journal personnel</w:t>
      </w:r>
    </w:p>
    <w:p w14:paraId="5CAEBB49" w14:textId="491F805F" w:rsidR="00EB469B" w:rsidRDefault="00EB469B" w:rsidP="00EB469B">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Shearing 2002 :</w:t>
      </w:r>
    </w:p>
    <w:p w14:paraId="588CA3C3" w14:textId="6420D0F9" w:rsidR="00EB469B" w:rsidRP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0"/>
          <w:szCs w:val="20"/>
        </w:rPr>
      </w:pPr>
      <w:r w:rsidRPr="00EB469B">
        <w:rPr>
          <w:rFonts w:ascii="Times New Roman" w:hAnsi="Times New Roman" w:cs="Times New Roman"/>
          <w:sz w:val="20"/>
          <w:szCs w:val="20"/>
        </w:rPr>
        <w:t xml:space="preserve">Toutefois, que ces inscriptions soient « banales » ou non, ce facteur n’a pas pour effet de réduire le droit de la plaignante au respect de sa vie privée relativement à ce journal.  On peut difficilement contester que le journal personnel d’un adolescent ou d’une adolescente fait partie des documents à l’égard desquels le droit à la vie privée est le plus élevé; [TRADUCTION] « [l]es journaux intimes servent de refuges privés dans notre société.  Les adolescents achètent des journaux personnels munis d’une serrure et d’une clé [...]Par conséquent, le fait que KWG ait expressément décidé d’inscrire ses pensées et ses souvenirs d’événements quotidiens dans un journal privé muni d’une serrure, plutôt que, par exemple, sur un calendrier figurant sur son babillard, sur des autocollants fixés sur le réfrigérateur ou même dans son cahier de notes, tend selon moi à indiquer qu’elle avait des attentes élevées quant au respect du caractère privé de ce qu’elle écrivait, </w:t>
      </w:r>
      <w:r w:rsidRPr="00EB469B">
        <w:rPr>
          <w:rFonts w:ascii="Times New Roman" w:hAnsi="Times New Roman" w:cs="Times New Roman"/>
          <w:sz w:val="20"/>
          <w:szCs w:val="20"/>
          <w:u w:val="single"/>
        </w:rPr>
        <w:t>indépendamment</w:t>
      </w:r>
      <w:r w:rsidRPr="00EB469B">
        <w:rPr>
          <w:rFonts w:ascii="Times New Roman" w:hAnsi="Times New Roman" w:cs="Times New Roman"/>
          <w:sz w:val="20"/>
          <w:szCs w:val="20"/>
        </w:rPr>
        <w:t xml:space="preserve"> de la teneur de ces écrits [167].</w:t>
      </w:r>
    </w:p>
    <w:p w14:paraId="781FAD6A" w14:textId="192D1646" w:rsidR="00EB469B" w:rsidRDefault="00EB469B" w:rsidP="00EB469B">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i/>
          <w:color w:val="3E3E3E"/>
          <w:sz w:val="22"/>
          <w:szCs w:val="22"/>
        </w:rPr>
        <w:t>Le cas des documents commerciaux</w:t>
      </w:r>
      <w:r>
        <w:rPr>
          <w:rFonts w:ascii="Times New Roman" w:hAnsi="Times New Roman" w:cs="Verdana"/>
          <w:color w:val="3E3E3E"/>
          <w:sz w:val="22"/>
          <w:szCs w:val="22"/>
        </w:rPr>
        <w:t xml:space="preserve"> (p. 20)</w:t>
      </w:r>
    </w:p>
    <w:p w14:paraId="188DF643" w14:textId="0A979884" w:rsidR="00EB469B" w:rsidRDefault="00EB469B" w:rsidP="00EB469B">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Ceux-ci doivent respecter le critère ‘’personnel et confidentiel’’</w:t>
      </w:r>
    </w:p>
    <w:p w14:paraId="74C2C842" w14:textId="01045DEA" w:rsidR="00EB469B" w:rsidRDefault="00EB469B" w:rsidP="00880034">
      <w:pPr>
        <w:pStyle w:val="Paragraphedeliste"/>
        <w:widowControl w:val="0"/>
        <w:numPr>
          <w:ilvl w:val="0"/>
          <w:numId w:val="39"/>
        </w:numPr>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v. Black 2003</w:t>
      </w:r>
    </w:p>
    <w:p w14:paraId="02AEA534" w14:textId="12B2D5EF" w:rsidR="00EB469B" w:rsidRDefault="00EB469B" w:rsidP="00EB469B">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documents détenus par un avocat (outre le fait que ce soit une information privilégiée)</w:t>
      </w:r>
    </w:p>
    <w:p w14:paraId="59951815" w14:textId="31C5BAA3" w:rsidR="00EB469B" w:rsidRDefault="00EB469B" w:rsidP="00EB469B">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Lavalle, Rackel &amp; Heintz c. Canada 2002 :</w:t>
      </w:r>
    </w:p>
    <w:p w14:paraId="0995BC96" w14:textId="50F71BE1" w:rsidR="00EB469B" w:rsidRPr="006F04A8" w:rsidRDefault="006F04A8" w:rsidP="00880034">
      <w:pPr>
        <w:pStyle w:val="Paragraphedeliste"/>
        <w:widowControl w:val="0"/>
        <w:numPr>
          <w:ilvl w:val="0"/>
          <w:numId w:val="39"/>
        </w:numPr>
        <w:autoSpaceDE w:val="0"/>
        <w:autoSpaceDN w:val="0"/>
        <w:adjustRightInd w:val="0"/>
        <w:spacing w:after="300"/>
        <w:jc w:val="both"/>
        <w:rPr>
          <w:rFonts w:ascii="Times New Roman" w:hAnsi="Times New Roman" w:cs="Verdana"/>
          <w:b/>
          <w:i/>
          <w:color w:val="3E3E3E"/>
          <w:sz w:val="20"/>
          <w:szCs w:val="20"/>
        </w:rPr>
      </w:pPr>
      <w:r w:rsidRPr="006F04A8">
        <w:rPr>
          <w:rFonts w:ascii="Times New Roman" w:hAnsi="Times New Roman" w:cs="Times New Roman"/>
          <w:sz w:val="20"/>
          <w:szCs w:val="20"/>
        </w:rPr>
        <w:t>Le client a une attente raisonnable au respect du caractère privé de tous les documents en la possession de son avocat, lesquels constituent des renseignements dont l’avocat est tenu, sur le plan de l’éthique, de préserver la confidentialité, et son attente est du plus haut niveau lorsque ces documents sont protégés par le privilège du secret professionnel de l’avocat [35].</w:t>
      </w:r>
    </w:p>
    <w:p w14:paraId="32F56214" w14:textId="3EC4B9CA" w:rsidR="006F04A8" w:rsidRDefault="006F04A8" w:rsidP="006F04A8">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documents financiers</w:t>
      </w:r>
    </w:p>
    <w:p w14:paraId="1C184803" w14:textId="61D757A9" w:rsidR="006F04A8" w:rsidRDefault="006F04A8" w:rsidP="006F04A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Jarvis 2002 (p.21) :</w:t>
      </w:r>
    </w:p>
    <w:p w14:paraId="1D4ADF17" w14:textId="4333FADC" w:rsidR="006F04A8" w:rsidRPr="006F04A8" w:rsidRDefault="006F04A8" w:rsidP="00880034">
      <w:pPr>
        <w:pStyle w:val="Paragraphedeliste"/>
        <w:widowControl w:val="0"/>
        <w:numPr>
          <w:ilvl w:val="0"/>
          <w:numId w:val="39"/>
        </w:numPr>
        <w:autoSpaceDE w:val="0"/>
        <w:autoSpaceDN w:val="0"/>
        <w:adjustRightInd w:val="0"/>
        <w:spacing w:after="300"/>
        <w:jc w:val="both"/>
        <w:rPr>
          <w:rFonts w:ascii="Times New Roman" w:hAnsi="Times New Roman" w:cs="Verdana"/>
          <w:b/>
          <w:i/>
          <w:color w:val="3E3E3E"/>
          <w:sz w:val="20"/>
          <w:szCs w:val="20"/>
        </w:rPr>
      </w:pPr>
      <w:r w:rsidRPr="006F04A8">
        <w:rPr>
          <w:rFonts w:ascii="Times New Roman" w:hAnsi="Times New Roman" w:cs="Times New Roman"/>
          <w:sz w:val="20"/>
          <w:szCs w:val="20"/>
        </w:rPr>
        <w:t>Il en résulte certaines conséquences.  Premièrement, le contribuable ne peut être contraint de faire aucune nouvelle déclaration sous le régime de l’al. 231.1(1)</w:t>
      </w:r>
      <w:r w:rsidRPr="006F04A8">
        <w:rPr>
          <w:rFonts w:ascii="Times New Roman" w:hAnsi="Times New Roman" w:cs="Times New Roman"/>
          <w:i/>
          <w:iCs/>
          <w:sz w:val="20"/>
          <w:szCs w:val="20"/>
        </w:rPr>
        <w:t>d</w:t>
      </w:r>
      <w:r w:rsidRPr="006F04A8">
        <w:rPr>
          <w:rFonts w:ascii="Times New Roman" w:hAnsi="Times New Roman" w:cs="Times New Roman"/>
          <w:sz w:val="20"/>
          <w:szCs w:val="20"/>
        </w:rPr>
        <w:t xml:space="preserve">) pour faire progresser l’enquête criminelle.  De même, aucun document écrit ne peut être inspecté ni examiné, sauf sur obtention d’un mandat judiciaire sous le régime des art. 231.3 de la LIR ou 487 du </w:t>
      </w:r>
      <w:hyperlink r:id="rId13" w:history="1">
        <w:r w:rsidRPr="006F04A8">
          <w:rPr>
            <w:rStyle w:val="Lienhypertexte"/>
            <w:rFonts w:ascii="Times New Roman" w:hAnsi="Times New Roman" w:cs="Times New Roman"/>
            <w:i/>
            <w:iCs/>
            <w:sz w:val="20"/>
            <w:szCs w:val="20"/>
          </w:rPr>
          <w:t>Code criminel</w:t>
        </w:r>
      </w:hyperlink>
      <w:r w:rsidRPr="006F04A8">
        <w:rPr>
          <w:rFonts w:ascii="Times New Roman" w:hAnsi="Times New Roman" w:cs="Times New Roman"/>
          <w:sz w:val="20"/>
          <w:szCs w:val="20"/>
        </w:rPr>
        <w:t>, et ni le contribuable, ni les tiers ne peuvent être contraints à produire des documents pour les besoins de l’enquête criminelle [96].</w:t>
      </w:r>
    </w:p>
    <w:p w14:paraId="3C2B9740" w14:textId="41F732B4" w:rsidR="006F04A8" w:rsidRDefault="006F04A8" w:rsidP="006F04A8">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2"/>
          <w:szCs w:val="22"/>
        </w:rPr>
        <w:t xml:space="preserve">Le professeur Stylios mentionne que dans le cas de biens, il est impératif de plaider le droit de propriété et le fait qu’on a un intérêt à la vie privée. À l’appuie de cela, il évoque un passage de l’arrêt </w:t>
      </w:r>
      <w:r>
        <w:rPr>
          <w:rFonts w:ascii="Times New Roman" w:hAnsi="Times New Roman" w:cs="Verdana"/>
          <w:b/>
          <w:color w:val="3E3E3E"/>
          <w:sz w:val="22"/>
          <w:szCs w:val="22"/>
        </w:rPr>
        <w:t>Belnavis 1997 (p.22) :</w:t>
      </w:r>
    </w:p>
    <w:p w14:paraId="4360FEA7" w14:textId="6D2F9ECA" w:rsidR="006F04A8" w:rsidRPr="00EB2AA6" w:rsidRDefault="006F04A8" w:rsidP="00880034">
      <w:pPr>
        <w:pStyle w:val="Paragraphedeliste"/>
        <w:widowControl w:val="0"/>
        <w:numPr>
          <w:ilvl w:val="0"/>
          <w:numId w:val="39"/>
        </w:numPr>
        <w:autoSpaceDE w:val="0"/>
        <w:autoSpaceDN w:val="0"/>
        <w:adjustRightInd w:val="0"/>
        <w:spacing w:after="300"/>
        <w:jc w:val="both"/>
        <w:rPr>
          <w:rFonts w:ascii="Times New Roman" w:hAnsi="Times New Roman" w:cs="Verdana"/>
          <w:b/>
          <w:color w:val="3E3E3E"/>
          <w:sz w:val="22"/>
          <w:szCs w:val="22"/>
        </w:rPr>
      </w:pPr>
      <w:r w:rsidRPr="006F04A8">
        <w:rPr>
          <w:rFonts w:ascii="Times New Roman" w:hAnsi="Times New Roman" w:cs="Times New Roman"/>
          <w:sz w:val="20"/>
          <w:szCs w:val="20"/>
        </w:rPr>
        <w:t>La seule autre façon dont Lawrence pourrait alléguer qu’il y a eu violation de ses droits garantis par l’art. 8 serait de démontrer qu’elle avait une attente raisonnable en matière de vie privée quant aux articles saisis, soit les sacs de marchandises, ce qu’elle a été incapable de faire.  Lorsqu’on lui a posé des questions concernant les trois sacs à déchets placés sur le siège arrière de l’automobile, Lawrence (passagère). a seulement répondu que chacune des occupantes de l’automobile en possédait un.  Elle n’a pas précisé quel sac lui appartenait ni posé aucun geste qui aurait donné à entendre qu’elle revendiquait la propriété d’un sac en particulier.  Rien sur l’extérieur des sacs n’indiquait non plus l’existence d’un lien avec Lawrence.  Un sac à déchets est très différent d’une mallette portant des initiales ou d’un sac à fourbi sur lequel un nom est inscrit.  Un sac à déchets vert n’indique pas qu’il apparti</w:t>
      </w:r>
      <w:r>
        <w:rPr>
          <w:rFonts w:ascii="Times New Roman" w:hAnsi="Times New Roman" w:cs="Times New Roman"/>
          <w:sz w:val="20"/>
          <w:szCs w:val="20"/>
        </w:rPr>
        <w:t>ent à quelqu’un en particulier.</w:t>
      </w:r>
      <w:r w:rsidRPr="006F04A8">
        <w:rPr>
          <w:rFonts w:ascii="Times New Roman" w:hAnsi="Times New Roman" w:cs="Times New Roman"/>
          <w:sz w:val="20"/>
          <w:szCs w:val="20"/>
        </w:rPr>
        <w:t xml:space="preserve"> Bref, rien n’indiquait qu’elle avait une attente en matière de vie privée quant à un sac en particulier.</w:t>
      </w:r>
    </w:p>
    <w:p w14:paraId="7E1E5D53" w14:textId="34EB6347" w:rsidR="00EB2AA6" w:rsidRDefault="00EB2AA6" w:rsidP="00EB2AA6">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Edward 1996 :</w:t>
      </w:r>
    </w:p>
    <w:p w14:paraId="454C6B7E" w14:textId="13954AFA" w:rsidR="00EB2AA6" w:rsidRPr="00EB2AA6" w:rsidRDefault="00EB2AA6" w:rsidP="00880034">
      <w:pPr>
        <w:pStyle w:val="Paragraphedeliste"/>
        <w:widowControl w:val="0"/>
        <w:numPr>
          <w:ilvl w:val="0"/>
          <w:numId w:val="39"/>
        </w:numPr>
        <w:autoSpaceDE w:val="0"/>
        <w:autoSpaceDN w:val="0"/>
        <w:adjustRightInd w:val="0"/>
        <w:spacing w:after="300"/>
        <w:jc w:val="both"/>
        <w:rPr>
          <w:rFonts w:ascii="Times New Roman" w:hAnsi="Times New Roman" w:cs="Verdana"/>
          <w:b/>
          <w:i/>
          <w:color w:val="3E3E3E"/>
          <w:sz w:val="22"/>
          <w:szCs w:val="22"/>
        </w:rPr>
      </w:pPr>
      <w:r w:rsidRPr="001F2173">
        <w:rPr>
          <w:rFonts w:ascii="Times New Roman" w:hAnsi="Times New Roman" w:cs="Times New Roman"/>
          <w:sz w:val="20"/>
          <w:szCs w:val="20"/>
        </w:rPr>
        <w:t>Dans la présente affaire, l'un des motifs pour lesquels l'appelant a invoqué son droit à la vie privée dans l'appartement de M</w:t>
      </w:r>
      <w:r w:rsidRPr="001F2173">
        <w:rPr>
          <w:rFonts w:ascii="Times New Roman" w:hAnsi="Times New Roman" w:cs="Times New Roman"/>
          <w:sz w:val="20"/>
          <w:szCs w:val="20"/>
          <w:vertAlign w:val="superscript"/>
        </w:rPr>
        <w:t>me</w:t>
      </w:r>
      <w:r w:rsidRPr="001F2173">
        <w:rPr>
          <w:rFonts w:ascii="Times New Roman" w:hAnsi="Times New Roman" w:cs="Times New Roman"/>
          <w:sz w:val="20"/>
          <w:szCs w:val="20"/>
        </w:rPr>
        <w:t xml:space="preserve"> Evers était le droit qu'il détenait sur la drogue</w:t>
      </w:r>
      <w:r w:rsidRPr="001F2173">
        <w:rPr>
          <w:rFonts w:ascii="Times New Roman" w:hAnsi="Times New Roman" w:cs="Times New Roman"/>
          <w:b/>
          <w:sz w:val="20"/>
          <w:szCs w:val="20"/>
        </w:rPr>
        <w:t>.  Il est possible, dans certaines circonstances, d'établir l'existence d'une attente en matière de vie privée quant aux biens saisis</w:t>
      </w:r>
      <w:r w:rsidRPr="001F2173">
        <w:rPr>
          <w:rFonts w:ascii="Times New Roman" w:hAnsi="Times New Roman" w:cs="Times New Roman"/>
          <w:sz w:val="20"/>
          <w:szCs w:val="20"/>
        </w:rPr>
        <w:t>. </w:t>
      </w:r>
    </w:p>
    <w:p w14:paraId="3B6C7C88" w14:textId="0F54AC14" w:rsidR="00EB2AA6" w:rsidRDefault="00EB2AA6" w:rsidP="00EB2AA6">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ordures ménagères (p.22)</w:t>
      </w:r>
    </w:p>
    <w:p w14:paraId="5EFC47A0" w14:textId="280D1AAD" w:rsidR="00EB2AA6" w:rsidRDefault="00EB2AA6" w:rsidP="00EB2AA6">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Patrick 2009 :</w:t>
      </w:r>
    </w:p>
    <w:p w14:paraId="19C521E9" w14:textId="2E650039" w:rsidR="00EB2AA6" w:rsidRPr="00EB2AA6" w:rsidRDefault="00EB2AA6"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0"/>
          <w:szCs w:val="20"/>
        </w:rPr>
      </w:pPr>
      <w:r w:rsidRPr="00EB2AA6">
        <w:rPr>
          <w:rFonts w:ascii="Times New Roman" w:hAnsi="Times New Roman" w:cs="Times New Roman"/>
          <w:sz w:val="20"/>
          <w:szCs w:val="20"/>
        </w:rPr>
        <w:t>Les policiers n’ont pas violé le droit de P à la protection contre les fouilles, perquisitions et saisies abusives.  Si l’on apprécie objectivement la conduite de P, celui</w:t>
      </w:r>
      <w:r w:rsidRPr="00EB2AA6">
        <w:rPr>
          <w:rFonts w:ascii="American Typewriter" w:hAnsi="American Typewriter" w:cs="American Typewriter"/>
          <w:sz w:val="20"/>
          <w:szCs w:val="20"/>
        </w:rPr>
        <w:t>‑</w:t>
      </w:r>
      <w:r w:rsidRPr="00EB2AA6">
        <w:rPr>
          <w:rFonts w:ascii="Times New Roman" w:hAnsi="Times New Roman" w:cs="Times New Roman"/>
          <w:sz w:val="20"/>
          <w:szCs w:val="20"/>
        </w:rPr>
        <w:t>ci a renoncé à son droit au respect de sa vie privée quand il a déposé ses ordures en vue de leur ramassage à l’arrière de sa propriété, à un endroit où tout passant avait accès aux ordures en question.  P avait accompli tous les gestes nécessaires afin de se défaire des objets qui ont été recueillis comme éléments de preuve.  Ces gestes étaient incompatibles avec toute attente en matière de respect de la confidentialité. </w:t>
      </w:r>
    </w:p>
    <w:p w14:paraId="18F561C9" w14:textId="6F23783F" w:rsidR="00EB2AA6" w:rsidRPr="00EB2AA6" w:rsidRDefault="00EB2AA6"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0"/>
          <w:szCs w:val="20"/>
        </w:rPr>
      </w:pPr>
      <w:r w:rsidRPr="00EB2AA6">
        <w:rPr>
          <w:rFonts w:ascii="Times New Roman" w:hAnsi="Times New Roman" w:cs="Times New Roman"/>
          <w:sz w:val="20"/>
          <w:szCs w:val="20"/>
        </w:rPr>
        <w:t>Le tribunal appelé à apprécier le caractère raisonnable de la revendication d’un droit au respect de la vie privée doit considérer l’« </w:t>
      </w:r>
      <w:r w:rsidRPr="00EB2AA6">
        <w:rPr>
          <w:rFonts w:ascii="Times New Roman" w:hAnsi="Times New Roman" w:cs="Times New Roman"/>
          <w:sz w:val="20"/>
          <w:szCs w:val="20"/>
          <w:u w:val="single"/>
        </w:rPr>
        <w:t>ensemble des circonstances </w:t>
      </w:r>
      <w:r w:rsidRPr="00EB2AA6">
        <w:rPr>
          <w:rFonts w:ascii="Times New Roman" w:hAnsi="Times New Roman" w:cs="Times New Roman"/>
          <w:sz w:val="20"/>
          <w:szCs w:val="20"/>
        </w:rPr>
        <w:t>», et ce, que la revendication en question comporte des aspects touchant à l’intimité personnelle, à l’intimité territoriale ou à l’intimité informationnelle.  Dans bien des cas, les droits revendiqués se chevaucheront.  L’appréciation requiert toujours un examen attentif du contexte et porte d’abord sur l’objet ou la nature des éléments de preuve en cause</w:t>
      </w:r>
      <w:r>
        <w:rPr>
          <w:rFonts w:ascii="Times New Roman" w:hAnsi="Times New Roman" w:cs="Times New Roman"/>
          <w:sz w:val="20"/>
          <w:szCs w:val="20"/>
        </w:rPr>
        <w:t>.</w:t>
      </w:r>
    </w:p>
    <w:p w14:paraId="75C7054E" w14:textId="628CF8EF" w:rsidR="00EB2AA6" w:rsidRPr="00EB2AA6" w:rsidRDefault="00EB2AA6"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0"/>
          <w:szCs w:val="20"/>
        </w:rPr>
      </w:pPr>
      <w:r w:rsidRPr="00EB2AA6">
        <w:rPr>
          <w:rFonts w:ascii="Times New Roman" w:hAnsi="Times New Roman" w:cs="Times New Roman"/>
          <w:sz w:val="20"/>
          <w:szCs w:val="20"/>
        </w:rPr>
        <w:t>Le tribunal conclut qu’il y a eu abandon lorsqu’il juge, eu égard à la conduite de la personne invoquant le droit garanti par l’art. 8, que cette personne avait cessé d’avoir une attente raisonnable au respect de sa vie privée à l’égard de l’élément en cause au moment où celui</w:t>
      </w:r>
      <w:r w:rsidRPr="00EB2AA6">
        <w:rPr>
          <w:rFonts w:ascii="American Typewriter" w:hAnsi="American Typewriter" w:cs="American Typewriter"/>
          <w:sz w:val="20"/>
          <w:szCs w:val="20"/>
        </w:rPr>
        <w:t>‑</w:t>
      </w:r>
      <w:r w:rsidRPr="00EB2AA6">
        <w:rPr>
          <w:rFonts w:ascii="Times New Roman" w:hAnsi="Times New Roman" w:cs="Times New Roman"/>
          <w:sz w:val="20"/>
          <w:szCs w:val="20"/>
        </w:rPr>
        <w:t>ci a été pris la police ou une autre émanation de l’État.</w:t>
      </w:r>
    </w:p>
    <w:p w14:paraId="4759FEB3" w14:textId="7EC20CD3" w:rsidR="00EB2AA6" w:rsidRPr="00EB2AA6" w:rsidRDefault="00EB2AA6" w:rsidP="00880034">
      <w:pPr>
        <w:pStyle w:val="Paragraphedeliste"/>
        <w:widowControl w:val="0"/>
        <w:numPr>
          <w:ilvl w:val="0"/>
          <w:numId w:val="39"/>
        </w:numPr>
        <w:autoSpaceDE w:val="0"/>
        <w:autoSpaceDN w:val="0"/>
        <w:adjustRightInd w:val="0"/>
        <w:spacing w:after="300"/>
        <w:jc w:val="both"/>
        <w:rPr>
          <w:rFonts w:ascii="Times New Roman" w:hAnsi="Times New Roman" w:cs="Verdana"/>
          <w:color w:val="3E3E3E"/>
          <w:sz w:val="20"/>
          <w:szCs w:val="20"/>
        </w:rPr>
      </w:pPr>
      <w:r w:rsidRPr="00EB2AA6">
        <w:rPr>
          <w:rFonts w:ascii="Times New Roman" w:hAnsi="Times New Roman" w:cs="Times New Roman"/>
          <w:sz w:val="20"/>
          <w:szCs w:val="20"/>
        </w:rPr>
        <w:t>Le caractère raisonnable de l’attente en matière de respect de la vie privée varie selon la nature de l’élément à l’égard duquel la protection est revendiquée, le lieu et les circonstances de l’intrusion de l’État, ainsi que l’objet de cette intrusion</w:t>
      </w:r>
      <w:r>
        <w:rPr>
          <w:rFonts w:ascii="Times New Roman" w:hAnsi="Times New Roman" w:cs="Times New Roman"/>
          <w:sz w:val="20"/>
          <w:szCs w:val="20"/>
        </w:rPr>
        <w:t>.</w:t>
      </w:r>
    </w:p>
    <w:p w14:paraId="57D1F80D" w14:textId="485C9F3D" w:rsidR="00EB2AA6" w:rsidRDefault="00EB2AA6" w:rsidP="00EB2AA6">
      <w:pPr>
        <w:widowControl w:val="0"/>
        <w:autoSpaceDE w:val="0"/>
        <w:autoSpaceDN w:val="0"/>
        <w:adjustRightInd w:val="0"/>
        <w:spacing w:after="300"/>
        <w:jc w:val="both"/>
        <w:rPr>
          <w:rFonts w:ascii="Times New Roman" w:hAnsi="Times New Roman" w:cs="Verdana"/>
          <w:i/>
          <w:color w:val="3E3E3E"/>
          <w:sz w:val="22"/>
          <w:szCs w:val="22"/>
        </w:rPr>
      </w:pPr>
      <w:r w:rsidRPr="00EB2AA6">
        <w:rPr>
          <w:rFonts w:ascii="Times New Roman" w:hAnsi="Times New Roman" w:cs="Verdana"/>
          <w:i/>
          <w:color w:val="3E3E3E"/>
          <w:sz w:val="22"/>
          <w:szCs w:val="22"/>
        </w:rPr>
        <w:t>Le cas d’abandon d’un objet en présence de la police et la renonciation à tout droit sur l’objet (p.23).</w:t>
      </w:r>
    </w:p>
    <w:p w14:paraId="5628534A" w14:textId="1ACD50DE" w:rsidR="00EB2AA6" w:rsidRPr="00EB2AA6" w:rsidRDefault="00EB2AA6" w:rsidP="00880034">
      <w:pPr>
        <w:pStyle w:val="Paragraphedeliste"/>
        <w:widowControl w:val="0"/>
        <w:numPr>
          <w:ilvl w:val="0"/>
          <w:numId w:val="40"/>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i/>
          <w:color w:val="3E3E3E"/>
          <w:sz w:val="22"/>
          <w:szCs w:val="22"/>
        </w:rPr>
        <w:t>R. v. LB 2007 ONCA</w:t>
      </w:r>
    </w:p>
    <w:p w14:paraId="1F445067" w14:textId="10E2AA6B" w:rsidR="00EB2AA6" w:rsidRDefault="00EB2AA6" w:rsidP="00EB2AA6">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 l’objet jeter lors d’une poursuite</w:t>
      </w:r>
    </w:p>
    <w:p w14:paraId="3A5297B0" w14:textId="6F9BCC0F" w:rsidR="00EB2AA6" w:rsidRPr="00EB2AA6" w:rsidRDefault="00EB2AA6" w:rsidP="00880034">
      <w:pPr>
        <w:pStyle w:val="Paragraphedeliste"/>
        <w:widowControl w:val="0"/>
        <w:numPr>
          <w:ilvl w:val="0"/>
          <w:numId w:val="40"/>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b/>
          <w:i/>
          <w:color w:val="3E3E3E"/>
          <w:sz w:val="22"/>
          <w:szCs w:val="22"/>
        </w:rPr>
        <w:t>R. v. Nesbeth 2008</w:t>
      </w:r>
    </w:p>
    <w:p w14:paraId="1CC5E981" w14:textId="2AA5EBF2" w:rsidR="00EB2AA6" w:rsidRDefault="004C5DCD" w:rsidP="00EB2AA6">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Selon le professeur Stylios, il faut une intention d’abandon lors de l’abandon, sinon, on peut tomber dans l’oubli.</w:t>
      </w:r>
    </w:p>
    <w:p w14:paraId="6FA867E0" w14:textId="13002D39" w:rsidR="004C5DCD" w:rsidRDefault="004C5DCD" w:rsidP="00EB2AA6">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chiens renifleurs (p.24)</w:t>
      </w:r>
    </w:p>
    <w:p w14:paraId="08D3A75F" w14:textId="3D0E4C29" w:rsidR="004C5DCD" w:rsidRDefault="004C5DCD" w:rsidP="00EB2AA6">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A.M. 2008 :</w:t>
      </w:r>
    </w:p>
    <w:p w14:paraId="688C9350" w14:textId="5524379A" w:rsidR="004C5DCD" w:rsidRPr="004C5DCD" w:rsidRDefault="004C5DCD" w:rsidP="00880034">
      <w:pPr>
        <w:pStyle w:val="Paragraphedeliste"/>
        <w:widowControl w:val="0"/>
        <w:numPr>
          <w:ilvl w:val="0"/>
          <w:numId w:val="40"/>
        </w:numPr>
        <w:autoSpaceDE w:val="0"/>
        <w:autoSpaceDN w:val="0"/>
        <w:adjustRightInd w:val="0"/>
        <w:spacing w:after="300"/>
        <w:jc w:val="both"/>
        <w:rPr>
          <w:rFonts w:ascii="Times New Roman" w:hAnsi="Times New Roman" w:cs="Verdana"/>
          <w:b/>
          <w:i/>
          <w:color w:val="3E3E3E"/>
          <w:sz w:val="20"/>
          <w:szCs w:val="20"/>
        </w:rPr>
      </w:pPr>
      <w:r w:rsidRPr="004C5DCD">
        <w:rPr>
          <w:rFonts w:ascii="Times New Roman" w:hAnsi="Times New Roman" w:cs="Times New Roman"/>
          <w:sz w:val="20"/>
          <w:szCs w:val="20"/>
        </w:rPr>
        <w:t>Il n’est pas nécessaire qu’une personne ait la possession physique d’un objet pour qu’il soit possible de conclure à l’existence d’une attente raisonnable en matière de vie privée.</w:t>
      </w:r>
    </w:p>
    <w:p w14:paraId="5E9DF7A6" w14:textId="4590C96C" w:rsidR="004C5DCD" w:rsidRPr="004C5DCD" w:rsidRDefault="004C5DCD" w:rsidP="00880034">
      <w:pPr>
        <w:pStyle w:val="Paragraphedeliste"/>
        <w:widowControl w:val="0"/>
        <w:numPr>
          <w:ilvl w:val="0"/>
          <w:numId w:val="40"/>
        </w:numPr>
        <w:autoSpaceDE w:val="0"/>
        <w:autoSpaceDN w:val="0"/>
        <w:adjustRightInd w:val="0"/>
        <w:spacing w:after="300"/>
        <w:jc w:val="both"/>
        <w:rPr>
          <w:rFonts w:ascii="Times New Roman" w:hAnsi="Times New Roman" w:cs="Verdana"/>
          <w:b/>
          <w:i/>
          <w:color w:val="3E3E3E"/>
          <w:sz w:val="20"/>
          <w:szCs w:val="20"/>
        </w:rPr>
      </w:pPr>
      <w:r w:rsidRPr="004C5DCD">
        <w:rPr>
          <w:rFonts w:ascii="Times New Roman" w:hAnsi="Times New Roman" w:cs="Times New Roman"/>
          <w:sz w:val="20"/>
          <w:szCs w:val="20"/>
        </w:rPr>
        <w:t xml:space="preserve">et rien n’indique en l’espèce que A.M. avait abandonné son sac à dos.  Au contraire, il ressort de la preuve que les responsables de l’école ont vraisemblablement </w:t>
      </w:r>
      <w:r w:rsidRPr="004C5DCD">
        <w:rPr>
          <w:rFonts w:ascii="Times New Roman" w:hAnsi="Times New Roman" w:cs="Times New Roman"/>
          <w:i/>
          <w:iCs/>
          <w:sz w:val="20"/>
          <w:szCs w:val="20"/>
        </w:rPr>
        <w:t>obligé</w:t>
      </w:r>
      <w:r w:rsidRPr="004C5DCD">
        <w:rPr>
          <w:rFonts w:ascii="Times New Roman" w:hAnsi="Times New Roman" w:cs="Times New Roman"/>
          <w:sz w:val="20"/>
          <w:szCs w:val="20"/>
        </w:rPr>
        <w:t xml:space="preserve"> A.M. et ses camarades de classe à laisser leurs sacs sans surveillance dans le gymnase au moment où la fouille a commencé : [TRADUCTION] « un cours se déroulait à cet endroit lorsque tout cela [la fouille] a été annoncé.  Mais, d’après ce que je me rappelle, les élèves n’étaient pas dans le gymnase [au moment de la fouille].</w:t>
      </w:r>
    </w:p>
    <w:p w14:paraId="5E8C0694" w14:textId="12B3C8A9" w:rsidR="004C5DCD" w:rsidRPr="004C5DCD" w:rsidRDefault="004C5DCD" w:rsidP="00880034">
      <w:pPr>
        <w:pStyle w:val="Paragraphedeliste"/>
        <w:widowControl w:val="0"/>
        <w:numPr>
          <w:ilvl w:val="0"/>
          <w:numId w:val="40"/>
        </w:numPr>
        <w:autoSpaceDE w:val="0"/>
        <w:autoSpaceDN w:val="0"/>
        <w:adjustRightInd w:val="0"/>
        <w:spacing w:after="300"/>
        <w:jc w:val="both"/>
        <w:rPr>
          <w:rFonts w:ascii="Times New Roman" w:hAnsi="Times New Roman" w:cs="Verdana"/>
          <w:b/>
          <w:i/>
          <w:color w:val="3E3E3E"/>
          <w:sz w:val="20"/>
          <w:szCs w:val="20"/>
        </w:rPr>
      </w:pPr>
      <w:r w:rsidRPr="004C5DCD">
        <w:rPr>
          <w:rFonts w:ascii="Times New Roman" w:hAnsi="Times New Roman" w:cs="Times New Roman"/>
          <w:sz w:val="20"/>
          <w:szCs w:val="20"/>
        </w:rPr>
        <w:t>De plus, je considère que l’élève d’une école secondaire qui, comme ses camarades de classe, laisse son sac sans surveillance continue d’avoir une attente raisonnable en matière de vie privée à l’égard du contenu de son sac.  Par conséquent, l’existence d’une attente à la fois objective et subjective en matière de vie privée a été établi</w:t>
      </w:r>
      <w:r>
        <w:rPr>
          <w:rFonts w:ascii="Times New Roman" w:hAnsi="Times New Roman" w:cs="Times New Roman"/>
          <w:sz w:val="20"/>
          <w:szCs w:val="20"/>
        </w:rPr>
        <w:t>e.</w:t>
      </w:r>
    </w:p>
    <w:p w14:paraId="3D50E297" w14:textId="0F39B2B1" w:rsidR="004C5DCD" w:rsidRPr="004C5DCD" w:rsidRDefault="004C5DCD" w:rsidP="004C5DCD">
      <w:pPr>
        <w:widowControl w:val="0"/>
        <w:autoSpaceDE w:val="0"/>
        <w:autoSpaceDN w:val="0"/>
        <w:adjustRightInd w:val="0"/>
        <w:spacing w:after="300"/>
        <w:jc w:val="both"/>
        <w:rPr>
          <w:rFonts w:ascii="Times New Roman" w:hAnsi="Times New Roman" w:cs="Verdana"/>
          <w:i/>
          <w:color w:val="3E3E3E"/>
          <w:sz w:val="22"/>
          <w:szCs w:val="22"/>
        </w:rPr>
      </w:pPr>
      <w:r w:rsidRPr="004C5DCD">
        <w:rPr>
          <w:rFonts w:ascii="Times New Roman" w:hAnsi="Times New Roman" w:cs="Verdana"/>
          <w:i/>
          <w:color w:val="3E3E3E"/>
          <w:sz w:val="22"/>
          <w:szCs w:val="22"/>
        </w:rPr>
        <w:t>Le cas de biens volés (p.25)</w:t>
      </w:r>
    </w:p>
    <w:p w14:paraId="61F64128" w14:textId="1ED1ED8C" w:rsidR="004C5DCD" w:rsidRDefault="004C5DCD" w:rsidP="004C5DCD">
      <w:pPr>
        <w:widowControl w:val="0"/>
        <w:autoSpaceDE w:val="0"/>
        <w:autoSpaceDN w:val="0"/>
        <w:adjustRightInd w:val="0"/>
        <w:spacing w:after="300"/>
        <w:jc w:val="both"/>
        <w:rPr>
          <w:rFonts w:ascii="Times New Roman" w:hAnsi="Times New Roman" w:cs="Verdana"/>
          <w:b/>
          <w:i/>
          <w:color w:val="3E3E3E"/>
          <w:sz w:val="20"/>
          <w:szCs w:val="20"/>
        </w:rPr>
      </w:pPr>
      <w:r w:rsidRPr="004C5DCD">
        <w:rPr>
          <w:rFonts w:ascii="Times New Roman" w:hAnsi="Times New Roman" w:cs="Verdana"/>
          <w:b/>
          <w:i/>
          <w:color w:val="3E3E3E"/>
          <w:sz w:val="22"/>
          <w:szCs w:val="22"/>
        </w:rPr>
        <w:t>R. c. Law 2002 </w:t>
      </w:r>
      <w:r>
        <w:rPr>
          <w:rFonts w:ascii="Times New Roman" w:hAnsi="Times New Roman" w:cs="Verdana"/>
          <w:b/>
          <w:i/>
          <w:color w:val="3E3E3E"/>
          <w:sz w:val="20"/>
          <w:szCs w:val="20"/>
        </w:rPr>
        <w:t>:</w:t>
      </w:r>
    </w:p>
    <w:p w14:paraId="7692E4B4" w14:textId="0B00AFCF" w:rsidR="004C5DCD" w:rsidRPr="004C5DCD" w:rsidRDefault="004C5DCD" w:rsidP="00880034">
      <w:pPr>
        <w:pStyle w:val="Paragraphedeliste"/>
        <w:widowControl w:val="0"/>
        <w:numPr>
          <w:ilvl w:val="0"/>
          <w:numId w:val="41"/>
        </w:numPr>
        <w:autoSpaceDE w:val="0"/>
        <w:autoSpaceDN w:val="0"/>
        <w:adjustRightInd w:val="0"/>
        <w:spacing w:after="300"/>
        <w:jc w:val="both"/>
        <w:rPr>
          <w:rFonts w:ascii="Times New Roman" w:hAnsi="Times New Roman" w:cs="Verdana"/>
          <w:b/>
          <w:i/>
          <w:color w:val="3E3E3E"/>
          <w:sz w:val="20"/>
          <w:szCs w:val="20"/>
        </w:rPr>
      </w:pPr>
      <w:r w:rsidRPr="00957605">
        <w:rPr>
          <w:rFonts w:ascii="Times New Roman" w:hAnsi="Times New Roman" w:cs="Times New Roman"/>
          <w:sz w:val="20"/>
          <w:szCs w:val="20"/>
        </w:rPr>
        <w:t xml:space="preserve">Les tribunaux n’ont pas manqué de relever des cas où il était déraisonnable de s’attendre à ce que des biens ou des renseignements personnels demeurent privés.  La  Cour a conclu qu’une personne pouvait en fait abandonner ses propres biens en renonçant  à tout droit à la vie privée à leur égard : voir </w:t>
      </w:r>
      <w:r w:rsidRPr="00957605">
        <w:rPr>
          <w:rFonts w:ascii="Times New Roman" w:hAnsi="Times New Roman" w:cs="Times New Roman"/>
          <w:i/>
          <w:iCs/>
          <w:sz w:val="20"/>
          <w:szCs w:val="20"/>
        </w:rPr>
        <w:t>Stillman</w:t>
      </w:r>
      <w:r w:rsidRPr="00957605">
        <w:rPr>
          <w:rFonts w:ascii="Times New Roman" w:hAnsi="Times New Roman" w:cs="Times New Roman"/>
          <w:sz w:val="20"/>
          <w:szCs w:val="20"/>
        </w:rPr>
        <w:t>, précité</w:t>
      </w:r>
      <w:r>
        <w:rPr>
          <w:rFonts w:ascii="Times New Roman" w:hAnsi="Times New Roman" w:cs="Times New Roman"/>
          <w:sz w:val="20"/>
          <w:szCs w:val="20"/>
        </w:rPr>
        <w:t>[7].</w:t>
      </w:r>
    </w:p>
    <w:p w14:paraId="028BB58B" w14:textId="77777777" w:rsidR="004C5DCD" w:rsidRPr="004C5DCD" w:rsidRDefault="004C5DCD" w:rsidP="00880034">
      <w:pPr>
        <w:pStyle w:val="Paragraphedeliste"/>
        <w:numPr>
          <w:ilvl w:val="0"/>
          <w:numId w:val="41"/>
        </w:numPr>
        <w:jc w:val="both"/>
        <w:rPr>
          <w:rFonts w:ascii="Times New Roman" w:hAnsi="Times New Roman" w:cs="Times New Roman"/>
          <w:sz w:val="20"/>
          <w:szCs w:val="20"/>
        </w:rPr>
      </w:pPr>
      <w:r w:rsidRPr="004C5DCD">
        <w:rPr>
          <w:rFonts w:ascii="Times New Roman" w:hAnsi="Times New Roman" w:cs="Times New Roman"/>
          <w:sz w:val="20"/>
          <w:szCs w:val="20"/>
        </w:rPr>
        <w:t>Toutefois, la simple récupération par la police des biens perdus ou volés ne suffit pas pour conclure que le propriétaire a volontairement renoncé à son attente à la préservation de leur caractère confidentiel.  Il faut encore résoudre la question suivante : dans les faits,  le propriétaire pouvait</w:t>
      </w:r>
      <w:r w:rsidRPr="004C5DCD">
        <w:rPr>
          <w:rFonts w:ascii="American Typewriter" w:hAnsi="American Typewriter" w:cs="American Typewriter"/>
          <w:sz w:val="20"/>
          <w:szCs w:val="20"/>
        </w:rPr>
        <w:t>‑</w:t>
      </w:r>
      <w:r w:rsidRPr="004C5DCD">
        <w:rPr>
          <w:rFonts w:ascii="Times New Roman" w:hAnsi="Times New Roman" w:cs="Times New Roman"/>
          <w:sz w:val="20"/>
          <w:szCs w:val="20"/>
        </w:rPr>
        <w:t>il raisonnablement s’attendre à ce que le caractère confidentiel de l’objet soit préservé ou a</w:t>
      </w:r>
      <w:r w:rsidRPr="004C5DCD">
        <w:rPr>
          <w:rFonts w:ascii="American Typewriter" w:hAnsi="American Typewriter" w:cs="American Typewriter"/>
          <w:sz w:val="20"/>
          <w:szCs w:val="20"/>
        </w:rPr>
        <w:t>‑</w:t>
      </w:r>
      <w:r w:rsidRPr="004C5DCD">
        <w:rPr>
          <w:rFonts w:ascii="Times New Roman" w:hAnsi="Times New Roman" w:cs="Times New Roman"/>
          <w:sz w:val="20"/>
          <w:szCs w:val="20"/>
        </w:rPr>
        <w:t>t</w:t>
      </w:r>
      <w:r w:rsidRPr="004C5DCD">
        <w:rPr>
          <w:rFonts w:ascii="American Typewriter" w:hAnsi="American Typewriter" w:cs="American Typewriter"/>
          <w:sz w:val="20"/>
          <w:szCs w:val="20"/>
        </w:rPr>
        <w:t>‑</w:t>
      </w:r>
      <w:r w:rsidRPr="004C5DCD">
        <w:rPr>
          <w:rFonts w:ascii="Times New Roman" w:hAnsi="Times New Roman" w:cs="Times New Roman"/>
          <w:sz w:val="20"/>
          <w:szCs w:val="20"/>
        </w:rPr>
        <w:t>il renoncé à son attente à cet égard?</w:t>
      </w:r>
    </w:p>
    <w:p w14:paraId="456A79BE" w14:textId="3CA11D47" w:rsidR="007604BB" w:rsidRPr="007604BB" w:rsidRDefault="007604BB" w:rsidP="00880034">
      <w:pPr>
        <w:pStyle w:val="Paragraphedeliste"/>
        <w:numPr>
          <w:ilvl w:val="0"/>
          <w:numId w:val="41"/>
        </w:numPr>
        <w:jc w:val="both"/>
        <w:rPr>
          <w:rFonts w:ascii="Times New Roman" w:hAnsi="Times New Roman" w:cs="Times New Roman"/>
          <w:sz w:val="20"/>
          <w:szCs w:val="20"/>
        </w:rPr>
      </w:pPr>
      <w:r w:rsidRPr="007604BB">
        <w:rPr>
          <w:rFonts w:ascii="Times New Roman" w:hAnsi="Times New Roman" w:cs="Verdana"/>
          <w:color w:val="3E3E3E"/>
          <w:sz w:val="20"/>
          <w:szCs w:val="20"/>
        </w:rPr>
        <w:t>[Citant l’arrêt Dyment]</w:t>
      </w:r>
      <w:r w:rsidRPr="007604BB">
        <w:rPr>
          <w:rFonts w:ascii="Times New Roman" w:hAnsi="Times New Roman" w:cs="Times New Roman"/>
          <w:sz w:val="20"/>
          <w:szCs w:val="20"/>
        </w:rPr>
        <w:t xml:space="preserve"> Par analogie avec la présente affaire, la prise de possession par la police du coffre</w:t>
      </w:r>
      <w:r w:rsidRPr="007604BB">
        <w:rPr>
          <w:rFonts w:ascii="Palatino" w:hAnsi="Palatino" w:cs="Palatino"/>
          <w:sz w:val="20"/>
          <w:szCs w:val="20"/>
        </w:rPr>
        <w:t>‑</w:t>
      </w:r>
      <w:r w:rsidRPr="007604BB">
        <w:rPr>
          <w:rFonts w:ascii="Times New Roman" w:hAnsi="Times New Roman" w:cs="Times New Roman"/>
          <w:sz w:val="20"/>
          <w:szCs w:val="20"/>
        </w:rPr>
        <w:t>fort des appelants visait uniquement l’objet de celle</w:t>
      </w:r>
      <w:r w:rsidRPr="007604BB">
        <w:rPr>
          <w:rFonts w:ascii="Palatino" w:hAnsi="Palatino" w:cs="Palatino"/>
          <w:sz w:val="20"/>
          <w:szCs w:val="20"/>
        </w:rPr>
        <w:t>‑</w:t>
      </w:r>
      <w:r w:rsidRPr="007604BB">
        <w:rPr>
          <w:rFonts w:ascii="Times New Roman" w:hAnsi="Times New Roman" w:cs="Times New Roman"/>
          <w:sz w:val="20"/>
          <w:szCs w:val="20"/>
        </w:rPr>
        <w:t>ci, à savoir l’enquête sur le vol, et ne pouvait servir à confirmer des intuitions n’ayant absolument aucun rapport.</w:t>
      </w:r>
      <w:r>
        <w:rPr>
          <w:rFonts w:ascii="Times New Roman" w:hAnsi="Times New Roman" w:cs="Times New Roman"/>
          <w:sz w:val="20"/>
          <w:szCs w:val="20"/>
        </w:rPr>
        <w:t>[22]</w:t>
      </w:r>
    </w:p>
    <w:p w14:paraId="20AC06C0" w14:textId="507990D8" w:rsidR="004C5DCD" w:rsidRPr="007604BB" w:rsidRDefault="007604BB" w:rsidP="00880034">
      <w:pPr>
        <w:pStyle w:val="Paragraphedeliste"/>
        <w:widowControl w:val="0"/>
        <w:numPr>
          <w:ilvl w:val="0"/>
          <w:numId w:val="41"/>
        </w:numPr>
        <w:autoSpaceDE w:val="0"/>
        <w:autoSpaceDN w:val="0"/>
        <w:adjustRightInd w:val="0"/>
        <w:spacing w:after="300"/>
        <w:jc w:val="both"/>
        <w:rPr>
          <w:rFonts w:ascii="Times New Roman" w:hAnsi="Times New Roman" w:cs="Verdana"/>
          <w:b/>
          <w:i/>
          <w:color w:val="3E3E3E"/>
          <w:sz w:val="20"/>
          <w:szCs w:val="20"/>
        </w:rPr>
      </w:pPr>
      <w:r w:rsidRPr="00957605">
        <w:rPr>
          <w:rFonts w:ascii="Times New Roman" w:hAnsi="Times New Roman" w:cs="Times New Roman"/>
          <w:sz w:val="20"/>
          <w:szCs w:val="20"/>
        </w:rPr>
        <w:t xml:space="preserve">La caractéristique distinctive de l’affaire </w:t>
      </w:r>
      <w:r w:rsidRPr="00957605">
        <w:rPr>
          <w:rFonts w:ascii="Times New Roman" w:hAnsi="Times New Roman" w:cs="Times New Roman"/>
          <w:i/>
          <w:iCs/>
          <w:sz w:val="20"/>
          <w:szCs w:val="20"/>
        </w:rPr>
        <w:t>Annett</w:t>
      </w:r>
      <w:r w:rsidRPr="00957605">
        <w:rPr>
          <w:rFonts w:ascii="Times New Roman" w:hAnsi="Times New Roman" w:cs="Times New Roman"/>
          <w:sz w:val="20"/>
          <w:szCs w:val="20"/>
        </w:rPr>
        <w:t>, cependant, est que tous les aspects de la fouille étaient autorisés par la loi, de sorte qu’il restait seulement à déterminer si les intentions secrètes des policiers avaient rendu la fouille abusive.  Par contre, en l’espèce, le caporal Desroches ne disposait pas du pouvoir explicite d’examiner et de photocopier le contenu du coffre des appelants</w:t>
      </w:r>
      <w:r>
        <w:rPr>
          <w:rFonts w:ascii="Times New Roman" w:hAnsi="Times New Roman" w:cs="Times New Roman"/>
          <w:sz w:val="20"/>
          <w:szCs w:val="20"/>
        </w:rPr>
        <w:t>[24]</w:t>
      </w:r>
    </w:p>
    <w:p w14:paraId="0BECF447" w14:textId="7036D3B8" w:rsidR="007604BB" w:rsidRPr="004C5DCD" w:rsidRDefault="007604BB" w:rsidP="00880034">
      <w:pPr>
        <w:pStyle w:val="Paragraphedeliste"/>
        <w:widowControl w:val="0"/>
        <w:numPr>
          <w:ilvl w:val="0"/>
          <w:numId w:val="41"/>
        </w:numPr>
        <w:autoSpaceDE w:val="0"/>
        <w:autoSpaceDN w:val="0"/>
        <w:adjustRightInd w:val="0"/>
        <w:spacing w:after="300"/>
        <w:jc w:val="both"/>
        <w:rPr>
          <w:rFonts w:ascii="Times New Roman" w:hAnsi="Times New Roman" w:cs="Verdana"/>
          <w:b/>
          <w:i/>
          <w:color w:val="3E3E3E"/>
          <w:sz w:val="20"/>
          <w:szCs w:val="20"/>
        </w:rPr>
      </w:pPr>
      <w:r w:rsidRPr="00957605">
        <w:rPr>
          <w:rFonts w:ascii="Times New Roman" w:hAnsi="Times New Roman" w:cs="Times New Roman"/>
          <w:sz w:val="20"/>
          <w:szCs w:val="20"/>
        </w:rPr>
        <w:t xml:space="preserve">L’intimée invoque la théorie des objets bien en vue, soutenant que la preuve qui se présente à la vue d’un policier « agissant légalement » peut être admissible si elle est découverte par inadvertance.  Plusieurs des arrêts cités par l’intimée portent sur ce qu’on peut qualifier de fouilles d’objets bien en vue : voir </w:t>
      </w:r>
      <w:r w:rsidRPr="00957605">
        <w:rPr>
          <w:rFonts w:ascii="Times New Roman" w:hAnsi="Times New Roman" w:cs="Times New Roman"/>
          <w:i/>
          <w:iCs/>
          <w:sz w:val="20"/>
          <w:szCs w:val="20"/>
        </w:rPr>
        <w:t>United States c. Sumlin</w:t>
      </w:r>
      <w:r w:rsidRPr="00957605">
        <w:rPr>
          <w:rFonts w:ascii="Times New Roman" w:hAnsi="Times New Roman" w:cs="Times New Roman"/>
          <w:sz w:val="20"/>
          <w:szCs w:val="20"/>
        </w:rPr>
        <w:t xml:space="preserve">, 909 F.2d 1218 (8th Cir. 1990); </w:t>
      </w:r>
      <w:r w:rsidRPr="00957605">
        <w:rPr>
          <w:rFonts w:ascii="Times New Roman" w:hAnsi="Times New Roman" w:cs="Times New Roman"/>
          <w:i/>
          <w:iCs/>
          <w:sz w:val="20"/>
          <w:szCs w:val="20"/>
        </w:rPr>
        <w:t>Coolidge c. New Hampshire</w:t>
      </w:r>
      <w:r w:rsidRPr="00957605">
        <w:rPr>
          <w:rFonts w:ascii="Times New Roman" w:hAnsi="Times New Roman" w:cs="Times New Roman"/>
          <w:sz w:val="20"/>
          <w:szCs w:val="20"/>
        </w:rPr>
        <w:t xml:space="preserve">, 403 U.S. 443 (1971); </w:t>
      </w:r>
      <w:r w:rsidRPr="00957605">
        <w:rPr>
          <w:rFonts w:ascii="Times New Roman" w:hAnsi="Times New Roman" w:cs="Times New Roman"/>
          <w:i/>
          <w:iCs/>
          <w:sz w:val="20"/>
          <w:szCs w:val="20"/>
        </w:rPr>
        <w:t>United States c. O’Bryant</w:t>
      </w:r>
      <w:r w:rsidRPr="00957605">
        <w:rPr>
          <w:rFonts w:ascii="Times New Roman" w:hAnsi="Times New Roman" w:cs="Times New Roman"/>
          <w:sz w:val="20"/>
          <w:szCs w:val="20"/>
        </w:rPr>
        <w:t>, 775 F.2d 1528 (11th Cir. 1985).  En l’espèce, je conviens avec le juge McKee que la preuve incriminante n’était pas immédiatement apparente au caporal</w:t>
      </w:r>
      <w:r>
        <w:rPr>
          <w:rFonts w:ascii="Times New Roman" w:hAnsi="Times New Roman" w:cs="Times New Roman"/>
          <w:sz w:val="20"/>
          <w:szCs w:val="20"/>
        </w:rPr>
        <w:t xml:space="preserve"> [...]</w:t>
      </w:r>
      <w:r w:rsidRPr="00957605">
        <w:rPr>
          <w:rFonts w:ascii="Times New Roman" w:hAnsi="Times New Roman" w:cs="Times New Roman"/>
          <w:sz w:val="20"/>
          <w:szCs w:val="20"/>
        </w:rPr>
        <w:t xml:space="preserve">Je conclus que la conduite de la police en l’espèce équivalait à une fouille au sens de l’art. 8 de la </w:t>
      </w:r>
      <w:r w:rsidRPr="00957605">
        <w:rPr>
          <w:rFonts w:ascii="Times New Roman" w:hAnsi="Times New Roman" w:cs="Times New Roman"/>
          <w:i/>
          <w:iCs/>
          <w:sz w:val="20"/>
          <w:szCs w:val="20"/>
        </w:rPr>
        <w:t>Charte</w:t>
      </w:r>
      <w:r w:rsidRPr="00957605">
        <w:rPr>
          <w:rFonts w:ascii="Times New Roman" w:hAnsi="Times New Roman" w:cs="Times New Roman"/>
          <w:sz w:val="20"/>
          <w:szCs w:val="20"/>
        </w:rPr>
        <w:t>. Même si un accusé raisonnable se serait attendu à ce que l’État se livre à un certain examen de son coffre volé — une analyse d’empreintes, une vérification de sécurité, un examen du contenu en vue de l’identification de l’auteur du vol — il se serait par ailleurs attendu à ce que le contenu du coffre reste privé</w:t>
      </w:r>
      <w:r>
        <w:rPr>
          <w:rFonts w:ascii="Times New Roman" w:hAnsi="Times New Roman" w:cs="Times New Roman"/>
          <w:sz w:val="20"/>
          <w:szCs w:val="20"/>
        </w:rPr>
        <w:t>.</w:t>
      </w:r>
    </w:p>
    <w:p w14:paraId="1A959BD7"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                       3</w:t>
      </w:r>
      <w:r w:rsidRPr="00BF6408">
        <w:rPr>
          <w:rFonts w:ascii="Times New Roman" w:hAnsi="Times New Roman" w:cs="Verdana"/>
          <w:color w:val="3E3E3E"/>
          <w:sz w:val="22"/>
          <w:szCs w:val="22"/>
        </w:rPr>
        <w:t>. Biens immobiliers privés</w:t>
      </w:r>
      <w:r>
        <w:rPr>
          <w:rFonts w:ascii="Times New Roman" w:hAnsi="Times New Roman" w:cs="Verdana"/>
          <w:color w:val="3E3E3E"/>
          <w:sz w:val="22"/>
          <w:szCs w:val="22"/>
        </w:rPr>
        <w:t> ;</w:t>
      </w:r>
    </w:p>
    <w:p w14:paraId="3F6638A0" w14:textId="5F2E4308" w:rsidR="001B2B79" w:rsidRPr="001B2B79" w:rsidRDefault="001B2B79" w:rsidP="00BF6408">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d’une chambre d’hotel</w:t>
      </w:r>
    </w:p>
    <w:p w14:paraId="788838B4" w14:textId="1B3C5631" w:rsidR="00BF6408" w:rsidRDefault="00BF6408" w:rsidP="00BF6408">
      <w:pPr>
        <w:widowControl w:val="0"/>
        <w:autoSpaceDE w:val="0"/>
        <w:autoSpaceDN w:val="0"/>
        <w:adjustRightInd w:val="0"/>
        <w:spacing w:after="300"/>
        <w:jc w:val="both"/>
        <w:rPr>
          <w:rFonts w:ascii="Times New Roman" w:hAnsi="Times New Roman" w:cs="Verdana"/>
          <w:b/>
          <w:i/>
          <w:color w:val="3E3E3E"/>
          <w:sz w:val="22"/>
          <w:szCs w:val="22"/>
        </w:rPr>
      </w:pPr>
      <w:r w:rsidRPr="00BF6408">
        <w:rPr>
          <w:rFonts w:ascii="Times New Roman" w:hAnsi="Times New Roman" w:cs="Verdana"/>
          <w:color w:val="3E3E3E"/>
          <w:sz w:val="22"/>
          <w:szCs w:val="22"/>
        </w:rPr>
        <w:t> </w:t>
      </w:r>
      <w:r w:rsidR="007604BB">
        <w:rPr>
          <w:rFonts w:ascii="Times New Roman" w:hAnsi="Times New Roman" w:cs="Verdana"/>
          <w:b/>
          <w:i/>
          <w:color w:val="3E3E3E"/>
          <w:sz w:val="22"/>
          <w:szCs w:val="22"/>
        </w:rPr>
        <w:t>R. c. Wong 1990 (p.27) :</w:t>
      </w:r>
    </w:p>
    <w:p w14:paraId="74C3636C" w14:textId="01866D22" w:rsidR="007604BB" w:rsidRPr="001B2B79" w:rsidRDefault="001B2B79" w:rsidP="00880034">
      <w:pPr>
        <w:pStyle w:val="Paragraphedeliste"/>
        <w:widowControl w:val="0"/>
        <w:numPr>
          <w:ilvl w:val="0"/>
          <w:numId w:val="42"/>
        </w:numPr>
        <w:autoSpaceDE w:val="0"/>
        <w:autoSpaceDN w:val="0"/>
        <w:adjustRightInd w:val="0"/>
        <w:spacing w:after="300"/>
        <w:jc w:val="both"/>
        <w:rPr>
          <w:rFonts w:ascii="Times New Roman" w:hAnsi="Times New Roman" w:cs="Verdana"/>
          <w:b/>
          <w:i/>
          <w:color w:val="3E3E3E"/>
          <w:sz w:val="20"/>
          <w:szCs w:val="20"/>
        </w:rPr>
      </w:pPr>
      <w:r w:rsidRPr="001B2B79">
        <w:rPr>
          <w:rFonts w:ascii="Times New Roman" w:hAnsi="Times New Roman" w:cs="Times New Roman"/>
          <w:sz w:val="20"/>
          <w:szCs w:val="20"/>
        </w:rPr>
        <w:t>Sous cet angle, il ressort clairement que les droits garantis par l'art. 8 de la</w:t>
      </w:r>
      <w:r w:rsidRPr="001B2B79">
        <w:rPr>
          <w:rFonts w:ascii="Times New Roman" w:hAnsi="Times New Roman" w:cs="Times New Roman"/>
          <w:i/>
          <w:iCs/>
          <w:sz w:val="20"/>
          <w:szCs w:val="20"/>
        </w:rPr>
        <w:t xml:space="preserve"> Charte</w:t>
      </w:r>
      <w:r w:rsidRPr="001B2B79">
        <w:rPr>
          <w:rFonts w:ascii="Times New Roman" w:hAnsi="Times New Roman" w:cs="Times New Roman"/>
          <w:sz w:val="20"/>
          <w:szCs w:val="20"/>
        </w:rPr>
        <w:t xml:space="preserve"> visent à nous protéger de la surveillance magnétoscopique non autorisée lorsque nous occupons des chambres d'hôtel.  Il est clair que chez nous, nous avons le droit, dans pratiquement toutes les circonstances imaginables, d'affirmer que la surveillance magnétoscopique non autorisée effectuée par l'État empiète sur notre attente raisonnable en matière de respect de la vie privée.  Il serait extrêmement étrange que la situation soit tout autre lorsqu'il s'agit de chambres d'hôtel ou de motel.  Normalement, si nous louons de telles chambres, c'est que nous voulons obtenir un endroit privé où poursuivre nos activités à l'abri de toute observation.  Par conséquent, je ne puis concevoir de raison pour laquelle nous serions privés de notre droit à la </w:t>
      </w:r>
      <w:r w:rsidRPr="001B2B79">
        <w:rPr>
          <w:rFonts w:ascii="Times New Roman" w:hAnsi="Times New Roman" w:cs="Times New Roman"/>
          <w:sz w:val="20"/>
          <w:szCs w:val="20"/>
          <w:u w:val="single"/>
        </w:rPr>
        <w:t>protection</w:t>
      </w:r>
      <w:r w:rsidRPr="001B2B79">
        <w:rPr>
          <w:rFonts w:ascii="Times New Roman" w:hAnsi="Times New Roman" w:cs="Times New Roman"/>
          <w:sz w:val="20"/>
          <w:szCs w:val="20"/>
        </w:rPr>
        <w:t xml:space="preserve"> contre les perquisitions et les fouilles abusives en de tels endroits qui peuvent justement être considérés comme notre foyer hors du foyer.</w:t>
      </w:r>
    </w:p>
    <w:p w14:paraId="0CCE6506" w14:textId="059972BF" w:rsidR="001B2B79" w:rsidRDefault="001B2B79" w:rsidP="001B2B79">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d’un local commercial</w:t>
      </w:r>
    </w:p>
    <w:p w14:paraId="4315921C" w14:textId="4BA1493F" w:rsidR="001B2B79" w:rsidRPr="001B2B79" w:rsidRDefault="001B2B79"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color w:val="3E3E3E"/>
          <w:sz w:val="22"/>
          <w:szCs w:val="22"/>
        </w:rPr>
        <w:t xml:space="preserve">Même raisonnement que dans </w:t>
      </w:r>
      <w:r>
        <w:rPr>
          <w:rFonts w:ascii="Times New Roman" w:hAnsi="Times New Roman" w:cs="Verdana"/>
          <w:b/>
          <w:color w:val="3E3E3E"/>
          <w:sz w:val="22"/>
          <w:szCs w:val="22"/>
        </w:rPr>
        <w:t>Wong,</w:t>
      </w:r>
      <w:r>
        <w:rPr>
          <w:rFonts w:ascii="Times New Roman" w:hAnsi="Times New Roman" w:cs="Verdana"/>
          <w:color w:val="3E3E3E"/>
          <w:sz w:val="22"/>
          <w:szCs w:val="22"/>
        </w:rPr>
        <w:t xml:space="preserve"> sauf que s’il est ouvert au public, cela est différent, voir </w:t>
      </w:r>
      <w:r>
        <w:rPr>
          <w:rFonts w:ascii="Times New Roman" w:hAnsi="Times New Roman" w:cs="Verdana"/>
          <w:b/>
          <w:color w:val="3E3E3E"/>
          <w:sz w:val="22"/>
          <w:szCs w:val="22"/>
        </w:rPr>
        <w:t>E. c. Fitt 1996 (p.27).</w:t>
      </w:r>
    </w:p>
    <w:p w14:paraId="09741D6D" w14:textId="63328211" w:rsidR="001B2B79" w:rsidRPr="001B2B79" w:rsidRDefault="001B2B79" w:rsidP="001B2B79">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Le cas des propriétés privées à caractère résidentiel</w:t>
      </w:r>
    </w:p>
    <w:p w14:paraId="4589667E" w14:textId="715497D3" w:rsidR="001B2B79" w:rsidRDefault="001B2B79" w:rsidP="001B2B79">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Edwards 1996 :</w:t>
      </w:r>
    </w:p>
    <w:p w14:paraId="55517369" w14:textId="7FA3767F" w:rsidR="001B2B79" w:rsidRPr="001B2B79" w:rsidRDefault="001B2B79" w:rsidP="00880034">
      <w:pPr>
        <w:pStyle w:val="Paragraphedeliste"/>
        <w:widowControl w:val="0"/>
        <w:numPr>
          <w:ilvl w:val="0"/>
          <w:numId w:val="42"/>
        </w:numPr>
        <w:autoSpaceDE w:val="0"/>
        <w:autoSpaceDN w:val="0"/>
        <w:adjustRightInd w:val="0"/>
        <w:spacing w:after="300"/>
        <w:jc w:val="both"/>
        <w:rPr>
          <w:rFonts w:ascii="Times New Roman" w:hAnsi="Times New Roman" w:cs="Verdana"/>
          <w:color w:val="3E3E3E"/>
          <w:sz w:val="22"/>
          <w:szCs w:val="22"/>
        </w:rPr>
      </w:pPr>
      <w:r w:rsidRPr="003F5A1F">
        <w:rPr>
          <w:rFonts w:ascii="Times New Roman" w:hAnsi="Times New Roman" w:cs="Times New Roman"/>
          <w:sz w:val="20"/>
          <w:szCs w:val="20"/>
        </w:rPr>
        <w:t>Le droit d'être à l'abri de toute intrusion ou ingérence est un élément clé de la notion de vie privée.  Il s'ensuit que le fait que l'appelant ne pouvait être à l'abri de toute intrusion ou ingérence dans l'appartement de M</w:t>
      </w:r>
      <w:r w:rsidRPr="003F5A1F">
        <w:rPr>
          <w:rFonts w:ascii="Times New Roman" w:hAnsi="Times New Roman" w:cs="Times New Roman"/>
          <w:sz w:val="20"/>
          <w:szCs w:val="20"/>
          <w:vertAlign w:val="superscript"/>
        </w:rPr>
        <w:t>me</w:t>
      </w:r>
      <w:r w:rsidRPr="003F5A1F">
        <w:rPr>
          <w:rFonts w:ascii="Times New Roman" w:hAnsi="Times New Roman" w:cs="Times New Roman"/>
          <w:sz w:val="20"/>
          <w:szCs w:val="20"/>
        </w:rPr>
        <w:t xml:space="preserve"> Evers revêt une grande importance pour ce qui est de confirmer la conclusion qu'il n'avait aucune attente raisonnable en matière de vie privée.  Il n'était qu'un invité privilégié.</w:t>
      </w:r>
    </w:p>
    <w:p w14:paraId="43310BDF" w14:textId="644BC109" w:rsidR="001B2B79" w:rsidRDefault="001B2B79" w:rsidP="001B2B79">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Evans 1996 :</w:t>
      </w:r>
    </w:p>
    <w:p w14:paraId="4939677C" w14:textId="63DD665F" w:rsidR="001B2B79" w:rsidRPr="001B2B79" w:rsidRDefault="001B2B79"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 xml:space="preserve">Je suis d'accord avec le juge Major pour dire que la common law reconnaît depuis longtemps que tous les membres du public, y compris les policiers, sont implicitement autorisés à s'appro­cher de la porte d'une résidence et à y frapper.  Comme la Cour d'appel de l'Ontario l'a récemment affirmé dans </w:t>
      </w:r>
      <w:r w:rsidRPr="003F5A1F">
        <w:rPr>
          <w:rFonts w:ascii="Times New Roman" w:hAnsi="Times New Roman" w:cs="Times New Roman"/>
          <w:i/>
          <w:iCs/>
          <w:sz w:val="20"/>
          <w:szCs w:val="20"/>
        </w:rPr>
        <w:t>R. c. Tricker</w:t>
      </w:r>
      <w:r>
        <w:rPr>
          <w:rFonts w:ascii="Times New Roman" w:hAnsi="Times New Roman" w:cs="Times New Roman"/>
          <w:i/>
          <w:iCs/>
          <w:sz w:val="20"/>
          <w:szCs w:val="20"/>
        </w:rPr>
        <w:t>.</w:t>
      </w:r>
    </w:p>
    <w:p w14:paraId="6BD84BB6" w14:textId="2F5F382B" w:rsidR="001B2B79" w:rsidRPr="001B2B79" w:rsidRDefault="001B2B79"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Il s'ensuit que l'occupant d'une maison d'habitation est réputé accorder au public l'autorisation de s'appro­cher de sa porte et d'y frapper</w:t>
      </w:r>
      <w:r>
        <w:rPr>
          <w:rFonts w:ascii="Times New Roman" w:hAnsi="Times New Roman" w:cs="Times New Roman"/>
          <w:sz w:val="20"/>
          <w:szCs w:val="20"/>
        </w:rPr>
        <w:t>.</w:t>
      </w:r>
    </w:p>
    <w:p w14:paraId="212F51BB" w14:textId="4D4B3AED" w:rsidR="001B2B79" w:rsidRPr="00F9136C" w:rsidRDefault="00F9136C"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Il est clair qu'en vertu de l'«autorisation implicite de frapper à la porte», on peut considérer que l'occupant d'une maison autorise certaines personnes à s'en approcher à certaines fins.  Cependant, cela ne signifie pas que toute personne est libre de s'approcher de la maison, quel que soit le but de sa visite</w:t>
      </w:r>
      <w:r>
        <w:rPr>
          <w:rFonts w:ascii="Times New Roman" w:hAnsi="Times New Roman" w:cs="Times New Roman"/>
          <w:sz w:val="20"/>
          <w:szCs w:val="20"/>
        </w:rPr>
        <w:t>.</w:t>
      </w:r>
    </w:p>
    <w:p w14:paraId="3198C85C" w14:textId="08AEBFB6" w:rsidR="00F9136C" w:rsidRPr="00F9136C" w:rsidRDefault="00F9136C"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Je suis d'accord avec cet énoncé du droit.  À mon avis, l'invitation implicite à frapper à la porte ne va pas au</w:t>
      </w:r>
      <w:r w:rsidRPr="003F5A1F">
        <w:rPr>
          <w:rFonts w:ascii="American Typewriter" w:hAnsi="American Typewriter" w:cs="American Typewriter"/>
          <w:sz w:val="20"/>
          <w:szCs w:val="20"/>
        </w:rPr>
        <w:t>‑</w:t>
      </w:r>
      <w:r w:rsidRPr="003F5A1F">
        <w:rPr>
          <w:rFonts w:ascii="Times New Roman" w:hAnsi="Times New Roman" w:cs="Times New Roman"/>
          <w:sz w:val="20"/>
          <w:szCs w:val="20"/>
        </w:rPr>
        <w:t>delà de ce qui est nécessaire pour qu'il y ait communication convenable avec l'occupant de la maison.  La «renonciation» aux droits à la vie privée que comporte l'invitation implicite ne va pas au</w:t>
      </w:r>
      <w:r w:rsidRPr="003F5A1F">
        <w:rPr>
          <w:rFonts w:ascii="American Typewriter" w:hAnsi="American Typewriter" w:cs="American Typewriter"/>
          <w:sz w:val="20"/>
          <w:szCs w:val="20"/>
        </w:rPr>
        <w:t>‑</w:t>
      </w:r>
      <w:r w:rsidRPr="003F5A1F">
        <w:rPr>
          <w:rFonts w:ascii="Times New Roman" w:hAnsi="Times New Roman" w:cs="Times New Roman"/>
          <w:sz w:val="20"/>
          <w:szCs w:val="20"/>
        </w:rPr>
        <w:t>delà de ce qui est nécessaire pour atteindre ce but.  Il s'ensuit que seules les activités qui sont raisonnablement liées au but de communiquer avec l'occupant sont permises en vertu de l'«autorisation implicite de frapper à la porte».  Lorsque la conduite des policiers (ou de qui que ce soit) va au</w:t>
      </w:r>
      <w:r w:rsidRPr="003F5A1F">
        <w:rPr>
          <w:rFonts w:ascii="American Typewriter" w:hAnsi="American Typewriter" w:cs="American Typewriter"/>
          <w:sz w:val="20"/>
          <w:szCs w:val="20"/>
        </w:rPr>
        <w:t>‑</w:t>
      </w:r>
      <w:r w:rsidRPr="003F5A1F">
        <w:rPr>
          <w:rFonts w:ascii="Times New Roman" w:hAnsi="Times New Roman" w:cs="Times New Roman"/>
          <w:sz w:val="20"/>
          <w:szCs w:val="20"/>
        </w:rPr>
        <w:t>delà de ce qui est permis en vertu de l'autorisation implicite de frapper à la porte, les «conditions» implicites de cette autorisation sont effectivement violées et l'auteur de l'activité non autorisée qui s'approche de la maison devient un intrus.</w:t>
      </w:r>
    </w:p>
    <w:p w14:paraId="1377301F" w14:textId="3C03F6FB" w:rsidR="00F9136C" w:rsidRPr="00F9136C" w:rsidRDefault="00F9136C"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je suis d'avis que les actions des policiers sont allées au</w:t>
      </w:r>
      <w:r w:rsidRPr="003F5A1F">
        <w:rPr>
          <w:rFonts w:ascii="American Typewriter" w:hAnsi="American Typewriter" w:cs="American Typewriter"/>
          <w:sz w:val="20"/>
          <w:szCs w:val="20"/>
        </w:rPr>
        <w:t>‑</w:t>
      </w:r>
      <w:r w:rsidRPr="003F5A1F">
        <w:rPr>
          <w:rFonts w:ascii="Times New Roman" w:hAnsi="Times New Roman" w:cs="Times New Roman"/>
          <w:sz w:val="20"/>
          <w:szCs w:val="20"/>
        </w:rPr>
        <w:t>delà du type de conduite permis en vertu de l'autorisation implicite de frapper à la porte.  Bien que j'admette que l'un des buts poursuivis par les policiers en s'approchant de la maison des Evans était de communiquer avec ses occupants conformément à l'autorisation implicite de frapper à leur porte, la preuve révèle clairement que, ce faisant, ils poursuivaient un but subsidiaire, soit de [TRADUCTION] «sentir» la marijuana.  Par conséquent, les policiers se sont approchés de la demeure des Evans non pas simplement dans le but de communiquer avec les occupants, mais également dans l'espoir de recueillir des éléments de preuve contre eux</w:t>
      </w:r>
      <w:r>
        <w:rPr>
          <w:rFonts w:ascii="Times New Roman" w:hAnsi="Times New Roman" w:cs="Times New Roman"/>
          <w:sz w:val="20"/>
          <w:szCs w:val="20"/>
        </w:rPr>
        <w:t xml:space="preserve"> [16].</w:t>
      </w:r>
    </w:p>
    <w:p w14:paraId="30A01778" w14:textId="7515C34C" w:rsidR="00F9136C" w:rsidRPr="00F9136C" w:rsidRDefault="00F9136C" w:rsidP="00880034">
      <w:pPr>
        <w:pStyle w:val="Paragraphedeliste"/>
        <w:widowControl w:val="0"/>
        <w:numPr>
          <w:ilvl w:val="0"/>
          <w:numId w:val="42"/>
        </w:numPr>
        <w:autoSpaceDE w:val="0"/>
        <w:autoSpaceDN w:val="0"/>
        <w:adjustRightInd w:val="0"/>
        <w:spacing w:after="300"/>
        <w:jc w:val="both"/>
        <w:rPr>
          <w:rFonts w:ascii="Times New Roman" w:hAnsi="Times New Roman" w:cs="Verdana"/>
          <w:i/>
          <w:color w:val="3E3E3E"/>
          <w:sz w:val="22"/>
          <w:szCs w:val="22"/>
        </w:rPr>
      </w:pPr>
      <w:r w:rsidRPr="003F5A1F">
        <w:rPr>
          <w:rFonts w:ascii="Times New Roman" w:hAnsi="Times New Roman" w:cs="Times New Roman"/>
          <w:sz w:val="20"/>
          <w:szCs w:val="20"/>
        </w:rPr>
        <w:t>De toute évidence, on ne peut pas présumer que les occupants d'une maison invitent les policiers (ou qui que ce soit) à s'approcher de leur maison pour établir le bien</w:t>
      </w:r>
      <w:r w:rsidRPr="003F5A1F">
        <w:rPr>
          <w:rFonts w:ascii="American Typewriter" w:hAnsi="American Typewriter" w:cs="American Typewriter"/>
          <w:sz w:val="20"/>
          <w:szCs w:val="20"/>
        </w:rPr>
        <w:t>‑</w:t>
      </w:r>
      <w:r w:rsidRPr="003F5A1F">
        <w:rPr>
          <w:rFonts w:ascii="Times New Roman" w:hAnsi="Times New Roman" w:cs="Times New Roman"/>
          <w:sz w:val="20"/>
          <w:szCs w:val="20"/>
        </w:rPr>
        <w:t>fondé d'une accusation portée contre eux.  Toute «renonciation» aux droits à la vie privée dont l'existence peut se déduire de l'«invitation à frapper à la porte» ne va tout simplement pas jusque</w:t>
      </w:r>
      <w:r w:rsidRPr="003F5A1F">
        <w:rPr>
          <w:rFonts w:ascii="American Typewriter" w:hAnsi="American Typewriter" w:cs="American Typewriter"/>
          <w:sz w:val="20"/>
          <w:szCs w:val="20"/>
        </w:rPr>
        <w:t>‑</w:t>
      </w:r>
      <w:r w:rsidRPr="003F5A1F">
        <w:rPr>
          <w:rFonts w:ascii="Times New Roman" w:hAnsi="Times New Roman" w:cs="Times New Roman"/>
          <w:sz w:val="20"/>
          <w:szCs w:val="20"/>
        </w:rPr>
        <w:t>là.  Il s'ensuit que, lorsque les représentants de l'État s'approchent d'une maison dans le but de recueillir des éléments de preuve contre l'occupant, ils outrepassent toute autorisation que l'invitation à frapper à la porte comporte implicitement</w:t>
      </w:r>
      <w:r>
        <w:rPr>
          <w:rFonts w:ascii="Times New Roman" w:hAnsi="Times New Roman" w:cs="Times New Roman"/>
          <w:sz w:val="20"/>
          <w:szCs w:val="20"/>
        </w:rPr>
        <w:t xml:space="preserve"> [...]</w:t>
      </w:r>
      <w:r w:rsidRPr="003F5A1F">
        <w:rPr>
          <w:rFonts w:ascii="Times New Roman" w:hAnsi="Times New Roman" w:cs="Times New Roman"/>
          <w:sz w:val="20"/>
          <w:szCs w:val="20"/>
        </w:rPr>
        <w:t>20        À mon avis, il existe, sur le plan des principes, de bonnes raisons de statuer que l'intention des policiers, lorsqu'ils s'approchent de la maison d'un particulier, est pertinente pour déterminer si l'activité en question est une «fouille ou perquisition» au sens de l'art. 8</w:t>
      </w:r>
      <w:r>
        <w:rPr>
          <w:rFonts w:ascii="Times New Roman" w:hAnsi="Times New Roman" w:cs="Times New Roman"/>
          <w:sz w:val="20"/>
          <w:szCs w:val="20"/>
        </w:rPr>
        <w:t>.</w:t>
      </w:r>
    </w:p>
    <w:p w14:paraId="7D27A5EF" w14:textId="37BA3779" w:rsidR="00F9136C" w:rsidRDefault="00F9136C" w:rsidP="00F9136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 2 C.cr. et la définition de maison d’habitation et le cas de la perquisition périphérique</w:t>
      </w:r>
    </w:p>
    <w:p w14:paraId="5C277B19" w14:textId="70BBA294" w:rsidR="00F9136C" w:rsidRDefault="00F9136C" w:rsidP="00F9136C">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Patrick 2009 (p.29) :</w:t>
      </w:r>
    </w:p>
    <w:p w14:paraId="69590BB6" w14:textId="51AE1B18" w:rsidR="00F9136C" w:rsidRPr="00F9136C" w:rsidRDefault="00F9136C" w:rsidP="00880034">
      <w:pPr>
        <w:pStyle w:val="Paragraphedeliste"/>
        <w:widowControl w:val="0"/>
        <w:numPr>
          <w:ilvl w:val="0"/>
          <w:numId w:val="43"/>
        </w:numPr>
        <w:autoSpaceDE w:val="0"/>
        <w:autoSpaceDN w:val="0"/>
        <w:adjustRightInd w:val="0"/>
        <w:spacing w:after="300"/>
        <w:jc w:val="both"/>
        <w:rPr>
          <w:rFonts w:ascii="Times New Roman" w:hAnsi="Times New Roman" w:cs="Verdana"/>
          <w:color w:val="3E3E3E"/>
          <w:sz w:val="22"/>
          <w:szCs w:val="22"/>
        </w:rPr>
      </w:pPr>
      <w:r w:rsidRPr="003B1203">
        <w:rPr>
          <w:rFonts w:ascii="Times New Roman" w:hAnsi="Times New Roman" w:cs="Times New Roman"/>
          <w:sz w:val="20"/>
          <w:szCs w:val="20"/>
        </w:rPr>
        <w:t>Dans ses motifs concourants, le juge La Forest s’est dit d’avis que « [n]otre société ne peut tout simplement pas accepter que des policiers flânent autour de nos demeures ou qu’ils y recherchent une odeur </w:t>
      </w:r>
      <w:r>
        <w:rPr>
          <w:rFonts w:ascii="Times New Roman" w:hAnsi="Times New Roman" w:cs="Times New Roman"/>
          <w:sz w:val="20"/>
          <w:szCs w:val="20"/>
        </w:rPr>
        <w:t>.</w:t>
      </w:r>
    </w:p>
    <w:p w14:paraId="558B0791" w14:textId="7C010664" w:rsidR="00F9136C" w:rsidRDefault="00F9136C" w:rsidP="00F9136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 xml:space="preserve">Dans </w:t>
      </w:r>
      <w:r>
        <w:rPr>
          <w:rFonts w:ascii="Times New Roman" w:hAnsi="Times New Roman" w:cs="Verdana"/>
          <w:b/>
          <w:i/>
          <w:color w:val="3E3E3E"/>
          <w:sz w:val="22"/>
          <w:szCs w:val="22"/>
        </w:rPr>
        <w:t>R. c. Tessling 2004</w:t>
      </w:r>
      <w:r>
        <w:rPr>
          <w:rFonts w:ascii="Times New Roman" w:hAnsi="Times New Roman" w:cs="Verdana"/>
          <w:color w:val="3E3E3E"/>
          <w:sz w:val="22"/>
          <w:szCs w:val="22"/>
        </w:rPr>
        <w:t>, la CSC vient dire que l’utilisation d’un système infrarouge à vi</w:t>
      </w:r>
      <w:r w:rsidR="00AE6750">
        <w:rPr>
          <w:rFonts w:ascii="Times New Roman" w:hAnsi="Times New Roman" w:cs="Verdana"/>
          <w:color w:val="3E3E3E"/>
          <w:sz w:val="22"/>
          <w:szCs w:val="22"/>
        </w:rPr>
        <w:t>sion frontale par les policiers ne porte pas atteinte à la vie privée des occupants. Elle justifie cela en disant que le système ne fait que capter la chaleur qui émane d’une maison, et donc, personne n’a d’attente raisonnable en matière de vie privée à l’égard d’une telle émanation de chaleur.</w:t>
      </w:r>
    </w:p>
    <w:p w14:paraId="03D1E15C" w14:textId="1EB8759A" w:rsidR="00AE6750" w:rsidRDefault="00AE6750" w:rsidP="00F9136C">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De plus, la Cour suprême dans l’affaire Gomboc 2010 (p.32) vient dire que l’utilisation des donnés de consommation d’électricité pour savoir si une maison fait pousser de la marijuana ou pas ne porte pas atteinte à la vie privée. Ce n’est pas une saisie abusive, car ces donnés sont publiques apparemment, la CSC s’exprime comme suit :</w:t>
      </w:r>
    </w:p>
    <w:p w14:paraId="2C1B3F45" w14:textId="58EA4600" w:rsidR="00AE6750" w:rsidRPr="00D94D28" w:rsidRDefault="00AE6750" w:rsidP="00880034">
      <w:pPr>
        <w:pStyle w:val="Paragraphedeliste"/>
        <w:widowControl w:val="0"/>
        <w:numPr>
          <w:ilvl w:val="0"/>
          <w:numId w:val="43"/>
        </w:numPr>
        <w:autoSpaceDE w:val="0"/>
        <w:autoSpaceDN w:val="0"/>
        <w:adjustRightInd w:val="0"/>
        <w:spacing w:after="300"/>
        <w:jc w:val="both"/>
        <w:rPr>
          <w:rFonts w:ascii="Times New Roman" w:hAnsi="Times New Roman" w:cs="Verdana"/>
          <w:color w:val="3E3E3E"/>
          <w:sz w:val="20"/>
          <w:szCs w:val="20"/>
        </w:rPr>
      </w:pPr>
      <w:r w:rsidRPr="00AE6750">
        <w:rPr>
          <w:rFonts w:ascii="Times New Roman" w:hAnsi="Times New Roman" w:cs="Times New Roman"/>
          <w:sz w:val="20"/>
          <w:szCs w:val="20"/>
        </w:rPr>
        <w:t xml:space="preserve">Essentiellement, la possibilité pour le client en l’espèce de demander la confidentialité des renseignements le concernant lui donne, pour l’application du </w:t>
      </w:r>
      <w:r w:rsidRPr="00AE6750">
        <w:rPr>
          <w:rFonts w:ascii="Times New Roman" w:hAnsi="Times New Roman" w:cs="Times New Roman"/>
          <w:i/>
          <w:iCs/>
          <w:sz w:val="20"/>
          <w:szCs w:val="20"/>
        </w:rPr>
        <w:t>Code of Conduct</w:t>
      </w:r>
      <w:r w:rsidRPr="00AE6750">
        <w:rPr>
          <w:rFonts w:ascii="Times New Roman" w:hAnsi="Times New Roman" w:cs="Times New Roman"/>
          <w:sz w:val="20"/>
          <w:szCs w:val="20"/>
        </w:rPr>
        <w:t xml:space="preserve"> </w:t>
      </w:r>
      <w:r w:rsidRPr="00AE6750">
        <w:rPr>
          <w:rFonts w:ascii="Times New Roman" w:hAnsi="Times New Roman" w:cs="Times New Roman"/>
          <w:i/>
          <w:iCs/>
          <w:sz w:val="20"/>
          <w:szCs w:val="20"/>
        </w:rPr>
        <w:t>Regulation</w:t>
      </w:r>
      <w:r w:rsidRPr="00AE6750">
        <w:rPr>
          <w:rFonts w:ascii="Times New Roman" w:hAnsi="Times New Roman" w:cs="Times New Roman"/>
          <w:sz w:val="20"/>
          <w:szCs w:val="20"/>
        </w:rPr>
        <w:t>, l’entière liberté de définir son attente en matière de respect de la vie privée dans sa relation avec l’entreprise de services publics.  Or, G n’a fait aucune demande en ce sens et presse néanmoins la Cour d’apprécier son attente en matière de vie privée comme s’il avait demandé la confidentialité des renseignements.  Toute interprétation faisant appel à la créativité est exclue en l’espèce, car le libellé des dispositions ne comporte aucune ambiguïté.  Les données enregistrées par l’AN constituent nécessairement des « renseignements sur le client » au sens du Règlement et donc des renseignements visés à l’al. 10(3)f) du Règlement, que l’entreprise de services publics peut recueillir et communiquer, « sans le consentement du client », aux policiers qui enquêtent sur une infraction.</w:t>
      </w:r>
    </w:p>
    <w:p w14:paraId="1CF45B09"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                       </w:t>
      </w:r>
      <w:r w:rsidRPr="00BF6408">
        <w:rPr>
          <w:rFonts w:ascii="Times New Roman" w:hAnsi="Times New Roman" w:cs="Verdana"/>
          <w:b/>
          <w:color w:val="3E3E3E"/>
          <w:sz w:val="22"/>
          <w:szCs w:val="22"/>
        </w:rPr>
        <w:t>4.</w:t>
      </w:r>
      <w:r w:rsidRPr="00BF6408">
        <w:rPr>
          <w:rFonts w:ascii="Times New Roman" w:hAnsi="Times New Roman" w:cs="Verdana"/>
          <w:color w:val="3E3E3E"/>
          <w:sz w:val="22"/>
          <w:szCs w:val="22"/>
        </w:rPr>
        <w:t xml:space="preserve"> Véhicules</w:t>
      </w:r>
      <w:r>
        <w:rPr>
          <w:rFonts w:ascii="Times New Roman" w:hAnsi="Times New Roman" w:cs="Verdana"/>
          <w:color w:val="3E3E3E"/>
          <w:sz w:val="22"/>
          <w:szCs w:val="22"/>
        </w:rPr>
        <w:t> ;</w:t>
      </w:r>
    </w:p>
    <w:p w14:paraId="655535AB" w14:textId="593C42C1"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r w:rsidR="00D94D28">
        <w:rPr>
          <w:rFonts w:ascii="Times New Roman" w:hAnsi="Times New Roman" w:cs="Verdana"/>
          <w:color w:val="3E3E3E"/>
          <w:sz w:val="22"/>
          <w:szCs w:val="22"/>
        </w:rPr>
        <w:t>Au niveau des véhicules, il y a deux exceptions (p.34) :</w:t>
      </w:r>
    </w:p>
    <w:p w14:paraId="77D9CAF7" w14:textId="2A7A25FB" w:rsidR="00D94D28" w:rsidRDefault="00D94D28" w:rsidP="00BF6408">
      <w:pPr>
        <w:widowControl w:val="0"/>
        <w:autoSpaceDE w:val="0"/>
        <w:autoSpaceDN w:val="0"/>
        <w:adjustRightInd w:val="0"/>
        <w:spacing w:after="300"/>
        <w:jc w:val="both"/>
        <w:rPr>
          <w:rFonts w:ascii="Times New Roman" w:hAnsi="Times New Roman" w:cs="Verdana"/>
          <w:i/>
          <w:color w:val="3E3E3E"/>
          <w:sz w:val="22"/>
          <w:szCs w:val="22"/>
        </w:rPr>
      </w:pPr>
      <w:r>
        <w:rPr>
          <w:rFonts w:ascii="Times New Roman" w:hAnsi="Times New Roman" w:cs="Verdana"/>
          <w:i/>
          <w:color w:val="3E3E3E"/>
          <w:sz w:val="22"/>
          <w:szCs w:val="22"/>
        </w:rPr>
        <w:t>(1) Le premier tient aux personnes et non pas au véhicule en lui-même</w:t>
      </w:r>
    </w:p>
    <w:p w14:paraId="5655891E" w14:textId="1AEEEF3E" w:rsidR="00D94D28" w:rsidRDefault="00D94D28" w:rsidP="00BF640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Belnavis 1997 :</w:t>
      </w:r>
    </w:p>
    <w:p w14:paraId="02F17013" w14:textId="03363BC2" w:rsidR="00D94D28" w:rsidRPr="00D94D28" w:rsidRDefault="00D94D28" w:rsidP="00880034">
      <w:pPr>
        <w:pStyle w:val="Paragraphedeliste"/>
        <w:numPr>
          <w:ilvl w:val="0"/>
          <w:numId w:val="43"/>
        </w:numPr>
        <w:jc w:val="both"/>
        <w:rPr>
          <w:rFonts w:ascii="Times New Roman" w:hAnsi="Times New Roman" w:cs="Times New Roman"/>
          <w:sz w:val="20"/>
          <w:szCs w:val="20"/>
          <w:u w:val="single"/>
        </w:rPr>
      </w:pPr>
      <w:r w:rsidRPr="00D94D28">
        <w:rPr>
          <w:rFonts w:ascii="Times New Roman" w:hAnsi="Times New Roman" w:cs="Times New Roman"/>
          <w:sz w:val="20"/>
          <w:szCs w:val="20"/>
        </w:rPr>
        <w:t xml:space="preserve">L’approche exposée dans l’arrêt </w:t>
      </w:r>
      <w:r w:rsidRPr="00D94D28">
        <w:rPr>
          <w:rFonts w:ascii="Times New Roman" w:hAnsi="Times New Roman" w:cs="Times New Roman"/>
          <w:i/>
          <w:iCs/>
          <w:sz w:val="20"/>
          <w:szCs w:val="20"/>
        </w:rPr>
        <w:t>Edwards</w:t>
      </w:r>
      <w:r w:rsidRPr="00D94D28">
        <w:rPr>
          <w:rFonts w:ascii="Times New Roman" w:hAnsi="Times New Roman" w:cs="Times New Roman"/>
          <w:sz w:val="20"/>
          <w:szCs w:val="20"/>
        </w:rPr>
        <w:t xml:space="preserve"> indique clairement que la question de savoir si un passager peut raisonnablement s’attendre au respect de sa vie privée dans un véhicule dépend de l’ensemble des circonstances.  Tous les faits pertinents entourant la présence d’un passager dans le véhicule doivent être pris en considération pour déterminer si le passager avait une attente raisonnable de matière de vie privée.  En l’espèce, bien que Lawrence ait été présente au moment de la fouille, il y a peu d’autres facteurs qui donnent à penser qu’elle pouvait s’attendre au respect de sa vie privée dans le véhicule.  Premièrement, son lien avec le véhicule était extrêmement ténu.  Le véhicule ne lui appartenait pas, elle n’était que la passagère d’une automobile conduite par une amie du propriétaire.  Il n’y avait aucune preuve qu’elle exerçait un contrôle sur le véhicule, qu’elle l’avait utilisé dans le passé ou qu’elle avait avec le propriétaire ou la conductrice une relation qui établirait l’existence d’un accès spécial au véhicule ou d’un privilège s’y rapportant.  Lawrence n’a pas démontré qu’elle était capable de régir l’accès au véhicule.  Finalement, il n’y avait aucune preuve qu’elle pouvait s’attendre subjectivement au respect de sa vie privée dans le véhicule.  Je suis d’accord avec le juge Doherty pour dire que le juge du procès a commis une erreur en présumant apparemment qu’un passager pourrait raisonnablement s’attendre au respect de sa vie privée dans un véhicule, et en omettant de prendre en considération l’ensemble des circonstances, soit l’approche énoncée dans l’arrêt </w:t>
      </w:r>
      <w:r w:rsidRPr="00D94D28">
        <w:rPr>
          <w:rFonts w:ascii="Times New Roman" w:hAnsi="Times New Roman" w:cs="Times New Roman"/>
          <w:i/>
          <w:iCs/>
          <w:sz w:val="20"/>
          <w:szCs w:val="20"/>
        </w:rPr>
        <w:t>Edwards</w:t>
      </w:r>
      <w:r w:rsidRPr="00D94D28">
        <w:rPr>
          <w:rFonts w:ascii="Times New Roman" w:hAnsi="Times New Roman" w:cs="Times New Roman"/>
          <w:sz w:val="20"/>
          <w:szCs w:val="20"/>
        </w:rPr>
        <w:t>.  Les faits de l’affaire démontrent que Lawrence ne pouvait pas raisonnablement s’attendre au respect de sa vie privée dans le véhicule</w:t>
      </w:r>
    </w:p>
    <w:p w14:paraId="5B5CEE98" w14:textId="77777777" w:rsidR="00D94D28" w:rsidRDefault="00D94D28" w:rsidP="009E3E4F">
      <w:pPr>
        <w:widowControl w:val="0"/>
        <w:autoSpaceDE w:val="0"/>
        <w:autoSpaceDN w:val="0"/>
        <w:adjustRightInd w:val="0"/>
        <w:spacing w:after="300"/>
        <w:jc w:val="both"/>
        <w:rPr>
          <w:rFonts w:ascii="Times New Roman" w:hAnsi="Times New Roman" w:cs="Verdana"/>
          <w:color w:val="3E3E3E"/>
          <w:sz w:val="22"/>
          <w:szCs w:val="22"/>
        </w:rPr>
      </w:pPr>
    </w:p>
    <w:p w14:paraId="5160A431" w14:textId="544EDFA8" w:rsidR="009E3E4F" w:rsidRDefault="009E3E4F" w:rsidP="009E3E4F">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Cour ajoute que dans certaines circonstances, le passager pourrait raisonnablement s’attendre au respect de sa vie privée. Elle mentionne le cas du conjoint :</w:t>
      </w:r>
    </w:p>
    <w:p w14:paraId="7FD78D1A" w14:textId="4478FE2D" w:rsidR="009E3E4F" w:rsidRDefault="009E3E4F" w:rsidP="00880034">
      <w:pPr>
        <w:pStyle w:val="Paragraphedeliste"/>
        <w:numPr>
          <w:ilvl w:val="0"/>
          <w:numId w:val="43"/>
        </w:numPr>
        <w:jc w:val="both"/>
        <w:rPr>
          <w:rFonts w:ascii="Times New Roman" w:hAnsi="Times New Roman" w:cs="Times New Roman"/>
          <w:sz w:val="20"/>
          <w:szCs w:val="20"/>
        </w:rPr>
      </w:pPr>
      <w:r w:rsidRPr="009E3E4F">
        <w:rPr>
          <w:rFonts w:ascii="Times New Roman" w:hAnsi="Times New Roman" w:cs="Times New Roman"/>
          <w:sz w:val="20"/>
          <w:szCs w:val="20"/>
        </w:rPr>
        <w:t>Il pourra y avoir d’autres facteurs, comme la relation entre le propriétaire et le passager ou les conditions de la présence même du passager, qui permettront de soutenir que le passager avait une attente raisonnable en matière de vie privée quant au véhicule . . .Par exemple, dans bien des cas, il y aurait peu de différence entre l’attente en matière de vie privée du propriétaire</w:t>
      </w:r>
      <w:r w:rsidRPr="009E3E4F">
        <w:rPr>
          <w:rFonts w:ascii="American Typewriter" w:hAnsi="American Typewriter" w:cs="American Typewriter"/>
          <w:sz w:val="20"/>
          <w:szCs w:val="20"/>
        </w:rPr>
        <w:t>‑</w:t>
      </w:r>
      <w:r w:rsidRPr="009E3E4F">
        <w:rPr>
          <w:rFonts w:ascii="Times New Roman" w:hAnsi="Times New Roman" w:cs="Times New Roman"/>
          <w:sz w:val="20"/>
          <w:szCs w:val="20"/>
        </w:rPr>
        <w:t>conducteur d’une automobile et celle de son conjoint.  De même, deux personnes qui feraient ensemble un long voyage et qui partageraient la conduite et les dépenses pourraient probablement s’attendre toutes les deux au même respect de leur vie privée dans leur véhicule.</w:t>
      </w:r>
    </w:p>
    <w:p w14:paraId="36B5C2A3" w14:textId="77777777" w:rsidR="00AA5F35" w:rsidRDefault="00AA5F35" w:rsidP="00AA5F35">
      <w:pPr>
        <w:jc w:val="both"/>
        <w:rPr>
          <w:rFonts w:ascii="Times New Roman" w:hAnsi="Times New Roman" w:cs="Times New Roman"/>
          <w:sz w:val="20"/>
          <w:szCs w:val="20"/>
        </w:rPr>
      </w:pPr>
    </w:p>
    <w:p w14:paraId="5BEF9407" w14:textId="1E201D6C" w:rsidR="00AA5F35" w:rsidRPr="00AA5F35" w:rsidRDefault="00AA5F35" w:rsidP="00AA5F35">
      <w:pPr>
        <w:jc w:val="both"/>
        <w:rPr>
          <w:rFonts w:ascii="Times New Roman" w:hAnsi="Times New Roman" w:cs="Times New Roman"/>
          <w:sz w:val="22"/>
          <w:szCs w:val="22"/>
        </w:rPr>
      </w:pPr>
      <w:r>
        <w:rPr>
          <w:rFonts w:ascii="Times New Roman" w:hAnsi="Times New Roman" w:cs="Times New Roman"/>
          <w:sz w:val="22"/>
          <w:szCs w:val="22"/>
        </w:rPr>
        <w:t>Selon le professeur Stylios, l’</w:t>
      </w:r>
      <w:r>
        <w:rPr>
          <w:rFonts w:ascii="Times New Roman" w:hAnsi="Times New Roman" w:cs="Times New Roman"/>
          <w:b/>
          <w:sz w:val="22"/>
          <w:szCs w:val="22"/>
        </w:rPr>
        <w:t>arrêt Belnavis</w:t>
      </w:r>
      <w:r>
        <w:rPr>
          <w:rFonts w:ascii="Times New Roman" w:hAnsi="Times New Roman" w:cs="Times New Roman"/>
          <w:sz w:val="22"/>
          <w:szCs w:val="22"/>
        </w:rPr>
        <w:t xml:space="preserve"> est éminemment discutable en l’espèce et peu laisser place à des arrestations arbitraire. En effet, le passager n’a, en somme, aucune attente en matière de vie privée dans la voiture du conducteur, hormis le cas où il peut démontrer une telle attente. Ainsi, la preuve recueillie peut potentiellement portée préjudice au conducteur.</w:t>
      </w:r>
    </w:p>
    <w:p w14:paraId="19484B2C" w14:textId="77777777" w:rsidR="00F05DBE" w:rsidRDefault="00F05DBE" w:rsidP="00F05DBE">
      <w:pPr>
        <w:jc w:val="both"/>
        <w:rPr>
          <w:rFonts w:ascii="Times New Roman" w:hAnsi="Times New Roman" w:cs="Times New Roman"/>
          <w:sz w:val="20"/>
          <w:szCs w:val="20"/>
          <w:u w:val="single"/>
        </w:rPr>
      </w:pPr>
    </w:p>
    <w:p w14:paraId="132CBE00" w14:textId="6169E652" w:rsidR="00F05DBE" w:rsidRDefault="00F05DBE" w:rsidP="00F05DBE">
      <w:pPr>
        <w:jc w:val="both"/>
        <w:rPr>
          <w:rFonts w:ascii="Times New Roman" w:hAnsi="Times New Roman" w:cs="Times New Roman"/>
          <w:b/>
          <w:i/>
          <w:sz w:val="22"/>
          <w:szCs w:val="22"/>
        </w:rPr>
      </w:pPr>
      <w:r>
        <w:rPr>
          <w:rFonts w:ascii="Times New Roman" w:hAnsi="Times New Roman" w:cs="Times New Roman"/>
          <w:b/>
          <w:i/>
          <w:sz w:val="22"/>
          <w:szCs w:val="22"/>
        </w:rPr>
        <w:t>R. c. Edwards 1996</w:t>
      </w:r>
      <w:r w:rsidR="00AA5F35">
        <w:rPr>
          <w:rFonts w:ascii="Times New Roman" w:hAnsi="Times New Roman" w:cs="Times New Roman"/>
          <w:b/>
          <w:i/>
          <w:sz w:val="22"/>
          <w:szCs w:val="22"/>
        </w:rPr>
        <w:t xml:space="preserve"> (à lire)</w:t>
      </w:r>
      <w:r>
        <w:rPr>
          <w:rFonts w:ascii="Times New Roman" w:hAnsi="Times New Roman" w:cs="Times New Roman"/>
          <w:b/>
          <w:i/>
          <w:sz w:val="22"/>
          <w:szCs w:val="22"/>
        </w:rPr>
        <w:t> :</w:t>
      </w:r>
    </w:p>
    <w:p w14:paraId="449C0EB5" w14:textId="518C6C12" w:rsidR="00F05DBE" w:rsidRPr="00F05DBE" w:rsidRDefault="00F05DBE" w:rsidP="00880034">
      <w:pPr>
        <w:pStyle w:val="Paragraphedeliste"/>
        <w:numPr>
          <w:ilvl w:val="0"/>
          <w:numId w:val="43"/>
        </w:numPr>
        <w:jc w:val="both"/>
        <w:rPr>
          <w:rFonts w:ascii="Times New Roman" w:hAnsi="Times New Roman" w:cs="Times New Roman"/>
          <w:sz w:val="22"/>
          <w:szCs w:val="22"/>
        </w:rPr>
      </w:pPr>
      <w:r w:rsidRPr="00F05DBE">
        <w:rPr>
          <w:rFonts w:ascii="Times New Roman" w:hAnsi="Times New Roman" w:cs="Times New Roman"/>
          <w:sz w:val="20"/>
          <w:szCs w:val="20"/>
        </w:rPr>
        <w:t xml:space="preserve">Il semble ressortir de ce qui précède que les juges formant la majorité conviennent, au par. 38, qu'«[e]n de rares circonstances» au moins, l'étendue de l'atteinte à la vie privée de membres du public peut être pertinente sur le plan constitutionnel.  Je n'ai aucun doute que cela est pertinent et, à mon avis, la jurisprudence ne se limite pas aux cas d'atteintes massives à la vie privée, mais vise aussi d'autres situations où l'on peut raisonnablement conclure qu'il y a eu violation du droit du public à la protection contre les fouilles, perquisitions et saisies abusives.  L'introduction intentionnelle et par la force dans la maison d'une personne autre que l'accusé me paraîtrait mériter un examen.  Un exemple encore plus frappant serait le cas où des représentants de l'État s'introduiraient illicitement dans un lieu pour des motifs moins impérieux que l'application du droit criminel.  Ne pas accepter ce point de vue revient à protéger davantage le droit à la vie privée d'un accusé ou autre malfaiteur que celui d'une personne qui ne peut raisonnablement être soupçonnée de quoi que ce soit.  À mon avis, cela semble contrecarrer le droit de ne pas être importuné que la </w:t>
      </w:r>
      <w:r w:rsidRPr="00F05DBE">
        <w:rPr>
          <w:rFonts w:ascii="Times New Roman" w:hAnsi="Times New Roman" w:cs="Times New Roman"/>
          <w:i/>
          <w:iCs/>
          <w:sz w:val="20"/>
          <w:szCs w:val="20"/>
        </w:rPr>
        <w:t>Charte</w:t>
      </w:r>
      <w:r w:rsidRPr="00F05DBE">
        <w:rPr>
          <w:rFonts w:ascii="Times New Roman" w:hAnsi="Times New Roman" w:cs="Times New Roman"/>
          <w:sz w:val="20"/>
          <w:szCs w:val="20"/>
        </w:rPr>
        <w:t xml:space="preserve"> garantit au citoyen [64]</w:t>
      </w:r>
    </w:p>
    <w:p w14:paraId="131ACBD4" w14:textId="1573E15D" w:rsidR="00F05DBE" w:rsidRDefault="00F05DBE" w:rsidP="00880034">
      <w:pPr>
        <w:pStyle w:val="Paragraphedeliste"/>
        <w:numPr>
          <w:ilvl w:val="0"/>
          <w:numId w:val="43"/>
        </w:numPr>
        <w:jc w:val="both"/>
        <w:rPr>
          <w:rFonts w:ascii="Times New Roman" w:hAnsi="Times New Roman" w:cs="Times New Roman"/>
          <w:sz w:val="20"/>
          <w:szCs w:val="20"/>
        </w:rPr>
      </w:pPr>
      <w:r w:rsidRPr="00F05DBE">
        <w:rPr>
          <w:rFonts w:ascii="Times New Roman" w:hAnsi="Times New Roman" w:cs="Times New Roman"/>
          <w:sz w:val="20"/>
          <w:szCs w:val="20"/>
        </w:rPr>
        <w:t xml:space="preserve">Par exemple, si nous bénéficions tous du droit garanti au public par l'art. 8, je ne vois pas pourquoi nous ne pourrions pas invoquer le par. 24(2) si les éléments de preuve ainsi obtenus sont présentés contre nous.  Je ne considère pas non plus que l'arrêt </w:t>
      </w:r>
      <w:r w:rsidRPr="00F05DBE">
        <w:rPr>
          <w:rFonts w:ascii="Times New Roman" w:hAnsi="Times New Roman" w:cs="Times New Roman"/>
          <w:i/>
          <w:iCs/>
          <w:sz w:val="20"/>
          <w:szCs w:val="20"/>
        </w:rPr>
        <w:t>Hunter</w:t>
      </w:r>
      <w:r w:rsidRPr="00F05DBE">
        <w:rPr>
          <w:rFonts w:ascii="Times New Roman" w:hAnsi="Times New Roman" w:cs="Times New Roman"/>
          <w:sz w:val="20"/>
          <w:szCs w:val="20"/>
        </w:rPr>
        <w:t>, précité, est limité à un droit personnel à la vie privée; en fait, notre Cour s'est explicitement abstenue de trancher cette question.</w:t>
      </w:r>
      <w:r w:rsidR="00097CFF">
        <w:rPr>
          <w:rFonts w:ascii="Times New Roman" w:hAnsi="Times New Roman" w:cs="Times New Roman"/>
          <w:sz w:val="20"/>
          <w:szCs w:val="20"/>
        </w:rPr>
        <w:t xml:space="preserve"> </w:t>
      </w:r>
    </w:p>
    <w:p w14:paraId="51157A8C" w14:textId="77777777" w:rsidR="00AA5F35" w:rsidRDefault="00AA5F35" w:rsidP="00AA5F35">
      <w:pPr>
        <w:jc w:val="both"/>
        <w:rPr>
          <w:rFonts w:ascii="Times New Roman" w:hAnsi="Times New Roman" w:cs="Times New Roman"/>
          <w:sz w:val="20"/>
          <w:szCs w:val="20"/>
        </w:rPr>
      </w:pPr>
    </w:p>
    <w:p w14:paraId="2E090B9A" w14:textId="03AD9BC1" w:rsidR="00AA5F35" w:rsidRDefault="00AA5F35" w:rsidP="00AA5F35">
      <w:pPr>
        <w:jc w:val="both"/>
        <w:rPr>
          <w:rFonts w:ascii="Times New Roman" w:hAnsi="Times New Roman" w:cs="Times New Roman"/>
          <w:i/>
          <w:sz w:val="22"/>
          <w:szCs w:val="22"/>
        </w:rPr>
      </w:pPr>
      <w:r>
        <w:rPr>
          <w:rFonts w:ascii="Times New Roman" w:hAnsi="Times New Roman" w:cs="Times New Roman"/>
          <w:b/>
          <w:sz w:val="22"/>
          <w:szCs w:val="22"/>
        </w:rPr>
        <w:t>(2)</w:t>
      </w:r>
      <w:r>
        <w:rPr>
          <w:rFonts w:ascii="Times New Roman" w:hAnsi="Times New Roman" w:cs="Times New Roman"/>
          <w:i/>
          <w:sz w:val="22"/>
          <w:szCs w:val="22"/>
        </w:rPr>
        <w:t xml:space="preserve"> La seconde exception a trait à la nature de l’intérêt privée à l’intérieur du véhicule (p.37)</w:t>
      </w:r>
    </w:p>
    <w:p w14:paraId="3D2136CF" w14:textId="77777777" w:rsidR="00097CFF" w:rsidRDefault="00097CFF" w:rsidP="00AA5F35">
      <w:pPr>
        <w:jc w:val="both"/>
        <w:rPr>
          <w:rFonts w:ascii="Times New Roman" w:hAnsi="Times New Roman" w:cs="Times New Roman"/>
          <w:i/>
          <w:sz w:val="22"/>
          <w:szCs w:val="22"/>
        </w:rPr>
      </w:pPr>
    </w:p>
    <w:p w14:paraId="6D557D1C" w14:textId="58D97CB3" w:rsidR="00AA5F35" w:rsidRDefault="00AA5F35" w:rsidP="00AA5F35">
      <w:pPr>
        <w:jc w:val="both"/>
        <w:rPr>
          <w:rFonts w:ascii="Times New Roman" w:hAnsi="Times New Roman" w:cs="Times New Roman"/>
          <w:b/>
          <w:i/>
          <w:sz w:val="22"/>
          <w:szCs w:val="22"/>
        </w:rPr>
      </w:pPr>
      <w:r>
        <w:rPr>
          <w:rFonts w:ascii="Times New Roman" w:hAnsi="Times New Roman" w:cs="Times New Roman"/>
          <w:b/>
          <w:i/>
          <w:sz w:val="22"/>
          <w:szCs w:val="22"/>
        </w:rPr>
        <w:t>R. c. Mellethin 1992 :</w:t>
      </w:r>
    </w:p>
    <w:p w14:paraId="2A91D57E" w14:textId="6387CB23" w:rsidR="00AA5F35" w:rsidRPr="00097CFF" w:rsidRDefault="00097CFF" w:rsidP="00880034">
      <w:pPr>
        <w:pStyle w:val="Paragraphedeliste"/>
        <w:numPr>
          <w:ilvl w:val="0"/>
          <w:numId w:val="44"/>
        </w:numPr>
        <w:jc w:val="both"/>
        <w:rPr>
          <w:rFonts w:ascii="Times New Roman" w:hAnsi="Times New Roman" w:cs="Times New Roman"/>
          <w:sz w:val="22"/>
          <w:szCs w:val="22"/>
        </w:rPr>
      </w:pPr>
      <w:r w:rsidRPr="000B3709">
        <w:rPr>
          <w:rFonts w:ascii="Times New Roman" w:hAnsi="Times New Roman" w:cs="Times New Roman"/>
          <w:sz w:val="20"/>
          <w:szCs w:val="20"/>
        </w:rPr>
        <w:t>On ne saurait reprocher aux agents de police d'avoir procédé à un examen visuel de l'automobile.  Le soir, l'examen ne peut se faire qu'à l'aide d'une lampe de poche et il fait nécessairement partie d'un programme de contrôle routier effectué après la tombée de la nuit.  L'examen est essentiel à la protection de ceux qui sont affectés au point de contrôle.  Trop d'incidents de violence contre les agents de police se sont produits lors de l'interception de véhicules</w:t>
      </w:r>
      <w:r>
        <w:rPr>
          <w:rFonts w:ascii="Times New Roman" w:hAnsi="Times New Roman" w:cs="Times New Roman"/>
          <w:sz w:val="20"/>
          <w:szCs w:val="20"/>
        </w:rPr>
        <w:t xml:space="preserve"> [...]</w:t>
      </w:r>
      <w:r w:rsidRPr="000B3709">
        <w:rPr>
          <w:rFonts w:ascii="Times New Roman" w:hAnsi="Times New Roman" w:cs="Times New Roman"/>
          <w:sz w:val="20"/>
          <w:szCs w:val="20"/>
        </w:rPr>
        <w:t>Bien que, pour assurer la sécurité des policiers, il puisse être préférable d'utiliser la lampe de poche le plus tôt possible, celle</w:t>
      </w:r>
      <w:r w:rsidRPr="000B3709">
        <w:rPr>
          <w:rFonts w:ascii="American Typewriter" w:hAnsi="American Typewriter" w:cs="American Typewriter"/>
          <w:sz w:val="20"/>
          <w:szCs w:val="20"/>
        </w:rPr>
        <w:t>‑</w:t>
      </w:r>
      <w:r w:rsidRPr="000B3709">
        <w:rPr>
          <w:rFonts w:ascii="Times New Roman" w:hAnsi="Times New Roman" w:cs="Times New Roman"/>
          <w:sz w:val="20"/>
          <w:szCs w:val="20"/>
        </w:rPr>
        <w:t>ci peut certainement être utilisée à tout moment comme un élément accessoire nécessaire de la procédure de contrôle routier.</w:t>
      </w:r>
    </w:p>
    <w:p w14:paraId="62FDC333" w14:textId="3C3677AF" w:rsidR="00880034" w:rsidRDefault="00880034" w:rsidP="00880034">
      <w:pPr>
        <w:pStyle w:val="Paragraphedeliste"/>
        <w:numPr>
          <w:ilvl w:val="0"/>
          <w:numId w:val="44"/>
        </w:numPr>
        <w:jc w:val="both"/>
        <w:rPr>
          <w:rFonts w:ascii="Times New Roman" w:hAnsi="Times New Roman" w:cs="Times New Roman"/>
          <w:sz w:val="20"/>
          <w:szCs w:val="20"/>
        </w:rPr>
      </w:pPr>
      <w:r w:rsidRPr="00880034">
        <w:rPr>
          <w:rFonts w:ascii="Times New Roman" w:hAnsi="Times New Roman" w:cs="Times New Roman"/>
          <w:sz w:val="20"/>
          <w:szCs w:val="20"/>
        </w:rPr>
        <w:t xml:space="preserve">La détention arbitraire a été imposée dès qu'il a rangé son véhicule sur le côté de la route.  En raison de cette détention, on peut raisonnablement déduire que l'appelant s'est senti obligé de répondre aux questions de l'agent de police.  Dans ces circonstances, il appartient au ministère public de prouver que la personne détenue a effectivement donné un consentement éclairé à la fouille tout en connaissant son droit de refuser de répondre aux questions ou de consentir à la fouille [...]Les questions de la police sur le sac de sport de l'appelant et la fouille de son sac et de son véhicule étaient tous des éléments d'une fouille.  De plus, cette fouille a été effectuée sans la justification requise des motifs raisonnables et probables.  Elle était donc abusive et contraire à l'art. 8 de la </w:t>
      </w:r>
      <w:r w:rsidRPr="00880034">
        <w:rPr>
          <w:rFonts w:ascii="Times New Roman" w:hAnsi="Times New Roman" w:cs="Times New Roman"/>
          <w:i/>
          <w:iCs/>
          <w:sz w:val="20"/>
          <w:szCs w:val="20"/>
        </w:rPr>
        <w:t>Charte</w:t>
      </w:r>
      <w:r w:rsidRPr="00880034">
        <w:rPr>
          <w:rFonts w:ascii="Times New Roman" w:hAnsi="Times New Roman" w:cs="Times New Roman"/>
          <w:sz w:val="20"/>
          <w:szCs w:val="20"/>
        </w:rPr>
        <w:t>.</w:t>
      </w:r>
    </w:p>
    <w:p w14:paraId="72ED2706" w14:textId="77777777" w:rsidR="00880034" w:rsidRDefault="00880034" w:rsidP="00880034">
      <w:pPr>
        <w:pStyle w:val="Paragraphedeliste"/>
        <w:jc w:val="both"/>
        <w:rPr>
          <w:rFonts w:ascii="Times New Roman" w:hAnsi="Times New Roman" w:cs="Times New Roman"/>
          <w:sz w:val="20"/>
          <w:szCs w:val="20"/>
        </w:rPr>
      </w:pPr>
    </w:p>
    <w:p w14:paraId="4A21C3D1" w14:textId="65A7D6ED" w:rsidR="00880034" w:rsidRPr="00880034" w:rsidRDefault="00880034" w:rsidP="00880034">
      <w:pPr>
        <w:jc w:val="both"/>
        <w:rPr>
          <w:rFonts w:ascii="Times New Roman" w:hAnsi="Times New Roman" w:cs="Times New Roman"/>
          <w:b/>
          <w:i/>
          <w:sz w:val="22"/>
          <w:szCs w:val="22"/>
        </w:rPr>
      </w:pPr>
      <w:r>
        <w:rPr>
          <w:rFonts w:ascii="Times New Roman" w:hAnsi="Times New Roman" w:cs="Times New Roman"/>
          <w:b/>
          <w:i/>
          <w:sz w:val="22"/>
          <w:szCs w:val="22"/>
        </w:rPr>
        <w:t>R. c. Belnavis 1997</w:t>
      </w:r>
    </w:p>
    <w:p w14:paraId="0EFF04B9" w14:textId="2FA70101" w:rsidR="00880034" w:rsidRPr="00880034" w:rsidRDefault="00880034" w:rsidP="00880034">
      <w:pPr>
        <w:pStyle w:val="Paragraphedeliste"/>
        <w:numPr>
          <w:ilvl w:val="0"/>
          <w:numId w:val="45"/>
        </w:numPr>
        <w:jc w:val="both"/>
        <w:rPr>
          <w:rFonts w:ascii="Times New Roman" w:hAnsi="Times New Roman" w:cs="Times New Roman"/>
          <w:sz w:val="22"/>
          <w:szCs w:val="22"/>
        </w:rPr>
      </w:pPr>
      <w:r w:rsidRPr="0046445B">
        <w:rPr>
          <w:rFonts w:ascii="Times New Roman" w:hAnsi="Times New Roman" w:cs="Times New Roman"/>
          <w:sz w:val="20"/>
          <w:szCs w:val="20"/>
        </w:rPr>
        <w:t>Il n’y a pas de doute que l’agent Boyce a intercepté à bon droit le véhicule pour excès de vitesse.  Une fois que la voiture eut été immobilisée sur l’accotement et que la conductrice eut affirmé qu’elle ne disposait d’aucun renseignement concernant la propriété du véhicule, le policier avait tous les droits de chercher des documents concernant la propriété ou l’immatriculation du véhicule</w:t>
      </w:r>
      <w:r>
        <w:rPr>
          <w:rFonts w:ascii="Times New Roman" w:hAnsi="Times New Roman" w:cs="Times New Roman"/>
          <w:sz w:val="20"/>
          <w:szCs w:val="20"/>
        </w:rPr>
        <w:t xml:space="preserve"> [28].</w:t>
      </w:r>
    </w:p>
    <w:p w14:paraId="76F85377" w14:textId="77777777" w:rsidR="00880034" w:rsidRDefault="00880034" w:rsidP="00880034">
      <w:pPr>
        <w:jc w:val="both"/>
        <w:rPr>
          <w:rFonts w:ascii="Times New Roman" w:hAnsi="Times New Roman" w:cs="Times New Roman"/>
          <w:sz w:val="22"/>
          <w:szCs w:val="22"/>
        </w:rPr>
      </w:pPr>
    </w:p>
    <w:p w14:paraId="6DD8A894" w14:textId="3B0D59F1" w:rsidR="00880034" w:rsidRDefault="00880034" w:rsidP="00880034">
      <w:pPr>
        <w:jc w:val="both"/>
        <w:rPr>
          <w:rFonts w:ascii="Times New Roman" w:hAnsi="Times New Roman" w:cs="Times New Roman"/>
          <w:b/>
          <w:i/>
          <w:sz w:val="22"/>
          <w:szCs w:val="22"/>
        </w:rPr>
      </w:pPr>
      <w:r>
        <w:rPr>
          <w:rFonts w:ascii="Times New Roman" w:hAnsi="Times New Roman" w:cs="Times New Roman"/>
          <w:b/>
          <w:i/>
          <w:sz w:val="22"/>
          <w:szCs w:val="22"/>
        </w:rPr>
        <w:t>R. c. Nolet 2010 (p.38) :</w:t>
      </w:r>
    </w:p>
    <w:p w14:paraId="0A4047D3" w14:textId="43EFE208" w:rsidR="00880034" w:rsidRPr="00880034" w:rsidRDefault="00880034" w:rsidP="00880034">
      <w:pPr>
        <w:pStyle w:val="Paragraphedeliste"/>
        <w:numPr>
          <w:ilvl w:val="0"/>
          <w:numId w:val="45"/>
        </w:numPr>
        <w:jc w:val="both"/>
        <w:rPr>
          <w:rFonts w:ascii="Times New Roman" w:hAnsi="Times New Roman" w:cs="Times New Roman"/>
          <w:sz w:val="20"/>
          <w:szCs w:val="20"/>
        </w:rPr>
      </w:pPr>
      <w:r w:rsidRPr="00880034">
        <w:rPr>
          <w:rFonts w:ascii="Times New Roman" w:hAnsi="Times New Roman" w:cs="Times New Roman"/>
          <w:sz w:val="20"/>
          <w:szCs w:val="20"/>
        </w:rPr>
        <w:t xml:space="preserve">La police abuse de ses pouvoirs, qu’ils soient conférés par un texte législatif ou par la common law, lorsque la manière dont elle les exerce porte atteinte aux droits garantis par la </w:t>
      </w:r>
      <w:r w:rsidRPr="00880034">
        <w:rPr>
          <w:rFonts w:ascii="Times New Roman" w:hAnsi="Times New Roman" w:cs="Times New Roman"/>
          <w:i/>
          <w:iCs/>
          <w:sz w:val="20"/>
          <w:szCs w:val="20"/>
        </w:rPr>
        <w:t>Charte</w:t>
      </w:r>
      <w:r w:rsidRPr="00880034">
        <w:rPr>
          <w:rFonts w:ascii="Times New Roman" w:hAnsi="Times New Roman" w:cs="Times New Roman"/>
          <w:sz w:val="20"/>
          <w:szCs w:val="20"/>
        </w:rPr>
        <w:t xml:space="preserve"> à un accusé.  Il s’agit là d’un meilleur cadre d’analyse, à mon avis, que le critère de [TRADUCTION] « l’objectif prédominant » appliqué en l’espèce par la juge de première instance.  Si la </w:t>
      </w:r>
      <w:r w:rsidRPr="00880034">
        <w:rPr>
          <w:rFonts w:ascii="Times New Roman" w:hAnsi="Times New Roman" w:cs="Times New Roman"/>
          <w:i/>
          <w:iCs/>
          <w:sz w:val="20"/>
          <w:szCs w:val="20"/>
        </w:rPr>
        <w:t>Charte</w:t>
      </w:r>
      <w:r w:rsidRPr="00880034">
        <w:rPr>
          <w:rFonts w:ascii="Times New Roman" w:hAnsi="Times New Roman" w:cs="Times New Roman"/>
          <w:sz w:val="20"/>
          <w:szCs w:val="20"/>
        </w:rPr>
        <w:t xml:space="preserve"> a été violée, il importe peu, je pense, que la police ait eu plusieurs objectifs à l’esprit.  Un objectif légitime relevant de l’application de la réglementation, qu’il ait été prédominant ou non, ne saurait racheter ou légitimer une violation de la </w:t>
      </w:r>
      <w:r w:rsidRPr="00880034">
        <w:rPr>
          <w:rFonts w:ascii="Times New Roman" w:hAnsi="Times New Roman" w:cs="Times New Roman"/>
          <w:i/>
          <w:iCs/>
          <w:sz w:val="20"/>
          <w:szCs w:val="20"/>
        </w:rPr>
        <w:t>Charte[39].</w:t>
      </w:r>
    </w:p>
    <w:p w14:paraId="7AD84A60" w14:textId="3BCC5EA4" w:rsidR="0083062F" w:rsidRPr="0083062F" w:rsidRDefault="0083062F" w:rsidP="0083062F">
      <w:pPr>
        <w:pStyle w:val="Paragraphedeliste"/>
        <w:numPr>
          <w:ilvl w:val="0"/>
          <w:numId w:val="45"/>
        </w:numPr>
        <w:jc w:val="both"/>
        <w:rPr>
          <w:rFonts w:ascii="Times New Roman" w:hAnsi="Times New Roman" w:cs="Times New Roman"/>
          <w:sz w:val="22"/>
          <w:szCs w:val="22"/>
        </w:rPr>
      </w:pPr>
      <w:r w:rsidRPr="0083062F">
        <w:rPr>
          <w:rFonts w:ascii="Times New Roman" w:hAnsi="Times New Roman" w:cs="Times New Roman"/>
          <w:sz w:val="22"/>
          <w:szCs w:val="22"/>
        </w:rPr>
        <w:t>Je pense comme la juge Wilkinson qu’il ne s’agit pas de [TRADUCTION] « déterminer quel objectif est prédominant ou subordonné » (par. 85).  Dès lors qu’un objectif réglementaire continue à justifier l’exercice du pouvoir réglementaire, il s’agit plutôt de savoir si la fouille du sac de toile par l’agent a porté atteinte aux attentes raisonnables des appelants en matière de vie privée.  Or, tel n’est pas le cas à mon avis au regard de la totalité des circonstances, compte tenu de la façon dont elles avaient évolué au moment où la fouille a été effectuée.</w:t>
      </w:r>
      <w:r>
        <w:rPr>
          <w:rFonts w:ascii="Times New Roman" w:hAnsi="Times New Roman" w:cs="Times New Roman"/>
          <w:sz w:val="22"/>
          <w:szCs w:val="22"/>
        </w:rPr>
        <w:t xml:space="preserve"> [41].</w:t>
      </w:r>
    </w:p>
    <w:p w14:paraId="64BF1489" w14:textId="010127F9" w:rsidR="00880034" w:rsidRPr="0083062F" w:rsidRDefault="0083062F" w:rsidP="00880034">
      <w:pPr>
        <w:pStyle w:val="Paragraphedeliste"/>
        <w:numPr>
          <w:ilvl w:val="0"/>
          <w:numId w:val="45"/>
        </w:numPr>
        <w:jc w:val="both"/>
        <w:rPr>
          <w:rFonts w:ascii="Times New Roman" w:hAnsi="Times New Roman" w:cs="Times New Roman"/>
          <w:sz w:val="20"/>
          <w:szCs w:val="20"/>
        </w:rPr>
      </w:pPr>
      <w:r w:rsidRPr="00471C27">
        <w:rPr>
          <w:rFonts w:ascii="Times New Roman" w:hAnsi="Times New Roman" w:cs="Times New Roman"/>
          <w:sz w:val="22"/>
          <w:szCs w:val="22"/>
        </w:rPr>
        <w:t>Mais en l’espèce, au fil des événements depuis l’interception du camion par la police jusqu’à l’inspection initiale de la cabine que permettait la réglementation, le policier n’a en aucun cas porté atteinte au droit minimal au respect de la vie privée qui existait alor</w:t>
      </w:r>
      <w:r>
        <w:rPr>
          <w:rFonts w:ascii="Times New Roman" w:hAnsi="Times New Roman" w:cs="Times New Roman"/>
          <w:sz w:val="22"/>
          <w:szCs w:val="22"/>
        </w:rPr>
        <w:t>s [43].</w:t>
      </w:r>
    </w:p>
    <w:p w14:paraId="0DAEABCA" w14:textId="77777777" w:rsidR="0083062F" w:rsidRPr="00880034" w:rsidRDefault="0083062F" w:rsidP="00880034">
      <w:pPr>
        <w:pStyle w:val="Paragraphedeliste"/>
        <w:numPr>
          <w:ilvl w:val="0"/>
          <w:numId w:val="45"/>
        </w:numPr>
        <w:jc w:val="both"/>
        <w:rPr>
          <w:rFonts w:ascii="Times New Roman" w:hAnsi="Times New Roman" w:cs="Times New Roman"/>
          <w:sz w:val="20"/>
          <w:szCs w:val="20"/>
        </w:rPr>
      </w:pPr>
    </w:p>
    <w:p w14:paraId="10F8D351"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b/>
          <w:color w:val="3E3E3E"/>
          <w:sz w:val="22"/>
          <w:szCs w:val="22"/>
        </w:rPr>
        <w:t>                       5</w:t>
      </w:r>
      <w:r w:rsidRPr="00BF6408">
        <w:rPr>
          <w:rFonts w:ascii="Times New Roman" w:hAnsi="Times New Roman" w:cs="Verdana"/>
          <w:color w:val="3E3E3E"/>
          <w:sz w:val="22"/>
          <w:szCs w:val="22"/>
        </w:rPr>
        <w:t>. Espaces publics</w:t>
      </w:r>
      <w:r>
        <w:rPr>
          <w:rFonts w:ascii="Times New Roman" w:hAnsi="Times New Roman" w:cs="Verdana"/>
          <w:color w:val="3E3E3E"/>
          <w:sz w:val="22"/>
          <w:szCs w:val="22"/>
        </w:rPr>
        <w:t> ;</w:t>
      </w:r>
    </w:p>
    <w:p w14:paraId="34CF7702" w14:textId="2494A31B"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r w:rsidR="0083062F">
        <w:rPr>
          <w:rFonts w:ascii="Times New Roman" w:hAnsi="Times New Roman" w:cs="Verdana"/>
          <w:color w:val="3E3E3E"/>
          <w:sz w:val="22"/>
          <w:szCs w:val="22"/>
        </w:rPr>
        <w:t>Aucune attente à la vie privée dans les espaces publiques</w:t>
      </w:r>
    </w:p>
    <w:p w14:paraId="1615647E"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                       </w:t>
      </w:r>
      <w:r w:rsidRPr="00BF6408">
        <w:rPr>
          <w:rFonts w:ascii="Times New Roman" w:hAnsi="Times New Roman" w:cs="Verdana"/>
          <w:b/>
          <w:color w:val="3E3E3E"/>
          <w:sz w:val="22"/>
          <w:szCs w:val="22"/>
        </w:rPr>
        <w:t>6</w:t>
      </w:r>
      <w:r w:rsidRPr="00BF6408">
        <w:rPr>
          <w:rFonts w:ascii="Times New Roman" w:hAnsi="Times New Roman" w:cs="Verdana"/>
          <w:color w:val="3E3E3E"/>
          <w:sz w:val="22"/>
          <w:szCs w:val="22"/>
        </w:rPr>
        <w:t>. Documents détenus par des tiers</w:t>
      </w:r>
      <w:r>
        <w:rPr>
          <w:rFonts w:ascii="Times New Roman" w:hAnsi="Times New Roman" w:cs="Verdana"/>
          <w:color w:val="3E3E3E"/>
          <w:sz w:val="22"/>
          <w:szCs w:val="22"/>
        </w:rPr>
        <w:t> ;</w:t>
      </w:r>
    </w:p>
    <w:p w14:paraId="4DBCE44E" w14:textId="7A9B1498" w:rsidR="00BF6408" w:rsidRDefault="00BF6408" w:rsidP="00BF6408">
      <w:pPr>
        <w:widowControl w:val="0"/>
        <w:autoSpaceDE w:val="0"/>
        <w:autoSpaceDN w:val="0"/>
        <w:adjustRightInd w:val="0"/>
        <w:spacing w:after="300"/>
        <w:jc w:val="both"/>
        <w:rPr>
          <w:rFonts w:ascii="Times New Roman" w:hAnsi="Times New Roman" w:cs="Verdana"/>
          <w:b/>
          <w:i/>
          <w:color w:val="3E3E3E"/>
          <w:sz w:val="22"/>
          <w:szCs w:val="22"/>
        </w:rPr>
      </w:pPr>
      <w:r w:rsidRPr="00BF6408">
        <w:rPr>
          <w:rFonts w:ascii="Times New Roman" w:hAnsi="Times New Roman" w:cs="Verdana"/>
          <w:color w:val="3E3E3E"/>
          <w:sz w:val="22"/>
          <w:szCs w:val="22"/>
        </w:rPr>
        <w:t> </w:t>
      </w:r>
      <w:r w:rsidR="0083062F">
        <w:rPr>
          <w:rFonts w:ascii="Times New Roman" w:hAnsi="Times New Roman" w:cs="Verdana"/>
          <w:b/>
          <w:i/>
          <w:color w:val="3E3E3E"/>
          <w:sz w:val="22"/>
          <w:szCs w:val="22"/>
        </w:rPr>
        <w:t>R. c. Plant 1993 (p.41) :</w:t>
      </w:r>
    </w:p>
    <w:p w14:paraId="2A7208A6" w14:textId="056D2232" w:rsidR="0083062F" w:rsidRPr="0083062F" w:rsidRDefault="0083062F" w:rsidP="0083062F">
      <w:pPr>
        <w:pStyle w:val="Paragraphedeliste"/>
        <w:widowControl w:val="0"/>
        <w:numPr>
          <w:ilvl w:val="0"/>
          <w:numId w:val="46"/>
        </w:numPr>
        <w:autoSpaceDE w:val="0"/>
        <w:autoSpaceDN w:val="0"/>
        <w:adjustRightInd w:val="0"/>
        <w:spacing w:after="300"/>
        <w:jc w:val="both"/>
        <w:rPr>
          <w:rFonts w:ascii="Times New Roman" w:hAnsi="Times New Roman" w:cs="Verdana"/>
          <w:i/>
          <w:color w:val="3E3E3E"/>
          <w:sz w:val="20"/>
          <w:szCs w:val="20"/>
        </w:rPr>
      </w:pPr>
      <w:r w:rsidRPr="0083062F">
        <w:rPr>
          <w:rFonts w:ascii="Times New Roman" w:hAnsi="Times New Roman" w:cs="Times New Roman"/>
          <w:sz w:val="20"/>
          <w:szCs w:val="20"/>
        </w:rPr>
        <w:t>je suis d'accord avec cet aspect</w:t>
      </w:r>
      <w:r w:rsidRPr="0083062F">
        <w:rPr>
          <w:rFonts w:ascii="Times New Roman" w:hAnsi="Times New Roman" w:cs="Times New Roman"/>
          <w:sz w:val="20"/>
          <w:szCs w:val="20"/>
          <w:vertAlign w:val="superscript"/>
        </w:rPr>
        <w:t>*</w:t>
      </w:r>
      <w:r w:rsidRPr="0083062F">
        <w:rPr>
          <w:rFonts w:ascii="Times New Roman" w:hAnsi="Times New Roman" w:cs="Times New Roman"/>
          <w:sz w:val="20"/>
          <w:szCs w:val="20"/>
        </w:rPr>
        <w:t xml:space="preserve"> de l'arrêt </w:t>
      </w:r>
      <w:r w:rsidRPr="0083062F">
        <w:rPr>
          <w:rFonts w:ascii="Times New Roman" w:hAnsi="Times New Roman" w:cs="Times New Roman"/>
          <w:i/>
          <w:iCs/>
          <w:sz w:val="20"/>
          <w:szCs w:val="20"/>
        </w:rPr>
        <w:t>Miller</w:t>
      </w:r>
      <w:r w:rsidRPr="0083062F">
        <w:rPr>
          <w:rFonts w:ascii="Times New Roman" w:hAnsi="Times New Roman" w:cs="Times New Roman"/>
          <w:sz w:val="20"/>
          <w:szCs w:val="20"/>
        </w:rPr>
        <w:t>, qui donne à entendre que, pour que la protection constitutionnelle s'applique, les renseignements saisis doivent être de nature «personnelle et confidentielle.</w:t>
      </w:r>
    </w:p>
    <w:p w14:paraId="572DBD87" w14:textId="6F68D078" w:rsidR="0083062F" w:rsidRPr="0083062F" w:rsidRDefault="0083062F" w:rsidP="0083062F">
      <w:pPr>
        <w:pStyle w:val="Paragraphedeliste"/>
        <w:numPr>
          <w:ilvl w:val="0"/>
          <w:numId w:val="46"/>
        </w:numPr>
        <w:jc w:val="both"/>
        <w:rPr>
          <w:rFonts w:ascii="Times New Roman" w:hAnsi="Times New Roman" w:cs="Times New Roman"/>
          <w:b/>
          <w:sz w:val="22"/>
          <w:szCs w:val="22"/>
          <w:u w:val="single"/>
        </w:rPr>
      </w:pPr>
      <w:r w:rsidRPr="0083062F">
        <w:rPr>
          <w:rFonts w:ascii="Times New Roman" w:hAnsi="Times New Roman" w:cs="Times New Roman"/>
          <w:sz w:val="20"/>
          <w:szCs w:val="20"/>
        </w:rPr>
        <w:t>Or, on ne saurait raisonnablement prétendre que les dossiers informatisés consultés dans la présente affaire, lesquels font état du niveau de consommation d'électricité dans une résidence, dévoilent des détails intimes de la vie de l'appelant, la consommation d'électricité ne révélant</w:t>
      </w:r>
      <w:r w:rsidRPr="0083062F">
        <w:rPr>
          <w:rFonts w:ascii="Times New Roman" w:hAnsi="Times New Roman" w:cs="Times New Roman"/>
          <w:sz w:val="20"/>
          <w:szCs w:val="20"/>
          <w:vertAlign w:val="superscript"/>
        </w:rPr>
        <w:t>*</w:t>
      </w:r>
      <w:r w:rsidRPr="0083062F">
        <w:rPr>
          <w:rFonts w:ascii="Times New Roman" w:hAnsi="Times New Roman" w:cs="Times New Roman"/>
          <w:sz w:val="20"/>
          <w:szCs w:val="20"/>
        </w:rPr>
        <w:t>* que très peu de chose du mode de vie ou des décisions privées de l'occupant de la résidence.</w:t>
      </w:r>
    </w:p>
    <w:p w14:paraId="0891A9DA" w14:textId="77777777" w:rsidR="0083062F" w:rsidRPr="0083062F" w:rsidRDefault="0083062F" w:rsidP="0083062F">
      <w:pPr>
        <w:pStyle w:val="Paragraphedeliste"/>
        <w:widowControl w:val="0"/>
        <w:autoSpaceDE w:val="0"/>
        <w:autoSpaceDN w:val="0"/>
        <w:adjustRightInd w:val="0"/>
        <w:spacing w:after="300"/>
        <w:jc w:val="both"/>
        <w:rPr>
          <w:rFonts w:ascii="Times New Roman" w:hAnsi="Times New Roman" w:cs="Verdana"/>
          <w:i/>
          <w:color w:val="3E3E3E"/>
          <w:sz w:val="20"/>
          <w:szCs w:val="20"/>
        </w:rPr>
      </w:pPr>
    </w:p>
    <w:p w14:paraId="628F5675" w14:textId="77777777" w:rsid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xml:space="preserve">                       </w:t>
      </w:r>
      <w:r w:rsidRPr="00BF6408">
        <w:rPr>
          <w:rFonts w:ascii="Times New Roman" w:hAnsi="Times New Roman" w:cs="Verdana"/>
          <w:b/>
          <w:color w:val="3E3E3E"/>
          <w:sz w:val="22"/>
          <w:szCs w:val="22"/>
        </w:rPr>
        <w:t>7</w:t>
      </w:r>
      <w:r w:rsidRPr="00BF6408">
        <w:rPr>
          <w:rFonts w:ascii="Times New Roman" w:hAnsi="Times New Roman" w:cs="Verdana"/>
          <w:color w:val="3E3E3E"/>
          <w:sz w:val="22"/>
          <w:szCs w:val="22"/>
        </w:rPr>
        <w:t>. Les communications</w:t>
      </w:r>
      <w:r>
        <w:rPr>
          <w:rFonts w:ascii="Times New Roman" w:hAnsi="Times New Roman" w:cs="Verdana"/>
          <w:color w:val="3E3E3E"/>
          <w:sz w:val="22"/>
          <w:szCs w:val="22"/>
        </w:rPr>
        <w:t> ;</w:t>
      </w:r>
    </w:p>
    <w:p w14:paraId="2FF4A357" w14:textId="17567C35" w:rsidR="00BF6408" w:rsidRDefault="0083062F" w:rsidP="00BF6408">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On parle ici des téléphones, fax, e-mail, etc.</w:t>
      </w:r>
    </w:p>
    <w:p w14:paraId="4AB1ACEF" w14:textId="77777777" w:rsidR="0083062F" w:rsidRPr="0083062F" w:rsidRDefault="0083062F" w:rsidP="00BF6408">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i/>
          <w:color w:val="3E3E3E"/>
          <w:sz w:val="22"/>
          <w:szCs w:val="22"/>
        </w:rPr>
        <w:t>R. c. Duarte 1990 :</w:t>
      </w:r>
    </w:p>
    <w:p w14:paraId="285EF033" w14:textId="0E73A358" w:rsidR="0083062F" w:rsidRDefault="0083062F" w:rsidP="00BF6408">
      <w:pPr>
        <w:widowControl w:val="0"/>
        <w:autoSpaceDE w:val="0"/>
        <w:autoSpaceDN w:val="0"/>
        <w:adjustRightInd w:val="0"/>
        <w:spacing w:after="300"/>
        <w:jc w:val="both"/>
        <w:rPr>
          <w:rFonts w:ascii="Times New Roman" w:hAnsi="Times New Roman" w:cs="Times New Roman"/>
          <w:iCs/>
          <w:sz w:val="22"/>
          <w:szCs w:val="22"/>
        </w:rPr>
      </w:pPr>
      <w:r w:rsidRPr="0083062F">
        <w:rPr>
          <w:rFonts w:ascii="Times New Roman" w:hAnsi="Times New Roman" w:cs="Times New Roman"/>
          <w:sz w:val="22"/>
          <w:szCs w:val="22"/>
        </w:rPr>
        <w:t>Les questions constitutionnelles soumises à la Cour sont de savoir si l'al. </w:t>
      </w:r>
      <w:hyperlink r:id="rId14" w:anchor="art178.11" w:history="1">
        <w:r w:rsidRPr="0083062F">
          <w:rPr>
            <w:rStyle w:val="Lienhypertexte"/>
            <w:rFonts w:ascii="Times New Roman" w:hAnsi="Times New Roman" w:cs="Times New Roman"/>
            <w:sz w:val="22"/>
            <w:szCs w:val="22"/>
          </w:rPr>
          <w:t>178.11(2)</w:t>
        </w:r>
      </w:hyperlink>
      <w:r w:rsidRPr="0083062F">
        <w:rPr>
          <w:rFonts w:ascii="Times New Roman" w:hAnsi="Times New Roman" w:cs="Times New Roman"/>
          <w:iCs/>
          <w:sz w:val="22"/>
          <w:szCs w:val="22"/>
        </w:rPr>
        <w:t>a</w:t>
      </w:r>
      <w:r w:rsidRPr="0083062F">
        <w:rPr>
          <w:rFonts w:ascii="Times New Roman" w:hAnsi="Times New Roman" w:cs="Times New Roman"/>
          <w:sz w:val="22"/>
          <w:szCs w:val="22"/>
        </w:rPr>
        <w:t>) du</w:t>
      </w:r>
      <w:r w:rsidRPr="0083062F">
        <w:rPr>
          <w:rFonts w:ascii="Times New Roman" w:hAnsi="Times New Roman" w:cs="Times New Roman"/>
          <w:iCs/>
          <w:sz w:val="22"/>
          <w:szCs w:val="22"/>
        </w:rPr>
        <w:t xml:space="preserve"> Code criminel</w:t>
      </w:r>
      <w:r w:rsidRPr="0083062F">
        <w:rPr>
          <w:rFonts w:ascii="Times New Roman" w:hAnsi="Times New Roman" w:cs="Times New Roman"/>
          <w:sz w:val="22"/>
          <w:szCs w:val="22"/>
        </w:rPr>
        <w:t xml:space="preserve"> porte atteinte aux droits et libertés garantis par l'art. </w:t>
      </w:r>
      <w:hyperlink r:id="rId15" w:anchor="art8" w:history="1">
        <w:r w:rsidRPr="0083062F">
          <w:rPr>
            <w:rStyle w:val="Lienhypertexte"/>
            <w:rFonts w:ascii="Times New Roman" w:hAnsi="Times New Roman" w:cs="Times New Roman"/>
            <w:sz w:val="22"/>
            <w:szCs w:val="22"/>
          </w:rPr>
          <w:t>8</w:t>
        </w:r>
      </w:hyperlink>
      <w:r w:rsidRPr="0083062F">
        <w:rPr>
          <w:rFonts w:ascii="Times New Roman" w:hAnsi="Times New Roman" w:cs="Times New Roman"/>
          <w:sz w:val="22"/>
          <w:szCs w:val="22"/>
        </w:rPr>
        <w:t xml:space="preserve"> de la</w:t>
      </w:r>
      <w:r w:rsidRPr="0083062F">
        <w:rPr>
          <w:rFonts w:ascii="Times New Roman" w:hAnsi="Times New Roman" w:cs="Times New Roman"/>
          <w:iCs/>
          <w:sz w:val="22"/>
          <w:szCs w:val="22"/>
        </w:rPr>
        <w:t xml:space="preserve"> Charte canadienne des droits et libertés</w:t>
      </w:r>
      <w:r w:rsidRPr="0083062F">
        <w:rPr>
          <w:rFonts w:ascii="Times New Roman" w:hAnsi="Times New Roman" w:cs="Times New Roman"/>
          <w:sz w:val="22"/>
          <w:szCs w:val="22"/>
        </w:rPr>
        <w:t xml:space="preserve"> et, dans l'affirmative, s'il est justifié aux termes de l'article premier de la</w:t>
      </w:r>
      <w:r w:rsidRPr="0083062F">
        <w:rPr>
          <w:rFonts w:ascii="Times New Roman" w:hAnsi="Times New Roman" w:cs="Times New Roman"/>
          <w:iCs/>
          <w:sz w:val="22"/>
          <w:szCs w:val="22"/>
        </w:rPr>
        <w:t xml:space="preserve"> Charte</w:t>
      </w:r>
      <w:r>
        <w:rPr>
          <w:rFonts w:ascii="Times New Roman" w:hAnsi="Times New Roman" w:cs="Times New Roman"/>
          <w:iCs/>
          <w:sz w:val="22"/>
          <w:szCs w:val="22"/>
        </w:rPr>
        <w:t>.</w:t>
      </w:r>
    </w:p>
    <w:p w14:paraId="5BE22A0A" w14:textId="75906B58" w:rsidR="0083062F" w:rsidRPr="00885804" w:rsidRDefault="00885804" w:rsidP="0083062F">
      <w:pPr>
        <w:pStyle w:val="Paragraphedeliste"/>
        <w:widowControl w:val="0"/>
        <w:numPr>
          <w:ilvl w:val="0"/>
          <w:numId w:val="47"/>
        </w:numPr>
        <w:autoSpaceDE w:val="0"/>
        <w:autoSpaceDN w:val="0"/>
        <w:adjustRightInd w:val="0"/>
        <w:spacing w:after="300"/>
        <w:jc w:val="both"/>
        <w:rPr>
          <w:rFonts w:ascii="Times New Roman" w:hAnsi="Times New Roman" w:cs="Verdana"/>
          <w:color w:val="3E3E3E"/>
          <w:sz w:val="20"/>
          <w:szCs w:val="20"/>
        </w:rPr>
      </w:pPr>
      <w:r w:rsidRPr="00885804">
        <w:rPr>
          <w:rFonts w:ascii="Times New Roman" w:hAnsi="Times New Roman" w:cs="Times New Roman"/>
          <w:sz w:val="20"/>
          <w:szCs w:val="20"/>
        </w:rPr>
        <w:t>Le pourvoi est rejeté.  L'alinéa 178.11(2)</w:t>
      </w:r>
      <w:r w:rsidRPr="00885804">
        <w:rPr>
          <w:rFonts w:ascii="Times New Roman" w:hAnsi="Times New Roman" w:cs="Times New Roman"/>
          <w:i/>
          <w:iCs/>
          <w:sz w:val="20"/>
          <w:szCs w:val="20"/>
        </w:rPr>
        <w:t>a</w:t>
      </w:r>
      <w:r w:rsidRPr="00885804">
        <w:rPr>
          <w:rFonts w:ascii="Times New Roman" w:hAnsi="Times New Roman" w:cs="Times New Roman"/>
          <w:sz w:val="20"/>
          <w:szCs w:val="20"/>
        </w:rPr>
        <w:t>) du</w:t>
      </w:r>
      <w:r w:rsidRPr="00885804">
        <w:rPr>
          <w:rFonts w:ascii="Times New Roman" w:hAnsi="Times New Roman" w:cs="Times New Roman"/>
          <w:i/>
          <w:iCs/>
          <w:sz w:val="20"/>
          <w:szCs w:val="20"/>
        </w:rPr>
        <w:t xml:space="preserve"> </w:t>
      </w:r>
      <w:hyperlink r:id="rId16" w:history="1">
        <w:r w:rsidRPr="00885804">
          <w:rPr>
            <w:rStyle w:val="Lienhypertexte"/>
            <w:rFonts w:ascii="Times New Roman" w:hAnsi="Times New Roman" w:cs="Times New Roman"/>
            <w:i/>
            <w:iCs/>
            <w:sz w:val="20"/>
            <w:szCs w:val="20"/>
          </w:rPr>
          <w:t>Code criminel</w:t>
        </w:r>
      </w:hyperlink>
      <w:r w:rsidRPr="00885804">
        <w:rPr>
          <w:rFonts w:ascii="Times New Roman" w:hAnsi="Times New Roman" w:cs="Times New Roman"/>
          <w:sz w:val="20"/>
          <w:szCs w:val="20"/>
        </w:rPr>
        <w:t xml:space="preserve"> ne porte pas atteinte aux droits et libertés garantis par l'art. 8 de la</w:t>
      </w:r>
      <w:r w:rsidRPr="00885804">
        <w:rPr>
          <w:rFonts w:ascii="Times New Roman" w:hAnsi="Times New Roman" w:cs="Times New Roman"/>
          <w:i/>
          <w:iCs/>
          <w:sz w:val="20"/>
          <w:szCs w:val="20"/>
        </w:rPr>
        <w:t xml:space="preserve"> Charte</w:t>
      </w:r>
      <w:r w:rsidRPr="00885804">
        <w:rPr>
          <w:rFonts w:ascii="Times New Roman" w:hAnsi="Times New Roman" w:cs="Times New Roman"/>
          <w:sz w:val="20"/>
          <w:szCs w:val="20"/>
        </w:rPr>
        <w:t>, mais l'interception de communications privées, par un organe de l'État, avec le consentement de l'auteur de la communication ou de la personne à laquelle il la destine, sans autorisation judiciaire préalable, constitue une atteinte aux droits et libertés garantis par l'art. 8.  Il n'était pas nécessaire de répondre à la deuxième question.</w:t>
      </w:r>
    </w:p>
    <w:p w14:paraId="43E05930" w14:textId="406BF1E0" w:rsidR="00885804" w:rsidRPr="00885804" w:rsidRDefault="00885804" w:rsidP="0083062F">
      <w:pPr>
        <w:pStyle w:val="Paragraphedeliste"/>
        <w:widowControl w:val="0"/>
        <w:numPr>
          <w:ilvl w:val="0"/>
          <w:numId w:val="47"/>
        </w:numPr>
        <w:autoSpaceDE w:val="0"/>
        <w:autoSpaceDN w:val="0"/>
        <w:adjustRightInd w:val="0"/>
        <w:spacing w:after="300"/>
        <w:jc w:val="both"/>
        <w:rPr>
          <w:rFonts w:ascii="Times New Roman" w:hAnsi="Times New Roman" w:cs="Verdana"/>
          <w:color w:val="3E3E3E"/>
          <w:sz w:val="20"/>
          <w:szCs w:val="20"/>
        </w:rPr>
      </w:pPr>
      <w:r w:rsidRPr="00885804">
        <w:rPr>
          <w:rFonts w:ascii="Times New Roman" w:hAnsi="Times New Roman" w:cs="Times New Roman"/>
          <w:sz w:val="20"/>
          <w:szCs w:val="20"/>
        </w:rPr>
        <w:t xml:space="preserve">Il n'y a aucune différence logique entre la surveillance électronique par un tiers et la surveillance participative.  Lorsqu'une personne a des motifs raisonnables de croire que ses communications sont privées, l'enregistrement électronique clandestin </w:t>
      </w:r>
      <w:r w:rsidRPr="00885804">
        <w:rPr>
          <w:rFonts w:ascii="Times New Roman" w:hAnsi="Times New Roman" w:cs="Times New Roman"/>
          <w:sz w:val="20"/>
          <w:szCs w:val="20"/>
          <w:u w:val="single"/>
        </w:rPr>
        <w:t>non autorisé</w:t>
      </w:r>
      <w:r w:rsidRPr="00885804">
        <w:rPr>
          <w:rFonts w:ascii="Times New Roman" w:hAnsi="Times New Roman" w:cs="Times New Roman"/>
          <w:sz w:val="20"/>
          <w:szCs w:val="20"/>
        </w:rPr>
        <w:t xml:space="preserve"> de ces communications est une violation d'une attente raisonnable en matière de respect de la vie privée.</w:t>
      </w:r>
    </w:p>
    <w:p w14:paraId="572B1C77" w14:textId="63FEB13F" w:rsidR="00BF6408" w:rsidRPr="00885804" w:rsidRDefault="00885804" w:rsidP="00BF6408">
      <w:pPr>
        <w:pStyle w:val="Paragraphedeliste"/>
        <w:widowControl w:val="0"/>
        <w:numPr>
          <w:ilvl w:val="0"/>
          <w:numId w:val="47"/>
        </w:numPr>
        <w:autoSpaceDE w:val="0"/>
        <w:autoSpaceDN w:val="0"/>
        <w:adjustRightInd w:val="0"/>
        <w:spacing w:after="300"/>
        <w:jc w:val="both"/>
        <w:rPr>
          <w:rFonts w:ascii="Times New Roman" w:hAnsi="Times New Roman" w:cs="Verdana"/>
          <w:color w:val="3E3E3E"/>
          <w:sz w:val="20"/>
          <w:szCs w:val="20"/>
        </w:rPr>
      </w:pPr>
      <w:r w:rsidRPr="00885804">
        <w:rPr>
          <w:rFonts w:ascii="Times New Roman" w:hAnsi="Times New Roman" w:cs="Times New Roman"/>
          <w:sz w:val="20"/>
          <w:szCs w:val="20"/>
        </w:rPr>
        <w:t>La surveillance participative contrevient à l'art. 8 de la</w:t>
      </w:r>
      <w:r w:rsidRPr="00885804">
        <w:rPr>
          <w:rFonts w:ascii="Times New Roman" w:hAnsi="Times New Roman" w:cs="Times New Roman"/>
          <w:i/>
          <w:iCs/>
          <w:sz w:val="20"/>
          <w:szCs w:val="20"/>
        </w:rPr>
        <w:t xml:space="preserve"> Charte</w:t>
      </w:r>
      <w:r w:rsidRPr="00885804">
        <w:rPr>
          <w:rFonts w:ascii="Times New Roman" w:hAnsi="Times New Roman" w:cs="Times New Roman"/>
          <w:sz w:val="20"/>
          <w:szCs w:val="20"/>
        </w:rPr>
        <w:t>.  Elle laisse à la seule discrétion de la police les conditions dans lesquelles se fait l'interception de conversations et elle ne peut donc pas être jugée conforme à la définition de "raisonnable" dans le contexte de l'art. 8 de la</w:t>
      </w:r>
      <w:r w:rsidRPr="00885804">
        <w:rPr>
          <w:rFonts w:ascii="Times New Roman" w:hAnsi="Times New Roman" w:cs="Times New Roman"/>
          <w:i/>
          <w:iCs/>
          <w:sz w:val="20"/>
          <w:szCs w:val="20"/>
        </w:rPr>
        <w:t xml:space="preserve"> Charte.</w:t>
      </w:r>
    </w:p>
    <w:p w14:paraId="3CE29CD2" w14:textId="77777777" w:rsidR="00885804" w:rsidRPr="00885804" w:rsidRDefault="00885804" w:rsidP="00885804">
      <w:pPr>
        <w:pStyle w:val="Paragraphedeliste"/>
        <w:widowControl w:val="0"/>
        <w:autoSpaceDE w:val="0"/>
        <w:autoSpaceDN w:val="0"/>
        <w:adjustRightInd w:val="0"/>
        <w:spacing w:after="300"/>
        <w:jc w:val="both"/>
        <w:rPr>
          <w:rFonts w:ascii="Times New Roman" w:hAnsi="Times New Roman" w:cs="Verdana"/>
          <w:color w:val="3E3E3E"/>
          <w:sz w:val="20"/>
          <w:szCs w:val="20"/>
        </w:rPr>
      </w:pPr>
    </w:p>
    <w:p w14:paraId="2BEFF598" w14:textId="77777777" w:rsidR="00BF6408" w:rsidRP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C. Renonciation à la protection de la vie privée</w:t>
      </w:r>
    </w:p>
    <w:p w14:paraId="2FADA56E" w14:textId="766003E9" w:rsidR="00BF6408" w:rsidRDefault="00BF6408" w:rsidP="00BF6408">
      <w:pPr>
        <w:widowControl w:val="0"/>
        <w:autoSpaceDE w:val="0"/>
        <w:autoSpaceDN w:val="0"/>
        <w:adjustRightInd w:val="0"/>
        <w:spacing w:after="300"/>
        <w:jc w:val="both"/>
        <w:rPr>
          <w:rFonts w:ascii="Times New Roman" w:hAnsi="Times New Roman" w:cs="Verdana"/>
          <w:i/>
          <w:color w:val="3E3E3E"/>
          <w:sz w:val="22"/>
          <w:szCs w:val="22"/>
        </w:rPr>
      </w:pPr>
      <w:r w:rsidRPr="00BF6408">
        <w:rPr>
          <w:rFonts w:ascii="Times New Roman" w:hAnsi="Times New Roman" w:cs="Verdana"/>
          <w:color w:val="3E3E3E"/>
          <w:sz w:val="22"/>
          <w:szCs w:val="22"/>
        </w:rPr>
        <w:t> </w:t>
      </w:r>
      <w:r w:rsidR="00885804">
        <w:rPr>
          <w:rFonts w:ascii="Times New Roman" w:hAnsi="Times New Roman" w:cs="Verdana"/>
          <w:i/>
          <w:color w:val="3E3E3E"/>
          <w:sz w:val="22"/>
          <w:szCs w:val="22"/>
        </w:rPr>
        <w:t>Les fouilles, perquisition</w:t>
      </w:r>
      <w:r w:rsidR="003C33B6">
        <w:rPr>
          <w:rFonts w:ascii="Times New Roman" w:hAnsi="Times New Roman" w:cs="Verdana"/>
          <w:i/>
          <w:color w:val="3E3E3E"/>
          <w:sz w:val="22"/>
          <w:szCs w:val="22"/>
        </w:rPr>
        <w:t>s et saisis avec consentement</w:t>
      </w:r>
    </w:p>
    <w:p w14:paraId="5C82F46F" w14:textId="40F75418" w:rsidR="003C33B6" w:rsidRDefault="003C33B6" w:rsidP="003C33B6">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1. Un consentement valide</w:t>
      </w:r>
    </w:p>
    <w:p w14:paraId="0C6CB20D" w14:textId="39ECA93F" w:rsidR="003C33B6" w:rsidRDefault="003C33B6" w:rsidP="003C33B6">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Cela veut dire que le consentement à la FPS doit être libre et éclairée : le prévenu doit comprendre son choix et surtout les conséquences de celui-ci.</w:t>
      </w:r>
    </w:p>
    <w:p w14:paraId="1C64B100" w14:textId="06348A04" w:rsidR="003C33B6" w:rsidRDefault="003C33B6" w:rsidP="003C33B6">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Borden 1994 :</w:t>
      </w:r>
    </w:p>
    <w:p w14:paraId="289F741A" w14:textId="76C40167" w:rsidR="003C33B6" w:rsidRPr="003C33B6" w:rsidRDefault="003C33B6" w:rsidP="007A0253">
      <w:pPr>
        <w:pStyle w:val="Paragraphedeliste"/>
        <w:widowControl w:val="0"/>
        <w:numPr>
          <w:ilvl w:val="0"/>
          <w:numId w:val="48"/>
        </w:numPr>
        <w:autoSpaceDE w:val="0"/>
        <w:autoSpaceDN w:val="0"/>
        <w:adjustRightInd w:val="0"/>
        <w:spacing w:after="300"/>
        <w:jc w:val="both"/>
        <w:rPr>
          <w:rFonts w:ascii="Times New Roman" w:hAnsi="Times New Roman" w:cs="Verdana"/>
          <w:color w:val="3E3E3E"/>
          <w:sz w:val="20"/>
          <w:szCs w:val="20"/>
        </w:rPr>
      </w:pPr>
      <w:r w:rsidRPr="003C33B6">
        <w:rPr>
          <w:rFonts w:ascii="Times New Roman" w:hAnsi="Times New Roman" w:cs="Times New Roman"/>
          <w:sz w:val="20"/>
          <w:szCs w:val="20"/>
        </w:rPr>
        <w:t xml:space="preserve">Aux fins de l'analyse fondée sur l'art. 8, il convient principalement de déterminer si le consentement de l'intimé au prélèvement d'un échantillon de son sang était réel dans les circonstances.  Il n'est pas contesté que son consentement n'était assorti d'aucune restriction quant à l'usage qui devait être fait des résultats de l'analyse du sang.  Toutefois, ce consentement a été donné alors que l'intimé était détenu, dans des circonstances où il n'avait pas été suffisamment informé du motif de sa détention, où, malgré la nouvelle orientation de l'enquête, on ne lui avait pas rappelé son droit à l'assistance d'un avocat et où, suivant le témoignage de l'agent Roberts, il ignorait que la demande d'échantillon de sang était liée à l'enquête sur l'incident du foyer pour personnes âgées.  En résumé, l'accusé a donné son consentement après que les droits qui lui sont garantis par la </w:t>
      </w:r>
      <w:r w:rsidRPr="003C33B6">
        <w:rPr>
          <w:rFonts w:ascii="Times New Roman" w:hAnsi="Times New Roman" w:cs="Times New Roman"/>
          <w:i/>
          <w:iCs/>
          <w:sz w:val="20"/>
          <w:szCs w:val="20"/>
        </w:rPr>
        <w:t>Charte</w:t>
      </w:r>
      <w:r w:rsidRPr="003C33B6">
        <w:rPr>
          <w:rFonts w:ascii="Times New Roman" w:hAnsi="Times New Roman" w:cs="Times New Roman"/>
          <w:sz w:val="20"/>
          <w:szCs w:val="20"/>
        </w:rPr>
        <w:t xml:space="preserve"> en cas de détention eurent été violés.  Je ne pense pas, d'une façon générale, que ces violations rendent une fouille ou une perquisition illégale ou abusive.  Elles ont toutefois cet effet dans des situations particulières où, comme en l'espèce, </w:t>
      </w:r>
      <w:r w:rsidRPr="003C33B6">
        <w:rPr>
          <w:rFonts w:ascii="Times New Roman" w:hAnsi="Times New Roman" w:cs="Times New Roman"/>
          <w:sz w:val="20"/>
          <w:szCs w:val="20"/>
          <w:u w:val="single"/>
        </w:rPr>
        <w:t>la légalité de la fouille ou de la perquisition dépend du consentement de l'accusé.</w:t>
      </w:r>
    </w:p>
    <w:p w14:paraId="0ED50343" w14:textId="77777777" w:rsidR="003C33B6" w:rsidRPr="003C33B6" w:rsidRDefault="003C33B6" w:rsidP="007A0253">
      <w:pPr>
        <w:pStyle w:val="Paragraphedeliste"/>
        <w:numPr>
          <w:ilvl w:val="0"/>
          <w:numId w:val="48"/>
        </w:numPr>
        <w:jc w:val="both"/>
        <w:rPr>
          <w:rFonts w:ascii="Times New Roman" w:hAnsi="Times New Roman" w:cs="Times New Roman"/>
          <w:sz w:val="20"/>
          <w:szCs w:val="20"/>
        </w:rPr>
      </w:pPr>
      <w:r w:rsidRPr="003C33B6">
        <w:rPr>
          <w:rFonts w:ascii="Times New Roman" w:hAnsi="Times New Roman" w:cs="Times New Roman"/>
          <w:sz w:val="20"/>
          <w:szCs w:val="20"/>
        </w:rPr>
        <w:t>Si une personne détenue consent à une perquisition [. . .] alors que le droit garanti à cette personne par l'al. 10</w:t>
      </w:r>
      <w:r w:rsidRPr="003C33B6">
        <w:rPr>
          <w:rFonts w:ascii="Times New Roman" w:hAnsi="Times New Roman" w:cs="Times New Roman"/>
          <w:i/>
          <w:iCs/>
          <w:sz w:val="20"/>
          <w:szCs w:val="20"/>
        </w:rPr>
        <w:t>b</w:t>
      </w:r>
      <w:r w:rsidRPr="003C33B6">
        <w:rPr>
          <w:rFonts w:ascii="Times New Roman" w:hAnsi="Times New Roman" w:cs="Times New Roman"/>
          <w:sz w:val="20"/>
          <w:szCs w:val="20"/>
        </w:rPr>
        <w:t>) est violé (parce qu'elle n'a pas été informée de son droit à l'assistance d'un avocat ou parce que les policiers ont obtenu son consentement à la perquisition [. . .] avant de lui avoir donné une possibilité raisonnable d'exercer son droit à l'assistance d'un avocat), alors la perquisition est illégale et abusive.</w:t>
      </w:r>
    </w:p>
    <w:p w14:paraId="1CEAEB26" w14:textId="02693912" w:rsidR="003C33B6" w:rsidRDefault="00107007" w:rsidP="007A0253">
      <w:pPr>
        <w:pStyle w:val="Paragraphedeliste"/>
        <w:numPr>
          <w:ilvl w:val="0"/>
          <w:numId w:val="48"/>
        </w:numPr>
        <w:jc w:val="both"/>
        <w:rPr>
          <w:rFonts w:ascii="Times New Roman" w:hAnsi="Times New Roman" w:cs="Times New Roman"/>
          <w:sz w:val="22"/>
          <w:szCs w:val="22"/>
        </w:rPr>
      </w:pPr>
      <w:r w:rsidRPr="00107007">
        <w:rPr>
          <w:rFonts w:ascii="Times New Roman" w:hAnsi="Times New Roman" w:cs="Times New Roman"/>
          <w:sz w:val="20"/>
          <w:szCs w:val="20"/>
        </w:rPr>
        <w:t>Le présent pourvoi concerne l'admissibilité en preuve du profil génétique (ADN) tracé à l'aide d'un échantillon du sang de l'intimé qui a été prélevé pendant que ce dernier était détenu par la police.  L'intimé soutient qu'en prélevant cet échantillon la police a porté atteinte aux droits qui lui sont garantis par l'art. 8 et les al. 10</w:t>
      </w:r>
      <w:r w:rsidRPr="00107007">
        <w:rPr>
          <w:rFonts w:ascii="Times New Roman" w:hAnsi="Times New Roman" w:cs="Times New Roman"/>
          <w:i/>
          <w:iCs/>
          <w:sz w:val="20"/>
          <w:szCs w:val="20"/>
        </w:rPr>
        <w:t>a</w:t>
      </w:r>
      <w:r w:rsidRPr="00107007">
        <w:rPr>
          <w:rFonts w:ascii="Times New Roman" w:hAnsi="Times New Roman" w:cs="Times New Roman"/>
          <w:sz w:val="20"/>
          <w:szCs w:val="20"/>
        </w:rPr>
        <w:t>) et </w:t>
      </w:r>
      <w:r w:rsidRPr="00107007">
        <w:rPr>
          <w:rFonts w:ascii="Times New Roman" w:hAnsi="Times New Roman" w:cs="Times New Roman"/>
          <w:i/>
          <w:iCs/>
          <w:sz w:val="20"/>
          <w:szCs w:val="20"/>
        </w:rPr>
        <w:t>b</w:t>
      </w:r>
      <w:r w:rsidRPr="00107007">
        <w:rPr>
          <w:rFonts w:ascii="Times New Roman" w:hAnsi="Times New Roman" w:cs="Times New Roman"/>
          <w:sz w:val="20"/>
          <w:szCs w:val="20"/>
        </w:rPr>
        <w:t xml:space="preserve">) de la </w:t>
      </w:r>
      <w:hyperlink r:id="rId17" w:history="1">
        <w:r w:rsidRPr="00107007">
          <w:rPr>
            <w:rStyle w:val="Lienhypertexte"/>
            <w:rFonts w:ascii="Times New Roman" w:hAnsi="Times New Roman" w:cs="Times New Roman"/>
            <w:i/>
            <w:iCs/>
            <w:sz w:val="20"/>
            <w:szCs w:val="20"/>
          </w:rPr>
          <w:t>Charte canadienne des droits et libertés</w:t>
        </w:r>
      </w:hyperlink>
      <w:r w:rsidRPr="00107007">
        <w:rPr>
          <w:rFonts w:ascii="Times New Roman" w:hAnsi="Times New Roman" w:cs="Times New Roman"/>
          <w:sz w:val="20"/>
          <w:szCs w:val="20"/>
        </w:rPr>
        <w:t>.  Comme l'indiquent les motifs qui suivent, j'estime que les droits de l'intimé ont été violés et qu'il n'y a pas lieu de modifier la conclusion de la Cour d'appel de la Nouvelle</w:t>
      </w:r>
      <w:r w:rsidRPr="00107007">
        <w:rPr>
          <w:rFonts w:ascii="American Typewriter" w:hAnsi="American Typewriter" w:cs="American Typewriter"/>
          <w:sz w:val="20"/>
          <w:szCs w:val="20"/>
        </w:rPr>
        <w:t>‑</w:t>
      </w:r>
      <w:r w:rsidRPr="00107007">
        <w:rPr>
          <w:rFonts w:ascii="Times New Roman" w:hAnsi="Times New Roman" w:cs="Times New Roman"/>
          <w:sz w:val="20"/>
          <w:szCs w:val="20"/>
        </w:rPr>
        <w:t xml:space="preserve">Écosse à la majorité, selon laquelle cet élément de preuve devrait être écarté conformément au par. 24(2) de la </w:t>
      </w:r>
      <w:r w:rsidRPr="00107007">
        <w:rPr>
          <w:rFonts w:ascii="Times New Roman" w:hAnsi="Times New Roman" w:cs="Times New Roman"/>
          <w:i/>
          <w:iCs/>
          <w:sz w:val="20"/>
          <w:szCs w:val="20"/>
        </w:rPr>
        <w:t>Charte</w:t>
      </w:r>
      <w:r>
        <w:rPr>
          <w:rFonts w:ascii="Times New Roman" w:hAnsi="Times New Roman" w:cs="Times New Roman"/>
          <w:i/>
          <w:iCs/>
          <w:sz w:val="22"/>
          <w:szCs w:val="22"/>
        </w:rPr>
        <w:t>.</w:t>
      </w:r>
      <w:r w:rsidR="003C33B6" w:rsidRPr="003C33B6">
        <w:rPr>
          <w:rFonts w:ascii="Times New Roman" w:hAnsi="Times New Roman" w:cs="Times New Roman"/>
          <w:sz w:val="22"/>
          <w:szCs w:val="22"/>
        </w:rPr>
        <w:t> </w:t>
      </w:r>
    </w:p>
    <w:p w14:paraId="6E4ED661" w14:textId="77777777" w:rsidR="00107007" w:rsidRDefault="00107007" w:rsidP="00107007">
      <w:pPr>
        <w:pStyle w:val="Paragraphedeliste"/>
        <w:jc w:val="both"/>
        <w:rPr>
          <w:rFonts w:ascii="Times New Roman" w:hAnsi="Times New Roman" w:cs="Times New Roman"/>
          <w:sz w:val="22"/>
          <w:szCs w:val="22"/>
        </w:rPr>
      </w:pPr>
    </w:p>
    <w:p w14:paraId="7F74A8B0" w14:textId="2E0E1BD7" w:rsidR="00107007" w:rsidRDefault="00107007" w:rsidP="00107007">
      <w:pPr>
        <w:jc w:val="both"/>
        <w:rPr>
          <w:rFonts w:ascii="Times New Roman" w:hAnsi="Times New Roman" w:cs="Times New Roman"/>
          <w:sz w:val="22"/>
          <w:szCs w:val="22"/>
        </w:rPr>
      </w:pPr>
      <w:r w:rsidRPr="00471C27">
        <w:rPr>
          <w:rFonts w:ascii="Times New Roman" w:hAnsi="Times New Roman" w:cs="Times New Roman"/>
          <w:sz w:val="22"/>
          <w:szCs w:val="22"/>
        </w:rPr>
        <w:t>Pour que la renonciation au droit à la protection contre les saisies abusives soit réelle, la personne qui est censée donner son consentement doit disposer de tous les renseignements requis pour pouvoir renoncer réellement à ce droit.  Le droit de choisir exige non seulement que la personne puisse exercer sa volonté de préférer une solution à une autre, mais aussi qu'elle possède suffisamment de renseignements pour faire un choix utile.  Cela est également vrai lorsque la personne choisit de s'abstenir de consulter un avocat ou d'abandonner aux policiers quelque chose qu'ils n'auraient autrement pas le droit de prendre</w:t>
      </w:r>
      <w:r>
        <w:rPr>
          <w:rFonts w:ascii="Times New Roman" w:hAnsi="Times New Roman" w:cs="Times New Roman"/>
          <w:sz w:val="22"/>
          <w:szCs w:val="22"/>
        </w:rPr>
        <w:t>.</w:t>
      </w:r>
    </w:p>
    <w:p w14:paraId="62605958" w14:textId="3FF9FD45" w:rsidR="00107007" w:rsidRDefault="00107007" w:rsidP="007A0253">
      <w:pPr>
        <w:pStyle w:val="Paragraphedeliste"/>
        <w:numPr>
          <w:ilvl w:val="0"/>
          <w:numId w:val="49"/>
        </w:numPr>
        <w:jc w:val="both"/>
        <w:rPr>
          <w:rFonts w:ascii="Times New Roman" w:hAnsi="Times New Roman" w:cs="Times New Roman"/>
          <w:sz w:val="20"/>
          <w:szCs w:val="20"/>
        </w:rPr>
      </w:pPr>
      <w:r w:rsidRPr="00107007">
        <w:rPr>
          <w:rFonts w:ascii="Times New Roman" w:hAnsi="Times New Roman" w:cs="Times New Roman"/>
          <w:sz w:val="20"/>
          <w:szCs w:val="20"/>
        </w:rPr>
        <w:t>En fait, l'agent Roberts a témoigné qu'il était conscient, lorsqu'il a remis la formule de consentement à l'intimé, que celui</w:t>
      </w:r>
      <w:r w:rsidRPr="00107007">
        <w:rPr>
          <w:rFonts w:ascii="American Typewriter" w:hAnsi="American Typewriter" w:cs="American Typewriter"/>
          <w:sz w:val="20"/>
          <w:szCs w:val="20"/>
        </w:rPr>
        <w:t>‑</w:t>
      </w:r>
      <w:r w:rsidRPr="00107007">
        <w:rPr>
          <w:rFonts w:ascii="Times New Roman" w:hAnsi="Times New Roman" w:cs="Times New Roman"/>
          <w:sz w:val="20"/>
          <w:szCs w:val="20"/>
        </w:rPr>
        <w:t>ci ignorait totalement que la police comptait aussi utiliser l'échantillon de sang relativement à l'agression sexuelle antérieure.  Devant une telle situation, les policiers n'ont rien fait pour révéler à l'intimé qu'ils voulaient l'échantillon de sang pour une deuxième raison.  Même s'il est vrai qu'ils ont essayé de rédiger la formule de consentement d'une manière très générale, je suis d'avis que la formule utilisée n'indiquait pas clairement l'étendue du consentement demandé à l'intimé.  Le terme «enquêtes» ne signifie pas forcément qu'il s'agit d'enquêtes sur diverses infractions.</w:t>
      </w:r>
    </w:p>
    <w:p w14:paraId="5225D6B7" w14:textId="50246F97" w:rsidR="00107007" w:rsidRDefault="00107007" w:rsidP="007A0253">
      <w:pPr>
        <w:pStyle w:val="Paragraphedeliste"/>
        <w:numPr>
          <w:ilvl w:val="0"/>
          <w:numId w:val="49"/>
        </w:numPr>
        <w:jc w:val="both"/>
        <w:rPr>
          <w:rFonts w:ascii="Times New Roman" w:hAnsi="Times New Roman" w:cs="Times New Roman"/>
          <w:sz w:val="20"/>
          <w:szCs w:val="20"/>
        </w:rPr>
      </w:pPr>
      <w:r w:rsidRPr="00107007">
        <w:rPr>
          <w:rFonts w:ascii="Times New Roman" w:hAnsi="Times New Roman" w:cs="Times New Roman"/>
          <w:b/>
          <w:sz w:val="20"/>
          <w:szCs w:val="20"/>
        </w:rPr>
        <w:t>La réponse à la question de savoir si la saisie était abusive est simple.  En l'absence d'une autorisation judiciaire préalable, une fouille, perquisition ou saisie sera abusive sauf si elle est permise par la loi, si la loi est elle</w:t>
      </w:r>
      <w:r w:rsidRPr="00107007">
        <w:rPr>
          <w:rFonts w:ascii="American Typewriter" w:hAnsi="American Typewriter" w:cs="American Typewriter"/>
          <w:b/>
          <w:sz w:val="20"/>
          <w:szCs w:val="20"/>
        </w:rPr>
        <w:t>‑</w:t>
      </w:r>
      <w:r w:rsidRPr="00107007">
        <w:rPr>
          <w:rFonts w:ascii="Times New Roman" w:hAnsi="Times New Roman" w:cs="Times New Roman"/>
          <w:b/>
          <w:sz w:val="20"/>
          <w:szCs w:val="20"/>
        </w:rPr>
        <w:t xml:space="preserve">même raisonnable et si la façon dont la fouille ou la perquisition a été effectuée est raisonnable:  </w:t>
      </w:r>
      <w:r w:rsidRPr="00107007">
        <w:rPr>
          <w:rFonts w:ascii="Times New Roman" w:hAnsi="Times New Roman" w:cs="Times New Roman"/>
          <w:b/>
          <w:i/>
          <w:iCs/>
          <w:sz w:val="20"/>
          <w:szCs w:val="20"/>
        </w:rPr>
        <w:t>R. c. Collins</w:t>
      </w:r>
      <w:r w:rsidRPr="00107007">
        <w:rPr>
          <w:rFonts w:ascii="Times New Roman" w:hAnsi="Times New Roman" w:cs="Times New Roman"/>
          <w:sz w:val="20"/>
          <w:szCs w:val="20"/>
        </w:rPr>
        <w:t xml:space="preserve">,[1987] 1 R.C.S. 265, à la p. 278; et </w:t>
      </w:r>
      <w:r w:rsidRPr="00107007">
        <w:rPr>
          <w:rFonts w:ascii="Times New Roman" w:hAnsi="Times New Roman" w:cs="Times New Roman"/>
          <w:i/>
          <w:iCs/>
          <w:sz w:val="20"/>
          <w:szCs w:val="20"/>
        </w:rPr>
        <w:t>R. c. Wiley</w:t>
      </w:r>
      <w:r w:rsidRPr="00107007">
        <w:rPr>
          <w:rFonts w:ascii="Times New Roman" w:hAnsi="Times New Roman" w:cs="Times New Roman"/>
          <w:sz w:val="20"/>
          <w:szCs w:val="20"/>
        </w:rPr>
        <w:t>,[1993] 3 R.C.S. 263.  En l'espèce, la saisie n'était pas légale.  Aucune disposition législative n'autorise la saisie d'un échantillon de sang dans le cas d'une agression sexuelle.  Le consentement de l'intimé était nécessaire pour que la saisie soit légale en l'espèce.  Pour les motifs qui précèdent, je conclus qu'il n'y a pas eu de tel consentement</w:t>
      </w:r>
      <w:r>
        <w:rPr>
          <w:rFonts w:ascii="Times New Roman" w:hAnsi="Times New Roman" w:cs="Times New Roman"/>
          <w:sz w:val="20"/>
          <w:szCs w:val="20"/>
        </w:rPr>
        <w:t>.</w:t>
      </w:r>
    </w:p>
    <w:p w14:paraId="1257E033" w14:textId="77777777" w:rsidR="00A0576B" w:rsidRDefault="00A0576B" w:rsidP="00A0576B">
      <w:pPr>
        <w:jc w:val="both"/>
        <w:rPr>
          <w:rFonts w:ascii="Times New Roman" w:hAnsi="Times New Roman" w:cs="Times New Roman"/>
          <w:sz w:val="20"/>
          <w:szCs w:val="20"/>
        </w:rPr>
      </w:pPr>
    </w:p>
    <w:p w14:paraId="16B95AB0" w14:textId="669AC238" w:rsidR="00A0576B" w:rsidRDefault="00A0576B" w:rsidP="00A0576B">
      <w:pPr>
        <w:jc w:val="both"/>
        <w:rPr>
          <w:rFonts w:ascii="Times New Roman" w:hAnsi="Times New Roman" w:cs="Times New Roman"/>
          <w:b/>
          <w:i/>
          <w:sz w:val="22"/>
          <w:szCs w:val="22"/>
        </w:rPr>
      </w:pPr>
      <w:r>
        <w:rPr>
          <w:rFonts w:ascii="Times New Roman" w:hAnsi="Times New Roman" w:cs="Times New Roman"/>
          <w:b/>
          <w:i/>
          <w:sz w:val="22"/>
          <w:szCs w:val="22"/>
        </w:rPr>
        <w:t>R. c. Arp 1998 (p. 49) :</w:t>
      </w:r>
    </w:p>
    <w:p w14:paraId="5A19D75A" w14:textId="42E82C42" w:rsidR="00A0576B" w:rsidRPr="00A0576B" w:rsidRDefault="00A0576B" w:rsidP="007A0253">
      <w:pPr>
        <w:pStyle w:val="Paragraphedeliste"/>
        <w:numPr>
          <w:ilvl w:val="0"/>
          <w:numId w:val="50"/>
        </w:numPr>
        <w:jc w:val="both"/>
        <w:rPr>
          <w:rFonts w:ascii="Times New Roman" w:hAnsi="Times New Roman" w:cs="Times New Roman"/>
          <w:i/>
          <w:sz w:val="20"/>
          <w:szCs w:val="20"/>
        </w:rPr>
      </w:pPr>
      <w:r w:rsidRPr="00A0576B">
        <w:rPr>
          <w:rFonts w:ascii="Times New Roman" w:hAnsi="Times New Roman" w:cs="Times New Roman"/>
          <w:sz w:val="20"/>
          <w:szCs w:val="20"/>
        </w:rPr>
        <w:t xml:space="preserve">Toutefois, si ni les policiers ni la personne qui donne son consentement ne limitent l’utilisation qui peut être faite de l’élément de preuve, alors, en règle générale, l’utilisation de cet élément de preuve ne devrait être assortie d’aucune limite ou restriction.  Comme l’a expliqué le juge Iacobucci dans </w:t>
      </w:r>
      <w:r w:rsidRPr="00A0576B">
        <w:rPr>
          <w:rFonts w:ascii="Times New Roman" w:hAnsi="Times New Roman" w:cs="Times New Roman"/>
          <w:i/>
          <w:iCs/>
          <w:sz w:val="20"/>
          <w:szCs w:val="20"/>
        </w:rPr>
        <w:t>Borden</w:t>
      </w:r>
      <w:r w:rsidRPr="00A0576B">
        <w:rPr>
          <w:rFonts w:ascii="Times New Roman" w:hAnsi="Times New Roman" w:cs="Times New Roman"/>
          <w:sz w:val="20"/>
          <w:szCs w:val="20"/>
        </w:rPr>
        <w:t>, précité, à la p. 164, «il ne sera pas nécessaire que l’accusé ait une compréhension approfondie de chacune des répercussions possibles de son consentement» pour que le consentement soit valide</w:t>
      </w:r>
      <w:r>
        <w:rPr>
          <w:rFonts w:ascii="Times New Roman" w:hAnsi="Times New Roman" w:cs="Times New Roman"/>
          <w:sz w:val="20"/>
          <w:szCs w:val="20"/>
        </w:rPr>
        <w:t>.</w:t>
      </w:r>
    </w:p>
    <w:p w14:paraId="5F57B5D9" w14:textId="77777777" w:rsidR="00A0576B" w:rsidRDefault="00A0576B" w:rsidP="00A0576B">
      <w:pPr>
        <w:jc w:val="both"/>
        <w:rPr>
          <w:rFonts w:ascii="Times New Roman" w:hAnsi="Times New Roman" w:cs="Times New Roman"/>
          <w:i/>
          <w:sz w:val="20"/>
          <w:szCs w:val="20"/>
        </w:rPr>
      </w:pPr>
    </w:p>
    <w:p w14:paraId="30857D81" w14:textId="77777777" w:rsidR="00A0576B" w:rsidRDefault="00A0576B" w:rsidP="00A0576B">
      <w:pPr>
        <w:jc w:val="both"/>
        <w:rPr>
          <w:rFonts w:ascii="Times New Roman" w:hAnsi="Times New Roman" w:cs="Times New Roman"/>
          <w:i/>
          <w:sz w:val="20"/>
          <w:szCs w:val="20"/>
        </w:rPr>
      </w:pPr>
    </w:p>
    <w:p w14:paraId="1833F9FE" w14:textId="1D0A55AD" w:rsidR="00A0576B" w:rsidRDefault="00A0576B" w:rsidP="00A0576B">
      <w:pPr>
        <w:jc w:val="both"/>
        <w:rPr>
          <w:rFonts w:ascii="Times New Roman" w:hAnsi="Times New Roman" w:cs="Times New Roman"/>
          <w:sz w:val="22"/>
          <w:szCs w:val="22"/>
        </w:rPr>
      </w:pPr>
      <w:r>
        <w:rPr>
          <w:rFonts w:ascii="Times New Roman" w:hAnsi="Times New Roman" w:cs="Times New Roman"/>
          <w:sz w:val="22"/>
          <w:szCs w:val="22"/>
        </w:rPr>
        <w:t>2. Le retrait ou refus du consentement</w:t>
      </w:r>
    </w:p>
    <w:p w14:paraId="071F05F6" w14:textId="77777777" w:rsidR="00A0576B" w:rsidRPr="00A0576B" w:rsidRDefault="00A0576B" w:rsidP="00A0576B">
      <w:pPr>
        <w:jc w:val="both"/>
        <w:rPr>
          <w:rFonts w:ascii="Times New Roman" w:hAnsi="Times New Roman" w:cs="Times New Roman"/>
          <w:sz w:val="22"/>
          <w:szCs w:val="22"/>
        </w:rPr>
      </w:pPr>
    </w:p>
    <w:p w14:paraId="76E01D68" w14:textId="082CF324" w:rsidR="003C33B6" w:rsidRDefault="00A0576B" w:rsidP="00A0576B">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Kang-Brown 2008 :</w:t>
      </w:r>
    </w:p>
    <w:p w14:paraId="2D37FCFD" w14:textId="20B2EA74" w:rsidR="00A0576B" w:rsidRPr="00A0576B" w:rsidRDefault="00A0576B" w:rsidP="007A0253">
      <w:pPr>
        <w:pStyle w:val="Paragraphedeliste"/>
        <w:numPr>
          <w:ilvl w:val="0"/>
          <w:numId w:val="50"/>
        </w:numPr>
        <w:jc w:val="both"/>
        <w:rPr>
          <w:rFonts w:ascii="Times New Roman" w:hAnsi="Times New Roman" w:cs="Times New Roman"/>
          <w:sz w:val="20"/>
          <w:szCs w:val="20"/>
        </w:rPr>
      </w:pPr>
      <w:r w:rsidRPr="00A0576B">
        <w:rPr>
          <w:rFonts w:ascii="Times New Roman" w:hAnsi="Times New Roman" w:cs="Times New Roman"/>
          <w:sz w:val="20"/>
          <w:szCs w:val="20"/>
        </w:rPr>
        <w:t>Je suis du même avis.  Les gens ne devraient pas être pénalisés parce qu’ils font valoir leurs droits constitutionnels.  La découverte après coup de drogues illégales ne rend pas conforme à la Constitution une intervention qui ne l’était pas au départ.</w:t>
      </w:r>
    </w:p>
    <w:p w14:paraId="3F7859EF" w14:textId="77777777" w:rsidR="00A0576B" w:rsidRPr="00A0576B" w:rsidRDefault="00A0576B" w:rsidP="00A0576B">
      <w:pPr>
        <w:widowControl w:val="0"/>
        <w:autoSpaceDE w:val="0"/>
        <w:autoSpaceDN w:val="0"/>
        <w:adjustRightInd w:val="0"/>
        <w:spacing w:after="300"/>
        <w:ind w:left="360"/>
        <w:jc w:val="both"/>
        <w:rPr>
          <w:rFonts w:ascii="Times New Roman" w:hAnsi="Times New Roman" w:cs="Verdana"/>
          <w:color w:val="3E3E3E"/>
          <w:sz w:val="22"/>
          <w:szCs w:val="22"/>
        </w:rPr>
      </w:pPr>
    </w:p>
    <w:p w14:paraId="0C5F7ABC" w14:textId="04C19276"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color w:val="3E3E3E"/>
          <w:sz w:val="22"/>
          <w:szCs w:val="22"/>
        </w:rPr>
        <w:t> </w:t>
      </w:r>
      <w:r w:rsidRPr="00BF6408">
        <w:rPr>
          <w:rFonts w:ascii="Times New Roman" w:hAnsi="Times New Roman" w:cs="Verdana"/>
          <w:b/>
          <w:bCs/>
          <w:color w:val="3E3E3E"/>
          <w:sz w:val="22"/>
          <w:szCs w:val="22"/>
        </w:rPr>
        <w:t>Récapitulatif des lectures</w:t>
      </w:r>
    </w:p>
    <w:p w14:paraId="45F43704"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obligatoire(s) :</w:t>
      </w:r>
    </w:p>
    <w:p w14:paraId="44EF818C" w14:textId="77777777" w:rsidR="00BF6408" w:rsidRPr="00BF6408"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F6408">
        <w:rPr>
          <w:rFonts w:ascii="Times New Roman" w:hAnsi="Times New Roman" w:cs="Verdana"/>
          <w:b/>
          <w:color w:val="3E3E3E"/>
          <w:sz w:val="22"/>
          <w:szCs w:val="22"/>
        </w:rPr>
        <w:t>*</w:t>
      </w:r>
      <w:r w:rsidRPr="00BF6408">
        <w:rPr>
          <w:rFonts w:ascii="Times New Roman" w:hAnsi="Times New Roman" w:cs="Verdana"/>
          <w:b/>
          <w:i/>
          <w:iCs/>
          <w:color w:val="3E3E3E"/>
          <w:sz w:val="22"/>
          <w:szCs w:val="22"/>
        </w:rPr>
        <w:t>Hunter et autres c. Southam Inc</w:t>
      </w:r>
      <w:r w:rsidRPr="00BF6408">
        <w:rPr>
          <w:rFonts w:ascii="Times New Roman" w:hAnsi="Times New Roman" w:cs="Verdana"/>
          <w:b/>
          <w:color w:val="3E3E3E"/>
          <w:sz w:val="22"/>
          <w:szCs w:val="22"/>
        </w:rPr>
        <w:t>., [1984] 2 RCS 145</w:t>
      </w:r>
    </w:p>
    <w:p w14:paraId="3349C3AF" w14:textId="77777777" w:rsidR="00BF6408" w:rsidRPr="00BF6408" w:rsidRDefault="00BF6408" w:rsidP="00BF6408">
      <w:pPr>
        <w:widowControl w:val="0"/>
        <w:autoSpaceDE w:val="0"/>
        <w:autoSpaceDN w:val="0"/>
        <w:adjustRightInd w:val="0"/>
        <w:spacing w:after="300"/>
        <w:jc w:val="both"/>
        <w:rPr>
          <w:rFonts w:ascii="Times New Roman" w:hAnsi="Times New Roman" w:cs="Verdana"/>
          <w:color w:val="3E3E3E"/>
          <w:sz w:val="22"/>
          <w:szCs w:val="22"/>
        </w:rPr>
      </w:pPr>
      <w:r w:rsidRPr="00BF6408">
        <w:rPr>
          <w:rFonts w:ascii="Times New Roman" w:hAnsi="Times New Roman" w:cs="Verdana"/>
          <w:i/>
          <w:iCs/>
          <w:color w:val="3E3E3E"/>
          <w:sz w:val="22"/>
          <w:szCs w:val="22"/>
        </w:rPr>
        <w:t>Lecture(s) optionnelle(s)</w:t>
      </w:r>
    </w:p>
    <w:p w14:paraId="2FE4D2AA"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i/>
          <w:iCs/>
          <w:color w:val="3E3E3E"/>
          <w:sz w:val="22"/>
          <w:szCs w:val="22"/>
        </w:rPr>
        <w:t>R. c. Dyment</w:t>
      </w:r>
      <w:r w:rsidRPr="00B76612">
        <w:rPr>
          <w:rFonts w:ascii="Times New Roman" w:hAnsi="Times New Roman" w:cs="Verdana"/>
          <w:b/>
          <w:color w:val="3E3E3E"/>
          <w:sz w:val="22"/>
          <w:szCs w:val="22"/>
        </w:rPr>
        <w:t>, [1988] 2 RCS 417</w:t>
      </w:r>
    </w:p>
    <w:p w14:paraId="78727F2C"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i/>
          <w:iCs/>
          <w:color w:val="3E3E3E"/>
          <w:sz w:val="22"/>
          <w:szCs w:val="22"/>
        </w:rPr>
        <w:t>Thomson newspapers ltd. c. Canada (Directeur des enquêtes et recherches, commission sur les pratiques restrictives du commerce),</w:t>
      </w:r>
      <w:r w:rsidRPr="00B76612">
        <w:rPr>
          <w:rFonts w:ascii="Times New Roman" w:hAnsi="Times New Roman" w:cs="Verdana"/>
          <w:b/>
          <w:color w:val="3E3E3E"/>
          <w:sz w:val="22"/>
          <w:szCs w:val="22"/>
        </w:rPr>
        <w:t xml:space="preserve"> [1990] 1 RCS 425</w:t>
      </w:r>
    </w:p>
    <w:p w14:paraId="5B85BCC2"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color w:val="3E3E3E"/>
          <w:sz w:val="22"/>
          <w:szCs w:val="22"/>
        </w:rPr>
        <w:t>(motifs du juge La Forest)</w:t>
      </w:r>
    </w:p>
    <w:p w14:paraId="34A74F65"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i/>
          <w:iCs/>
          <w:color w:val="3E3E3E"/>
          <w:sz w:val="22"/>
          <w:szCs w:val="22"/>
        </w:rPr>
        <w:t>R. c. Edwards</w:t>
      </w:r>
      <w:r w:rsidRPr="00B76612">
        <w:rPr>
          <w:rFonts w:ascii="Times New Roman" w:hAnsi="Times New Roman" w:cs="Verdana"/>
          <w:b/>
          <w:color w:val="3E3E3E"/>
          <w:sz w:val="22"/>
          <w:szCs w:val="22"/>
        </w:rPr>
        <w:t>, [1996] 1 RCS 128</w:t>
      </w:r>
    </w:p>
    <w:p w14:paraId="119DA545"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color w:val="3E3E3E"/>
          <w:sz w:val="22"/>
          <w:szCs w:val="22"/>
        </w:rPr>
        <w:t>R. c. Wong, [1990] 3 RCS 36</w:t>
      </w:r>
    </w:p>
    <w:p w14:paraId="67D9F7CB" w14:textId="77777777" w:rsidR="00BF6408" w:rsidRPr="00B76612" w:rsidRDefault="00BF6408" w:rsidP="00BF6408">
      <w:pPr>
        <w:widowControl w:val="0"/>
        <w:autoSpaceDE w:val="0"/>
        <w:autoSpaceDN w:val="0"/>
        <w:adjustRightInd w:val="0"/>
        <w:spacing w:after="300"/>
        <w:jc w:val="both"/>
        <w:rPr>
          <w:rFonts w:ascii="Times New Roman" w:hAnsi="Times New Roman" w:cs="Verdana"/>
          <w:b/>
          <w:color w:val="3E3E3E"/>
          <w:sz w:val="22"/>
          <w:szCs w:val="22"/>
        </w:rPr>
      </w:pPr>
      <w:r w:rsidRPr="00B76612">
        <w:rPr>
          <w:rFonts w:ascii="Times New Roman" w:hAnsi="Times New Roman" w:cs="Verdana"/>
          <w:b/>
          <w:i/>
          <w:iCs/>
          <w:color w:val="3E3E3E"/>
          <w:sz w:val="22"/>
          <w:szCs w:val="22"/>
        </w:rPr>
        <w:t>R. c. Tessling</w:t>
      </w:r>
      <w:r w:rsidRPr="00B76612">
        <w:rPr>
          <w:rFonts w:ascii="Times New Roman" w:hAnsi="Times New Roman" w:cs="Verdana"/>
          <w:b/>
          <w:color w:val="3E3E3E"/>
          <w:sz w:val="22"/>
          <w:szCs w:val="22"/>
        </w:rPr>
        <w:t>, [2004] 3 RCS 432</w:t>
      </w:r>
    </w:p>
    <w:p w14:paraId="30041BA3" w14:textId="77777777" w:rsidR="00BF6408" w:rsidRDefault="00BF6408" w:rsidP="00BF6408">
      <w:pPr>
        <w:widowControl w:val="0"/>
        <w:autoSpaceDE w:val="0"/>
        <w:autoSpaceDN w:val="0"/>
        <w:adjustRightInd w:val="0"/>
        <w:spacing w:after="300"/>
        <w:rPr>
          <w:rFonts w:ascii="Times New Roman" w:hAnsi="Times New Roman" w:cs="Verdana"/>
          <w:b/>
          <w:color w:val="3E3E3E"/>
          <w:sz w:val="22"/>
          <w:szCs w:val="22"/>
        </w:rPr>
      </w:pPr>
      <w:r w:rsidRPr="00B76612">
        <w:rPr>
          <w:rFonts w:ascii="Times New Roman" w:hAnsi="Times New Roman" w:cs="Verdana"/>
          <w:b/>
          <w:i/>
          <w:iCs/>
          <w:color w:val="3E3E3E"/>
          <w:sz w:val="22"/>
          <w:szCs w:val="22"/>
        </w:rPr>
        <w:t>R. c. Patrick</w:t>
      </w:r>
      <w:r w:rsidRPr="00B76612">
        <w:rPr>
          <w:rFonts w:ascii="Times New Roman" w:hAnsi="Times New Roman" w:cs="Verdana"/>
          <w:b/>
          <w:color w:val="3E3E3E"/>
          <w:sz w:val="22"/>
          <w:szCs w:val="22"/>
        </w:rPr>
        <w:t>, [2009] 1 RCS 579</w:t>
      </w:r>
    </w:p>
    <w:p w14:paraId="28A4FD7B" w14:textId="77777777" w:rsidR="00B76612" w:rsidRDefault="00B76612" w:rsidP="00BF6408">
      <w:pPr>
        <w:widowControl w:val="0"/>
        <w:autoSpaceDE w:val="0"/>
        <w:autoSpaceDN w:val="0"/>
        <w:adjustRightInd w:val="0"/>
        <w:spacing w:after="300"/>
        <w:rPr>
          <w:rFonts w:ascii="Times New Roman" w:hAnsi="Times New Roman" w:cs="Verdana"/>
          <w:b/>
          <w:color w:val="3E3E3E"/>
          <w:sz w:val="22"/>
          <w:szCs w:val="22"/>
        </w:rPr>
      </w:pPr>
    </w:p>
    <w:p w14:paraId="5C9D132D" w14:textId="77777777" w:rsidR="00B76612" w:rsidRDefault="00B76612" w:rsidP="00B76612">
      <w:pPr>
        <w:widowControl w:val="0"/>
        <w:autoSpaceDE w:val="0"/>
        <w:autoSpaceDN w:val="0"/>
        <w:adjustRightInd w:val="0"/>
        <w:spacing w:after="300"/>
        <w:jc w:val="center"/>
        <w:rPr>
          <w:rFonts w:ascii="Times New Roman" w:hAnsi="Times New Roman" w:cs="Verdana"/>
          <w:color w:val="3E3E3E"/>
        </w:rPr>
      </w:pPr>
      <w:r>
        <w:rPr>
          <w:rFonts w:ascii="Times New Roman" w:hAnsi="Times New Roman" w:cs="Verdana"/>
          <w:b/>
          <w:color w:val="3E3E3E"/>
        </w:rPr>
        <w:t>COURS 5</w:t>
      </w:r>
    </w:p>
    <w:p w14:paraId="10F587BB" w14:textId="5B4EDB49" w:rsidR="00B76612" w:rsidRP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§5. Fouille, perquisition ou saisie abusives</w:t>
      </w:r>
      <w:r w:rsidR="00702F60">
        <w:rPr>
          <w:rFonts w:ascii="Times New Roman" w:hAnsi="Times New Roman" w:cs="Times New Roman"/>
          <w:b/>
          <w:color w:val="3E3E3E"/>
          <w:sz w:val="22"/>
          <w:szCs w:val="22"/>
        </w:rPr>
        <w:t> : quand devient-elle abusive ?</w:t>
      </w:r>
    </w:p>
    <w:p w14:paraId="308D5CF4" w14:textId="77777777"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A.     principes généraux</w:t>
      </w:r>
    </w:p>
    <w:p w14:paraId="7B3F6C76" w14:textId="2F521C4E" w:rsidR="00702F60" w:rsidRDefault="00702F60" w:rsidP="00B76612">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b/>
          <w:color w:val="3E3E3E"/>
          <w:sz w:val="22"/>
          <w:szCs w:val="22"/>
        </w:rPr>
        <w:t>Art. 8 de la Charte :</w:t>
      </w:r>
    </w:p>
    <w:p w14:paraId="5C2D8E16" w14:textId="77777777" w:rsidR="00702F60" w:rsidRPr="00626991" w:rsidRDefault="00702F60" w:rsidP="00702F60">
      <w:pPr>
        <w:jc w:val="both"/>
        <w:rPr>
          <w:rFonts w:ascii="Times New Roman" w:hAnsi="Times New Roman" w:cs="Times New Roman"/>
          <w:sz w:val="22"/>
          <w:szCs w:val="22"/>
        </w:rPr>
      </w:pPr>
      <w:r w:rsidRPr="00626991">
        <w:rPr>
          <w:rFonts w:ascii="Times New Roman" w:hAnsi="Times New Roman" w:cs="Times New Roman"/>
          <w:sz w:val="22"/>
          <w:szCs w:val="22"/>
        </w:rPr>
        <w:t>Dans l’arrêt Hunter, on souligne que l’histoire et la jurisprudence américaine montre qu’une FPS sans mandat est présumée abusive.</w:t>
      </w:r>
    </w:p>
    <w:p w14:paraId="5AB0C81E" w14:textId="77777777" w:rsidR="00702F60" w:rsidRPr="00626991" w:rsidRDefault="00702F60" w:rsidP="00702F60">
      <w:pPr>
        <w:jc w:val="both"/>
        <w:rPr>
          <w:rFonts w:ascii="Times New Roman" w:hAnsi="Times New Roman" w:cs="Times New Roman"/>
          <w:sz w:val="22"/>
          <w:szCs w:val="22"/>
        </w:rPr>
      </w:pPr>
    </w:p>
    <w:p w14:paraId="4AFA16D7" w14:textId="625A531B" w:rsidR="00702F60" w:rsidRDefault="00702F60" w:rsidP="00702F60">
      <w:pPr>
        <w:jc w:val="both"/>
        <w:rPr>
          <w:rFonts w:ascii="Times New Roman" w:hAnsi="Times New Roman" w:cs="Times New Roman"/>
          <w:b/>
          <w:sz w:val="22"/>
          <w:szCs w:val="22"/>
        </w:rPr>
      </w:pPr>
      <w:r w:rsidRPr="00702F60">
        <w:rPr>
          <w:rFonts w:ascii="Times New Roman" w:hAnsi="Times New Roman" w:cs="Times New Roman"/>
          <w:b/>
          <w:sz w:val="22"/>
          <w:szCs w:val="22"/>
        </w:rPr>
        <w:t>Il y a une espèce de présomption, qu’une fouille/saisie, etc. est abusive si sans mandat et c’est la couronne qui doit la justifier</w:t>
      </w:r>
    </w:p>
    <w:p w14:paraId="3E3321DA" w14:textId="77777777" w:rsidR="00702F60" w:rsidRPr="00702F60" w:rsidRDefault="00702F60" w:rsidP="00702F60">
      <w:pPr>
        <w:jc w:val="both"/>
        <w:rPr>
          <w:rFonts w:ascii="Times New Roman" w:hAnsi="Times New Roman" w:cs="Times New Roman"/>
          <w:b/>
          <w:sz w:val="22"/>
          <w:szCs w:val="22"/>
        </w:rPr>
      </w:pPr>
    </w:p>
    <w:p w14:paraId="774B1E2E" w14:textId="71F11844" w:rsidR="00702F60" w:rsidRDefault="00702F60" w:rsidP="00702F60">
      <w:pPr>
        <w:jc w:val="both"/>
        <w:rPr>
          <w:rFonts w:ascii="Times New Roman" w:hAnsi="Times New Roman" w:cs="Times New Roman"/>
          <w:b/>
          <w:sz w:val="22"/>
          <w:szCs w:val="22"/>
        </w:rPr>
      </w:pPr>
      <w:r w:rsidRPr="00702F60">
        <w:rPr>
          <w:rFonts w:ascii="Times New Roman" w:hAnsi="Times New Roman" w:cs="Times New Roman"/>
          <w:b/>
          <w:sz w:val="22"/>
          <w:szCs w:val="22"/>
        </w:rPr>
        <w:t>Hunter et autres c. Southam Inc., [1984] 2 RCS 145</w:t>
      </w:r>
      <w:r>
        <w:rPr>
          <w:rFonts w:ascii="Times New Roman" w:hAnsi="Times New Roman" w:cs="Times New Roman"/>
          <w:b/>
          <w:sz w:val="22"/>
          <w:szCs w:val="22"/>
        </w:rPr>
        <w:t> :</w:t>
      </w:r>
    </w:p>
    <w:p w14:paraId="493CD43A" w14:textId="24E5FF19" w:rsidR="00702F60" w:rsidRPr="00A8262E" w:rsidRDefault="00A8262E" w:rsidP="007A0253">
      <w:pPr>
        <w:pStyle w:val="Paragraphedeliste"/>
        <w:numPr>
          <w:ilvl w:val="0"/>
          <w:numId w:val="50"/>
        </w:numPr>
        <w:jc w:val="both"/>
        <w:rPr>
          <w:rFonts w:ascii="Times New Roman" w:hAnsi="Times New Roman" w:cs="Times New Roman"/>
          <w:b/>
          <w:sz w:val="20"/>
          <w:szCs w:val="20"/>
        </w:rPr>
      </w:pPr>
      <w:r w:rsidRPr="00A8262E">
        <w:rPr>
          <w:rFonts w:ascii="Times New Roman" w:hAnsi="Times New Roman" w:cs="Times New Roman"/>
          <w:sz w:val="20"/>
          <w:szCs w:val="20"/>
        </w:rPr>
        <w:t xml:space="preserve">Comme je l’ai déjà dit, cet article a pour but de protéger les particuliers contre les intrusions injustifiées de l’État dans leur vie privée. Ce but requiert un moyen de </w:t>
      </w:r>
      <w:r w:rsidRPr="00A8262E">
        <w:rPr>
          <w:rFonts w:ascii="Times New Roman" w:hAnsi="Times New Roman" w:cs="Times New Roman"/>
          <w:sz w:val="20"/>
          <w:szCs w:val="20"/>
          <w:u w:val="single"/>
        </w:rPr>
        <w:t>prévenir</w:t>
      </w:r>
      <w:r w:rsidRPr="00A8262E">
        <w:rPr>
          <w:rFonts w:ascii="Times New Roman" w:hAnsi="Times New Roman" w:cs="Times New Roman"/>
          <w:sz w:val="20"/>
          <w:szCs w:val="20"/>
        </w:rPr>
        <w:t xml:space="preserve"> les fouilles et les perquisitions injustifiées avant qu’elles ne se produisent et non simplement un moyen de déterminer, après le fait, si au départ elles devaient être effectuées. Cela ne peut se faire, à mon avis, que par un système </w:t>
      </w:r>
      <w:r w:rsidRPr="00A8262E">
        <w:rPr>
          <w:rFonts w:ascii="Times New Roman" w:hAnsi="Times New Roman" w:cs="Times New Roman"/>
          <w:sz w:val="20"/>
          <w:szCs w:val="20"/>
          <w:u w:val="single"/>
        </w:rPr>
        <w:t>d’autorisation préalable (évoquant le mandat)</w:t>
      </w:r>
      <w:r w:rsidRPr="00A8262E">
        <w:rPr>
          <w:rFonts w:ascii="Times New Roman" w:hAnsi="Times New Roman" w:cs="Times New Roman"/>
          <w:sz w:val="20"/>
          <w:szCs w:val="20"/>
        </w:rPr>
        <w:t xml:space="preserve"> et non de validation subséquente</w:t>
      </w:r>
      <w:r>
        <w:rPr>
          <w:rFonts w:ascii="Times New Roman" w:hAnsi="Times New Roman" w:cs="Times New Roman"/>
          <w:sz w:val="20"/>
          <w:szCs w:val="20"/>
        </w:rPr>
        <w:t>.</w:t>
      </w:r>
    </w:p>
    <w:p w14:paraId="7D7FA4E6" w14:textId="33BB79FA" w:rsidR="00A8262E" w:rsidRPr="00A8262E" w:rsidRDefault="00A8262E" w:rsidP="007A0253">
      <w:pPr>
        <w:pStyle w:val="Paragraphedeliste"/>
        <w:numPr>
          <w:ilvl w:val="0"/>
          <w:numId w:val="50"/>
        </w:numPr>
        <w:jc w:val="both"/>
        <w:rPr>
          <w:rFonts w:ascii="Times New Roman" w:hAnsi="Times New Roman" w:cs="Times New Roman"/>
          <w:b/>
          <w:sz w:val="20"/>
          <w:szCs w:val="20"/>
        </w:rPr>
      </w:pPr>
      <w:r w:rsidRPr="00A8262E">
        <w:rPr>
          <w:rFonts w:ascii="Times New Roman" w:hAnsi="Times New Roman" w:cs="Times New Roman"/>
          <w:sz w:val="20"/>
          <w:szCs w:val="20"/>
        </w:rPr>
        <w:t>Je reconnais qu’il n’est peut-être pas raisonnable dans tous les cas d’insister sur l’autorisation préalable aux fins de valider des atteintes du gouvernement aux expectatives des particuliers en matière de vie privée. Néanmoins, je suis d’avis de conclure qu’une telle autorisation, lorsqu’elle peut être obtenue, est une condition préalable de la validité d’une fouille, d’une perquisition et d’une saisie.</w:t>
      </w:r>
    </w:p>
    <w:p w14:paraId="39CEEEC3" w14:textId="77777777" w:rsidR="00A8262E" w:rsidRDefault="00A8262E" w:rsidP="007A0253">
      <w:pPr>
        <w:pStyle w:val="Paragraphedeliste"/>
        <w:numPr>
          <w:ilvl w:val="0"/>
          <w:numId w:val="50"/>
        </w:numPr>
        <w:jc w:val="both"/>
        <w:rPr>
          <w:rFonts w:ascii="Times New Roman" w:hAnsi="Times New Roman" w:cs="Times New Roman"/>
          <w:b/>
          <w:sz w:val="22"/>
          <w:szCs w:val="22"/>
        </w:rPr>
      </w:pPr>
      <w:r w:rsidRPr="00A8262E">
        <w:rPr>
          <w:rFonts w:ascii="Times New Roman" w:hAnsi="Times New Roman" w:cs="Times New Roman"/>
          <w:sz w:val="20"/>
          <w:szCs w:val="20"/>
        </w:rPr>
        <w:t xml:space="preserve">Avec égards, néanmoins, je suis d’avis d’adopter en l’espèce la formulation du juge Stewart qui s’applique pareillement au concept du «caractère abusif» que l’on trouve à l’art. 8, et </w:t>
      </w:r>
      <w:r w:rsidRPr="00A8262E">
        <w:rPr>
          <w:rFonts w:ascii="Times New Roman" w:hAnsi="Times New Roman" w:cs="Times New Roman"/>
          <w:b/>
          <w:sz w:val="20"/>
          <w:szCs w:val="20"/>
        </w:rPr>
        <w:t>j’estime que la partie qui veut justifier une perquisition sans mandat doit réfuter cette présomption du caractère abusif</w:t>
      </w:r>
      <w:r w:rsidRPr="00A8262E">
        <w:rPr>
          <w:rFonts w:ascii="Times New Roman" w:hAnsi="Times New Roman" w:cs="Times New Roman"/>
          <w:b/>
          <w:sz w:val="22"/>
          <w:szCs w:val="22"/>
        </w:rPr>
        <w:t>.</w:t>
      </w:r>
    </w:p>
    <w:p w14:paraId="4EE18A5E" w14:textId="77777777" w:rsidR="00A8262E" w:rsidRDefault="00A8262E" w:rsidP="00A8262E">
      <w:pPr>
        <w:jc w:val="both"/>
        <w:rPr>
          <w:rFonts w:ascii="Times New Roman" w:hAnsi="Times New Roman" w:cs="Times New Roman"/>
          <w:b/>
          <w:sz w:val="22"/>
          <w:szCs w:val="22"/>
        </w:rPr>
      </w:pPr>
    </w:p>
    <w:p w14:paraId="6EABF40B" w14:textId="58ACB942" w:rsidR="00A8262E" w:rsidRDefault="00A8262E" w:rsidP="00A8262E">
      <w:pPr>
        <w:jc w:val="both"/>
        <w:rPr>
          <w:rFonts w:ascii="Times New Roman" w:hAnsi="Times New Roman" w:cs="Times New Roman"/>
          <w:b/>
          <w:sz w:val="22"/>
          <w:szCs w:val="22"/>
        </w:rPr>
      </w:pPr>
      <w:r>
        <w:rPr>
          <w:rFonts w:ascii="Times New Roman" w:hAnsi="Times New Roman" w:cs="Times New Roman"/>
          <w:sz w:val="22"/>
          <w:szCs w:val="22"/>
        </w:rPr>
        <w:t xml:space="preserve">Le professeur Stylios mentionne que c’est généralement à la Couronne de prouver que la FPS effectuée </w:t>
      </w:r>
      <w:r>
        <w:rPr>
          <w:rFonts w:ascii="Times New Roman" w:hAnsi="Times New Roman" w:cs="Times New Roman"/>
          <w:b/>
          <w:sz w:val="22"/>
          <w:szCs w:val="22"/>
        </w:rPr>
        <w:t>sans mandat</w:t>
      </w:r>
      <w:r>
        <w:rPr>
          <w:rFonts w:ascii="Times New Roman" w:hAnsi="Times New Roman" w:cs="Times New Roman"/>
          <w:sz w:val="22"/>
          <w:szCs w:val="22"/>
        </w:rPr>
        <w:t xml:space="preserve"> n’est pas abusive, et ce, selon la prépondérance des probabilité. Voir en exemple, </w:t>
      </w:r>
      <w:r>
        <w:rPr>
          <w:rFonts w:ascii="Times New Roman" w:hAnsi="Times New Roman" w:cs="Times New Roman"/>
          <w:b/>
          <w:sz w:val="22"/>
          <w:szCs w:val="22"/>
        </w:rPr>
        <w:t>l’arrêt Nolet 2010 :</w:t>
      </w:r>
    </w:p>
    <w:p w14:paraId="754C0EFC" w14:textId="04103AB2" w:rsidR="00A8262E" w:rsidRPr="00A8262E" w:rsidRDefault="00A8262E" w:rsidP="007A0253">
      <w:pPr>
        <w:pStyle w:val="Paragraphedeliste"/>
        <w:numPr>
          <w:ilvl w:val="0"/>
          <w:numId w:val="51"/>
        </w:numPr>
        <w:jc w:val="both"/>
        <w:rPr>
          <w:rFonts w:ascii="Times New Roman" w:hAnsi="Times New Roman" w:cs="Times New Roman"/>
          <w:b/>
          <w:sz w:val="20"/>
          <w:szCs w:val="20"/>
        </w:rPr>
      </w:pPr>
      <w:r w:rsidRPr="00A8262E">
        <w:rPr>
          <w:rFonts w:ascii="Times New Roman" w:hAnsi="Times New Roman" w:cs="Times New Roman"/>
          <w:b/>
          <w:sz w:val="20"/>
          <w:szCs w:val="20"/>
        </w:rPr>
        <w:t>En l’absence d’un mandat, le ministère public doit établir selon la prépondérance des probabilités que la fouille était autorisée par la loi, que celle</w:t>
      </w:r>
      <w:r w:rsidRPr="00A8262E">
        <w:rPr>
          <w:rFonts w:ascii="American Typewriter" w:hAnsi="American Typewriter" w:cs="American Typewriter"/>
          <w:b/>
          <w:sz w:val="20"/>
          <w:szCs w:val="20"/>
        </w:rPr>
        <w:t>‑</w:t>
      </w:r>
      <w:r w:rsidRPr="00A8262E">
        <w:rPr>
          <w:rFonts w:ascii="Times New Roman" w:hAnsi="Times New Roman" w:cs="Times New Roman"/>
          <w:b/>
          <w:sz w:val="20"/>
          <w:szCs w:val="20"/>
        </w:rPr>
        <w:t>ci n’avait rien d’abusif et que la fouille n’a pas été effectuée d’une manière abusive </w:t>
      </w:r>
      <w:r w:rsidRPr="00A8262E">
        <w:rPr>
          <w:rFonts w:ascii="Times New Roman" w:hAnsi="Times New Roman" w:cs="Times New Roman"/>
          <w:sz w:val="20"/>
          <w:szCs w:val="20"/>
        </w:rPr>
        <w:t xml:space="preserve">: </w:t>
      </w:r>
      <w:r w:rsidRPr="00A8262E">
        <w:rPr>
          <w:rFonts w:ascii="Times New Roman" w:hAnsi="Times New Roman" w:cs="Times New Roman"/>
          <w:i/>
          <w:iCs/>
          <w:sz w:val="20"/>
          <w:szCs w:val="20"/>
        </w:rPr>
        <w:t>R. c. Collins.</w:t>
      </w:r>
    </w:p>
    <w:p w14:paraId="1B8AE063" w14:textId="77777777" w:rsidR="00A8262E" w:rsidRPr="00A8262E" w:rsidRDefault="00A8262E" w:rsidP="00A8262E">
      <w:pPr>
        <w:ind w:left="360"/>
        <w:jc w:val="both"/>
        <w:rPr>
          <w:rFonts w:ascii="Times New Roman" w:hAnsi="Times New Roman" w:cs="Times New Roman"/>
          <w:sz w:val="22"/>
          <w:szCs w:val="22"/>
        </w:rPr>
      </w:pPr>
    </w:p>
    <w:p w14:paraId="7C149DF8" w14:textId="27CC5ADC" w:rsidR="00702F60" w:rsidRDefault="00A8262E"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Collins 1987 (p.2)</w:t>
      </w:r>
    </w:p>
    <w:p w14:paraId="0D379142" w14:textId="6E3E6F40" w:rsidR="00A8262E" w:rsidRDefault="00A8262E" w:rsidP="00B76612">
      <w:pPr>
        <w:widowControl w:val="0"/>
        <w:autoSpaceDE w:val="0"/>
        <w:autoSpaceDN w:val="0"/>
        <w:adjustRightInd w:val="0"/>
        <w:spacing w:after="300"/>
        <w:jc w:val="both"/>
        <w:rPr>
          <w:rFonts w:ascii="Times New Roman" w:hAnsi="Times New Roman" w:cs="Times New Roman"/>
          <w:b/>
          <w:sz w:val="22"/>
          <w:szCs w:val="22"/>
        </w:rPr>
      </w:pPr>
      <w:r>
        <w:rPr>
          <w:rFonts w:ascii="Times New Roman" w:hAnsi="Times New Roman" w:cs="Times New Roman"/>
          <w:color w:val="3E3E3E"/>
          <w:sz w:val="22"/>
          <w:szCs w:val="22"/>
        </w:rPr>
        <w:t xml:space="preserve">Le caractère abusif de la fouille : </w:t>
      </w:r>
      <w:r>
        <w:rPr>
          <w:rFonts w:ascii="Times New Roman" w:hAnsi="Times New Roman" w:cs="Times New Roman"/>
          <w:sz w:val="22"/>
          <w:szCs w:val="22"/>
        </w:rPr>
        <w:t xml:space="preserve">pour que la fouille soit légale, ça prend une autorisation légale (loi ou règle) et celle-ci ne doit pas être arbitraire abusive et que la mesure elle-même, la fouille ou etc. soit conduite de manière raisonnable. </w:t>
      </w:r>
      <w:r>
        <w:rPr>
          <w:rFonts w:ascii="Times New Roman" w:hAnsi="Times New Roman" w:cs="Times New Roman"/>
          <w:b/>
          <w:sz w:val="22"/>
          <w:szCs w:val="22"/>
        </w:rPr>
        <w:t>Pour attaquer une FPS, on doit plaider les trois critères en haut ou un qui n’a pas respecté.</w:t>
      </w:r>
    </w:p>
    <w:p w14:paraId="0D6972E7" w14:textId="09C3BC06" w:rsidR="00202804" w:rsidRPr="00202804" w:rsidRDefault="00202804" w:rsidP="007A0253">
      <w:pPr>
        <w:pStyle w:val="Paragraphedeliste"/>
        <w:numPr>
          <w:ilvl w:val="0"/>
          <w:numId w:val="51"/>
        </w:numPr>
        <w:jc w:val="both"/>
        <w:rPr>
          <w:rFonts w:ascii="Times New Roman" w:hAnsi="Times New Roman" w:cs="Times New Roman"/>
          <w:sz w:val="20"/>
          <w:szCs w:val="20"/>
        </w:rPr>
      </w:pPr>
      <w:r w:rsidRPr="00202804">
        <w:rPr>
          <w:rFonts w:ascii="Times New Roman" w:hAnsi="Times New Roman" w:cs="Times New Roman"/>
          <w:sz w:val="20"/>
          <w:szCs w:val="20"/>
        </w:rPr>
        <w:t>j'estime que la partie qui veut justifier une perquisition sans mandat doit réfuter cette présomption du caractère abusif.</w:t>
      </w:r>
      <w:r>
        <w:rPr>
          <w:rFonts w:ascii="Times New Roman" w:hAnsi="Times New Roman" w:cs="Times New Roman"/>
          <w:sz w:val="20"/>
          <w:szCs w:val="20"/>
        </w:rPr>
        <w:t xml:space="preserve"> </w:t>
      </w:r>
      <w:r w:rsidRPr="00202804">
        <w:rPr>
          <w:rFonts w:ascii="Times New Roman" w:hAnsi="Times New Roman" w:cs="Times New Roman"/>
          <w:sz w:val="20"/>
          <w:szCs w:val="20"/>
        </w:rPr>
        <w:t>Donc, la charge de persuasion passe de l'appelant à la poursuite. Par conséquent, du moment que l'appelant démontre qu'il s'agissait d'une fouille sans mandat, il incombe à la poursuite de prouver que, selon la prépondérance des probabilités, cette fouille n'était pas abusive.</w:t>
      </w:r>
    </w:p>
    <w:p w14:paraId="23F41C03" w14:textId="77777777" w:rsidR="00202804" w:rsidRDefault="00202804" w:rsidP="00202804">
      <w:pPr>
        <w:widowControl w:val="0"/>
        <w:autoSpaceDE w:val="0"/>
        <w:autoSpaceDN w:val="0"/>
        <w:adjustRightInd w:val="0"/>
        <w:spacing w:after="300"/>
        <w:jc w:val="both"/>
        <w:rPr>
          <w:rFonts w:ascii="Times New Roman" w:hAnsi="Times New Roman" w:cs="Times New Roman"/>
          <w:color w:val="3E3E3E"/>
          <w:sz w:val="22"/>
          <w:szCs w:val="22"/>
        </w:rPr>
      </w:pPr>
    </w:p>
    <w:p w14:paraId="66E35CAE" w14:textId="7FB2397D" w:rsidR="00202804" w:rsidRDefault="00202804" w:rsidP="0020280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Pour qu’une FPS soit raisonnable ou non-abusive elle doit être fondée sur (1) une autorisation légale, (2) dont celle-ci doit etre elle-même non-abusive et (3) la FPS doit elle-même être conduite de manière raisonnable ou non-abusive. Si l’on veut démontrer qu’elle est abusive au sens de la Charte et ainsi demander l’exclusion des éléments de preuves recueillis, l’on doit attaquer l’un des trois critères précités.</w:t>
      </w:r>
    </w:p>
    <w:p w14:paraId="2AFE7A9A" w14:textId="537F5FC0" w:rsidR="00202804" w:rsidRDefault="00202804" w:rsidP="0020280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(1)</w:t>
      </w:r>
      <w:r>
        <w:rPr>
          <w:rFonts w:ascii="Times New Roman" w:hAnsi="Times New Roman" w:cs="Times New Roman"/>
          <w:color w:val="3E3E3E"/>
          <w:sz w:val="22"/>
          <w:szCs w:val="22"/>
        </w:rPr>
        <w:t xml:space="preserve"> L’autorisation légale peut être une Loi ou la common law</w:t>
      </w:r>
    </w:p>
    <w:p w14:paraId="7738A784" w14:textId="1E855D9A" w:rsidR="00202804" w:rsidRDefault="00202804" w:rsidP="00202804">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Wiley 1993 (p.4) :</w:t>
      </w:r>
    </w:p>
    <w:p w14:paraId="7D6496DD" w14:textId="6C91A8C0" w:rsidR="00202804" w:rsidRPr="00202804" w:rsidRDefault="00202804" w:rsidP="007A0253">
      <w:pPr>
        <w:pStyle w:val="Paragraphedeliste"/>
        <w:widowControl w:val="0"/>
        <w:numPr>
          <w:ilvl w:val="0"/>
          <w:numId w:val="51"/>
        </w:numPr>
        <w:autoSpaceDE w:val="0"/>
        <w:autoSpaceDN w:val="0"/>
        <w:adjustRightInd w:val="0"/>
        <w:spacing w:after="300"/>
        <w:jc w:val="both"/>
        <w:rPr>
          <w:rFonts w:ascii="Times New Roman" w:hAnsi="Times New Roman" w:cs="Times New Roman"/>
          <w:i/>
          <w:color w:val="3E3E3E"/>
          <w:sz w:val="20"/>
          <w:szCs w:val="20"/>
        </w:rPr>
      </w:pPr>
      <w:r w:rsidRPr="00202804">
        <w:rPr>
          <w:rFonts w:ascii="Times New Roman" w:hAnsi="Times New Roman" w:cs="Times New Roman"/>
          <w:sz w:val="20"/>
          <w:szCs w:val="20"/>
        </w:rPr>
        <w:t>du moment que l'appelant démontre qu'il s'agissait d'une fouille sans mandat, il incombe à la poursuite de prouver que, selon la prépondérance des probabilités, cette fouille n'était pas abusive.</w:t>
      </w:r>
    </w:p>
    <w:p w14:paraId="3A15ACC4" w14:textId="5EC467F0" w:rsidR="00202804" w:rsidRPr="00202804" w:rsidRDefault="00202804" w:rsidP="007A0253">
      <w:pPr>
        <w:pStyle w:val="Paragraphedeliste"/>
        <w:widowControl w:val="0"/>
        <w:numPr>
          <w:ilvl w:val="0"/>
          <w:numId w:val="51"/>
        </w:numPr>
        <w:autoSpaceDE w:val="0"/>
        <w:autoSpaceDN w:val="0"/>
        <w:adjustRightInd w:val="0"/>
        <w:spacing w:after="300"/>
        <w:jc w:val="both"/>
        <w:rPr>
          <w:rFonts w:ascii="Times New Roman" w:hAnsi="Times New Roman" w:cs="Times New Roman"/>
          <w:i/>
          <w:color w:val="3E3E3E"/>
          <w:sz w:val="20"/>
          <w:szCs w:val="20"/>
        </w:rPr>
      </w:pPr>
      <w:r w:rsidRPr="00202804">
        <w:rPr>
          <w:rFonts w:ascii="Times New Roman" w:hAnsi="Times New Roman" w:cs="Times New Roman"/>
          <w:sz w:val="20"/>
          <w:szCs w:val="20"/>
        </w:rPr>
        <w:t>En l'espèce, aucun juge n'a préalablement autorisé la perquisition périphérique.  Il incombait donc au ministère public d'établir selon la prépondérance des probabilités qu'elle n'avait tout de même rien d'abusif suivant les critères énoncés plus haut.  Pour les motifs ci</w:t>
      </w:r>
      <w:r w:rsidRPr="00202804">
        <w:rPr>
          <w:rFonts w:ascii="American Typewriter" w:hAnsi="American Typewriter" w:cs="American Typewriter"/>
          <w:sz w:val="20"/>
          <w:szCs w:val="20"/>
        </w:rPr>
        <w:t>‑</w:t>
      </w:r>
      <w:r w:rsidRPr="00202804">
        <w:rPr>
          <w:rFonts w:ascii="Times New Roman" w:hAnsi="Times New Roman" w:cs="Times New Roman"/>
          <w:sz w:val="20"/>
          <w:szCs w:val="20"/>
        </w:rPr>
        <w:t>après exposés, j'ai conclu que le ministère public ne s'est pas acquitté de cette obligation.</w:t>
      </w:r>
    </w:p>
    <w:p w14:paraId="2F8364F2" w14:textId="229FA3CF" w:rsidR="00202804" w:rsidRPr="00202804" w:rsidRDefault="00202804" w:rsidP="007A0253">
      <w:pPr>
        <w:pStyle w:val="Paragraphedeliste"/>
        <w:widowControl w:val="0"/>
        <w:numPr>
          <w:ilvl w:val="0"/>
          <w:numId w:val="51"/>
        </w:numPr>
        <w:autoSpaceDE w:val="0"/>
        <w:autoSpaceDN w:val="0"/>
        <w:adjustRightInd w:val="0"/>
        <w:spacing w:after="300"/>
        <w:jc w:val="both"/>
        <w:rPr>
          <w:rFonts w:ascii="Times New Roman" w:hAnsi="Times New Roman" w:cs="Times New Roman"/>
          <w:i/>
          <w:color w:val="3E3E3E"/>
          <w:sz w:val="20"/>
          <w:szCs w:val="20"/>
        </w:rPr>
      </w:pPr>
      <w:r w:rsidRPr="00202804">
        <w:rPr>
          <w:rFonts w:ascii="Times New Roman" w:hAnsi="Times New Roman" w:cs="Times New Roman"/>
          <w:b/>
          <w:sz w:val="20"/>
          <w:szCs w:val="20"/>
        </w:rPr>
        <w:t xml:space="preserve">Une perquisition fondée sur des principes de common law ou sur des dispositions législatives peut être «autorisée par la loi» et respecter en conséquence l'art. 8:  voir l'arrêt </w:t>
      </w:r>
      <w:r w:rsidRPr="00202804">
        <w:rPr>
          <w:rFonts w:ascii="Times New Roman" w:hAnsi="Times New Roman" w:cs="Times New Roman"/>
          <w:b/>
          <w:i/>
          <w:iCs/>
          <w:sz w:val="20"/>
          <w:szCs w:val="20"/>
        </w:rPr>
        <w:t>Collins.</w:t>
      </w:r>
    </w:p>
    <w:p w14:paraId="204A0998" w14:textId="77777777" w:rsidR="00202804" w:rsidRDefault="00202804" w:rsidP="007A0253">
      <w:pPr>
        <w:pStyle w:val="Paragraphedeliste"/>
        <w:numPr>
          <w:ilvl w:val="0"/>
          <w:numId w:val="51"/>
        </w:numPr>
        <w:jc w:val="both"/>
        <w:rPr>
          <w:rFonts w:ascii="Times New Roman" w:hAnsi="Times New Roman" w:cs="Times New Roman"/>
          <w:sz w:val="20"/>
          <w:szCs w:val="20"/>
        </w:rPr>
      </w:pPr>
      <w:r w:rsidRPr="00202804">
        <w:rPr>
          <w:rFonts w:ascii="Times New Roman" w:hAnsi="Times New Roman" w:cs="Times New Roman"/>
          <w:sz w:val="20"/>
          <w:szCs w:val="20"/>
        </w:rPr>
        <w:t xml:space="preserve">Dans l'arrêt </w:t>
      </w:r>
      <w:r w:rsidRPr="00202804">
        <w:rPr>
          <w:rFonts w:ascii="Times New Roman" w:hAnsi="Times New Roman" w:cs="Times New Roman"/>
          <w:i/>
          <w:iCs/>
          <w:sz w:val="20"/>
          <w:szCs w:val="20"/>
        </w:rPr>
        <w:t>Grant</w:t>
      </w:r>
      <w:r w:rsidRPr="00202804">
        <w:rPr>
          <w:rFonts w:ascii="Times New Roman" w:hAnsi="Times New Roman" w:cs="Times New Roman"/>
          <w:sz w:val="20"/>
          <w:szCs w:val="20"/>
        </w:rPr>
        <w:t xml:space="preserve">, j'ai décidé que, du point de vue constitutionnel, l'art. 10 </w:t>
      </w:r>
      <w:r w:rsidRPr="00202804">
        <w:rPr>
          <w:rFonts w:ascii="Times New Roman" w:hAnsi="Times New Roman" w:cs="Times New Roman"/>
          <w:i/>
          <w:iCs/>
          <w:sz w:val="20"/>
          <w:szCs w:val="20"/>
        </w:rPr>
        <w:t>LS</w:t>
      </w:r>
      <w:r w:rsidRPr="00202804">
        <w:rPr>
          <w:rFonts w:ascii="Times New Roman" w:hAnsi="Times New Roman" w:cs="Times New Roman"/>
          <w:sz w:val="20"/>
          <w:szCs w:val="20"/>
        </w:rPr>
        <w:t xml:space="preserve"> ne s'applique qu'aux perquisitions sans mandat effectuées dans des situations d'urgence, où il est pratiquement impossible d'obtenir l'autorisation préalable d'un juge.  On n'a produit aucune preuve de l'existence d'une situation d'urgence, qui devait pourtant exister pour que la perquisition remplisse les conditions constitutionnelles de l'art. 10.  D'où ma conclusion que la perquisition périphérique sans mandat n'était pas autorisée par la loi [...]et force m'est de conclure que la perquisition périphérique sans mandat, n'ayant pas été autorisée par la loi, était abusive et violait l'art. 8 de la </w:t>
      </w:r>
      <w:r w:rsidRPr="00202804">
        <w:rPr>
          <w:rFonts w:ascii="Times New Roman" w:hAnsi="Times New Roman" w:cs="Times New Roman"/>
          <w:i/>
          <w:iCs/>
          <w:sz w:val="20"/>
          <w:szCs w:val="20"/>
        </w:rPr>
        <w:t>Charte</w:t>
      </w:r>
      <w:r w:rsidRPr="00202804">
        <w:rPr>
          <w:rFonts w:ascii="Times New Roman" w:hAnsi="Times New Roman" w:cs="Times New Roman"/>
          <w:sz w:val="20"/>
          <w:szCs w:val="20"/>
        </w:rPr>
        <w:t>.</w:t>
      </w:r>
    </w:p>
    <w:p w14:paraId="170D7B17" w14:textId="77777777" w:rsidR="00202804" w:rsidRDefault="00202804" w:rsidP="00202804">
      <w:pPr>
        <w:jc w:val="both"/>
        <w:rPr>
          <w:rFonts w:ascii="Times New Roman" w:hAnsi="Times New Roman" w:cs="Times New Roman"/>
          <w:sz w:val="20"/>
          <w:szCs w:val="20"/>
        </w:rPr>
      </w:pPr>
    </w:p>
    <w:p w14:paraId="3816AB3A" w14:textId="69F0F152" w:rsidR="00202804" w:rsidRDefault="00202804" w:rsidP="00202804">
      <w:pPr>
        <w:jc w:val="both"/>
        <w:rPr>
          <w:rFonts w:ascii="Times New Roman" w:hAnsi="Times New Roman" w:cs="Times New Roman"/>
          <w:b/>
          <w:i/>
          <w:sz w:val="22"/>
          <w:szCs w:val="22"/>
        </w:rPr>
      </w:pPr>
      <w:r>
        <w:rPr>
          <w:rFonts w:ascii="Times New Roman" w:hAnsi="Times New Roman" w:cs="Times New Roman"/>
          <w:b/>
          <w:i/>
          <w:sz w:val="22"/>
          <w:szCs w:val="22"/>
        </w:rPr>
        <w:t>R. c. Stillman 1997</w:t>
      </w:r>
      <w:r w:rsidR="009A59DD">
        <w:rPr>
          <w:rFonts w:ascii="Times New Roman" w:hAnsi="Times New Roman" w:cs="Times New Roman"/>
          <w:b/>
          <w:i/>
          <w:sz w:val="22"/>
          <w:szCs w:val="22"/>
        </w:rPr>
        <w:t xml:space="preserve"> </w:t>
      </w:r>
    </w:p>
    <w:p w14:paraId="2E32B25A" w14:textId="5FDE99F7" w:rsidR="009A59DD" w:rsidRPr="009A59DD" w:rsidRDefault="009A59DD" w:rsidP="007A0253">
      <w:pPr>
        <w:pStyle w:val="Paragraphedeliste"/>
        <w:numPr>
          <w:ilvl w:val="0"/>
          <w:numId w:val="52"/>
        </w:numPr>
        <w:jc w:val="both"/>
        <w:rPr>
          <w:rFonts w:ascii="Times New Roman" w:hAnsi="Times New Roman" w:cs="Times New Roman"/>
          <w:sz w:val="22"/>
          <w:szCs w:val="22"/>
        </w:rPr>
      </w:pPr>
      <w:r w:rsidRPr="009A59DD">
        <w:rPr>
          <w:rFonts w:ascii="Times New Roman" w:hAnsi="Times New Roman" w:cs="Times New Roman"/>
          <w:sz w:val="22"/>
          <w:szCs w:val="22"/>
        </w:rPr>
        <w:t>Le pouvoir de common law de procéder à une fouille accessoire à une arrestation ne peut pas être large au point de viser la saisie d’échantillons de substances corporelles effectuée sans autorisation légale valide et malgré un refus de les fournir.  S’il est large à ce point, alors la règle de common law elle</w:t>
      </w:r>
      <w:r w:rsidRPr="009A59DD">
        <w:rPr>
          <w:rFonts w:ascii="American Typewriter" w:hAnsi="American Typewriter" w:cs="American Typewriter"/>
          <w:sz w:val="22"/>
          <w:szCs w:val="22"/>
        </w:rPr>
        <w:t>‑</w:t>
      </w:r>
      <w:r w:rsidRPr="009A59DD">
        <w:rPr>
          <w:rFonts w:ascii="Times New Roman" w:hAnsi="Times New Roman" w:cs="Times New Roman"/>
          <w:sz w:val="22"/>
          <w:szCs w:val="22"/>
        </w:rPr>
        <w:t>même est abusive parce qu’elle est trop générale et ne pondère pas adéquatement les droits qui s’opposent [...]Il est clair qu’il y a eu violation très grave du droit de l’appelant à la protection contre les fouilles, perquisitions et saisies abusives.  Étant donné que la fouille et la saisie des échantillons de substances corporelles n’étaient autorisées ni par une loi ni par la common law, elles ne pouvaient qu’être abusives.  Il est donc inutile de déterminer si la loi était raisonnable ou d’examiner la manière dont la fouille a été effectuée. [50].</w:t>
      </w:r>
    </w:p>
    <w:p w14:paraId="54CB9F00" w14:textId="1F83D9DF" w:rsidR="00202804" w:rsidRDefault="00202804" w:rsidP="00202804">
      <w:pPr>
        <w:widowControl w:val="0"/>
        <w:autoSpaceDE w:val="0"/>
        <w:autoSpaceDN w:val="0"/>
        <w:adjustRightInd w:val="0"/>
        <w:spacing w:after="300"/>
        <w:jc w:val="both"/>
        <w:rPr>
          <w:rFonts w:ascii="Times New Roman" w:hAnsi="Times New Roman" w:cs="Times New Roman"/>
          <w:i/>
          <w:color w:val="3E3E3E"/>
          <w:sz w:val="22"/>
          <w:szCs w:val="22"/>
        </w:rPr>
      </w:pPr>
    </w:p>
    <w:p w14:paraId="5C5C10ED" w14:textId="15C037D5" w:rsidR="009A59DD" w:rsidRDefault="009A59DD" w:rsidP="00202804">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Caslake 1998 (p.5) :</w:t>
      </w:r>
    </w:p>
    <w:p w14:paraId="0A2A95BD" w14:textId="4560C6DE" w:rsidR="009A59DD" w:rsidRPr="009A59DD" w:rsidRDefault="009A59DD" w:rsidP="007A0253">
      <w:pPr>
        <w:pStyle w:val="Paragraphedeliste"/>
        <w:widowControl w:val="0"/>
        <w:numPr>
          <w:ilvl w:val="0"/>
          <w:numId w:val="52"/>
        </w:numPr>
        <w:autoSpaceDE w:val="0"/>
        <w:autoSpaceDN w:val="0"/>
        <w:adjustRightInd w:val="0"/>
        <w:spacing w:after="300"/>
        <w:jc w:val="both"/>
        <w:rPr>
          <w:rFonts w:ascii="Times New Roman" w:hAnsi="Times New Roman" w:cs="Times New Roman"/>
          <w:color w:val="3E3E3E"/>
          <w:sz w:val="20"/>
          <w:szCs w:val="20"/>
        </w:rPr>
      </w:pPr>
      <w:r w:rsidRPr="009A59DD">
        <w:rPr>
          <w:rFonts w:ascii="Times New Roman" w:hAnsi="Times New Roman" w:cs="Times New Roman"/>
          <w:sz w:val="20"/>
          <w:szCs w:val="20"/>
        </w:rPr>
        <w:t xml:space="preserve">Pour ne pas être abusive, la fouille ou perquisition doit être autorisée par la loi.  La raison de cette exigence est claire:  tant en vertu de la </w:t>
      </w:r>
      <w:r w:rsidRPr="009A59DD">
        <w:rPr>
          <w:rFonts w:ascii="Times New Roman" w:hAnsi="Times New Roman" w:cs="Times New Roman"/>
          <w:i/>
          <w:iCs/>
          <w:sz w:val="20"/>
          <w:szCs w:val="20"/>
        </w:rPr>
        <w:t>Charte</w:t>
      </w:r>
      <w:r w:rsidRPr="009A59DD">
        <w:rPr>
          <w:rFonts w:ascii="Times New Roman" w:hAnsi="Times New Roman" w:cs="Times New Roman"/>
          <w:sz w:val="20"/>
          <w:szCs w:val="20"/>
        </w:rPr>
        <w:t xml:space="preserve"> que de la common law, les mandataires de l’État ne peuvent se rendre chez quelqu’un ou y saisir un bien que si la loi le permet précisément.  Autrement dit, ils sont assujettis aux mêmes règles en matière d’intrusion et de vol que n’importe quelle autre personne.  Une fouille ou perquisition peut ne pas satisfaire à cette exigence de trois manières.  Premièrement, le mandataire de l’État qui effectue la fouille ou perquisition doit être en mesure d’indiquer une loi ou règle de common law particulière qui autorise la fouille ou perquisition.  S’il ne peut le faire, on ne saurait dire que cette fouille ou perquisition est autorisée par la loi.  Deuxièmement, la fouille ou perquisition doit être effectuée conformément aux exigences procédurales et substantielles que la loi prescrit.  Par exemple, l’art. </w:t>
      </w:r>
      <w:hyperlink r:id="rId18" w:anchor="art487" w:history="1">
        <w:r w:rsidRPr="009A59DD">
          <w:rPr>
            <w:rStyle w:val="Lienhypertexte"/>
            <w:rFonts w:ascii="Times New Roman" w:hAnsi="Times New Roman" w:cs="Times New Roman"/>
            <w:sz w:val="20"/>
            <w:szCs w:val="20"/>
          </w:rPr>
          <w:t>487</w:t>
        </w:r>
      </w:hyperlink>
      <w:r w:rsidRPr="009A59DD">
        <w:rPr>
          <w:rFonts w:ascii="Times New Roman" w:hAnsi="Times New Roman" w:cs="Times New Roman"/>
          <w:sz w:val="20"/>
          <w:szCs w:val="20"/>
        </w:rPr>
        <w:t xml:space="preserve"> du </w:t>
      </w:r>
      <w:r w:rsidRPr="009A59DD">
        <w:rPr>
          <w:rFonts w:ascii="Times New Roman" w:hAnsi="Times New Roman" w:cs="Times New Roman"/>
          <w:i/>
          <w:iCs/>
          <w:sz w:val="20"/>
          <w:szCs w:val="20"/>
        </w:rPr>
        <w:t>Code criminel</w:t>
      </w:r>
      <w:r w:rsidRPr="009A59DD">
        <w:rPr>
          <w:rFonts w:ascii="Times New Roman" w:hAnsi="Times New Roman" w:cs="Times New Roman"/>
          <w:sz w:val="20"/>
          <w:szCs w:val="20"/>
        </w:rPr>
        <w:t>, autorise les fouilles ou perquisitions, mais seulement conformément à un mandat délivré par un juge de paix sur la foi d’une dénonciation sous serment énonçant des motifs raisonnables et probables.  Le défaut de satisfaire à l’une de ces exigences fera en sorte que la fouille ou perquisition ne sera pas autorisée par la loi.  Troisièmement, dans la même veine, l’étendue de la fouille ou perquisition est limitée au secteur et aux objets à l’égard desquels elle est autorisée par la loi.  Dans la mesure où une fouille ou perquisition excède ces limites, elle n’est pas autorisée par la loi</w:t>
      </w:r>
      <w:r>
        <w:rPr>
          <w:rFonts w:ascii="Times New Roman" w:hAnsi="Times New Roman" w:cs="Times New Roman"/>
          <w:sz w:val="20"/>
          <w:szCs w:val="20"/>
        </w:rPr>
        <w:t>.</w:t>
      </w:r>
    </w:p>
    <w:p w14:paraId="1DA45BC1" w14:textId="77777777" w:rsidR="009A59DD" w:rsidRDefault="009A59DD" w:rsidP="009A59DD">
      <w:pPr>
        <w:widowControl w:val="0"/>
        <w:autoSpaceDE w:val="0"/>
        <w:autoSpaceDN w:val="0"/>
        <w:adjustRightInd w:val="0"/>
        <w:spacing w:after="300"/>
        <w:jc w:val="both"/>
        <w:rPr>
          <w:rFonts w:ascii="Times New Roman" w:hAnsi="Times New Roman" w:cs="Times New Roman"/>
          <w:color w:val="3E3E3E"/>
          <w:sz w:val="20"/>
          <w:szCs w:val="20"/>
        </w:rPr>
      </w:pPr>
    </w:p>
    <w:p w14:paraId="4EA8E1E9" w14:textId="61DCE881" w:rsidR="009A59DD" w:rsidRDefault="009A59DD" w:rsidP="009A59DD">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Collins 1987 :</w:t>
      </w:r>
    </w:p>
    <w:p w14:paraId="72D07547" w14:textId="617F81F9" w:rsidR="009A59DD" w:rsidRDefault="009A59DD" w:rsidP="007A0253">
      <w:pPr>
        <w:pStyle w:val="Paragraphedeliste"/>
        <w:widowControl w:val="0"/>
        <w:numPr>
          <w:ilvl w:val="0"/>
          <w:numId w:val="52"/>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Précité</w:t>
      </w:r>
    </w:p>
    <w:p w14:paraId="475D4DD3" w14:textId="2286B124" w:rsidR="009A59DD" w:rsidRDefault="009A59DD" w:rsidP="009A59DD">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Hunter et autres c. Southam :</w:t>
      </w:r>
    </w:p>
    <w:p w14:paraId="24467CDC" w14:textId="69E5D363" w:rsidR="009A59DD" w:rsidRPr="009A59DD" w:rsidRDefault="009A59DD" w:rsidP="009A59DD">
      <w:pPr>
        <w:widowControl w:val="0"/>
        <w:autoSpaceDE w:val="0"/>
        <w:autoSpaceDN w:val="0"/>
        <w:adjustRightInd w:val="0"/>
        <w:spacing w:after="300"/>
        <w:jc w:val="both"/>
        <w:rPr>
          <w:rFonts w:ascii="Times New Roman" w:hAnsi="Times New Roman" w:cs="Times New Roman"/>
          <w:color w:val="3E3E3E"/>
          <w:sz w:val="22"/>
          <w:szCs w:val="22"/>
        </w:rPr>
      </w:pPr>
      <w:r w:rsidRPr="009A59DD">
        <w:rPr>
          <w:rFonts w:ascii="Times New Roman" w:hAnsi="Times New Roman" w:cs="Times New Roman"/>
          <w:color w:val="3E3E3E"/>
          <w:sz w:val="22"/>
          <w:szCs w:val="22"/>
        </w:rPr>
        <w:t xml:space="preserve">Le prof nous dit que l’on doit prendre en compte tous les facteurs selon la jurisprudence postérieure à Hunter. Il donne en exemple </w:t>
      </w:r>
      <w:r w:rsidRPr="009A59DD">
        <w:rPr>
          <w:rFonts w:ascii="Times New Roman" w:hAnsi="Times New Roman" w:cs="Times New Roman"/>
          <w:b/>
          <w:color w:val="3E3E3E"/>
          <w:sz w:val="22"/>
          <w:szCs w:val="22"/>
        </w:rPr>
        <w:t>Société Radio-Canada c. N-B. (p.7) :</w:t>
      </w:r>
    </w:p>
    <w:p w14:paraId="6E511C8B" w14:textId="3DBB64F0" w:rsidR="00B76612" w:rsidRPr="007A0253" w:rsidRDefault="007A0253" w:rsidP="007A0253">
      <w:pPr>
        <w:pStyle w:val="Paragraphedeliste"/>
        <w:widowControl w:val="0"/>
        <w:numPr>
          <w:ilvl w:val="0"/>
          <w:numId w:val="52"/>
        </w:numPr>
        <w:autoSpaceDE w:val="0"/>
        <w:autoSpaceDN w:val="0"/>
        <w:adjustRightInd w:val="0"/>
        <w:spacing w:after="300"/>
        <w:jc w:val="both"/>
        <w:rPr>
          <w:rFonts w:ascii="Times New Roman" w:hAnsi="Times New Roman" w:cs="Times New Roman"/>
          <w:color w:val="3E3E3E"/>
          <w:sz w:val="20"/>
          <w:szCs w:val="20"/>
        </w:rPr>
      </w:pPr>
      <w:r w:rsidRPr="007A0253">
        <w:rPr>
          <w:rFonts w:ascii="Times New Roman" w:hAnsi="Times New Roman" w:cs="Times New Roman"/>
          <w:b/>
          <w:sz w:val="20"/>
          <w:szCs w:val="20"/>
        </w:rPr>
        <w:t>On doit plutôt évaluer tous les facteurs en tenant compte de la situation de fait particulière qui est présentée [...]</w:t>
      </w:r>
      <w:r w:rsidRPr="007A0253">
        <w:rPr>
          <w:rFonts w:ascii="Times New Roman" w:hAnsi="Times New Roman" w:cs="Times New Roman"/>
          <w:sz w:val="20"/>
          <w:szCs w:val="20"/>
        </w:rPr>
        <w:t>La question essentielle peut être formulée de la manière suivante:  si on a tenu compte de toutes les circonstances et si on les a examinées avec justesse et objectivité, peut</w:t>
      </w:r>
      <w:r w:rsidRPr="007A0253">
        <w:rPr>
          <w:rFonts w:ascii="American Typewriter" w:hAnsi="American Typewriter" w:cs="American Typewriter"/>
          <w:sz w:val="20"/>
          <w:szCs w:val="20"/>
        </w:rPr>
        <w:t>‑</w:t>
      </w:r>
      <w:r w:rsidRPr="007A0253">
        <w:rPr>
          <w:rFonts w:ascii="Times New Roman" w:hAnsi="Times New Roman" w:cs="Times New Roman"/>
          <w:sz w:val="20"/>
          <w:szCs w:val="20"/>
        </w:rPr>
        <w:t>on dire que la perquisition n'était pas abusive?.</w:t>
      </w:r>
    </w:p>
    <w:p w14:paraId="591C3369" w14:textId="77777777" w:rsidR="007A0253" w:rsidRPr="007A0253" w:rsidRDefault="007A0253" w:rsidP="007A0253">
      <w:pPr>
        <w:pStyle w:val="Paragraphedeliste"/>
        <w:widowControl w:val="0"/>
        <w:autoSpaceDE w:val="0"/>
        <w:autoSpaceDN w:val="0"/>
        <w:adjustRightInd w:val="0"/>
        <w:spacing w:after="300"/>
        <w:jc w:val="both"/>
        <w:rPr>
          <w:rFonts w:ascii="Times New Roman" w:hAnsi="Times New Roman" w:cs="Times New Roman"/>
          <w:color w:val="3E3E3E"/>
          <w:sz w:val="20"/>
          <w:szCs w:val="20"/>
        </w:rPr>
      </w:pPr>
    </w:p>
    <w:p w14:paraId="30FA0B6E" w14:textId="5DDB73BC"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B.     Les Critères de l’arrêt Hunter</w:t>
      </w:r>
      <w:r w:rsidR="007A0253">
        <w:rPr>
          <w:rFonts w:ascii="Times New Roman" w:hAnsi="Times New Roman" w:cs="Times New Roman"/>
          <w:b/>
          <w:color w:val="3E3E3E"/>
          <w:sz w:val="22"/>
          <w:szCs w:val="22"/>
        </w:rPr>
        <w:t xml:space="preserve"> (p.7)</w:t>
      </w:r>
    </w:p>
    <w:p w14:paraId="11408FA1" w14:textId="0B53A252" w:rsidR="007A0253" w:rsidRPr="007A0253" w:rsidRDefault="007A0253" w:rsidP="007A0253">
      <w:pPr>
        <w:jc w:val="both"/>
        <w:rPr>
          <w:rFonts w:ascii="Times New Roman" w:hAnsi="Times New Roman" w:cs="Times New Roman"/>
          <w:b/>
          <w:sz w:val="22"/>
          <w:szCs w:val="22"/>
        </w:rPr>
      </w:pPr>
      <w:r w:rsidRPr="007A0253">
        <w:rPr>
          <w:rFonts w:ascii="Times New Roman" w:hAnsi="Times New Roman" w:cs="Times New Roman"/>
          <w:sz w:val="22"/>
          <w:szCs w:val="22"/>
        </w:rPr>
        <w:t>Cet arrêt a établi 3 critère lorsqu’on émet un mandat, sauf lorsque dans les circonstances, le mandat ne peut être obtenu. De plus la fouille ne doit pas être abusive et doit reposer sur des mo</w:t>
      </w:r>
      <w:r w:rsidRPr="007A0253">
        <w:rPr>
          <w:rFonts w:ascii="Times New Roman" w:hAnsi="Times New Roman" w:cs="Times New Roman"/>
          <w:b/>
          <w:sz w:val="22"/>
          <w:szCs w:val="22"/>
        </w:rPr>
        <w:t>tifs raisonnable et probable</w:t>
      </w:r>
      <w:r w:rsidRPr="007A0253">
        <w:rPr>
          <w:rFonts w:ascii="Times New Roman" w:hAnsi="Times New Roman" w:cs="Times New Roman"/>
          <w:sz w:val="22"/>
          <w:szCs w:val="22"/>
        </w:rPr>
        <w:t xml:space="preserve"> qui seront présenté dans une dénonciation sous serment au juge. Ces motifs permettre de croire qu’un crime a été commis ou qu’il va s’en commettre un. Et dernièrement, il faut que la Loi précise qu’une autorité judiciaire pourra émettre un mandat (juge ou juge de paix). Et la jurisprudence en 1993, dans L’arrêt Baron c.  Canada a introduit un 4</w:t>
      </w:r>
      <w:r w:rsidRPr="007A0253">
        <w:rPr>
          <w:rFonts w:ascii="Times New Roman" w:hAnsi="Times New Roman" w:cs="Times New Roman"/>
          <w:sz w:val="22"/>
          <w:szCs w:val="22"/>
          <w:vertAlign w:val="superscript"/>
        </w:rPr>
        <w:t>e</w:t>
      </w:r>
      <w:r w:rsidRPr="007A0253">
        <w:rPr>
          <w:rFonts w:ascii="Times New Roman" w:hAnsi="Times New Roman" w:cs="Times New Roman"/>
          <w:sz w:val="22"/>
          <w:szCs w:val="22"/>
        </w:rPr>
        <w:t xml:space="preserve"> critère : tout mandat qui permet une FPS, la personne qui l’émet peut inclure des conditions pour rendre la mesure plus raisonnable et non abusive dans de</w:t>
      </w:r>
      <w:r>
        <w:rPr>
          <w:rFonts w:ascii="Times New Roman" w:hAnsi="Times New Roman" w:cs="Times New Roman"/>
          <w:sz w:val="22"/>
          <w:szCs w:val="22"/>
        </w:rPr>
        <w:t>s circonstance précis (cas s’il y a</w:t>
      </w:r>
      <w:r w:rsidRPr="007A0253">
        <w:rPr>
          <w:rFonts w:ascii="Times New Roman" w:hAnsi="Times New Roman" w:cs="Times New Roman"/>
          <w:sz w:val="22"/>
          <w:szCs w:val="22"/>
        </w:rPr>
        <w:t xml:space="preserve"> des enfants etc.).</w:t>
      </w:r>
    </w:p>
    <w:p w14:paraId="74D2C517" w14:textId="77777777" w:rsidR="007A0253" w:rsidRPr="00E2312E" w:rsidRDefault="007A0253" w:rsidP="007A0253">
      <w:pPr>
        <w:pStyle w:val="Paragraphedeliste"/>
        <w:numPr>
          <w:ilvl w:val="0"/>
          <w:numId w:val="53"/>
        </w:numPr>
        <w:jc w:val="both"/>
        <w:rPr>
          <w:rFonts w:ascii="Times New Roman" w:hAnsi="Times New Roman" w:cs="Times New Roman"/>
          <w:b/>
          <w:sz w:val="22"/>
          <w:szCs w:val="22"/>
        </w:rPr>
      </w:pPr>
      <w:r>
        <w:rPr>
          <w:rFonts w:ascii="Times New Roman" w:hAnsi="Times New Roman" w:cs="Times New Roman"/>
          <w:sz w:val="22"/>
          <w:szCs w:val="22"/>
        </w:rPr>
        <w:t>Les critères de l’arrêt Hunter son flexible selon le prof.</w:t>
      </w:r>
    </w:p>
    <w:p w14:paraId="0C4C3561" w14:textId="77777777" w:rsidR="007A0253" w:rsidRPr="00A8262E" w:rsidRDefault="007A0253" w:rsidP="00B76612">
      <w:pPr>
        <w:widowControl w:val="0"/>
        <w:autoSpaceDE w:val="0"/>
        <w:autoSpaceDN w:val="0"/>
        <w:adjustRightInd w:val="0"/>
        <w:spacing w:after="300"/>
        <w:jc w:val="both"/>
        <w:rPr>
          <w:rFonts w:ascii="Times New Roman" w:hAnsi="Times New Roman" w:cs="Times New Roman"/>
          <w:b/>
          <w:color w:val="3E3E3E"/>
          <w:sz w:val="22"/>
          <w:szCs w:val="22"/>
        </w:rPr>
      </w:pPr>
    </w:p>
    <w:p w14:paraId="03955867"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1.     L’autorisation préalable</w:t>
      </w:r>
      <w:r>
        <w:rPr>
          <w:rFonts w:ascii="Times New Roman" w:hAnsi="Times New Roman" w:cs="Times New Roman"/>
          <w:color w:val="3E3E3E"/>
          <w:sz w:val="22"/>
          <w:szCs w:val="22"/>
        </w:rPr>
        <w:t> ;</w:t>
      </w:r>
    </w:p>
    <w:p w14:paraId="1E84BAC7" w14:textId="77777777" w:rsidR="007A0253" w:rsidRPr="007A0253" w:rsidRDefault="007A0253" w:rsidP="007A0253">
      <w:pPr>
        <w:pStyle w:val="Paragraphedeliste"/>
        <w:numPr>
          <w:ilvl w:val="0"/>
          <w:numId w:val="54"/>
        </w:numPr>
        <w:jc w:val="both"/>
        <w:rPr>
          <w:rFonts w:ascii="Times New Roman" w:hAnsi="Times New Roman" w:cs="Times New Roman"/>
          <w:sz w:val="20"/>
          <w:szCs w:val="20"/>
        </w:rPr>
      </w:pPr>
      <w:r w:rsidRPr="007A0253">
        <w:rPr>
          <w:rFonts w:ascii="Times New Roman" w:hAnsi="Times New Roman" w:cs="Times New Roman"/>
          <w:sz w:val="20"/>
          <w:szCs w:val="20"/>
        </w:rPr>
        <w:t>Un juge ou un juge de paix : on veut prévenir le mal en amont. La personne doit être neutre et impartiale et elle doit agir de façon judiciaire.</w:t>
      </w:r>
    </w:p>
    <w:p w14:paraId="64FE27A7" w14:textId="77777777" w:rsidR="007A0253" w:rsidRPr="007A0253" w:rsidRDefault="007A0253" w:rsidP="007A0253">
      <w:pPr>
        <w:pStyle w:val="Paragraphedeliste"/>
        <w:numPr>
          <w:ilvl w:val="0"/>
          <w:numId w:val="54"/>
        </w:numPr>
        <w:jc w:val="both"/>
        <w:rPr>
          <w:rFonts w:ascii="Times New Roman" w:hAnsi="Times New Roman" w:cs="Times New Roman"/>
          <w:sz w:val="20"/>
          <w:szCs w:val="20"/>
        </w:rPr>
      </w:pPr>
      <w:r w:rsidRPr="007A0253">
        <w:rPr>
          <w:rFonts w:ascii="Times New Roman" w:hAnsi="Times New Roman" w:cs="Times New Roman"/>
          <w:sz w:val="20"/>
          <w:szCs w:val="20"/>
        </w:rPr>
        <w:t>On veut éviter l’arbitraire.</w:t>
      </w:r>
    </w:p>
    <w:p w14:paraId="054416D3" w14:textId="77777777" w:rsidR="007A0253" w:rsidRPr="007A0253" w:rsidRDefault="007A0253" w:rsidP="007A0253">
      <w:pPr>
        <w:pStyle w:val="Paragraphedeliste"/>
        <w:numPr>
          <w:ilvl w:val="0"/>
          <w:numId w:val="54"/>
        </w:numPr>
        <w:jc w:val="both"/>
        <w:rPr>
          <w:rFonts w:ascii="Times New Roman" w:hAnsi="Times New Roman" w:cs="Times New Roman"/>
          <w:sz w:val="20"/>
          <w:szCs w:val="20"/>
        </w:rPr>
      </w:pPr>
      <w:r w:rsidRPr="007A0253">
        <w:rPr>
          <w:rFonts w:ascii="Times New Roman" w:hAnsi="Times New Roman" w:cs="Times New Roman"/>
          <w:sz w:val="20"/>
          <w:szCs w:val="20"/>
        </w:rPr>
        <w:t xml:space="preserve">Voir </w:t>
      </w:r>
      <w:r w:rsidRPr="007A0253">
        <w:rPr>
          <w:rFonts w:ascii="Times New Roman" w:hAnsi="Times New Roman" w:cs="Times New Roman"/>
          <w:b/>
          <w:sz w:val="20"/>
          <w:szCs w:val="20"/>
        </w:rPr>
        <w:t>art. 487 et 2 C.cr.</w:t>
      </w:r>
    </w:p>
    <w:p w14:paraId="202C585F" w14:textId="77777777" w:rsidR="007A0253" w:rsidRDefault="007A0253" w:rsidP="007A0253">
      <w:pPr>
        <w:pStyle w:val="Paragraphedeliste"/>
        <w:numPr>
          <w:ilvl w:val="0"/>
          <w:numId w:val="54"/>
        </w:numPr>
        <w:jc w:val="both"/>
        <w:rPr>
          <w:rFonts w:ascii="Times New Roman" w:hAnsi="Times New Roman" w:cs="Times New Roman"/>
          <w:sz w:val="22"/>
          <w:szCs w:val="22"/>
        </w:rPr>
      </w:pPr>
      <w:r w:rsidRPr="007A0253">
        <w:rPr>
          <w:rFonts w:ascii="Times New Roman" w:hAnsi="Times New Roman" w:cs="Times New Roman"/>
          <w:sz w:val="20"/>
          <w:szCs w:val="20"/>
        </w:rPr>
        <w:t>La jurisprudence a même dit que les juges municipaux pourraient le faire. Le danger de la définition trop large ? Le problème, selon le prof, c’est quand on délivre un mandat ça prend de l’expérience et des fois, certain pourraient avoir tendance à en délivrer facilement</w:t>
      </w:r>
      <w:r>
        <w:rPr>
          <w:rFonts w:ascii="Times New Roman" w:hAnsi="Times New Roman" w:cs="Times New Roman"/>
          <w:sz w:val="22"/>
          <w:szCs w:val="22"/>
        </w:rPr>
        <w:t>.</w:t>
      </w:r>
    </w:p>
    <w:p w14:paraId="6047056F" w14:textId="77777777" w:rsidR="007A0253" w:rsidRDefault="007A0253" w:rsidP="007A0253">
      <w:pPr>
        <w:jc w:val="both"/>
        <w:rPr>
          <w:rFonts w:ascii="Times New Roman" w:hAnsi="Times New Roman" w:cs="Times New Roman"/>
          <w:sz w:val="22"/>
          <w:szCs w:val="22"/>
        </w:rPr>
      </w:pPr>
    </w:p>
    <w:p w14:paraId="44893CA7" w14:textId="7EF1E915" w:rsidR="007A0253" w:rsidRDefault="007A0253" w:rsidP="007A0253">
      <w:pPr>
        <w:jc w:val="both"/>
        <w:rPr>
          <w:rFonts w:ascii="Times New Roman" w:hAnsi="Times New Roman" w:cs="Times New Roman"/>
          <w:b/>
          <w:i/>
          <w:sz w:val="22"/>
          <w:szCs w:val="22"/>
        </w:rPr>
      </w:pPr>
      <w:r>
        <w:rPr>
          <w:rFonts w:ascii="Times New Roman" w:hAnsi="Times New Roman" w:cs="Times New Roman"/>
          <w:b/>
          <w:i/>
          <w:sz w:val="22"/>
          <w:szCs w:val="22"/>
        </w:rPr>
        <w:t>Hunter et autres c. Southam (p.8)</w:t>
      </w:r>
    </w:p>
    <w:p w14:paraId="5FE8BEF0" w14:textId="77777777" w:rsidR="007A0253" w:rsidRDefault="007A0253" w:rsidP="007A0253">
      <w:pPr>
        <w:jc w:val="both"/>
        <w:rPr>
          <w:rFonts w:ascii="Times New Roman" w:hAnsi="Times New Roman" w:cs="Times New Roman"/>
          <w:b/>
          <w:sz w:val="22"/>
          <w:szCs w:val="22"/>
        </w:rPr>
      </w:pPr>
    </w:p>
    <w:p w14:paraId="2187BA0D" w14:textId="71352C67" w:rsidR="007A0253" w:rsidRDefault="007A0253" w:rsidP="007A0253">
      <w:pPr>
        <w:jc w:val="both"/>
        <w:rPr>
          <w:rFonts w:ascii="Times New Roman" w:hAnsi="Times New Roman" w:cs="Times New Roman"/>
          <w:b/>
          <w:sz w:val="22"/>
          <w:szCs w:val="22"/>
        </w:rPr>
      </w:pPr>
      <w:r>
        <w:rPr>
          <w:rFonts w:ascii="Times New Roman" w:hAnsi="Times New Roman" w:cs="Times New Roman"/>
          <w:b/>
          <w:sz w:val="22"/>
          <w:szCs w:val="22"/>
        </w:rPr>
        <w:t>a) Quand doit-on apprécier la prépondérance des droits ?:</w:t>
      </w:r>
    </w:p>
    <w:p w14:paraId="63CAABFE" w14:textId="136BF304" w:rsidR="007A0253" w:rsidRPr="007A0253" w:rsidRDefault="007A0253" w:rsidP="007A0253">
      <w:pPr>
        <w:pStyle w:val="Paragraphedeliste"/>
        <w:numPr>
          <w:ilvl w:val="0"/>
          <w:numId w:val="55"/>
        </w:numPr>
        <w:jc w:val="both"/>
        <w:rPr>
          <w:rFonts w:ascii="Times New Roman" w:hAnsi="Times New Roman" w:cs="Times New Roman"/>
          <w:b/>
          <w:sz w:val="20"/>
          <w:szCs w:val="20"/>
        </w:rPr>
      </w:pPr>
      <w:r w:rsidRPr="007A0253">
        <w:rPr>
          <w:rFonts w:ascii="Times New Roman" w:hAnsi="Times New Roman" w:cs="Times New Roman"/>
          <w:sz w:val="20"/>
          <w:szCs w:val="20"/>
        </w:rPr>
        <w:t xml:space="preserve">Si la question à résoudre en appréciant la constitutionnalité des fouilles et des perquisitions effectuées en vertu de l’art. 10 était de savoir si </w:t>
      </w:r>
      <w:r w:rsidRPr="007A0253">
        <w:rPr>
          <w:rFonts w:ascii="Times New Roman" w:hAnsi="Times New Roman" w:cs="Times New Roman"/>
          <w:sz w:val="20"/>
          <w:szCs w:val="20"/>
          <w:u w:val="single"/>
        </w:rPr>
        <w:t>en fait</w:t>
      </w:r>
      <w:r w:rsidRPr="007A0253">
        <w:rPr>
          <w:rFonts w:ascii="Times New Roman" w:hAnsi="Times New Roman" w:cs="Times New Roman"/>
          <w:sz w:val="20"/>
          <w:szCs w:val="20"/>
        </w:rPr>
        <w:t xml:space="preserve"> le droit du gouvernement d’effectuer une fouille ou une perquisition donnée l’emporte sur celui d’un particulier de résister à l’intrusion du gouvernement dans sa vie privée, il y aurait alors lieu de déterminer la prépondérance des droits en concurrence </w:t>
      </w:r>
      <w:r w:rsidRPr="007A0253">
        <w:rPr>
          <w:rFonts w:ascii="Times New Roman" w:hAnsi="Times New Roman" w:cs="Times New Roman"/>
          <w:sz w:val="20"/>
          <w:szCs w:val="20"/>
          <w:u w:val="single"/>
        </w:rPr>
        <w:t>après</w:t>
      </w:r>
      <w:r w:rsidRPr="007A0253">
        <w:rPr>
          <w:rFonts w:ascii="Times New Roman" w:hAnsi="Times New Roman" w:cs="Times New Roman"/>
          <w:sz w:val="20"/>
          <w:szCs w:val="20"/>
        </w:rPr>
        <w:t xml:space="preserve"> que la perquisition a été effectuée. Cependant, une telle analyse après le fait entrerait sérieusement en conflit avec le but de l’art. 8. Comme je l’ai déjà dit, cet article a pour but de protéger les particuliers contre les intrusions injustifiées de l’État dans leur vie privée. Ce but requiert un moyen de </w:t>
      </w:r>
      <w:r w:rsidRPr="007A0253">
        <w:rPr>
          <w:rFonts w:ascii="Times New Roman" w:hAnsi="Times New Roman" w:cs="Times New Roman"/>
          <w:sz w:val="20"/>
          <w:szCs w:val="20"/>
          <w:u w:val="single"/>
        </w:rPr>
        <w:t>prévenir</w:t>
      </w:r>
      <w:r w:rsidRPr="007A0253">
        <w:rPr>
          <w:rFonts w:ascii="Times New Roman" w:hAnsi="Times New Roman" w:cs="Times New Roman"/>
          <w:sz w:val="20"/>
          <w:szCs w:val="20"/>
        </w:rPr>
        <w:t xml:space="preserve"> les fouilles et les perquisitions injustifiées avant qu’elles ne se produisent et non simplement un moyen de déterminer, après le fait, si au départ elles devaient être effectuées. Cela ne peut se faire, à mon avis, que par un système </w:t>
      </w:r>
      <w:r w:rsidRPr="007A0253">
        <w:rPr>
          <w:rFonts w:ascii="Times New Roman" w:hAnsi="Times New Roman" w:cs="Times New Roman"/>
          <w:sz w:val="20"/>
          <w:szCs w:val="20"/>
          <w:u w:val="single"/>
        </w:rPr>
        <w:t>d’autorisation préalable</w:t>
      </w:r>
      <w:r w:rsidRPr="007A0253">
        <w:rPr>
          <w:rFonts w:ascii="Times New Roman" w:hAnsi="Times New Roman" w:cs="Times New Roman"/>
          <w:sz w:val="20"/>
          <w:szCs w:val="20"/>
        </w:rPr>
        <w:t xml:space="preserve"> et non de validation subséquente.</w:t>
      </w:r>
    </w:p>
    <w:p w14:paraId="2286D445" w14:textId="77777777" w:rsidR="007A0253" w:rsidRDefault="007A0253" w:rsidP="00B76612">
      <w:pPr>
        <w:widowControl w:val="0"/>
        <w:autoSpaceDE w:val="0"/>
        <w:autoSpaceDN w:val="0"/>
        <w:adjustRightInd w:val="0"/>
        <w:spacing w:after="300"/>
        <w:jc w:val="both"/>
        <w:rPr>
          <w:rFonts w:ascii="Times New Roman" w:hAnsi="Times New Roman" w:cs="Times New Roman"/>
          <w:color w:val="3E3E3E"/>
          <w:sz w:val="22"/>
          <w:szCs w:val="22"/>
        </w:rPr>
      </w:pPr>
    </w:p>
    <w:p w14:paraId="2F569CC6" w14:textId="1E0C874E" w:rsidR="007A0253" w:rsidRDefault="007A0253" w:rsidP="00B76612">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b/>
          <w:color w:val="3E3E3E"/>
          <w:sz w:val="22"/>
          <w:szCs w:val="22"/>
        </w:rPr>
        <w:t>b) Qui doit accorder l’autorisation ?</w:t>
      </w:r>
    </w:p>
    <w:p w14:paraId="61AF7840" w14:textId="57E9DE49" w:rsidR="007A0253" w:rsidRPr="007A0253" w:rsidRDefault="007A0253" w:rsidP="007A0253">
      <w:pPr>
        <w:pStyle w:val="Paragraphedeliste"/>
        <w:widowControl w:val="0"/>
        <w:numPr>
          <w:ilvl w:val="0"/>
          <w:numId w:val="55"/>
        </w:numPr>
        <w:autoSpaceDE w:val="0"/>
        <w:autoSpaceDN w:val="0"/>
        <w:adjustRightInd w:val="0"/>
        <w:spacing w:after="300"/>
        <w:jc w:val="both"/>
        <w:rPr>
          <w:rFonts w:ascii="Times New Roman" w:hAnsi="Times New Roman" w:cs="Times New Roman"/>
          <w:b/>
          <w:color w:val="3E3E3E"/>
          <w:sz w:val="20"/>
          <w:szCs w:val="20"/>
        </w:rPr>
      </w:pPr>
      <w:r w:rsidRPr="007A0253">
        <w:rPr>
          <w:rFonts w:ascii="Times New Roman" w:hAnsi="Times New Roman" w:cs="Times New Roman"/>
          <w:sz w:val="20"/>
          <w:szCs w:val="20"/>
        </w:rPr>
        <w:t xml:space="preserve">Pour qu’un tel processus d’autorisation ait un sens, il faut que la personne qui autorise la fouille ou la perquisition soit en mesure d’apprécier, d’une manière tout à </w:t>
      </w:r>
      <w:r w:rsidRPr="007A0253">
        <w:rPr>
          <w:rFonts w:ascii="Times New Roman" w:hAnsi="Times New Roman" w:cs="Times New Roman"/>
          <w:b/>
          <w:sz w:val="20"/>
          <w:szCs w:val="20"/>
        </w:rPr>
        <w:t>fait neutre et impartiale</w:t>
      </w:r>
      <w:r w:rsidRPr="007A0253">
        <w:rPr>
          <w:rFonts w:ascii="Times New Roman" w:hAnsi="Times New Roman" w:cs="Times New Roman"/>
          <w:sz w:val="20"/>
          <w:szCs w:val="20"/>
        </w:rPr>
        <w:t>, la preuve offerte quant à la question de savoir si on a satisfait à ce critère.</w:t>
      </w:r>
    </w:p>
    <w:p w14:paraId="0994BB8F" w14:textId="3157B860" w:rsidR="007A0253" w:rsidRDefault="007A0253" w:rsidP="007A0253">
      <w:pPr>
        <w:pStyle w:val="Paragraphedeliste"/>
        <w:numPr>
          <w:ilvl w:val="0"/>
          <w:numId w:val="55"/>
        </w:numPr>
        <w:jc w:val="both"/>
        <w:rPr>
          <w:rFonts w:ascii="Times New Roman" w:hAnsi="Times New Roman" w:cs="Times New Roman"/>
          <w:sz w:val="22"/>
          <w:szCs w:val="22"/>
        </w:rPr>
      </w:pPr>
      <w:r w:rsidRPr="007A0253">
        <w:rPr>
          <w:rFonts w:ascii="Times New Roman" w:hAnsi="Times New Roman" w:cs="Times New Roman"/>
          <w:sz w:val="22"/>
          <w:szCs w:val="22"/>
        </w:rPr>
        <w:t>La personne qui émet le mandat doit être neutre et impartiale, elle n’a pas besoin d’être un juge. Il faut que cette personne agisse de manière judiciaire</w:t>
      </w:r>
      <w:r>
        <w:rPr>
          <w:rFonts w:ascii="Times New Roman" w:hAnsi="Times New Roman" w:cs="Times New Roman"/>
          <w:sz w:val="22"/>
          <w:szCs w:val="22"/>
        </w:rPr>
        <w:t>.</w:t>
      </w:r>
    </w:p>
    <w:p w14:paraId="67187BF1" w14:textId="441D4B26" w:rsidR="007A0253" w:rsidRPr="007A0253" w:rsidRDefault="007A0253" w:rsidP="007A0253">
      <w:pPr>
        <w:pStyle w:val="Paragraphedeliste"/>
        <w:numPr>
          <w:ilvl w:val="0"/>
          <w:numId w:val="55"/>
        </w:numPr>
        <w:jc w:val="both"/>
        <w:rPr>
          <w:rFonts w:ascii="Times New Roman" w:hAnsi="Times New Roman" w:cs="Times New Roman"/>
          <w:sz w:val="22"/>
          <w:szCs w:val="22"/>
        </w:rPr>
      </w:pPr>
      <w:r w:rsidRPr="007A0253">
        <w:rPr>
          <w:rFonts w:ascii="Times New Roman" w:hAnsi="Times New Roman" w:cs="Times New Roman"/>
          <w:sz w:val="20"/>
          <w:szCs w:val="20"/>
        </w:rPr>
        <w:t xml:space="preserve">Pour ce seul motif, je suis d’avis de conclure que l’autorisation préalable exigée par le par. 10(3) de la </w:t>
      </w:r>
      <w:r w:rsidRPr="007A0253">
        <w:rPr>
          <w:rFonts w:ascii="Times New Roman" w:hAnsi="Times New Roman" w:cs="Times New Roman"/>
          <w:i/>
          <w:iCs/>
          <w:sz w:val="20"/>
          <w:szCs w:val="20"/>
        </w:rPr>
        <w:t xml:space="preserve">Loi relative aux enquêtes sur les coalitions </w:t>
      </w:r>
      <w:r w:rsidRPr="007A0253">
        <w:rPr>
          <w:rFonts w:ascii="Times New Roman" w:hAnsi="Times New Roman" w:cs="Times New Roman"/>
          <w:sz w:val="20"/>
          <w:szCs w:val="20"/>
        </w:rPr>
        <w:t xml:space="preserve">n’est pas suffisante pour satisfaire aux exigences de l’art. 8 de la </w:t>
      </w:r>
      <w:r w:rsidRPr="007A0253">
        <w:rPr>
          <w:rFonts w:ascii="Times New Roman" w:hAnsi="Times New Roman" w:cs="Times New Roman"/>
          <w:i/>
          <w:iCs/>
          <w:sz w:val="20"/>
          <w:szCs w:val="20"/>
        </w:rPr>
        <w:t xml:space="preserve">Charte </w:t>
      </w:r>
      <w:r w:rsidRPr="007A0253">
        <w:rPr>
          <w:rFonts w:ascii="Times New Roman" w:hAnsi="Times New Roman" w:cs="Times New Roman"/>
          <w:sz w:val="20"/>
          <w:szCs w:val="20"/>
        </w:rPr>
        <w:t xml:space="preserve">et que, par conséquent, une fouille ou une perquisition effectuée sous le régime des par. 10(1) et (3) est abusive. Mais étant donné que la Cour d’appel de l’Alberta a trouvé d’autres lacunes, peut-être encore plus graves, dans ces dispositions, je passe à l’étude de la question de savoir si le par. 10(3) demeurerait incompatible avec l’art. 8 de la </w:t>
      </w:r>
      <w:r w:rsidRPr="007A0253">
        <w:rPr>
          <w:rFonts w:ascii="Times New Roman" w:hAnsi="Times New Roman" w:cs="Times New Roman"/>
          <w:i/>
          <w:iCs/>
          <w:sz w:val="20"/>
          <w:szCs w:val="20"/>
        </w:rPr>
        <w:t xml:space="preserve">Charte </w:t>
      </w:r>
      <w:r w:rsidRPr="007A0253">
        <w:rPr>
          <w:rFonts w:ascii="Times New Roman" w:hAnsi="Times New Roman" w:cs="Times New Roman"/>
          <w:sz w:val="20"/>
          <w:szCs w:val="20"/>
        </w:rPr>
        <w:t>même s’il désignait un arbitre vraiment neutre et impartial pour autoriser les fouilles ou les perquisitions</w:t>
      </w:r>
      <w:r>
        <w:rPr>
          <w:rFonts w:ascii="Times New Roman" w:hAnsi="Times New Roman" w:cs="Times New Roman"/>
          <w:sz w:val="22"/>
          <w:szCs w:val="22"/>
        </w:rPr>
        <w:t>.</w:t>
      </w:r>
    </w:p>
    <w:p w14:paraId="71594ABA" w14:textId="77777777" w:rsidR="007A0253" w:rsidRPr="007A0253" w:rsidRDefault="007A0253" w:rsidP="007A0253">
      <w:pPr>
        <w:pStyle w:val="Paragraphedeliste"/>
        <w:widowControl w:val="0"/>
        <w:autoSpaceDE w:val="0"/>
        <w:autoSpaceDN w:val="0"/>
        <w:adjustRightInd w:val="0"/>
        <w:spacing w:after="300"/>
        <w:jc w:val="both"/>
        <w:rPr>
          <w:rFonts w:ascii="Times New Roman" w:hAnsi="Times New Roman" w:cs="Times New Roman"/>
          <w:b/>
          <w:color w:val="3E3E3E"/>
          <w:sz w:val="20"/>
          <w:szCs w:val="20"/>
        </w:rPr>
      </w:pPr>
    </w:p>
    <w:p w14:paraId="39FBAD15" w14:textId="1C7727EE" w:rsidR="007A0253" w:rsidRPr="007A0253" w:rsidRDefault="00B76612" w:rsidP="007A0253">
      <w:pPr>
        <w:widowControl w:val="0"/>
        <w:autoSpaceDE w:val="0"/>
        <w:autoSpaceDN w:val="0"/>
        <w:adjustRightInd w:val="0"/>
        <w:spacing w:after="300"/>
        <w:jc w:val="both"/>
        <w:rPr>
          <w:rFonts w:ascii="Times New Roman" w:hAnsi="Times New Roman" w:cs="Times New Roman"/>
          <w:b/>
          <w:i/>
          <w:color w:val="3E3E3E"/>
          <w:sz w:val="22"/>
          <w:szCs w:val="22"/>
        </w:rPr>
      </w:pPr>
      <w:r w:rsidRPr="00B76612">
        <w:rPr>
          <w:rFonts w:ascii="Times New Roman" w:hAnsi="Times New Roman" w:cs="Times New Roman"/>
          <w:color w:val="3E3E3E"/>
          <w:sz w:val="22"/>
          <w:szCs w:val="22"/>
        </w:rPr>
        <w:t> </w:t>
      </w:r>
      <w:r w:rsidR="007A0253">
        <w:rPr>
          <w:rFonts w:ascii="Times New Roman" w:hAnsi="Times New Roman" w:cs="Times New Roman"/>
          <w:b/>
          <w:i/>
          <w:color w:val="3E3E3E"/>
          <w:sz w:val="22"/>
          <w:szCs w:val="22"/>
        </w:rPr>
        <w:t>R. c. S.A.B. 2003 :</w:t>
      </w:r>
    </w:p>
    <w:p w14:paraId="58D65595" w14:textId="0397DF74"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2.     Le motif « plausible » et « raisonnable »</w:t>
      </w:r>
      <w:r w:rsidR="007A0253">
        <w:rPr>
          <w:rFonts w:ascii="Times New Roman" w:hAnsi="Times New Roman" w:cs="Times New Roman"/>
          <w:color w:val="3E3E3E"/>
          <w:sz w:val="22"/>
          <w:szCs w:val="22"/>
        </w:rPr>
        <w:t xml:space="preserve"> (p.9)</w:t>
      </w:r>
      <w:r>
        <w:rPr>
          <w:rFonts w:ascii="Times New Roman" w:hAnsi="Times New Roman" w:cs="Times New Roman"/>
          <w:color w:val="3E3E3E"/>
          <w:sz w:val="22"/>
          <w:szCs w:val="22"/>
        </w:rPr>
        <w:t> ;</w:t>
      </w:r>
      <w:r w:rsidR="001C61EC">
        <w:rPr>
          <w:rFonts w:ascii="Times New Roman" w:hAnsi="Times New Roman" w:cs="Times New Roman"/>
          <w:color w:val="3E3E3E"/>
          <w:sz w:val="22"/>
          <w:szCs w:val="22"/>
        </w:rPr>
        <w:t xml:space="preserve"> le critère justificatif : les motifs raisonnables et probables</w:t>
      </w:r>
    </w:p>
    <w:p w14:paraId="252B2785" w14:textId="3F283609" w:rsidR="001C61EC" w:rsidRDefault="001C61EC"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police, selon le professeur Stylios, doit démontrer que la découverte de la preuve est probable</w:t>
      </w:r>
    </w:p>
    <w:p w14:paraId="74641937" w14:textId="1BFF680D" w:rsidR="001C61EC" w:rsidRDefault="001C61EC"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Hunter et autres c. Southam :</w:t>
      </w:r>
    </w:p>
    <w:p w14:paraId="77513FA6" w14:textId="77777777" w:rsidR="00611CB5" w:rsidRPr="00611CB5" w:rsidRDefault="001C61EC" w:rsidP="008E60F8">
      <w:pPr>
        <w:pStyle w:val="Paragraphedeliste"/>
        <w:widowControl w:val="0"/>
        <w:numPr>
          <w:ilvl w:val="0"/>
          <w:numId w:val="56"/>
        </w:numPr>
        <w:autoSpaceDE w:val="0"/>
        <w:autoSpaceDN w:val="0"/>
        <w:adjustRightInd w:val="0"/>
        <w:spacing w:after="300"/>
        <w:jc w:val="both"/>
        <w:rPr>
          <w:rFonts w:ascii="Times New Roman" w:hAnsi="Times New Roman" w:cs="Times New Roman"/>
          <w:color w:val="3E3E3E"/>
          <w:sz w:val="22"/>
          <w:szCs w:val="22"/>
        </w:rPr>
      </w:pPr>
      <w:r w:rsidRPr="001C61EC">
        <w:rPr>
          <w:rFonts w:ascii="Times New Roman" w:hAnsi="Times New Roman" w:cs="Times New Roman"/>
          <w:sz w:val="20"/>
          <w:szCs w:val="20"/>
        </w:rPr>
        <w:t xml:space="preserve">Les traditions juridiques et politiques anglo-canadiennes exigent un critère plus élevé. La </w:t>
      </w:r>
      <w:r w:rsidRPr="001C61EC">
        <w:rPr>
          <w:rFonts w:ascii="Times New Roman" w:hAnsi="Times New Roman" w:cs="Times New Roman"/>
          <w:i/>
          <w:iCs/>
          <w:sz w:val="20"/>
          <w:szCs w:val="20"/>
        </w:rPr>
        <w:t xml:space="preserve">common law </w:t>
      </w:r>
      <w:r w:rsidRPr="001C61EC">
        <w:rPr>
          <w:rFonts w:ascii="Times New Roman" w:hAnsi="Times New Roman" w:cs="Times New Roman"/>
          <w:sz w:val="20"/>
          <w:szCs w:val="20"/>
        </w:rPr>
        <w:t xml:space="preserve">exige, pour qu’un mandat puisse être décerné, que l’on fasse une déposition sous serment qui porte «sérieusement à croire» que des biens volés ont été cachés à l’endroit de la perquisition. L’article </w:t>
      </w:r>
      <w:hyperlink r:id="rId19" w:anchor="art443" w:history="1">
        <w:r w:rsidRPr="001C61EC">
          <w:rPr>
            <w:rStyle w:val="Lienhypertexte"/>
            <w:rFonts w:ascii="Times New Roman" w:hAnsi="Times New Roman" w:cs="Times New Roman"/>
            <w:sz w:val="20"/>
            <w:szCs w:val="20"/>
          </w:rPr>
          <w:t>443</w:t>
        </w:r>
      </w:hyperlink>
      <w:r w:rsidRPr="001C61EC">
        <w:rPr>
          <w:rFonts w:ascii="Times New Roman" w:hAnsi="Times New Roman" w:cs="Times New Roman"/>
          <w:sz w:val="20"/>
          <w:szCs w:val="20"/>
        </w:rPr>
        <w:t xml:space="preserve"> du </w:t>
      </w:r>
      <w:r w:rsidRPr="001C61EC">
        <w:rPr>
          <w:rFonts w:ascii="Times New Roman" w:hAnsi="Times New Roman" w:cs="Times New Roman"/>
          <w:i/>
          <w:iCs/>
          <w:sz w:val="20"/>
          <w:szCs w:val="20"/>
        </w:rPr>
        <w:t xml:space="preserve">Code criminel </w:t>
      </w:r>
      <w:r w:rsidRPr="001C61EC">
        <w:rPr>
          <w:rFonts w:ascii="Times New Roman" w:hAnsi="Times New Roman" w:cs="Times New Roman"/>
          <w:sz w:val="20"/>
          <w:szCs w:val="20"/>
        </w:rPr>
        <w:t>n’autorise la délivrance d’un mandat qu’à la suite d’une dénonciation faite sous serment portant qu’il existe «un motif raisonnable pour croire» qu’il se trouve des éléments de preuve de la perpétration d’une infraction à l’endroit où la perquisition sera effectuée.</w:t>
      </w:r>
    </w:p>
    <w:p w14:paraId="3EA48FB0" w14:textId="77777777" w:rsidR="00611CB5" w:rsidRPr="00611CB5" w:rsidRDefault="00611CB5" w:rsidP="008E60F8">
      <w:pPr>
        <w:pStyle w:val="Paragraphedeliste"/>
        <w:numPr>
          <w:ilvl w:val="0"/>
          <w:numId w:val="56"/>
        </w:numPr>
        <w:jc w:val="both"/>
        <w:rPr>
          <w:rFonts w:ascii="Times New Roman" w:hAnsi="Times New Roman" w:cs="Times New Roman"/>
          <w:sz w:val="20"/>
          <w:szCs w:val="20"/>
        </w:rPr>
      </w:pPr>
      <w:r w:rsidRPr="00611CB5">
        <w:rPr>
          <w:rFonts w:ascii="Times New Roman" w:hAnsi="Times New Roman" w:cs="Times New Roman"/>
          <w:sz w:val="20"/>
          <w:szCs w:val="20"/>
        </w:rPr>
        <w:t xml:space="preserve">Dans des cas comme la présente affaire, l’existence de motifs raisonnables et probables, établie sous serment, de croire qu’une infraction a été commise et que des éléments de preuve se trouvent à l’endroit de la perquisition, constitue le critère minimal, compatible avec l’art. 8 de la </w:t>
      </w:r>
      <w:r w:rsidRPr="00611CB5">
        <w:rPr>
          <w:rFonts w:ascii="Times New Roman" w:hAnsi="Times New Roman" w:cs="Times New Roman"/>
          <w:i/>
          <w:iCs/>
          <w:sz w:val="20"/>
          <w:szCs w:val="20"/>
        </w:rPr>
        <w:t xml:space="preserve">Charte, </w:t>
      </w:r>
      <w:r w:rsidRPr="00611CB5">
        <w:rPr>
          <w:rFonts w:ascii="Times New Roman" w:hAnsi="Times New Roman" w:cs="Times New Roman"/>
          <w:sz w:val="20"/>
          <w:szCs w:val="20"/>
        </w:rPr>
        <w:t xml:space="preserve">qui s’applique à l’autorisation d’une fouille, d’une perquisition ou d’une saisie. Dans la mesure où les par. 10(1) et 10(3) de la </w:t>
      </w:r>
      <w:r w:rsidRPr="00611CB5">
        <w:rPr>
          <w:rFonts w:ascii="Times New Roman" w:hAnsi="Times New Roman" w:cs="Times New Roman"/>
          <w:i/>
          <w:iCs/>
          <w:sz w:val="20"/>
          <w:szCs w:val="20"/>
        </w:rPr>
        <w:t xml:space="preserve">Loi relative aux enquêtes sur les coalitions </w:t>
      </w:r>
      <w:r w:rsidRPr="00611CB5">
        <w:rPr>
          <w:rFonts w:ascii="Times New Roman" w:hAnsi="Times New Roman" w:cs="Times New Roman"/>
          <w:sz w:val="20"/>
          <w:szCs w:val="20"/>
        </w:rPr>
        <w:t>ne comportent pas une telle exigence, j’estime qu’ils sont davantage incompatibles avec l’art. 8.</w:t>
      </w:r>
    </w:p>
    <w:p w14:paraId="3047886D" w14:textId="0303AA2F" w:rsidR="001C61EC" w:rsidRPr="00611CB5" w:rsidRDefault="001C61EC" w:rsidP="00611CB5">
      <w:pPr>
        <w:ind w:left="360"/>
        <w:jc w:val="both"/>
        <w:rPr>
          <w:rFonts w:ascii="Times New Roman" w:hAnsi="Times New Roman" w:cs="Times New Roman"/>
          <w:sz w:val="22"/>
          <w:szCs w:val="22"/>
        </w:rPr>
      </w:pPr>
      <w:r w:rsidRPr="00611CB5">
        <w:rPr>
          <w:rFonts w:ascii="Times New Roman" w:hAnsi="Times New Roman" w:cs="Times New Roman"/>
          <w:color w:val="3E3E3E"/>
          <w:sz w:val="22"/>
          <w:szCs w:val="22"/>
        </w:rPr>
        <w:t xml:space="preserve"> </w:t>
      </w:r>
    </w:p>
    <w:p w14:paraId="319E1557" w14:textId="66DE71A5" w:rsidR="00B76612" w:rsidRDefault="00B76612" w:rsidP="00B76612">
      <w:pPr>
        <w:widowControl w:val="0"/>
        <w:autoSpaceDE w:val="0"/>
        <w:autoSpaceDN w:val="0"/>
        <w:adjustRightInd w:val="0"/>
        <w:spacing w:after="300"/>
        <w:jc w:val="both"/>
        <w:rPr>
          <w:rFonts w:ascii="Times New Roman" w:hAnsi="Times New Roman" w:cs="Times New Roman"/>
          <w:b/>
          <w:i/>
          <w:color w:val="3E3E3E"/>
          <w:sz w:val="22"/>
          <w:szCs w:val="22"/>
        </w:rPr>
      </w:pPr>
      <w:r w:rsidRPr="00B76612">
        <w:rPr>
          <w:rFonts w:ascii="Times New Roman" w:hAnsi="Times New Roman" w:cs="Times New Roman"/>
          <w:color w:val="3E3E3E"/>
          <w:sz w:val="22"/>
          <w:szCs w:val="22"/>
        </w:rPr>
        <w:t> </w:t>
      </w:r>
      <w:r w:rsidR="00611CB5">
        <w:rPr>
          <w:rFonts w:ascii="Times New Roman" w:hAnsi="Times New Roman" w:cs="Times New Roman"/>
          <w:b/>
          <w:i/>
          <w:color w:val="3E3E3E"/>
          <w:sz w:val="22"/>
          <w:szCs w:val="22"/>
        </w:rPr>
        <w:t>R. c. Morelli 2010 (p.10) :</w:t>
      </w:r>
    </w:p>
    <w:p w14:paraId="7EBAB65B" w14:textId="13480195" w:rsidR="00611CB5" w:rsidRPr="00611CB5" w:rsidRDefault="00611CB5" w:rsidP="008E60F8">
      <w:pPr>
        <w:pStyle w:val="Paragraphedeliste"/>
        <w:widowControl w:val="0"/>
        <w:numPr>
          <w:ilvl w:val="0"/>
          <w:numId w:val="57"/>
        </w:numPr>
        <w:autoSpaceDE w:val="0"/>
        <w:autoSpaceDN w:val="0"/>
        <w:adjustRightInd w:val="0"/>
        <w:spacing w:after="300"/>
        <w:jc w:val="both"/>
        <w:rPr>
          <w:rFonts w:ascii="Times New Roman" w:hAnsi="Times New Roman" w:cs="Times New Roman"/>
          <w:color w:val="3E3E3E"/>
          <w:sz w:val="20"/>
          <w:szCs w:val="20"/>
        </w:rPr>
      </w:pPr>
      <w:r w:rsidRPr="00611CB5">
        <w:rPr>
          <w:rFonts w:ascii="Times New Roman" w:hAnsi="Times New Roman" w:cs="Times New Roman"/>
          <w:sz w:val="20"/>
          <w:szCs w:val="20"/>
        </w:rPr>
        <w:t xml:space="preserve">La </w:t>
      </w:r>
      <w:r w:rsidRPr="00611CB5">
        <w:rPr>
          <w:rFonts w:ascii="Times New Roman" w:hAnsi="Times New Roman" w:cs="Times New Roman"/>
          <w:i/>
          <w:iCs/>
          <w:sz w:val="20"/>
          <w:szCs w:val="20"/>
        </w:rPr>
        <w:t>Charte</w:t>
      </w:r>
      <w:r w:rsidRPr="00611CB5">
        <w:rPr>
          <w:rFonts w:ascii="Times New Roman" w:hAnsi="Times New Roman" w:cs="Times New Roman"/>
          <w:sz w:val="20"/>
          <w:szCs w:val="20"/>
        </w:rPr>
        <w:t xml:space="preserve"> exige que les policiers, avant d’effectuer une perquisition, attestent « l’existence de motifs raisonnables et probables, établie sous serment, de croire qu’une infraction a été commise et que des éléments de preuve se trouvent à l’endroit de la perquisition » (</w:t>
      </w:r>
      <w:r w:rsidRPr="00611CB5">
        <w:rPr>
          <w:rFonts w:ascii="Times New Roman" w:hAnsi="Times New Roman" w:cs="Times New Roman"/>
          <w:i/>
          <w:iCs/>
          <w:sz w:val="20"/>
          <w:szCs w:val="20"/>
        </w:rPr>
        <w:t>Hunter c. Southam Inc.</w:t>
      </w:r>
      <w:r w:rsidRPr="00611CB5">
        <w:rPr>
          <w:rFonts w:ascii="Times New Roman" w:hAnsi="Times New Roman" w:cs="Times New Roman"/>
          <w:sz w:val="20"/>
          <w:szCs w:val="20"/>
        </w:rPr>
        <w:t xml:space="preserve">, </w:t>
      </w:r>
      <w:hyperlink r:id="rId20" w:history="1">
        <w:r w:rsidRPr="00611CB5">
          <w:rPr>
            <w:rStyle w:val="Lienhypertexte"/>
            <w:rFonts w:ascii="Times New Roman" w:hAnsi="Times New Roman" w:cs="Times New Roman"/>
            <w:sz w:val="20"/>
            <w:szCs w:val="20"/>
          </w:rPr>
          <w:t>1984 CanLII 33 (CSC)</w:t>
        </w:r>
      </w:hyperlink>
      <w:r w:rsidRPr="00611CB5">
        <w:rPr>
          <w:rFonts w:ascii="Times New Roman" w:hAnsi="Times New Roman" w:cs="Times New Roman"/>
          <w:sz w:val="20"/>
          <w:szCs w:val="20"/>
        </w:rPr>
        <w:t xml:space="preserve">, [1984] 2 R.C.S. 145, p. 168).  Ces exigences distinctes et cumulatives constituent « le critère minimal, compatible avec l’art. 8 de la </w:t>
      </w:r>
      <w:r w:rsidRPr="00611CB5">
        <w:rPr>
          <w:rFonts w:ascii="Times New Roman" w:hAnsi="Times New Roman" w:cs="Times New Roman"/>
          <w:i/>
          <w:iCs/>
          <w:sz w:val="20"/>
          <w:szCs w:val="20"/>
        </w:rPr>
        <w:t>Charte</w:t>
      </w:r>
      <w:r w:rsidRPr="00611CB5">
        <w:rPr>
          <w:rFonts w:ascii="Times New Roman" w:hAnsi="Times New Roman" w:cs="Times New Roman"/>
          <w:sz w:val="20"/>
          <w:szCs w:val="20"/>
        </w:rPr>
        <w:t>, qui s’applique à l’autorisation d’une fouille, d’une perquisition ou d’une saisie.</w:t>
      </w:r>
    </w:p>
    <w:p w14:paraId="4C7162CF" w14:textId="0DF60836" w:rsidR="00611CB5" w:rsidRDefault="00611CB5" w:rsidP="00611CB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Storrey 1990 (p.10) :</w:t>
      </w:r>
    </w:p>
    <w:p w14:paraId="2837A627" w14:textId="32189D30" w:rsidR="00611CB5" w:rsidRPr="00611CB5" w:rsidRDefault="00611CB5" w:rsidP="008E60F8">
      <w:pPr>
        <w:pStyle w:val="Paragraphedeliste"/>
        <w:widowControl w:val="0"/>
        <w:numPr>
          <w:ilvl w:val="0"/>
          <w:numId w:val="57"/>
        </w:numPr>
        <w:autoSpaceDE w:val="0"/>
        <w:autoSpaceDN w:val="0"/>
        <w:adjustRightInd w:val="0"/>
        <w:spacing w:after="300"/>
        <w:jc w:val="both"/>
        <w:rPr>
          <w:rFonts w:ascii="Times New Roman" w:hAnsi="Times New Roman" w:cs="Times New Roman"/>
          <w:color w:val="3E3E3E"/>
          <w:sz w:val="20"/>
          <w:szCs w:val="20"/>
        </w:rPr>
      </w:pPr>
      <w:r w:rsidRPr="00611CB5">
        <w:rPr>
          <w:rFonts w:ascii="Times New Roman" w:hAnsi="Times New Roman" w:cs="Times New Roman"/>
          <w:sz w:val="20"/>
          <w:szCs w:val="20"/>
        </w:rPr>
        <w:t>En résumé donc, le</w:t>
      </w:r>
      <w:r w:rsidRPr="00611CB5">
        <w:rPr>
          <w:rFonts w:ascii="Times New Roman" w:hAnsi="Times New Roman" w:cs="Times New Roman"/>
          <w:i/>
          <w:iCs/>
          <w:sz w:val="20"/>
          <w:szCs w:val="20"/>
        </w:rPr>
        <w:t xml:space="preserve"> </w:t>
      </w:r>
      <w:hyperlink r:id="rId21" w:history="1">
        <w:r w:rsidRPr="00611CB5">
          <w:rPr>
            <w:rStyle w:val="Lienhypertexte"/>
            <w:rFonts w:ascii="Times New Roman" w:hAnsi="Times New Roman" w:cs="Times New Roman"/>
            <w:i/>
            <w:iCs/>
            <w:sz w:val="20"/>
            <w:szCs w:val="20"/>
          </w:rPr>
          <w:t>Code criminel</w:t>
        </w:r>
      </w:hyperlink>
      <w:r w:rsidRPr="00611CB5">
        <w:rPr>
          <w:rFonts w:ascii="Times New Roman" w:hAnsi="Times New Roman" w:cs="Times New Roman"/>
          <w:sz w:val="20"/>
          <w:szCs w:val="20"/>
        </w:rPr>
        <w:t xml:space="preserve"> exige que </w:t>
      </w:r>
      <w:r w:rsidRPr="00611CB5">
        <w:rPr>
          <w:rFonts w:ascii="Times New Roman" w:hAnsi="Times New Roman" w:cs="Times New Roman"/>
          <w:b/>
          <w:sz w:val="20"/>
          <w:szCs w:val="20"/>
        </w:rPr>
        <w:t>l'agent de police qui effectue une arrestation ait subjectivement des motifs raisonnables et probables d'y procéder</w:t>
      </w:r>
      <w:r w:rsidRPr="00611CB5">
        <w:rPr>
          <w:rFonts w:ascii="Times New Roman" w:hAnsi="Times New Roman" w:cs="Times New Roman"/>
          <w:sz w:val="20"/>
          <w:szCs w:val="20"/>
        </w:rPr>
        <w:t xml:space="preserve">.  </w:t>
      </w:r>
      <w:r w:rsidRPr="00611CB5">
        <w:rPr>
          <w:rFonts w:ascii="Times New Roman" w:hAnsi="Times New Roman" w:cs="Times New Roman"/>
          <w:b/>
          <w:sz w:val="20"/>
          <w:szCs w:val="20"/>
        </w:rPr>
        <w:t>Ces motifs doivent en outre être objectivement justifiables, c'est</w:t>
      </w:r>
      <w:r w:rsidRPr="00611CB5">
        <w:rPr>
          <w:rFonts w:ascii="American Typewriter" w:hAnsi="American Typewriter" w:cs="American Typewriter"/>
          <w:b/>
          <w:sz w:val="20"/>
          <w:szCs w:val="20"/>
        </w:rPr>
        <w:t>‑</w:t>
      </w:r>
      <w:r w:rsidRPr="00611CB5">
        <w:rPr>
          <w:rFonts w:ascii="Times New Roman" w:hAnsi="Times New Roman" w:cs="Times New Roman"/>
          <w:b/>
          <w:sz w:val="20"/>
          <w:szCs w:val="20"/>
        </w:rPr>
        <w:t>à</w:t>
      </w:r>
      <w:r w:rsidRPr="00611CB5">
        <w:rPr>
          <w:rFonts w:ascii="American Typewriter" w:hAnsi="American Typewriter" w:cs="American Typewriter"/>
          <w:b/>
          <w:sz w:val="20"/>
          <w:szCs w:val="20"/>
        </w:rPr>
        <w:t>‑</w:t>
      </w:r>
      <w:r w:rsidRPr="00611CB5">
        <w:rPr>
          <w:rFonts w:ascii="Times New Roman" w:hAnsi="Times New Roman" w:cs="Times New Roman"/>
          <w:b/>
          <w:sz w:val="20"/>
          <w:szCs w:val="20"/>
        </w:rPr>
        <w:t>dire qu'une personne raisonnable se trouvant à la place de l'agent de police doit pouvoir conclure qu'il y avait effectivement des motifs raisonnables et probables de procéder à l'arrestation</w:t>
      </w:r>
      <w:r>
        <w:rPr>
          <w:rFonts w:ascii="Times New Roman" w:hAnsi="Times New Roman" w:cs="Times New Roman"/>
          <w:b/>
          <w:sz w:val="20"/>
          <w:szCs w:val="20"/>
        </w:rPr>
        <w:t xml:space="preserve"> [...]</w:t>
      </w:r>
      <w:r w:rsidRPr="00611CB5">
        <w:rPr>
          <w:rFonts w:ascii="Times New Roman" w:hAnsi="Times New Roman" w:cs="Times New Roman"/>
          <w:sz w:val="20"/>
          <w:szCs w:val="20"/>
        </w:rPr>
        <w:t>En d'autres termes, il faut établir qu'une personne raisonnable, se trouvant à la place de l'agent de police, aurait cru à l'existence de motifs raisonnables et probables de procéder à l'arrestation.  Voir</w:t>
      </w:r>
      <w:r w:rsidRPr="00611CB5">
        <w:rPr>
          <w:rFonts w:ascii="Times New Roman" w:hAnsi="Times New Roman" w:cs="Times New Roman"/>
          <w:i/>
          <w:iCs/>
          <w:sz w:val="20"/>
          <w:szCs w:val="20"/>
        </w:rPr>
        <w:t xml:space="preserve"> R. v. Brown.</w:t>
      </w:r>
    </w:p>
    <w:p w14:paraId="18A566C7"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p>
    <w:p w14:paraId="1C648E4D" w14:textId="7CFEEAA0" w:rsidR="00B76612" w:rsidRPr="00B76612" w:rsidRDefault="00B76612" w:rsidP="00B76612">
      <w:pPr>
        <w:widowControl w:val="0"/>
        <w:autoSpaceDE w:val="0"/>
        <w:autoSpaceDN w:val="0"/>
        <w:adjustRightInd w:val="0"/>
        <w:spacing w:after="300"/>
        <w:jc w:val="center"/>
        <w:rPr>
          <w:rFonts w:ascii="Times New Roman" w:hAnsi="Times New Roman" w:cs="Times New Roman"/>
          <w:i/>
          <w:color w:val="3E3E3E"/>
          <w:sz w:val="22"/>
          <w:szCs w:val="22"/>
          <w:u w:val="single"/>
        </w:rPr>
      </w:pPr>
      <w:r>
        <w:rPr>
          <w:rFonts w:ascii="Times New Roman" w:hAnsi="Times New Roman" w:cs="Times New Roman"/>
          <w:i/>
          <w:color w:val="3E3E3E"/>
          <w:sz w:val="22"/>
          <w:szCs w:val="22"/>
          <w:u w:val="single"/>
        </w:rPr>
        <w:t xml:space="preserve">LA MATIÈRE CI-DESSOUS </w:t>
      </w:r>
      <w:r w:rsidR="005D5CDB">
        <w:rPr>
          <w:rFonts w:ascii="Times New Roman" w:hAnsi="Times New Roman" w:cs="Times New Roman"/>
          <w:i/>
          <w:color w:val="3E3E3E"/>
          <w:sz w:val="22"/>
          <w:szCs w:val="22"/>
          <w:u w:val="single"/>
        </w:rPr>
        <w:t>EST POUR L’APRÈS-RELAIS</w:t>
      </w:r>
    </w:p>
    <w:p w14:paraId="58B3E7AE"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C.     Les situations particulières (des critères plus élevés que Hunter)</w:t>
      </w:r>
    </w:p>
    <w:p w14:paraId="08CBD189"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1.     Les écoutes électroniques</w:t>
      </w:r>
      <w:r>
        <w:rPr>
          <w:rFonts w:ascii="Times New Roman" w:hAnsi="Times New Roman" w:cs="Times New Roman"/>
          <w:color w:val="3E3E3E"/>
          <w:sz w:val="22"/>
          <w:szCs w:val="22"/>
        </w:rPr>
        <w:t> ;</w:t>
      </w:r>
    </w:p>
    <w:p w14:paraId="0E3227A6" w14:textId="41552D8C" w:rsidR="00B76612" w:rsidRDefault="005D5CDB" w:rsidP="00B76612">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b/>
          <w:i/>
          <w:color w:val="3E3E3E"/>
          <w:sz w:val="22"/>
          <w:szCs w:val="22"/>
        </w:rPr>
        <w:t>R. c. Duarte 1990 (</w:t>
      </w:r>
      <w:r>
        <w:rPr>
          <w:rFonts w:ascii="Times New Roman" w:hAnsi="Times New Roman" w:cs="Times New Roman"/>
          <w:i/>
          <w:color w:val="3E3E3E"/>
          <w:sz w:val="22"/>
          <w:szCs w:val="22"/>
        </w:rPr>
        <w:t>p.10)</w:t>
      </w:r>
      <w:r w:rsidR="000261A3">
        <w:rPr>
          <w:rFonts w:ascii="Times New Roman" w:hAnsi="Times New Roman" w:cs="Times New Roman"/>
          <w:i/>
          <w:color w:val="3E3E3E"/>
          <w:sz w:val="22"/>
          <w:szCs w:val="22"/>
        </w:rPr>
        <w:t> :</w:t>
      </w:r>
    </w:p>
    <w:p w14:paraId="50FFF557" w14:textId="77777777" w:rsidR="005D5CDB" w:rsidRPr="005D5CDB" w:rsidRDefault="005D5CDB" w:rsidP="008E60F8">
      <w:pPr>
        <w:pStyle w:val="Paragraphedeliste"/>
        <w:numPr>
          <w:ilvl w:val="0"/>
          <w:numId w:val="57"/>
        </w:numPr>
        <w:jc w:val="both"/>
        <w:rPr>
          <w:rFonts w:ascii="Times New Roman" w:hAnsi="Times New Roman" w:cs="Times New Roman"/>
          <w:sz w:val="22"/>
          <w:szCs w:val="22"/>
        </w:rPr>
      </w:pPr>
      <w:r w:rsidRPr="005D5CDB">
        <w:rPr>
          <w:rFonts w:ascii="Times New Roman" w:hAnsi="Times New Roman" w:cs="Times New Roman"/>
          <w:sz w:val="20"/>
          <w:szCs w:val="20"/>
        </w:rPr>
        <w:t>La surveillance électronique clandestine d'un particulier par un agent de l'État constitue une fouille, une perquisition ou une saisie abusive au sens de l'art. 8 de la</w:t>
      </w:r>
      <w:r w:rsidRPr="005D5CDB">
        <w:rPr>
          <w:rFonts w:ascii="Times New Roman" w:hAnsi="Times New Roman" w:cs="Times New Roman"/>
          <w:i/>
          <w:iCs/>
          <w:sz w:val="20"/>
          <w:szCs w:val="20"/>
        </w:rPr>
        <w:t xml:space="preserve"> Charte</w:t>
      </w:r>
      <w:r w:rsidRPr="005D5CDB">
        <w:rPr>
          <w:rFonts w:ascii="Times New Roman" w:hAnsi="Times New Roman" w:cs="Times New Roman"/>
          <w:sz w:val="22"/>
          <w:szCs w:val="22"/>
        </w:rPr>
        <w:t>.</w:t>
      </w:r>
    </w:p>
    <w:p w14:paraId="45806618" w14:textId="1F0CF66E" w:rsidR="005D5CDB" w:rsidRPr="005D5CDB" w:rsidRDefault="005D5CDB" w:rsidP="008E60F8">
      <w:pPr>
        <w:pStyle w:val="Paragraphedeliste"/>
        <w:widowControl w:val="0"/>
        <w:numPr>
          <w:ilvl w:val="0"/>
          <w:numId w:val="57"/>
        </w:numPr>
        <w:autoSpaceDE w:val="0"/>
        <w:autoSpaceDN w:val="0"/>
        <w:adjustRightInd w:val="0"/>
        <w:spacing w:after="300"/>
        <w:jc w:val="both"/>
        <w:rPr>
          <w:rFonts w:ascii="Times New Roman" w:hAnsi="Times New Roman" w:cs="Times New Roman"/>
          <w:color w:val="3E3E3E"/>
          <w:sz w:val="20"/>
          <w:szCs w:val="20"/>
        </w:rPr>
      </w:pPr>
      <w:r w:rsidRPr="005D5CDB">
        <w:rPr>
          <w:rFonts w:ascii="Times New Roman" w:hAnsi="Times New Roman" w:cs="Times New Roman"/>
          <w:sz w:val="20"/>
          <w:szCs w:val="20"/>
        </w:rPr>
        <w:t>Contrairement aux dispositions générales visant la surveillance électronique, le</w:t>
      </w:r>
      <w:r w:rsidRPr="005D5CDB">
        <w:rPr>
          <w:rFonts w:ascii="Times New Roman" w:hAnsi="Times New Roman" w:cs="Times New Roman"/>
          <w:i/>
          <w:iCs/>
          <w:sz w:val="20"/>
          <w:szCs w:val="20"/>
        </w:rPr>
        <w:t xml:space="preserve"> Code</w:t>
      </w:r>
      <w:r w:rsidRPr="005D5CDB">
        <w:rPr>
          <w:rFonts w:ascii="Times New Roman" w:hAnsi="Times New Roman" w:cs="Times New Roman"/>
          <w:sz w:val="20"/>
          <w:szCs w:val="20"/>
        </w:rPr>
        <w:t xml:space="preserve"> n'impose aucune restriction à la surveillance participative pourvu qu'une partie y consente.  La police peut, à sa discrétion absolue, employer cette méthode contre qui elle veut et pour les raisons qu'elle veut, et ce, sans limite quant à l'endroit ni quant à la durée.  Il n'existe aucun contrôle judiciaire préalable de cette pratique.</w:t>
      </w:r>
    </w:p>
    <w:p w14:paraId="2F79B344" w14:textId="09F8DB73" w:rsidR="005D5CDB" w:rsidRPr="000261A3" w:rsidRDefault="005D5CDB" w:rsidP="008E60F8">
      <w:pPr>
        <w:pStyle w:val="Paragraphedeliste"/>
        <w:widowControl w:val="0"/>
        <w:numPr>
          <w:ilvl w:val="0"/>
          <w:numId w:val="57"/>
        </w:numPr>
        <w:autoSpaceDE w:val="0"/>
        <w:autoSpaceDN w:val="0"/>
        <w:adjustRightInd w:val="0"/>
        <w:spacing w:after="300"/>
        <w:jc w:val="both"/>
        <w:rPr>
          <w:rFonts w:ascii="Times New Roman" w:hAnsi="Times New Roman" w:cs="Times New Roman"/>
          <w:color w:val="3E3E3E"/>
          <w:sz w:val="20"/>
          <w:szCs w:val="20"/>
        </w:rPr>
      </w:pPr>
      <w:r w:rsidRPr="005D5CDB">
        <w:rPr>
          <w:rFonts w:ascii="Times New Roman" w:hAnsi="Times New Roman" w:cs="Times New Roman"/>
          <w:sz w:val="20"/>
          <w:szCs w:val="20"/>
        </w:rPr>
        <w:t xml:space="preserve">Lorsqu'une personne a des motifs raisonnables de croire que ses communications sont privées, l'enregistrement électronique clandestin </w:t>
      </w:r>
      <w:r w:rsidRPr="005D5CDB">
        <w:rPr>
          <w:rFonts w:ascii="Times New Roman" w:hAnsi="Times New Roman" w:cs="Times New Roman"/>
          <w:sz w:val="20"/>
          <w:szCs w:val="20"/>
          <w:u w:val="single"/>
        </w:rPr>
        <w:t>non autorisé</w:t>
      </w:r>
      <w:r w:rsidRPr="005D5CDB">
        <w:rPr>
          <w:rFonts w:ascii="Times New Roman" w:hAnsi="Times New Roman" w:cs="Times New Roman"/>
          <w:sz w:val="20"/>
          <w:szCs w:val="20"/>
        </w:rPr>
        <w:t xml:space="preserve"> de ces communications est une violation d'une attente raisonnable en matière de respect de la vie privée</w:t>
      </w:r>
      <w:r>
        <w:rPr>
          <w:rFonts w:ascii="Times New Roman" w:hAnsi="Times New Roman" w:cs="Times New Roman"/>
          <w:sz w:val="20"/>
          <w:szCs w:val="20"/>
        </w:rPr>
        <w:t>.</w:t>
      </w:r>
    </w:p>
    <w:p w14:paraId="7B9BFA5A" w14:textId="440D74F5" w:rsidR="000261A3" w:rsidRDefault="000261A3" w:rsidP="000261A3">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Thompson 1990 (p.11) :</w:t>
      </w:r>
    </w:p>
    <w:p w14:paraId="7BC11AE3" w14:textId="191E5FC3" w:rsidR="000261A3" w:rsidRPr="000261A3" w:rsidRDefault="000261A3" w:rsidP="008E60F8">
      <w:pPr>
        <w:pStyle w:val="Paragraphedeliste"/>
        <w:widowControl w:val="0"/>
        <w:numPr>
          <w:ilvl w:val="0"/>
          <w:numId w:val="58"/>
        </w:numPr>
        <w:autoSpaceDE w:val="0"/>
        <w:autoSpaceDN w:val="0"/>
        <w:adjustRightInd w:val="0"/>
        <w:spacing w:after="300"/>
        <w:jc w:val="both"/>
        <w:rPr>
          <w:rFonts w:ascii="Times New Roman" w:hAnsi="Times New Roman" w:cs="Times New Roman"/>
          <w:color w:val="3E3E3E"/>
          <w:sz w:val="20"/>
          <w:szCs w:val="20"/>
        </w:rPr>
      </w:pPr>
      <w:r w:rsidRPr="000261A3">
        <w:rPr>
          <w:rFonts w:ascii="Times New Roman" w:hAnsi="Times New Roman" w:cs="Times New Roman"/>
          <w:sz w:val="20"/>
          <w:szCs w:val="20"/>
        </w:rPr>
        <w:t>J'aurais cru à tout le moins qu'une telle autorisation prévoirait que les conversations dans un téléphone public ne seraient pas interceptées à moins qu'il n'existe des motifs raisonnables et probables de croire qu'une cible utilisait le téléphone au moment où le dispositif d'écoute a été mis en marche</w:t>
      </w:r>
      <w:r>
        <w:rPr>
          <w:rFonts w:ascii="Times New Roman" w:hAnsi="Times New Roman" w:cs="Times New Roman"/>
          <w:sz w:val="20"/>
          <w:szCs w:val="20"/>
        </w:rPr>
        <w:t>.</w:t>
      </w:r>
    </w:p>
    <w:p w14:paraId="3D4C7D8D" w14:textId="4EB1BC71" w:rsidR="000261A3" w:rsidRDefault="000261A3" w:rsidP="000261A3">
      <w:pPr>
        <w:widowControl w:val="0"/>
        <w:autoSpaceDE w:val="0"/>
        <w:autoSpaceDN w:val="0"/>
        <w:adjustRightInd w:val="0"/>
        <w:spacing w:after="300"/>
        <w:jc w:val="both"/>
        <w:rPr>
          <w:rFonts w:ascii="Times New Roman" w:hAnsi="Times New Roman" w:cs="Times New Roman"/>
          <w:b/>
          <w:i/>
          <w:color w:val="3E3E3E"/>
          <w:sz w:val="20"/>
          <w:szCs w:val="20"/>
        </w:rPr>
      </w:pPr>
      <w:r w:rsidRPr="000261A3">
        <w:rPr>
          <w:rFonts w:ascii="Times New Roman" w:hAnsi="Times New Roman" w:cs="Times New Roman"/>
          <w:b/>
          <w:i/>
          <w:color w:val="3E3E3E"/>
          <w:sz w:val="22"/>
          <w:szCs w:val="22"/>
        </w:rPr>
        <w:t>R. c. Araujo 2000 </w:t>
      </w:r>
      <w:r>
        <w:rPr>
          <w:rFonts w:ascii="Times New Roman" w:hAnsi="Times New Roman" w:cs="Times New Roman"/>
          <w:b/>
          <w:i/>
          <w:color w:val="3E3E3E"/>
          <w:sz w:val="20"/>
          <w:szCs w:val="20"/>
        </w:rPr>
        <w:t>:</w:t>
      </w:r>
    </w:p>
    <w:p w14:paraId="13972454" w14:textId="218C03F9" w:rsidR="000261A3" w:rsidRPr="000261A3" w:rsidRDefault="000261A3" w:rsidP="008E60F8">
      <w:pPr>
        <w:pStyle w:val="Paragraphedeliste"/>
        <w:numPr>
          <w:ilvl w:val="0"/>
          <w:numId w:val="58"/>
        </w:numPr>
        <w:jc w:val="both"/>
        <w:rPr>
          <w:rFonts w:ascii="Times New Roman" w:hAnsi="Times New Roman" w:cs="Times New Roman"/>
          <w:sz w:val="20"/>
          <w:szCs w:val="20"/>
        </w:rPr>
      </w:pPr>
      <w:r w:rsidRPr="000261A3">
        <w:rPr>
          <w:rFonts w:ascii="Times New Roman" w:hAnsi="Times New Roman" w:cs="Times New Roman"/>
          <w:sz w:val="20"/>
          <w:szCs w:val="20"/>
        </w:rPr>
        <w:t>il faut interpréter le par. 186(1) en tenant compte simultanément des valeurs opposées que sont la possibilité de mener une enquête criminelle et la protection du droit à la vie privée. [26]</w:t>
      </w:r>
    </w:p>
    <w:p w14:paraId="09F495DF" w14:textId="53AB2974" w:rsidR="000261A3" w:rsidRDefault="000261A3" w:rsidP="000261A3">
      <w:pPr>
        <w:jc w:val="both"/>
        <w:rPr>
          <w:rFonts w:ascii="Times New Roman" w:hAnsi="Times New Roman" w:cs="Times New Roman"/>
          <w:sz w:val="22"/>
          <w:szCs w:val="22"/>
        </w:rPr>
      </w:pPr>
      <w:r>
        <w:rPr>
          <w:rFonts w:ascii="Times New Roman" w:hAnsi="Times New Roman" w:cs="Times New Roman"/>
          <w:sz w:val="22"/>
          <w:szCs w:val="22"/>
        </w:rPr>
        <w:t>Art. 186(1) (b) C.cr. ; mais en matière de terrorisme ou de crime organisé cette exigence a été enlevée (art. 186(1.1) C.cr.</w:t>
      </w:r>
    </w:p>
    <w:p w14:paraId="5627E5E3" w14:textId="77777777" w:rsidR="000261A3" w:rsidRPr="000261A3" w:rsidRDefault="000261A3" w:rsidP="000261A3">
      <w:pPr>
        <w:jc w:val="both"/>
        <w:rPr>
          <w:rFonts w:ascii="Times New Roman" w:hAnsi="Times New Roman" w:cs="Times New Roman"/>
          <w:sz w:val="22"/>
          <w:szCs w:val="22"/>
        </w:rPr>
      </w:pPr>
    </w:p>
    <w:p w14:paraId="3527CB98" w14:textId="60CCCEE3"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0261A3">
        <w:rPr>
          <w:rFonts w:ascii="Times New Roman" w:hAnsi="Times New Roman" w:cs="Times New Roman"/>
          <w:b/>
          <w:color w:val="3E3E3E"/>
          <w:sz w:val="22"/>
          <w:szCs w:val="22"/>
        </w:rPr>
        <w:t>2.     Les informations privilégiées et confidentielles</w:t>
      </w:r>
      <w:r w:rsidR="000261A3">
        <w:rPr>
          <w:rFonts w:ascii="Times New Roman" w:hAnsi="Times New Roman" w:cs="Times New Roman"/>
          <w:b/>
          <w:color w:val="3E3E3E"/>
          <w:sz w:val="22"/>
          <w:szCs w:val="22"/>
        </w:rPr>
        <w:t xml:space="preserve"> (p.12)</w:t>
      </w:r>
    </w:p>
    <w:p w14:paraId="18A082F6" w14:textId="5A639E90" w:rsidR="000261A3" w:rsidRDefault="000261A3"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Avant la Charte</w:t>
      </w:r>
    </w:p>
    <w:p w14:paraId="2C29CB29" w14:textId="7D3ADFAD" w:rsidR="000261A3" w:rsidRDefault="000261A3"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Descôteaux et autre c. Mierzwiski 1982 :</w:t>
      </w:r>
    </w:p>
    <w:p w14:paraId="3CA9AD75" w14:textId="77777777" w:rsidR="000261A3" w:rsidRPr="000261A3" w:rsidRDefault="000261A3" w:rsidP="008E60F8">
      <w:pPr>
        <w:pStyle w:val="Paragraphedeliste"/>
        <w:numPr>
          <w:ilvl w:val="0"/>
          <w:numId w:val="58"/>
        </w:numPr>
        <w:jc w:val="both"/>
        <w:rPr>
          <w:rFonts w:ascii="Times New Roman" w:hAnsi="Times New Roman" w:cs="Times New Roman"/>
          <w:b/>
          <w:sz w:val="20"/>
          <w:szCs w:val="20"/>
        </w:rPr>
      </w:pPr>
      <w:r w:rsidRPr="000261A3">
        <w:rPr>
          <w:rFonts w:ascii="Times New Roman" w:hAnsi="Times New Roman" w:cs="Times New Roman"/>
          <w:b/>
          <w:sz w:val="20"/>
          <w:szCs w:val="20"/>
        </w:rPr>
        <w:t>Un juge de paix n'a pas compétence pour ordonner la saisie de documents qui ne seraient pas recevables en preuve devant un tribunal parce qu'il sont couverts par le privilège. II doit même, avant de permettre la perquisition d'un bureau d'avocat, refuser la délivrance du mandat à moins d'être convaincu que la perquisition est la seule option raisonnable. S'il le délivre, il devra l'assortir de modalités d'exécution susceptibles de sauvegarder au maximum le droit à la confidentialité des clients de l'avocat.</w:t>
      </w:r>
    </w:p>
    <w:p w14:paraId="4FCD36A7" w14:textId="77777777" w:rsidR="000261A3" w:rsidRDefault="000261A3" w:rsidP="000261A3">
      <w:pPr>
        <w:widowControl w:val="0"/>
        <w:autoSpaceDE w:val="0"/>
        <w:autoSpaceDN w:val="0"/>
        <w:adjustRightInd w:val="0"/>
        <w:spacing w:after="300"/>
        <w:jc w:val="both"/>
        <w:rPr>
          <w:rFonts w:ascii="Times New Roman" w:hAnsi="Times New Roman" w:cs="Times New Roman"/>
          <w:color w:val="3E3E3E"/>
          <w:sz w:val="22"/>
          <w:szCs w:val="22"/>
        </w:rPr>
      </w:pPr>
    </w:p>
    <w:p w14:paraId="0EB676DE" w14:textId="1B73AA19" w:rsidR="000261A3" w:rsidRDefault="000261A3" w:rsidP="000261A3">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De nos jours</w:t>
      </w:r>
    </w:p>
    <w:p w14:paraId="08FAE018" w14:textId="3F514F75" w:rsidR="000261A3" w:rsidRDefault="000261A3" w:rsidP="000261A3">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 488.1 C.cr.</w:t>
      </w:r>
    </w:p>
    <w:p w14:paraId="26D3E2E7" w14:textId="50BF67B1" w:rsidR="000261A3" w:rsidRDefault="000261A3" w:rsidP="000261A3">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CSC vient quand même dire que c’était insuffisant :</w:t>
      </w:r>
    </w:p>
    <w:p w14:paraId="59F9E1EB" w14:textId="4C9D4DB7" w:rsidR="000261A3" w:rsidRDefault="000261A3" w:rsidP="000261A3">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Lavallee, Rackel &amp; Heintz c. Canada (p.13) :</w:t>
      </w:r>
    </w:p>
    <w:p w14:paraId="04134856" w14:textId="68CCFDD3" w:rsidR="000F0044" w:rsidRPr="000F0044" w:rsidRDefault="000F0044" w:rsidP="008E60F8">
      <w:pPr>
        <w:pStyle w:val="Paragraphedeliste"/>
        <w:widowControl w:val="0"/>
        <w:numPr>
          <w:ilvl w:val="0"/>
          <w:numId w:val="58"/>
        </w:numPr>
        <w:autoSpaceDE w:val="0"/>
        <w:autoSpaceDN w:val="0"/>
        <w:adjustRightInd w:val="0"/>
        <w:spacing w:after="300"/>
        <w:jc w:val="both"/>
        <w:rPr>
          <w:rFonts w:ascii="Times New Roman" w:hAnsi="Times New Roman" w:cs="Times New Roman"/>
          <w:color w:val="3E3E3E"/>
          <w:sz w:val="22"/>
          <w:szCs w:val="22"/>
        </w:rPr>
      </w:pPr>
      <w:r w:rsidRPr="005844A5">
        <w:rPr>
          <w:rFonts w:ascii="Times New Roman" w:hAnsi="Times New Roman" w:cs="Times New Roman"/>
          <w:sz w:val="20"/>
          <w:szCs w:val="20"/>
        </w:rPr>
        <w:t>D’après moi, les lacunes de l’art. 488.1, mentionnées dans de nombreuses décisions judiciaires et décrites précédemment, ont toutes en commun une caractéristique dominante fatale, à savoir la violation potentielle du secret professionnel de l’avocat sans que le client n’en ait connaissance et encore moins qu’il y ait consenti.  Même si l’avocat compétent essaiera de joindre son client et qu’il invoquera vraisemblablement le privilège général dès le départ, l’État a l’obligation de veiller à ce que les droits du détenteur du privilège demeurent suffisamment protégés</w:t>
      </w:r>
      <w:r>
        <w:rPr>
          <w:rFonts w:ascii="Times New Roman" w:hAnsi="Times New Roman" w:cs="Times New Roman"/>
          <w:sz w:val="20"/>
          <w:szCs w:val="20"/>
        </w:rPr>
        <w:t xml:space="preserve"> [39].</w:t>
      </w:r>
    </w:p>
    <w:p w14:paraId="1B327E1E" w14:textId="30CB71C3" w:rsidR="000F0044" w:rsidRDefault="000F0044" w:rsidP="000F004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CSC propose donc une nouvelle procédure :</w:t>
      </w:r>
    </w:p>
    <w:p w14:paraId="07D80250" w14:textId="4BBC3AA2" w:rsidR="000F0044" w:rsidRPr="000F0044" w:rsidRDefault="000F0044" w:rsidP="008E60F8">
      <w:pPr>
        <w:pStyle w:val="Paragraphedeliste"/>
        <w:widowControl w:val="0"/>
        <w:numPr>
          <w:ilvl w:val="0"/>
          <w:numId w:val="58"/>
        </w:numPr>
        <w:autoSpaceDE w:val="0"/>
        <w:autoSpaceDN w:val="0"/>
        <w:adjustRightInd w:val="0"/>
        <w:spacing w:after="300"/>
        <w:jc w:val="both"/>
        <w:rPr>
          <w:rFonts w:ascii="Times New Roman" w:hAnsi="Times New Roman" w:cs="Times New Roman"/>
          <w:color w:val="3E3E3E"/>
          <w:sz w:val="20"/>
          <w:szCs w:val="20"/>
        </w:rPr>
      </w:pPr>
      <w:r w:rsidRPr="000F0044">
        <w:rPr>
          <w:rFonts w:ascii="Times New Roman" w:hAnsi="Times New Roman" w:cs="Times New Roman"/>
          <w:sz w:val="20"/>
          <w:szCs w:val="20"/>
        </w:rPr>
        <w:t>On peut remédier à certaines des lacunes procédurales de l’art. 488.1 par des méthodes comme la dissociation et l’interprétation large [48] J’estime plutôt qu’il convient de déclarer l’art. 488.1 inconstitutionnel et de l’annuler aux termes de l’art. </w:t>
      </w:r>
      <w:hyperlink r:id="rId22" w:anchor="art52" w:history="1">
        <w:r w:rsidRPr="000F0044">
          <w:rPr>
            <w:rStyle w:val="Lienhypertexte"/>
            <w:rFonts w:ascii="Times New Roman" w:hAnsi="Times New Roman" w:cs="Times New Roman"/>
            <w:sz w:val="20"/>
            <w:szCs w:val="20"/>
          </w:rPr>
          <w:t>52</w:t>
        </w:r>
      </w:hyperlink>
      <w:r w:rsidRPr="000F0044">
        <w:rPr>
          <w:rFonts w:ascii="Times New Roman" w:hAnsi="Times New Roman" w:cs="Times New Roman"/>
          <w:sz w:val="20"/>
          <w:szCs w:val="20"/>
        </w:rPr>
        <w:t xml:space="preserve"> de la </w:t>
      </w:r>
      <w:r w:rsidRPr="000F0044">
        <w:rPr>
          <w:rFonts w:ascii="Times New Roman" w:hAnsi="Times New Roman" w:cs="Times New Roman"/>
          <w:i/>
          <w:iCs/>
          <w:sz w:val="20"/>
          <w:szCs w:val="20"/>
        </w:rPr>
        <w:t>Loi constitutionnelle de 1982</w:t>
      </w:r>
      <w:r w:rsidRPr="000F0044">
        <w:rPr>
          <w:rFonts w:ascii="Times New Roman" w:hAnsi="Times New Roman" w:cs="Times New Roman"/>
          <w:sz w:val="20"/>
          <w:szCs w:val="20"/>
        </w:rPr>
        <w:t>. [48]</w:t>
      </w:r>
    </w:p>
    <w:p w14:paraId="5897B383" w14:textId="07277932" w:rsidR="000F0044" w:rsidRPr="000F0044" w:rsidRDefault="000F0044" w:rsidP="008E60F8">
      <w:pPr>
        <w:pStyle w:val="Paragraphedeliste"/>
        <w:numPr>
          <w:ilvl w:val="0"/>
          <w:numId w:val="58"/>
        </w:numPr>
        <w:jc w:val="both"/>
        <w:rPr>
          <w:rFonts w:ascii="Times New Roman" w:hAnsi="Times New Roman" w:cs="Times New Roman"/>
          <w:sz w:val="20"/>
          <w:szCs w:val="20"/>
        </w:rPr>
      </w:pPr>
      <w:r w:rsidRPr="000F0044">
        <w:rPr>
          <w:rFonts w:ascii="Times New Roman" w:hAnsi="Times New Roman" w:cs="Times New Roman"/>
          <w:sz w:val="20"/>
          <w:szCs w:val="20"/>
        </w:rPr>
        <w:t>Enfin, je tiens à répéter que, si le législateur décide de nouveau d’adopter un régime procédural dont l’application se limite à la perquisition dans des bureaux d’avocats, les juges de paix auront, par voie de conséquence, l’obligation de protéger le secret professionnel de l’avocat en appliquant les principes suivants concernant la délivrance des mandats de perquisition : </w:t>
      </w:r>
    </w:p>
    <w:p w14:paraId="625D73EB" w14:textId="72EBB768"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1.               Aucun mandat de perquisition ne peut être décerné relativement à des documents reconnus comme étant protégés par le secret professionnel de l’avocat. </w:t>
      </w:r>
    </w:p>
    <w:p w14:paraId="6C772072" w14:textId="6CCF7380"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2.               Avant de perquisitionner dans un bureau d’avocats, les autorités chargées de l’enquête doivent convaincre le juge saisi de la demande de mandat qu’il n’existe aucune solution de rechange raisonnable. </w:t>
      </w:r>
    </w:p>
    <w:p w14:paraId="6669D663" w14:textId="1A67D0C7"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3.               Lorsqu’il permet la perquisition dans un bureau d’avocats, le juge saisi de la demande de mandat doit être rigoureusement exigeant, de manière à conférer la plus grande protection possible à la confidentialité des communications entre client et avocat. </w:t>
      </w:r>
    </w:p>
    <w:p w14:paraId="4A02BEB3" w14:textId="1F0B0D71"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4.               Sauf lorsque le mandat autorise expressément l’analyse, la copie et la saisie immédiates d’un document précis, tous les documents en la possession d’un avocat doivent être scellés avant d’être examinés ou de lui être enlevés. </w:t>
      </w:r>
    </w:p>
    <w:p w14:paraId="430803BD" w14:textId="5952E673"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5.               Il faut faire tous les efforts possibles pour communiquer avec l’avocat et le client au moment de l’exécution du mandat de perquisition.  Lorsque l’avocat ou le client ne peut être joint, on devrait permettre à un représentant du Barreau de superviser la mise sous scellés et la saisie des documents. </w:t>
      </w:r>
    </w:p>
    <w:p w14:paraId="25844D04" w14:textId="77777777"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6.               L’enquêteur qui exécute le mandat doit rendre compte au juge de paix des efforts faits pour joindre tous les détenteurs potentiels du privilège, lesquels devraient ensuite avoir une occasion raisonnable de formuler une objection fondée sur le privilège et, si cette objection est contestée, de faire trancher la question par les tribunaux.</w:t>
      </w:r>
    </w:p>
    <w:p w14:paraId="5F8B66BF" w14:textId="77777777"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 </w:t>
      </w:r>
    </w:p>
    <w:p w14:paraId="2BDA56DA" w14:textId="6A9A2783"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7.               S’il est impossible d’aviser les détenteurs potentiels du privilège, l’avocat qui a la garde des documents saisis, ou un autre avocat nommé par le Barreau ou par la cour, doit examiner les documents pour déterminer si le privilège devrait être invoqué et doit avoir une occasion raisonnable de faire valoir ce privilège. </w:t>
      </w:r>
    </w:p>
    <w:p w14:paraId="70D36BA8" w14:textId="23DA2AD8"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8.               Le procureur général peut présenter des arguments sur la question du privilège, mais on ne devrait pas lui permettre d’examiner les documents à l’avance.  L’autorité poursuivante peut examiner les documents uniquement lorsqu’un juge conclut qu’ils ne sont pas privilégiés. </w:t>
      </w:r>
    </w:p>
    <w:p w14:paraId="214766A6" w14:textId="490B379E"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9.               Si les documents scellés sont jugés non privilégiés, ils peuvent être utilisés dans le cours normal de l’enquête. </w:t>
      </w:r>
    </w:p>
    <w:p w14:paraId="4B39C0A7" w14:textId="77777777" w:rsidR="000F0044" w:rsidRPr="000F0044" w:rsidRDefault="000F0044" w:rsidP="000F0044">
      <w:pPr>
        <w:pStyle w:val="Paragraphedeliste"/>
        <w:jc w:val="both"/>
        <w:rPr>
          <w:rFonts w:ascii="Times New Roman" w:hAnsi="Times New Roman" w:cs="Times New Roman"/>
          <w:sz w:val="20"/>
          <w:szCs w:val="20"/>
        </w:rPr>
      </w:pPr>
      <w:r w:rsidRPr="000F0044">
        <w:rPr>
          <w:rFonts w:ascii="Times New Roman" w:hAnsi="Times New Roman" w:cs="Times New Roman"/>
          <w:sz w:val="20"/>
          <w:szCs w:val="20"/>
        </w:rPr>
        <w:t>10.           Si les documents sont jugés privilégiés, ils doivent être retournés immédiatement au détenteur du privilège ou à une personne désignée par la cour.</w:t>
      </w:r>
    </w:p>
    <w:p w14:paraId="4E6174E6" w14:textId="77777777" w:rsidR="000F0044" w:rsidRDefault="000F0044" w:rsidP="000F0044">
      <w:pPr>
        <w:widowControl w:val="0"/>
        <w:autoSpaceDE w:val="0"/>
        <w:autoSpaceDN w:val="0"/>
        <w:adjustRightInd w:val="0"/>
        <w:spacing w:after="300"/>
        <w:jc w:val="both"/>
        <w:rPr>
          <w:rFonts w:ascii="Times New Roman" w:hAnsi="Times New Roman" w:cs="Times New Roman"/>
          <w:color w:val="3E3E3E"/>
          <w:sz w:val="22"/>
          <w:szCs w:val="22"/>
        </w:rPr>
      </w:pPr>
    </w:p>
    <w:p w14:paraId="3E709495" w14:textId="3C2AACFA" w:rsidR="000F0044" w:rsidRDefault="000F0044" w:rsidP="000F0044">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Concernant les sources journalistique ;</w:t>
      </w:r>
    </w:p>
    <w:p w14:paraId="4C3ACF35" w14:textId="4EBBD6F1" w:rsidR="000F0044" w:rsidRDefault="000F0044" w:rsidP="000F004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On doit tenir compte, outre des critères de l’affaire Hunter, de l’importance desdites sources. À cet effet, voir l’affaire National Post p.15.</w:t>
      </w:r>
    </w:p>
    <w:p w14:paraId="6B4D34E0" w14:textId="018F585F" w:rsidR="000F0044" w:rsidRPr="000F0044" w:rsidRDefault="000F0044" w:rsidP="008E60F8">
      <w:pPr>
        <w:pStyle w:val="Paragraphedeliste"/>
        <w:widowControl w:val="0"/>
        <w:numPr>
          <w:ilvl w:val="0"/>
          <w:numId w:val="59"/>
        </w:numPr>
        <w:autoSpaceDE w:val="0"/>
        <w:autoSpaceDN w:val="0"/>
        <w:adjustRightInd w:val="0"/>
        <w:spacing w:after="300"/>
        <w:jc w:val="both"/>
        <w:rPr>
          <w:rFonts w:ascii="Times New Roman" w:hAnsi="Times New Roman" w:cs="Times New Roman"/>
          <w:color w:val="3E3E3E"/>
          <w:sz w:val="20"/>
          <w:szCs w:val="20"/>
        </w:rPr>
      </w:pPr>
      <w:r w:rsidRPr="000F0044">
        <w:rPr>
          <w:rFonts w:ascii="Times New Roman" w:hAnsi="Times New Roman" w:cs="Times New Roman"/>
          <w:sz w:val="20"/>
          <w:szCs w:val="20"/>
        </w:rPr>
        <w:t>Compte tenu de ce qui précède, le droit devrait accepter — et accepte effectivement — que, dans certaines situations, l’intérêt public à protéger la source secrète contre toute divulgation l’emporte sur les autres intérêts publics — y compris la conduite d’enquêtes criminelles.  Dans de telles situations, les tribunaux reconnaissent l’existence d’une immunité contre la divulgation des sources auxquelles on a garanti la confidentialité [34 National Post].</w:t>
      </w:r>
    </w:p>
    <w:p w14:paraId="52BA5A36" w14:textId="2575AAF6" w:rsidR="00B76612" w:rsidRDefault="000F0044" w:rsidP="00B76612">
      <w:pPr>
        <w:widowControl w:val="0"/>
        <w:autoSpaceDE w:val="0"/>
        <w:autoSpaceDN w:val="0"/>
        <w:adjustRightInd w:val="0"/>
        <w:spacing w:after="300"/>
        <w:jc w:val="both"/>
        <w:rPr>
          <w:rFonts w:ascii="Times New Roman" w:hAnsi="Times New Roman" w:cs="Times New Roman"/>
          <w:color w:val="3E3E3E"/>
          <w:sz w:val="22"/>
          <w:szCs w:val="22"/>
        </w:rPr>
      </w:pPr>
      <w:r w:rsidRPr="000F0044">
        <w:rPr>
          <w:rFonts w:ascii="Times New Roman" w:hAnsi="Times New Roman" w:cs="Times New Roman"/>
          <w:color w:val="3E3E3E"/>
          <w:sz w:val="22"/>
          <w:szCs w:val="22"/>
        </w:rPr>
        <w:t>À cela, on doit ajouter la liberté de la presse garantie par l’article 2 de la Charte canadienne (p.16). Pour le reste de l’information sur cela, voir notes de cours</w:t>
      </w:r>
      <w:r>
        <w:rPr>
          <w:rFonts w:ascii="Times New Roman" w:hAnsi="Times New Roman" w:cs="Times New Roman"/>
          <w:color w:val="3E3E3E"/>
          <w:sz w:val="22"/>
          <w:szCs w:val="22"/>
        </w:rPr>
        <w:t>.</w:t>
      </w:r>
    </w:p>
    <w:p w14:paraId="2E2C5312" w14:textId="77777777" w:rsidR="00012D71" w:rsidRPr="00B76612" w:rsidRDefault="00012D71" w:rsidP="00B76612">
      <w:pPr>
        <w:widowControl w:val="0"/>
        <w:autoSpaceDE w:val="0"/>
        <w:autoSpaceDN w:val="0"/>
        <w:adjustRightInd w:val="0"/>
        <w:spacing w:after="300"/>
        <w:jc w:val="both"/>
        <w:rPr>
          <w:rFonts w:ascii="Times New Roman" w:hAnsi="Times New Roman" w:cs="Times New Roman"/>
          <w:color w:val="3E3E3E"/>
          <w:sz w:val="22"/>
          <w:szCs w:val="22"/>
        </w:rPr>
      </w:pPr>
    </w:p>
    <w:p w14:paraId="5223BB35" w14:textId="0C1A3C8C" w:rsidR="00B76612" w:rsidRP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D.    Autres situations particulières (des critères moins élevés que Hunter)</w:t>
      </w:r>
      <w:r w:rsidR="000F0044">
        <w:rPr>
          <w:rFonts w:ascii="Times New Roman" w:hAnsi="Times New Roman" w:cs="Times New Roman"/>
          <w:b/>
          <w:color w:val="3E3E3E"/>
          <w:sz w:val="22"/>
          <w:szCs w:val="22"/>
        </w:rPr>
        <w:t xml:space="preserve"> (p.19)</w:t>
      </w:r>
    </w:p>
    <w:p w14:paraId="3FD1C82E"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1.     Fouille fondée sur un soupçon raisonnable</w:t>
      </w:r>
      <w:r>
        <w:rPr>
          <w:rFonts w:ascii="Times New Roman" w:hAnsi="Times New Roman" w:cs="Times New Roman"/>
          <w:color w:val="3E3E3E"/>
          <w:sz w:val="22"/>
          <w:szCs w:val="22"/>
        </w:rPr>
        <w:t> ;</w:t>
      </w:r>
    </w:p>
    <w:p w14:paraId="6591899E" w14:textId="10AE0BB7" w:rsidR="000F0044" w:rsidRDefault="000F0044"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loi prévoit certain cas, notamment</w:t>
      </w:r>
      <w:r w:rsidR="00A47748">
        <w:rPr>
          <w:rFonts w:ascii="Times New Roman" w:hAnsi="Times New Roman" w:cs="Times New Roman"/>
          <w:color w:val="3E3E3E"/>
          <w:sz w:val="22"/>
          <w:szCs w:val="22"/>
        </w:rPr>
        <w:t xml:space="preserve"> les articles 254(2)c.cr. ; 492.1C.cr., etc.</w:t>
      </w:r>
    </w:p>
    <w:p w14:paraId="531967C0" w14:textId="3C158CCB" w:rsidR="00A47748" w:rsidRDefault="00A47748"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Kang-Brown 2008 :</w:t>
      </w:r>
    </w:p>
    <w:p w14:paraId="21C71B98" w14:textId="5027C38D" w:rsidR="00A47748" w:rsidRDefault="00A47748"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CSC nous donne la définition de ce qu’est un soupçon raisonnable</w:t>
      </w:r>
    </w:p>
    <w:p w14:paraId="30127BE5" w14:textId="45E3CB56" w:rsidR="00A47748" w:rsidRPr="00A47748" w:rsidRDefault="00A47748" w:rsidP="008E60F8">
      <w:pPr>
        <w:pStyle w:val="Paragraphedeliste"/>
        <w:widowControl w:val="0"/>
        <w:numPr>
          <w:ilvl w:val="0"/>
          <w:numId w:val="59"/>
        </w:numPr>
        <w:autoSpaceDE w:val="0"/>
        <w:autoSpaceDN w:val="0"/>
        <w:adjustRightInd w:val="0"/>
        <w:spacing w:after="300"/>
        <w:jc w:val="both"/>
        <w:rPr>
          <w:rFonts w:ascii="Times New Roman" w:hAnsi="Times New Roman" w:cs="Times New Roman"/>
          <w:color w:val="3E3E3E"/>
          <w:sz w:val="20"/>
          <w:szCs w:val="20"/>
        </w:rPr>
      </w:pPr>
      <w:r w:rsidRPr="00A47748">
        <w:rPr>
          <w:rFonts w:ascii="Times New Roman" w:hAnsi="Times New Roman" w:cs="Times New Roman"/>
          <w:b/>
          <w:sz w:val="20"/>
          <w:szCs w:val="20"/>
        </w:rPr>
        <w:t xml:space="preserve">La norme des « soupçons raisonnables » n’est pas une nouvelle norme juridique créée pour les besoins de la présente affaire.  Les « soupçons » sont une impression que l’individu ciblé se livre à une activité criminelle.  Les soupçons « raisonnables » sont plus que de simples soupçons, mais ils ne correspondent pas à une croyance fondée sur des motifs raisonnables et probables [75] </w:t>
      </w:r>
      <w:r w:rsidRPr="00A47748">
        <w:rPr>
          <w:rFonts w:ascii="Times New Roman" w:hAnsi="Times New Roman" w:cs="Times New Roman"/>
          <w:sz w:val="20"/>
          <w:szCs w:val="20"/>
        </w:rPr>
        <w:t>L]a distinction fondamentale entre un simple soupçon et un soupçon raisonnable tient au fait que, dans ce dernier cas, une croyance subjective sincère ne suffit pas.  Pour justifier une fouille ou une perquisition, il faut plutôt que les soupçons reposent sur des éléments factuels pouvant être présentés en preuve et faire l’objet d’une appréciation judiciaire indépendante.</w:t>
      </w:r>
    </w:p>
    <w:p w14:paraId="58BC2BA9" w14:textId="34559091" w:rsidR="00A47748" w:rsidRPr="00A47748" w:rsidRDefault="00A47748" w:rsidP="008E60F8">
      <w:pPr>
        <w:pStyle w:val="Paragraphedeliste"/>
        <w:widowControl w:val="0"/>
        <w:numPr>
          <w:ilvl w:val="0"/>
          <w:numId w:val="59"/>
        </w:numPr>
        <w:autoSpaceDE w:val="0"/>
        <w:autoSpaceDN w:val="0"/>
        <w:adjustRightInd w:val="0"/>
        <w:spacing w:after="300"/>
        <w:jc w:val="both"/>
        <w:rPr>
          <w:rFonts w:ascii="Times New Roman" w:hAnsi="Times New Roman" w:cs="Times New Roman"/>
          <w:color w:val="3E3E3E"/>
          <w:sz w:val="20"/>
          <w:szCs w:val="20"/>
        </w:rPr>
      </w:pPr>
      <w:r w:rsidRPr="00A47748">
        <w:rPr>
          <w:rFonts w:ascii="Times New Roman" w:hAnsi="Times New Roman" w:cs="Times New Roman"/>
          <w:sz w:val="20"/>
          <w:szCs w:val="20"/>
        </w:rPr>
        <w:t>Ce qui distingue les « soupçons raisonnables » de la norme plus stricte des « motifs raisonnables et probables » est simplement le degré de probabilité qu’une personne se livre à une activité criminelle, et non l’existence de faits objectivement vérifiables, qui, dans les deux cas, sont nécessaires pour justifier la fouille ou la perquisition.</w:t>
      </w:r>
    </w:p>
    <w:p w14:paraId="5197D3CE" w14:textId="2BBD863C" w:rsidR="00A47748" w:rsidRDefault="00A47748" w:rsidP="00A4774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Au surplus, l</w:t>
      </w:r>
      <w:r>
        <w:rPr>
          <w:rFonts w:ascii="Times New Roman" w:hAnsi="Times New Roman" w:cs="Times New Roman"/>
          <w:b/>
          <w:color w:val="3E3E3E"/>
          <w:sz w:val="22"/>
          <w:szCs w:val="22"/>
        </w:rPr>
        <w:t>’affaire Mann 2004 et R. c. A.M 2008</w:t>
      </w:r>
      <w:r>
        <w:rPr>
          <w:rFonts w:ascii="Times New Roman" w:hAnsi="Times New Roman" w:cs="Times New Roman"/>
          <w:color w:val="3E3E3E"/>
          <w:sz w:val="22"/>
          <w:szCs w:val="22"/>
        </w:rPr>
        <w:t xml:space="preserve"> vient nous dire que l’intuition n’est pas suffisante, même si elle est fondée sur l’expérience.</w:t>
      </w:r>
    </w:p>
    <w:p w14:paraId="2F632495" w14:textId="3512E3A8" w:rsidR="00A47748" w:rsidRPr="00A47748" w:rsidRDefault="00A47748" w:rsidP="008E60F8">
      <w:pPr>
        <w:pStyle w:val="Paragraphedeliste"/>
        <w:widowControl w:val="0"/>
        <w:numPr>
          <w:ilvl w:val="0"/>
          <w:numId w:val="60"/>
        </w:numPr>
        <w:autoSpaceDE w:val="0"/>
        <w:autoSpaceDN w:val="0"/>
        <w:adjustRightInd w:val="0"/>
        <w:spacing w:after="300"/>
        <w:jc w:val="both"/>
        <w:rPr>
          <w:rFonts w:ascii="Times New Roman" w:hAnsi="Times New Roman" w:cs="Times New Roman"/>
          <w:color w:val="3E3E3E"/>
          <w:sz w:val="22"/>
          <w:szCs w:val="22"/>
        </w:rPr>
      </w:pPr>
      <w:r w:rsidRPr="00626991">
        <w:rPr>
          <w:rFonts w:ascii="Times New Roman" w:hAnsi="Times New Roman" w:cs="Times New Roman"/>
          <w:sz w:val="22"/>
          <w:szCs w:val="22"/>
        </w:rPr>
        <w:t xml:space="preserve">Une « supposition raisonnablement fondée sur l’expérience » ne suffit pas non plus pour constituer un soupçon raisonnable.  Le ministère public n’a pas démontré que la conclusion de fait du juge du tribunal pour adolescents était erronée.  Je dois par conséquent conclure que, même si l’on peut effectuer sans mandat une fouille avec un chien renifleur lorsque l’existence de motifs d’avoir des soupçons raisonnables est démontrée, en l’espèce, la fouille des effets personnels des élèves par le chien renifleur a violé les droits garantis aux élèves par l’art. 8 de la </w:t>
      </w:r>
      <w:r w:rsidRPr="00626991">
        <w:rPr>
          <w:rFonts w:ascii="Times New Roman" w:hAnsi="Times New Roman" w:cs="Times New Roman"/>
          <w:i/>
          <w:iCs/>
          <w:sz w:val="22"/>
          <w:szCs w:val="22"/>
        </w:rPr>
        <w:t>Charte</w:t>
      </w:r>
      <w:r>
        <w:rPr>
          <w:rFonts w:ascii="Times New Roman" w:hAnsi="Times New Roman" w:cs="Times New Roman"/>
          <w:i/>
          <w:iCs/>
          <w:sz w:val="22"/>
          <w:szCs w:val="22"/>
        </w:rPr>
        <w:t>. (A.M.).</w:t>
      </w:r>
    </w:p>
    <w:p w14:paraId="30B47734" w14:textId="24FD48AB" w:rsidR="00A47748" w:rsidRPr="00A47748" w:rsidRDefault="00A47748" w:rsidP="00A4774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Enfin, il faut bien lire les dipositions suivantes : 492.1, 492.2 et 487.013 C.cr.</w:t>
      </w:r>
    </w:p>
    <w:p w14:paraId="6DF96413"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p>
    <w:p w14:paraId="1381252A"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A47748">
        <w:rPr>
          <w:rFonts w:ascii="Times New Roman" w:hAnsi="Times New Roman" w:cs="Times New Roman"/>
          <w:b/>
          <w:color w:val="3E3E3E"/>
          <w:sz w:val="22"/>
          <w:szCs w:val="22"/>
        </w:rPr>
        <w:t>2.     Fouille consécutive à une arrestation (ou à une détention</w:t>
      </w:r>
      <w:r w:rsidRPr="00B76612">
        <w:rPr>
          <w:rFonts w:ascii="Times New Roman" w:hAnsi="Times New Roman" w:cs="Times New Roman"/>
          <w:color w:val="3E3E3E"/>
          <w:sz w:val="22"/>
          <w:szCs w:val="22"/>
        </w:rPr>
        <w:t>)</w:t>
      </w:r>
      <w:r>
        <w:rPr>
          <w:rFonts w:ascii="Times New Roman" w:hAnsi="Times New Roman" w:cs="Times New Roman"/>
          <w:color w:val="3E3E3E"/>
          <w:sz w:val="22"/>
          <w:szCs w:val="22"/>
        </w:rPr>
        <w:t> ;</w:t>
      </w:r>
    </w:p>
    <w:p w14:paraId="5C7B8443" w14:textId="29079947" w:rsidR="00B76612" w:rsidRPr="00B76612" w:rsidRDefault="00A47748"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L’article 254C.cr. est un bel exemple.</w:t>
      </w:r>
    </w:p>
    <w:p w14:paraId="098DED89"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8B4BE1">
        <w:rPr>
          <w:rFonts w:ascii="Times New Roman" w:hAnsi="Times New Roman" w:cs="Times New Roman"/>
          <w:b/>
          <w:color w:val="3E3E3E"/>
          <w:sz w:val="22"/>
          <w:szCs w:val="22"/>
        </w:rPr>
        <w:t>3.     Autres fouilles </w:t>
      </w:r>
      <w:r>
        <w:rPr>
          <w:rFonts w:ascii="Times New Roman" w:hAnsi="Times New Roman" w:cs="Times New Roman"/>
          <w:color w:val="3E3E3E"/>
          <w:sz w:val="22"/>
          <w:szCs w:val="22"/>
        </w:rPr>
        <w:t>;</w:t>
      </w:r>
    </w:p>
    <w:p w14:paraId="24DE6987" w14:textId="6DF072E9"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a)    En vertu de la loi</w:t>
      </w:r>
      <w:r w:rsidR="00A47748">
        <w:rPr>
          <w:rFonts w:ascii="Times New Roman" w:hAnsi="Times New Roman" w:cs="Times New Roman"/>
          <w:color w:val="3E3E3E"/>
          <w:sz w:val="22"/>
          <w:szCs w:val="22"/>
        </w:rPr>
        <w:t xml:space="preserve"> (fouilles réglementaires ou administratives)</w:t>
      </w:r>
      <w:r w:rsidR="008B4BE1">
        <w:rPr>
          <w:rFonts w:ascii="Times New Roman" w:hAnsi="Times New Roman" w:cs="Times New Roman"/>
          <w:color w:val="3E3E3E"/>
          <w:sz w:val="22"/>
          <w:szCs w:val="22"/>
        </w:rPr>
        <w:t> :</w:t>
      </w:r>
    </w:p>
    <w:p w14:paraId="3C7543C4" w14:textId="62FCC1BA" w:rsidR="008B4BE1" w:rsidRDefault="008B4BE1"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Thomson newspapers c. Canada (p.21) :</w:t>
      </w:r>
    </w:p>
    <w:p w14:paraId="15A0E459" w14:textId="341E3027" w:rsidR="008B4BE1" w:rsidRDefault="008B4BE1"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 somme, selon le prof, la Charte n’entrera pas en application lorsque la fouille n’aura pas un caractère pénale, issu d’un débat contradictoire.</w:t>
      </w:r>
    </w:p>
    <w:p w14:paraId="4E126E4C" w14:textId="45A445D6" w:rsidR="008B4BE1" w:rsidRPr="008B4BE1" w:rsidRDefault="008B4BE1" w:rsidP="008E60F8">
      <w:pPr>
        <w:pStyle w:val="Paragraphedeliste"/>
        <w:widowControl w:val="0"/>
        <w:numPr>
          <w:ilvl w:val="0"/>
          <w:numId w:val="60"/>
        </w:numPr>
        <w:autoSpaceDE w:val="0"/>
        <w:autoSpaceDN w:val="0"/>
        <w:adjustRightInd w:val="0"/>
        <w:spacing w:after="300"/>
        <w:jc w:val="both"/>
        <w:rPr>
          <w:rFonts w:ascii="Times New Roman" w:hAnsi="Times New Roman" w:cs="Times New Roman"/>
          <w:color w:val="3E3E3E"/>
          <w:sz w:val="20"/>
          <w:szCs w:val="20"/>
        </w:rPr>
      </w:pPr>
      <w:r w:rsidRPr="008B4BE1">
        <w:rPr>
          <w:rFonts w:ascii="Times New Roman" w:hAnsi="Times New Roman" w:cs="Times New Roman"/>
          <w:sz w:val="20"/>
          <w:szCs w:val="20"/>
        </w:rPr>
        <w:t>Depuis l'adoption de la</w:t>
      </w:r>
      <w:r w:rsidRPr="008B4BE1">
        <w:rPr>
          <w:rFonts w:ascii="Times New Roman" w:hAnsi="Times New Roman" w:cs="Times New Roman"/>
          <w:i/>
          <w:iCs/>
          <w:sz w:val="20"/>
          <w:szCs w:val="20"/>
        </w:rPr>
        <w:t xml:space="preserve"> Charte</w:t>
      </w:r>
      <w:r w:rsidRPr="008B4BE1">
        <w:rPr>
          <w:rFonts w:ascii="Times New Roman" w:hAnsi="Times New Roman" w:cs="Times New Roman"/>
          <w:sz w:val="20"/>
          <w:szCs w:val="20"/>
        </w:rPr>
        <w:t>, les tribunaux canadiens ont répété à maintes reprises que la norme du caractère raisonnable applicable dans le cas des fouilles, des perquisitions ou des saisies effectuées dans le cadre de la mise en application du droit criminel ne sera généralement pas appropriée pour déterminer le caractère raisonnable dans le contexte administratif ou réglementaire.</w:t>
      </w:r>
    </w:p>
    <w:p w14:paraId="64568911" w14:textId="3EDBFC77" w:rsidR="008B4BE1" w:rsidRPr="008B4BE1" w:rsidRDefault="008B4BE1" w:rsidP="008E60F8">
      <w:pPr>
        <w:pStyle w:val="Paragraphedeliste"/>
        <w:widowControl w:val="0"/>
        <w:numPr>
          <w:ilvl w:val="0"/>
          <w:numId w:val="60"/>
        </w:numPr>
        <w:autoSpaceDE w:val="0"/>
        <w:autoSpaceDN w:val="0"/>
        <w:adjustRightInd w:val="0"/>
        <w:spacing w:after="300"/>
        <w:jc w:val="both"/>
        <w:rPr>
          <w:rFonts w:ascii="Times New Roman" w:hAnsi="Times New Roman" w:cs="Times New Roman"/>
          <w:color w:val="3E3E3E"/>
          <w:sz w:val="20"/>
          <w:szCs w:val="20"/>
        </w:rPr>
      </w:pPr>
      <w:r w:rsidRPr="00CB47EA">
        <w:rPr>
          <w:rFonts w:ascii="Times New Roman" w:hAnsi="Times New Roman" w:cs="Times New Roman"/>
          <w:b/>
          <w:sz w:val="20"/>
          <w:szCs w:val="20"/>
        </w:rPr>
        <w:t>L'application d'une norme du caractère raisonnable moins sévère et plus souple dans le cas des fouilles, des perquisitions et des saisies en matière administrative ou réglementaire est tout à fait conforme à une interprétation fondée sur l'objet de l'art. 8. </w:t>
      </w:r>
      <w:r w:rsidRPr="00CB47EA">
        <w:rPr>
          <w:rFonts w:ascii="Times New Roman" w:hAnsi="Times New Roman" w:cs="Times New Roman"/>
          <w:sz w:val="20"/>
          <w:szCs w:val="20"/>
        </w:rPr>
        <w:t xml:space="preserve"> Comme le juge Dickson l'a dit clairement dans l'arrêt</w:t>
      </w:r>
      <w:r w:rsidRPr="00CB47EA">
        <w:rPr>
          <w:rFonts w:ascii="Times New Roman" w:hAnsi="Times New Roman" w:cs="Times New Roman"/>
          <w:i/>
          <w:iCs/>
          <w:sz w:val="20"/>
          <w:szCs w:val="20"/>
        </w:rPr>
        <w:t xml:space="preserve"> Hunter c. Southam Inc.</w:t>
      </w:r>
      <w:r w:rsidRPr="00CB47EA">
        <w:rPr>
          <w:rFonts w:ascii="Times New Roman" w:hAnsi="Times New Roman" w:cs="Times New Roman"/>
          <w:sz w:val="20"/>
          <w:szCs w:val="20"/>
        </w:rPr>
        <w:t xml:space="preserve">, </w:t>
      </w:r>
      <w:hyperlink r:id="rId23" w:history="1">
        <w:r w:rsidRPr="00CB47EA">
          <w:rPr>
            <w:rStyle w:val="Lienhypertexte"/>
            <w:rFonts w:ascii="Times New Roman" w:hAnsi="Times New Roman" w:cs="Times New Roman"/>
            <w:sz w:val="20"/>
            <w:szCs w:val="20"/>
          </w:rPr>
          <w:t>1984 CanLII 33 (CSC)</w:t>
        </w:r>
      </w:hyperlink>
      <w:r w:rsidRPr="00CB47EA">
        <w:rPr>
          <w:rFonts w:ascii="Times New Roman" w:hAnsi="Times New Roman" w:cs="Times New Roman"/>
          <w:sz w:val="20"/>
          <w:szCs w:val="20"/>
        </w:rPr>
        <w:t>, [1984]</w:t>
      </w:r>
      <w:r>
        <w:rPr>
          <w:rFonts w:ascii="Times New Roman" w:hAnsi="Times New Roman" w:cs="Times New Roman"/>
          <w:sz w:val="20"/>
          <w:szCs w:val="20"/>
        </w:rPr>
        <w:t>.</w:t>
      </w:r>
    </w:p>
    <w:p w14:paraId="1E6C6143" w14:textId="6048AC71" w:rsidR="008B4BE1" w:rsidRPr="008B4BE1" w:rsidRDefault="008B4BE1" w:rsidP="008E60F8">
      <w:pPr>
        <w:pStyle w:val="Paragraphedeliste"/>
        <w:widowControl w:val="0"/>
        <w:numPr>
          <w:ilvl w:val="0"/>
          <w:numId w:val="60"/>
        </w:numPr>
        <w:autoSpaceDE w:val="0"/>
        <w:autoSpaceDN w:val="0"/>
        <w:adjustRightInd w:val="0"/>
        <w:spacing w:after="300"/>
        <w:jc w:val="both"/>
        <w:rPr>
          <w:rFonts w:ascii="Times New Roman" w:hAnsi="Times New Roman" w:cs="Times New Roman"/>
          <w:color w:val="3E3E3E"/>
          <w:sz w:val="20"/>
          <w:szCs w:val="20"/>
        </w:rPr>
      </w:pPr>
      <w:r w:rsidRPr="00CB47EA">
        <w:rPr>
          <w:rFonts w:ascii="Times New Roman" w:hAnsi="Times New Roman" w:cs="Times New Roman"/>
          <w:b/>
          <w:sz w:val="20"/>
          <w:szCs w:val="20"/>
        </w:rPr>
        <w:t>Dans une société industrielle moderne, on reconnaît généralement que de nombreuses activités auxquelles peuvent se livrer des particuliers doivent malgré tout être plus ou moins réglementées par l'État pour veiller à ce que la poursuite des intérêts des particuliers soit compatible avec les intérêts de la collectivité dans la réalisation des buts et des aspirations collectifs.  Dans de nombreux cas, cette réglementation doit nécessairement comporter l'inspection de lieux ou de documents de nature privée par des fonctionnaires de l'État</w:t>
      </w:r>
      <w:r>
        <w:rPr>
          <w:rFonts w:ascii="Times New Roman" w:hAnsi="Times New Roman" w:cs="Times New Roman"/>
          <w:b/>
          <w:sz w:val="20"/>
          <w:szCs w:val="20"/>
        </w:rPr>
        <w:t>.</w:t>
      </w:r>
    </w:p>
    <w:p w14:paraId="63401F58" w14:textId="34128596" w:rsidR="008B4BE1" w:rsidRPr="008B4BE1" w:rsidRDefault="008B4BE1" w:rsidP="008E60F8">
      <w:pPr>
        <w:pStyle w:val="Paragraphedeliste"/>
        <w:widowControl w:val="0"/>
        <w:numPr>
          <w:ilvl w:val="0"/>
          <w:numId w:val="60"/>
        </w:numPr>
        <w:autoSpaceDE w:val="0"/>
        <w:autoSpaceDN w:val="0"/>
        <w:adjustRightInd w:val="0"/>
        <w:spacing w:after="300"/>
        <w:jc w:val="both"/>
        <w:rPr>
          <w:rFonts w:ascii="Times New Roman" w:hAnsi="Times New Roman" w:cs="Times New Roman"/>
          <w:color w:val="3E3E3E"/>
          <w:sz w:val="20"/>
          <w:szCs w:val="20"/>
        </w:rPr>
      </w:pPr>
      <w:r w:rsidRPr="008B4BE1">
        <w:rPr>
          <w:rFonts w:ascii="Times New Roman" w:hAnsi="Times New Roman" w:cs="Times New Roman"/>
          <w:sz w:val="20"/>
          <w:szCs w:val="20"/>
        </w:rPr>
        <w:t>La situation est évidemment très différente lorsque l'État cherche à obtenir des renseignements non pas dans le cadre de la réglementation d'une activité sociale ou commerciale légale, mais au cours d'une enquête relative à une infraction criminelle.</w:t>
      </w:r>
    </w:p>
    <w:p w14:paraId="3A2EE4F6" w14:textId="69F66AD7" w:rsidR="008B4BE1" w:rsidRDefault="008B4BE1" w:rsidP="008B4BE1">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Jarvis 2002 (p.22) :</w:t>
      </w:r>
    </w:p>
    <w:p w14:paraId="2D6DA388" w14:textId="387FCCF4" w:rsidR="008B4BE1" w:rsidRPr="008B4BE1" w:rsidRDefault="008B4BE1" w:rsidP="008E60F8">
      <w:pPr>
        <w:pStyle w:val="Paragraphedeliste"/>
        <w:widowControl w:val="0"/>
        <w:numPr>
          <w:ilvl w:val="0"/>
          <w:numId w:val="61"/>
        </w:numPr>
        <w:autoSpaceDE w:val="0"/>
        <w:autoSpaceDN w:val="0"/>
        <w:adjustRightInd w:val="0"/>
        <w:spacing w:after="300"/>
        <w:jc w:val="both"/>
        <w:rPr>
          <w:rFonts w:ascii="Times New Roman" w:hAnsi="Times New Roman" w:cs="Times New Roman"/>
          <w:color w:val="3E3E3E"/>
          <w:sz w:val="22"/>
          <w:szCs w:val="22"/>
        </w:rPr>
      </w:pPr>
      <w:r w:rsidRPr="00CB47EA">
        <w:rPr>
          <w:rFonts w:ascii="Times New Roman" w:hAnsi="Times New Roman" w:cs="Times New Roman"/>
          <w:sz w:val="20"/>
          <w:szCs w:val="20"/>
        </w:rPr>
        <w:t>À notre avis, lorsqu’un examen dans un cas particulier a pour objet prédominant d’établir la responsabilité pénale du contribuable, les fonctionnaires de l’ADRC doivent renoncer à leur faculté d’utiliser les pouvoirs d’inspection et de demande péremptoire que leur confèrent les par. 231.1(1) et 231.2(1).  Essentiellement, les fonctionnaires [TRADUCTION] « franchissent le Rubicon » lorsque l’examen crée la relation contradictoire entre le contribuable et l’État.  Il n’existe pas de méthode claire pour décider si tel est le cas.  Pour déterminer si l’objet prédominant d’un examen consiste à établir la responsabilité pénale du contribuable, il faut plutôt examiner l’ensemble des facteurs qui ont une incidence sur la nature de cet examen. </w:t>
      </w:r>
      <w:r>
        <w:rPr>
          <w:rFonts w:ascii="Times New Roman" w:hAnsi="Times New Roman" w:cs="Times New Roman"/>
          <w:sz w:val="20"/>
          <w:szCs w:val="20"/>
        </w:rPr>
        <w:t>[88].</w:t>
      </w:r>
    </w:p>
    <w:p w14:paraId="7A08A3C6" w14:textId="365164AC" w:rsidR="008B4BE1" w:rsidRPr="009A685C" w:rsidRDefault="009A685C" w:rsidP="009A685C">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Voir les [88 et s,] pour plus d’information sur cela.</w:t>
      </w:r>
    </w:p>
    <w:p w14:paraId="038321D6"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b)   Les frontières et les transports publics.</w:t>
      </w:r>
    </w:p>
    <w:p w14:paraId="22BF6234" w14:textId="207368A2" w:rsidR="009A685C" w:rsidRDefault="009A685C"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Aux frontières, les personnes qui traversent les frontières canadiennes réduisent de fait leur expectative de vie privée. Voir [55] R. c. Simmons 1988 (p.25).</w:t>
      </w:r>
    </w:p>
    <w:p w14:paraId="0B719BD1" w14:textId="0E1E1F09" w:rsidR="009A685C" w:rsidRDefault="009A685C"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Simmons 1988 :</w:t>
      </w:r>
    </w:p>
    <w:p w14:paraId="3499537E" w14:textId="7A7915C4" w:rsidR="009A685C" w:rsidRPr="0027768A" w:rsidRDefault="009A685C" w:rsidP="008E60F8">
      <w:pPr>
        <w:pStyle w:val="Paragraphedeliste"/>
        <w:widowControl w:val="0"/>
        <w:numPr>
          <w:ilvl w:val="0"/>
          <w:numId w:val="61"/>
        </w:numPr>
        <w:autoSpaceDE w:val="0"/>
        <w:autoSpaceDN w:val="0"/>
        <w:adjustRightInd w:val="0"/>
        <w:spacing w:after="300"/>
        <w:jc w:val="both"/>
        <w:rPr>
          <w:rFonts w:ascii="Times New Roman" w:hAnsi="Times New Roman" w:cs="Times New Roman"/>
          <w:color w:val="3E3E3E"/>
          <w:sz w:val="22"/>
          <w:szCs w:val="22"/>
        </w:rPr>
      </w:pPr>
      <w:r w:rsidRPr="00791295">
        <w:rPr>
          <w:rFonts w:ascii="Times New Roman" w:hAnsi="Times New Roman" w:cs="Times New Roman"/>
          <w:sz w:val="20"/>
          <w:szCs w:val="20"/>
        </w:rPr>
        <w:t>À mon avis, les intérêts des États, énoncés dans la jurisprudence américaine, qui sont censés conférer aux fouilles effectuées à la frontière un caractère raisonnable, ne diffèrent pas en principe des intérêts nationaux qui sont en jeu dans le cadre des fouilles effectuées aux douanes canadiennes pour trouver des stupéfiants illégaux. La nécessité d'assurer sa propre protection devient un élément déterminant du calcul effectué</w:t>
      </w:r>
      <w:r>
        <w:rPr>
          <w:rFonts w:ascii="Times New Roman" w:hAnsi="Times New Roman" w:cs="Times New Roman"/>
          <w:sz w:val="20"/>
          <w:szCs w:val="20"/>
        </w:rPr>
        <w:t xml:space="preserve"> [51].</w:t>
      </w:r>
    </w:p>
    <w:p w14:paraId="362B75AF" w14:textId="2E38D154" w:rsidR="0027768A" w:rsidRPr="0027768A" w:rsidRDefault="0027768A" w:rsidP="008E60F8">
      <w:pPr>
        <w:pStyle w:val="Paragraphedeliste"/>
        <w:widowControl w:val="0"/>
        <w:numPr>
          <w:ilvl w:val="0"/>
          <w:numId w:val="61"/>
        </w:numPr>
        <w:autoSpaceDE w:val="0"/>
        <w:autoSpaceDN w:val="0"/>
        <w:adjustRightInd w:val="0"/>
        <w:spacing w:after="300"/>
        <w:jc w:val="both"/>
        <w:rPr>
          <w:rFonts w:ascii="Times New Roman" w:hAnsi="Times New Roman" w:cs="Times New Roman"/>
          <w:color w:val="3E3E3E"/>
          <w:sz w:val="20"/>
          <w:szCs w:val="20"/>
        </w:rPr>
      </w:pPr>
      <w:r w:rsidRPr="0027768A">
        <w:rPr>
          <w:rFonts w:ascii="Times New Roman" w:hAnsi="Times New Roman" w:cs="Times New Roman"/>
          <w:sz w:val="20"/>
          <w:szCs w:val="20"/>
        </w:rPr>
        <w:t>   J'accepte la proposition de la poursuite que les attentes raisonnables en matière de vie privée sont moindres aux douanes que dans la plupart des autres situations. En effet, les gens ne s'attendent pas à traverser les frontières internationales sans faire l'objet d'une vérification. Il est communément reconnu que les États souverains ont le droit de contrôler à la fois les personnes et les effets qui entrent dans leur territoire. On s'attend à ce que l'État joue ce rôle pour le bien</w:t>
      </w:r>
      <w:r w:rsidRPr="0027768A">
        <w:rPr>
          <w:rFonts w:ascii="American Typewriter" w:hAnsi="American Typewriter" w:cs="American Typewriter"/>
          <w:sz w:val="20"/>
          <w:szCs w:val="20"/>
        </w:rPr>
        <w:t>‑</w:t>
      </w:r>
      <w:r w:rsidRPr="0027768A">
        <w:rPr>
          <w:rFonts w:ascii="Times New Roman" w:hAnsi="Times New Roman" w:cs="Times New Roman"/>
          <w:sz w:val="20"/>
          <w:szCs w:val="20"/>
        </w:rPr>
        <w:t>être général de la nation. Or, s'il était incapable d'établir que tous ceux qui cherchent à traverser ses frontières ainsi que leurs effets peuvent légalement pénétrer dans son territoire, l'État ne pourrait pas remplir cette fonction éminemment importante. Conséquemment, les voyageurs qui cherchent à traverser des frontières internationales s'attendent parfaitement à faire l'objet d'un processus d'examen. Ce processus se caractérise par la production des pièces d'identité et des documents de voyage requis, et il implique une fouille qui commence par la déclaration de tous les effets apportés dans le pays concerné. L'examen des bagages et des personnes est un aspect accepté du processus de fouille lorsqu'il existe des motifs de soupçonner qu'une personne a fait une fausse déclaration et transporte avec elle des effets prohibés. [52].</w:t>
      </w:r>
    </w:p>
    <w:p w14:paraId="0BBEB5CC" w14:textId="76736EC8" w:rsidR="0027768A" w:rsidRPr="0027768A" w:rsidRDefault="0027768A" w:rsidP="008E60F8">
      <w:pPr>
        <w:pStyle w:val="Paragraphedeliste"/>
        <w:widowControl w:val="0"/>
        <w:numPr>
          <w:ilvl w:val="0"/>
          <w:numId w:val="61"/>
        </w:numPr>
        <w:autoSpaceDE w:val="0"/>
        <w:autoSpaceDN w:val="0"/>
        <w:adjustRightInd w:val="0"/>
        <w:spacing w:after="300"/>
        <w:jc w:val="both"/>
        <w:rPr>
          <w:rFonts w:ascii="Times New Roman" w:hAnsi="Times New Roman" w:cs="Times New Roman"/>
          <w:color w:val="3E3E3E"/>
          <w:sz w:val="20"/>
          <w:szCs w:val="20"/>
        </w:rPr>
      </w:pPr>
      <w:r w:rsidRPr="00447DBB">
        <w:rPr>
          <w:rFonts w:ascii="Times New Roman" w:hAnsi="Times New Roman" w:cs="Times New Roman"/>
          <w:sz w:val="20"/>
          <w:szCs w:val="20"/>
        </w:rPr>
        <w:t>À mon sens, l'interrogatoire de routine auquel procèdent les agents des douanes, l'examen des bagages, la fouille par palpation et la nécessité de retirer en privé suffisamment de vêtements pour permettre l'examen des renflements corporels suspects</w:t>
      </w:r>
      <w:r>
        <w:rPr>
          <w:rFonts w:ascii="Times New Roman" w:hAnsi="Times New Roman" w:cs="Times New Roman"/>
          <w:sz w:val="20"/>
          <w:szCs w:val="20"/>
        </w:rPr>
        <w:t xml:space="preserve"> [53].</w:t>
      </w:r>
    </w:p>
    <w:p w14:paraId="22C51E73" w14:textId="31C14404" w:rsidR="0027768A" w:rsidRDefault="0027768A" w:rsidP="0027768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Malgré cela, on peut toujours contester la manière abusive dont la fouille a été conduite, même si le caractère non-abusive de la fouille est prouvé, comme en l’espèce par la Loi sur les douanes, il reste qu’on peut toujours contester la manière dont celle-ci, la fouille, a été conduite. Voir [56].</w:t>
      </w:r>
    </w:p>
    <w:p w14:paraId="0DE52548" w14:textId="1E5FBB12" w:rsidR="0027768A" w:rsidRDefault="0027768A" w:rsidP="0027768A">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Monney 1999 (p.26) :</w:t>
      </w:r>
    </w:p>
    <w:p w14:paraId="2A2BCF8A" w14:textId="77777777" w:rsidR="0027768A" w:rsidRPr="0027768A" w:rsidRDefault="0027768A" w:rsidP="008E60F8">
      <w:pPr>
        <w:pStyle w:val="Paragraphedeliste"/>
        <w:numPr>
          <w:ilvl w:val="0"/>
          <w:numId w:val="63"/>
        </w:numPr>
        <w:jc w:val="both"/>
        <w:rPr>
          <w:rFonts w:ascii="Times New Roman" w:hAnsi="Times New Roman" w:cs="Times New Roman"/>
          <w:sz w:val="20"/>
          <w:szCs w:val="20"/>
        </w:rPr>
      </w:pPr>
      <w:r w:rsidRPr="0027768A">
        <w:rPr>
          <w:rFonts w:ascii="Times New Roman" w:hAnsi="Times New Roman" w:cs="Times New Roman"/>
          <w:sz w:val="20"/>
          <w:szCs w:val="20"/>
        </w:rPr>
        <w:t xml:space="preserve">La distinction la plus importante entre les faits du présent pourvoi et la situation de l’intimé dans l’arrêt </w:t>
      </w:r>
      <w:r w:rsidRPr="0027768A">
        <w:rPr>
          <w:rFonts w:ascii="Times New Roman" w:hAnsi="Times New Roman" w:cs="Times New Roman"/>
          <w:i/>
          <w:iCs/>
          <w:sz w:val="20"/>
          <w:szCs w:val="20"/>
        </w:rPr>
        <w:t>Stillman</w:t>
      </w:r>
      <w:r w:rsidRPr="0027768A">
        <w:rPr>
          <w:rFonts w:ascii="Times New Roman" w:hAnsi="Times New Roman" w:cs="Times New Roman"/>
          <w:sz w:val="20"/>
          <w:szCs w:val="20"/>
        </w:rPr>
        <w:t xml:space="preserve"> est que les passages frontaliers constituent une situation factuelle unique en ce qui concerne l’analyse fondée sur l’art. 8.  Le caractère particulier de ce contexte a récemment été confirmé par notre Cour dans l’arrêt </w:t>
      </w:r>
      <w:r w:rsidRPr="0027768A">
        <w:rPr>
          <w:rFonts w:ascii="Times New Roman" w:hAnsi="Times New Roman" w:cs="Times New Roman"/>
          <w:i/>
          <w:iCs/>
          <w:sz w:val="20"/>
          <w:szCs w:val="20"/>
        </w:rPr>
        <w:t>R. c. Jacques</w:t>
      </w:r>
      <w:r w:rsidRPr="0027768A">
        <w:rPr>
          <w:rFonts w:ascii="Times New Roman" w:hAnsi="Times New Roman" w:cs="Times New Roman"/>
          <w:sz w:val="20"/>
          <w:szCs w:val="20"/>
        </w:rPr>
        <w:t xml:space="preserve">, </w:t>
      </w:r>
      <w:hyperlink r:id="rId24" w:history="1">
        <w:r w:rsidRPr="0027768A">
          <w:rPr>
            <w:rStyle w:val="Lienhypertexte"/>
            <w:rFonts w:ascii="Times New Roman" w:hAnsi="Times New Roman" w:cs="Times New Roman"/>
            <w:sz w:val="20"/>
            <w:szCs w:val="20"/>
          </w:rPr>
          <w:t>1996 CanLII 174 (CSC)</w:t>
        </w:r>
      </w:hyperlink>
      <w:r w:rsidRPr="0027768A">
        <w:rPr>
          <w:rStyle w:val="Lienhypertexte"/>
          <w:rFonts w:ascii="Times New Roman" w:hAnsi="Times New Roman" w:cs="Times New Roman"/>
          <w:sz w:val="20"/>
          <w:szCs w:val="20"/>
        </w:rPr>
        <w:t>. [42] [...]</w:t>
      </w:r>
      <w:r w:rsidRPr="0027768A">
        <w:rPr>
          <w:rFonts w:ascii="Times New Roman" w:hAnsi="Times New Roman" w:cs="Times New Roman"/>
          <w:sz w:val="20"/>
          <w:szCs w:val="20"/>
        </w:rPr>
        <w:t>J’accepte la proposition de la poursuite que les attentes raisonnables en matière de vie privée sont moindres aux douanes que dans la plupart des autres situations.  En effet, les gens ne s’attendent pas à traverser les frontières internationales sans faire l’objet d’une vérification.  Il est communément reconnu que les États souverains ont le droit de contrôler à la fois les personnes et les effets qui entrent dans leur territoire.</w:t>
      </w:r>
    </w:p>
    <w:p w14:paraId="599864AC" w14:textId="3AD2688B" w:rsidR="0027768A" w:rsidRPr="0027768A" w:rsidRDefault="0027768A" w:rsidP="0027768A">
      <w:pPr>
        <w:ind w:left="567"/>
        <w:jc w:val="both"/>
        <w:rPr>
          <w:rStyle w:val="Lienhypertexte"/>
          <w:rFonts w:ascii="Times New Roman" w:hAnsi="Times New Roman" w:cs="Times New Roman"/>
          <w:color w:val="auto"/>
          <w:sz w:val="20"/>
          <w:szCs w:val="20"/>
          <w:u w:val="none"/>
        </w:rPr>
      </w:pPr>
    </w:p>
    <w:p w14:paraId="27EEC115" w14:textId="17688F74" w:rsidR="0027768A" w:rsidRPr="00C53A9D" w:rsidRDefault="00C53A9D" w:rsidP="008E60F8">
      <w:pPr>
        <w:pStyle w:val="Paragraphedeliste"/>
        <w:widowControl w:val="0"/>
        <w:numPr>
          <w:ilvl w:val="0"/>
          <w:numId w:val="62"/>
        </w:numPr>
        <w:autoSpaceDE w:val="0"/>
        <w:autoSpaceDN w:val="0"/>
        <w:adjustRightInd w:val="0"/>
        <w:spacing w:after="300"/>
        <w:jc w:val="both"/>
        <w:rPr>
          <w:rFonts w:ascii="Times New Roman" w:hAnsi="Times New Roman" w:cs="Times New Roman"/>
          <w:color w:val="3E3E3E"/>
          <w:sz w:val="22"/>
          <w:szCs w:val="22"/>
        </w:rPr>
      </w:pPr>
      <w:r w:rsidRPr="00447DBB">
        <w:rPr>
          <w:rFonts w:ascii="Times New Roman" w:hAnsi="Times New Roman" w:cs="Times New Roman"/>
          <w:sz w:val="20"/>
          <w:szCs w:val="20"/>
        </w:rPr>
        <w:t>L’issue du présent pourvoi dépend donc de la réponse à la question centrale de savoir si les «veilles au haricot» peuvent à juste titre être qualifiées de procédure aussi «envahissante» que les fouilles corporelles comportant l’application intentionnelle de la force.  À mon avis, elles ne peuvent être qualifiées de la sorte.  Il ne fait aucun doute que les Canadiens attendent qu’on les traite d’une manière qui tienne compte de leur grand sentiment de pudeur en ce qui concerne les fonctions corporelles.  Le voyageur qui est détenu dans une «salle d’évacuation des drogues» et qui est contraint d’uriner ou de déféquer sous surveillance est soumis à une procédure embarrassante.  Toutefois, j’estime qu’une «veille au haricot» passive n’a pas un caractère aussi envahissant que la fouille des orifices corporels ou que des actes médicaux telle l’administration d’émétiques.  Dans ce sens, il ne faut pas confondre droit à l’intégrité physique et sentiments de pudeur, malgré la légitimité de ces sentiments</w:t>
      </w:r>
      <w:r>
        <w:rPr>
          <w:rFonts w:ascii="Times New Roman" w:hAnsi="Times New Roman" w:cs="Times New Roman"/>
          <w:sz w:val="20"/>
          <w:szCs w:val="20"/>
        </w:rPr>
        <w:t xml:space="preserve"> [47].</w:t>
      </w:r>
    </w:p>
    <w:p w14:paraId="28823A67" w14:textId="488908B7" w:rsidR="00C53A9D" w:rsidRDefault="00C53A9D" w:rsidP="008E60F8">
      <w:pPr>
        <w:pStyle w:val="Paragraphedeliste"/>
        <w:numPr>
          <w:ilvl w:val="0"/>
          <w:numId w:val="62"/>
        </w:numPr>
        <w:jc w:val="both"/>
        <w:rPr>
          <w:rFonts w:ascii="Times New Roman" w:hAnsi="Times New Roman" w:cs="Times New Roman"/>
          <w:sz w:val="20"/>
          <w:szCs w:val="20"/>
        </w:rPr>
      </w:pPr>
      <w:r w:rsidRPr="00C53A9D">
        <w:rPr>
          <w:rFonts w:ascii="Times New Roman" w:hAnsi="Times New Roman" w:cs="Times New Roman"/>
          <w:sz w:val="20"/>
          <w:szCs w:val="20"/>
        </w:rPr>
        <w:t xml:space="preserve">Tout comme d’autres méthodes d’enquête relevant de la deuxième catégorie, par exemple la fouille à nu, le fait que des voyageurs traversant la frontière canadienne soient soumis à des situations potentiellement embarrassantes est le prix à payer pour établir l’équilibre nécessaire entre le droit d’une personne au respect de sa vie privée et le droit opposé et impérieux qu’a l’État de protéger l’intégrité des frontières canadiennes contre l’introduction de marchandises de contrebande dangereuses.  En conséquence, je conclus que, en l’espèce, la fouille effectuée à la frontière par les agents des douanes n’était pas abusive au sens de l’art. 8 de la </w:t>
      </w:r>
      <w:r w:rsidRPr="00C53A9D">
        <w:rPr>
          <w:rFonts w:ascii="Times New Roman" w:hAnsi="Times New Roman" w:cs="Times New Roman"/>
          <w:i/>
          <w:iCs/>
          <w:sz w:val="20"/>
          <w:szCs w:val="20"/>
        </w:rPr>
        <w:t>Charte</w:t>
      </w:r>
      <w:r w:rsidRPr="00C53A9D">
        <w:rPr>
          <w:rFonts w:ascii="Times New Roman" w:hAnsi="Times New Roman" w:cs="Times New Roman"/>
          <w:sz w:val="20"/>
          <w:szCs w:val="20"/>
        </w:rPr>
        <w:t>.</w:t>
      </w:r>
      <w:r>
        <w:rPr>
          <w:rFonts w:ascii="Times New Roman" w:hAnsi="Times New Roman" w:cs="Times New Roman"/>
          <w:sz w:val="20"/>
          <w:szCs w:val="20"/>
        </w:rPr>
        <w:t xml:space="preserve"> [48].</w:t>
      </w:r>
    </w:p>
    <w:p w14:paraId="4C2029F9" w14:textId="77777777" w:rsidR="00C53A9D" w:rsidRDefault="00C53A9D" w:rsidP="00C53A9D">
      <w:pPr>
        <w:jc w:val="both"/>
        <w:rPr>
          <w:rFonts w:ascii="Times New Roman" w:hAnsi="Times New Roman" w:cs="Times New Roman"/>
          <w:sz w:val="20"/>
          <w:szCs w:val="20"/>
        </w:rPr>
      </w:pPr>
    </w:p>
    <w:p w14:paraId="4680A54B" w14:textId="64782358" w:rsidR="00C53A9D" w:rsidRDefault="00C53A9D" w:rsidP="00C53A9D">
      <w:pPr>
        <w:jc w:val="both"/>
        <w:rPr>
          <w:rFonts w:ascii="Times New Roman" w:hAnsi="Times New Roman" w:cs="Times New Roman"/>
          <w:sz w:val="22"/>
          <w:szCs w:val="22"/>
        </w:rPr>
      </w:pPr>
      <w:r>
        <w:rPr>
          <w:rFonts w:ascii="Times New Roman" w:hAnsi="Times New Roman" w:cs="Times New Roman"/>
          <w:sz w:val="22"/>
          <w:szCs w:val="22"/>
        </w:rPr>
        <w:t xml:space="preserve">Dans les arrêts de bus interfrontière, il semble aussi que l’expectative de vie privée soit moindre à en lire l’arrêt </w:t>
      </w:r>
      <w:r>
        <w:rPr>
          <w:rFonts w:ascii="Times New Roman" w:hAnsi="Times New Roman" w:cs="Times New Roman"/>
          <w:b/>
          <w:sz w:val="22"/>
          <w:szCs w:val="22"/>
        </w:rPr>
        <w:t>Kang-Brown 2008.</w:t>
      </w:r>
      <w:r>
        <w:rPr>
          <w:rFonts w:ascii="Times New Roman" w:hAnsi="Times New Roman" w:cs="Times New Roman"/>
          <w:sz w:val="22"/>
          <w:szCs w:val="22"/>
        </w:rPr>
        <w:t xml:space="preserve"> On peut se poser la question si l’arrêt couvre les cas d’arrêts de bus inter-province.</w:t>
      </w:r>
    </w:p>
    <w:p w14:paraId="751C9474" w14:textId="0523F437" w:rsidR="00C53A9D" w:rsidRDefault="00C53A9D" w:rsidP="00C53A9D">
      <w:pPr>
        <w:jc w:val="both"/>
        <w:rPr>
          <w:rFonts w:ascii="Times New Roman" w:hAnsi="Times New Roman" w:cs="Times New Roman"/>
          <w:b/>
          <w:i/>
          <w:sz w:val="22"/>
          <w:szCs w:val="22"/>
        </w:rPr>
      </w:pPr>
      <w:r>
        <w:rPr>
          <w:rFonts w:ascii="Times New Roman" w:hAnsi="Times New Roman" w:cs="Times New Roman"/>
          <w:b/>
          <w:i/>
          <w:sz w:val="22"/>
          <w:szCs w:val="22"/>
        </w:rPr>
        <w:t>R. c. Kang-Brown (p.28) :</w:t>
      </w:r>
    </w:p>
    <w:p w14:paraId="4F5C9D40" w14:textId="4685BB70" w:rsidR="00C53A9D" w:rsidRPr="00C53A9D" w:rsidRDefault="00C53A9D" w:rsidP="008E60F8">
      <w:pPr>
        <w:pStyle w:val="Paragraphedeliste"/>
        <w:numPr>
          <w:ilvl w:val="0"/>
          <w:numId w:val="64"/>
        </w:numPr>
        <w:jc w:val="both"/>
        <w:rPr>
          <w:rFonts w:ascii="Times New Roman" w:hAnsi="Times New Roman" w:cs="Times New Roman"/>
          <w:sz w:val="22"/>
          <w:szCs w:val="22"/>
        </w:rPr>
      </w:pPr>
      <w:r w:rsidRPr="00343345">
        <w:rPr>
          <w:rFonts w:ascii="Times New Roman" w:hAnsi="Times New Roman" w:cs="Times New Roman"/>
          <w:sz w:val="20"/>
          <w:szCs w:val="20"/>
        </w:rPr>
        <w:t>et j’estime que, pour les besoins de la présente analyse, une gare d’autobus s’apparente à un aéroport.  Tant dans une gare d’autobus que dans un aéroport, les passagers utilisent volontairement les lieux pour accéder à un mode de transport public, et, dans les deux cas, ils savent que l’État a intérêt à veiller à ce que le système de transport soit sûr et non utilisé à des fins criminelles.</w:t>
      </w:r>
      <w:r>
        <w:rPr>
          <w:rFonts w:ascii="Times New Roman" w:hAnsi="Times New Roman" w:cs="Times New Roman"/>
          <w:sz w:val="20"/>
          <w:szCs w:val="20"/>
        </w:rPr>
        <w:t xml:space="preserve"> [228]</w:t>
      </w:r>
    </w:p>
    <w:p w14:paraId="35E5365B" w14:textId="5B65A10E" w:rsidR="00C53A9D" w:rsidRPr="00C53A9D" w:rsidRDefault="00C53A9D" w:rsidP="008E60F8">
      <w:pPr>
        <w:pStyle w:val="Paragraphedeliste"/>
        <w:numPr>
          <w:ilvl w:val="0"/>
          <w:numId w:val="64"/>
        </w:numPr>
        <w:jc w:val="both"/>
        <w:rPr>
          <w:rFonts w:ascii="Times New Roman" w:hAnsi="Times New Roman" w:cs="Times New Roman"/>
          <w:sz w:val="20"/>
          <w:szCs w:val="20"/>
        </w:rPr>
      </w:pPr>
      <w:r w:rsidRPr="00C53A9D">
        <w:rPr>
          <w:rFonts w:ascii="Times New Roman" w:hAnsi="Times New Roman" w:cs="Times New Roman"/>
          <w:sz w:val="20"/>
          <w:szCs w:val="20"/>
        </w:rPr>
        <w:t>je crois que la principale conclusion de cet arrêt s’applique également aux gares d’autobus et aux gares ferroviaires.  La similarité de toutes ces situations tient au fait que les passagers ont des attentes moindres en matière de vie privée parce qu’ils transportent leurs effets personnels dans une aire considérée comme ayant une importance particulière dans la lutte que l’État mène contre les activités illégales, particulièrement le trafic de substances illicites.</w:t>
      </w:r>
      <w:r>
        <w:rPr>
          <w:rFonts w:ascii="Times New Roman" w:hAnsi="Times New Roman" w:cs="Times New Roman"/>
          <w:sz w:val="20"/>
          <w:szCs w:val="20"/>
        </w:rPr>
        <w:t xml:space="preserve"> [230]</w:t>
      </w:r>
    </w:p>
    <w:p w14:paraId="67D6C8E0" w14:textId="2FABF980" w:rsidR="00C53A9D" w:rsidRPr="008E60F8" w:rsidRDefault="00C53A9D" w:rsidP="008E60F8">
      <w:pPr>
        <w:pStyle w:val="Paragraphedeliste"/>
        <w:numPr>
          <w:ilvl w:val="0"/>
          <w:numId w:val="64"/>
        </w:numPr>
        <w:jc w:val="both"/>
        <w:rPr>
          <w:rFonts w:ascii="Times New Roman" w:hAnsi="Times New Roman" w:cs="Times New Roman"/>
          <w:sz w:val="22"/>
          <w:szCs w:val="22"/>
        </w:rPr>
      </w:pPr>
      <w:r w:rsidRPr="00343345">
        <w:rPr>
          <w:rFonts w:ascii="Times New Roman" w:hAnsi="Times New Roman" w:cs="Times New Roman"/>
          <w:sz w:val="20"/>
          <w:szCs w:val="20"/>
        </w:rPr>
        <w:t>Par conséquent, je conclus que, bien que l’appelant ait eu une attente raisonnable en matière de vie privée à l’égard de ses bagages, cette attente était beaucoup moindre en raison de l’endroit où la fouille a été effectuée.  Toutefois, il n’est pas nécessaire d’être en présence de la forme la plus élevée de droit à la vie privée pour que la protection de l’art. 8 s’applique</w:t>
      </w:r>
      <w:r>
        <w:rPr>
          <w:rFonts w:ascii="Times New Roman" w:hAnsi="Times New Roman" w:cs="Times New Roman"/>
          <w:sz w:val="20"/>
          <w:szCs w:val="20"/>
        </w:rPr>
        <w:t xml:space="preserve"> [231].</w:t>
      </w:r>
    </w:p>
    <w:p w14:paraId="75669B34" w14:textId="77777777" w:rsidR="008E60F8" w:rsidRDefault="008E60F8" w:rsidP="008E60F8">
      <w:pPr>
        <w:jc w:val="both"/>
        <w:rPr>
          <w:rFonts w:ascii="Times New Roman" w:hAnsi="Times New Roman" w:cs="Times New Roman"/>
          <w:sz w:val="22"/>
          <w:szCs w:val="22"/>
        </w:rPr>
      </w:pPr>
    </w:p>
    <w:p w14:paraId="043F135C" w14:textId="77777777" w:rsidR="008E60F8" w:rsidRPr="008E60F8" w:rsidRDefault="008E60F8" w:rsidP="008E60F8">
      <w:pPr>
        <w:jc w:val="both"/>
        <w:rPr>
          <w:rFonts w:ascii="Times New Roman" w:hAnsi="Times New Roman" w:cs="Times New Roman"/>
          <w:sz w:val="22"/>
          <w:szCs w:val="22"/>
        </w:rPr>
      </w:pPr>
    </w:p>
    <w:p w14:paraId="58B5AE49" w14:textId="77777777"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c)    Les prisons, les écoles, les lieux de travail</w:t>
      </w:r>
    </w:p>
    <w:p w14:paraId="02D67549" w14:textId="384EF4D3" w:rsidR="008E60F8" w:rsidRDefault="008E60F8" w:rsidP="00B76612">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En prison l’expectative de vie privée est très réduite, voir l’affaire </w:t>
      </w:r>
      <w:r>
        <w:rPr>
          <w:rFonts w:ascii="Times New Roman" w:hAnsi="Times New Roman" w:cs="Times New Roman"/>
          <w:b/>
          <w:color w:val="3E3E3E"/>
          <w:sz w:val="22"/>
          <w:szCs w:val="22"/>
        </w:rPr>
        <w:t>Weatherall c. Canada (p.30)</w:t>
      </w:r>
    </w:p>
    <w:p w14:paraId="7770AAA2" w14:textId="28AFF837" w:rsidR="008E60F8" w:rsidRPr="008E60F8" w:rsidRDefault="008E60F8" w:rsidP="008E60F8">
      <w:pPr>
        <w:pStyle w:val="Paragraphedeliste"/>
        <w:widowControl w:val="0"/>
        <w:numPr>
          <w:ilvl w:val="0"/>
          <w:numId w:val="65"/>
        </w:numPr>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La fouille par palpation est fréquente et les fouilles des cellules aussi.</w:t>
      </w:r>
    </w:p>
    <w:p w14:paraId="7BD858A7" w14:textId="77777777" w:rsidR="005A4EAE" w:rsidRDefault="008E60F8" w:rsidP="008E60F8">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Dans les écoles, les étudiants, hormis peut-être le cas de l’université pour les raisons exposé par le professeur Stylios, ont une attente réduite au respect de la vie privée. En effet, comme l’expose l’affaire </w:t>
      </w:r>
      <w:r>
        <w:rPr>
          <w:rFonts w:ascii="Times New Roman" w:hAnsi="Times New Roman" w:cs="Times New Roman"/>
          <w:b/>
          <w:color w:val="3E3E3E"/>
          <w:sz w:val="22"/>
          <w:szCs w:val="22"/>
        </w:rPr>
        <w:t>R. c. M. (M.R. 1998)</w:t>
      </w:r>
      <w:r>
        <w:rPr>
          <w:rFonts w:ascii="Times New Roman" w:hAnsi="Times New Roman" w:cs="Times New Roman"/>
          <w:color w:val="3E3E3E"/>
          <w:sz w:val="22"/>
          <w:szCs w:val="22"/>
        </w:rPr>
        <w:t xml:space="preserve"> un directeur de l’école ou un préposé peut fouiller un écolier s’il </w:t>
      </w:r>
      <w:r w:rsidR="005A4EAE">
        <w:rPr>
          <w:rFonts w:ascii="Times New Roman" w:hAnsi="Times New Roman" w:cs="Times New Roman"/>
          <w:b/>
          <w:color w:val="3E3E3E"/>
          <w:sz w:val="22"/>
          <w:szCs w:val="22"/>
        </w:rPr>
        <w:t>a des motifs</w:t>
      </w:r>
    </w:p>
    <w:p w14:paraId="45530DD7" w14:textId="35CE0B3C" w:rsidR="008E60F8" w:rsidRDefault="008E60F8" w:rsidP="008E60F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 xml:space="preserve"> raisonnable</w:t>
      </w:r>
      <w:r>
        <w:rPr>
          <w:rFonts w:ascii="Times New Roman" w:hAnsi="Times New Roman" w:cs="Times New Roman"/>
          <w:color w:val="3E3E3E"/>
          <w:sz w:val="22"/>
          <w:szCs w:val="22"/>
        </w:rPr>
        <w:t xml:space="preserve"> de croire que l’individu a enfrein le règlement de l’école ou que ce dernier s’adonne à une activité criminel.</w:t>
      </w:r>
    </w:p>
    <w:p w14:paraId="2A9A7F68" w14:textId="77777777" w:rsidR="008E60F8" w:rsidRDefault="008E60F8" w:rsidP="008E60F8">
      <w:pPr>
        <w:pStyle w:val="Paragraphedeliste"/>
        <w:numPr>
          <w:ilvl w:val="0"/>
          <w:numId w:val="65"/>
        </w:numPr>
        <w:jc w:val="both"/>
        <w:rPr>
          <w:rFonts w:ascii="Times New Roman" w:hAnsi="Times New Roman" w:cs="Times New Roman"/>
          <w:sz w:val="20"/>
          <w:szCs w:val="20"/>
        </w:rPr>
      </w:pPr>
      <w:r w:rsidRPr="008E60F8">
        <w:rPr>
          <w:rFonts w:ascii="Times New Roman" w:hAnsi="Times New Roman" w:cs="Times New Roman"/>
          <w:sz w:val="20"/>
          <w:szCs w:val="20"/>
        </w:rPr>
        <w:t>Le seul fait qu’il y ait eu coopération entre le directeur adjoint et la police et qu’un policier ait assisté à la fouille n’est pas suffisant pour indiquer que le directeur adjoint agissait en qualité de mandataire de la police.  La fouille aurait eu lieu sans le policier et elle n’était pas réellement différente de ce qu’elle aurait été s’il n’y avait eu aucune participation de la police.</w:t>
      </w:r>
    </w:p>
    <w:p w14:paraId="66F0519F" w14:textId="77777777" w:rsidR="008E60F8" w:rsidRDefault="008E60F8" w:rsidP="008E60F8">
      <w:pPr>
        <w:pStyle w:val="Paragraphedeliste"/>
        <w:numPr>
          <w:ilvl w:val="0"/>
          <w:numId w:val="65"/>
        </w:numPr>
        <w:jc w:val="both"/>
        <w:rPr>
          <w:rFonts w:ascii="Times New Roman" w:hAnsi="Times New Roman" w:cs="Times New Roman"/>
          <w:sz w:val="20"/>
          <w:szCs w:val="20"/>
        </w:rPr>
      </w:pPr>
      <w:r w:rsidRPr="008E60F8">
        <w:rPr>
          <w:rFonts w:ascii="Times New Roman" w:hAnsi="Times New Roman" w:cs="Times New Roman"/>
          <w:sz w:val="20"/>
          <w:szCs w:val="20"/>
        </w:rPr>
        <w:t>Dans le cas d’un élève à l’école, elle est moindre que celle qu’il aurait dans d’autres circonstances, car les élèves savent que leurs enseignants et autres autorités scolaires ont la responsabilité de procurer un environnement sûr et de maintenir l’ordre et la discipline dans l’école.  Ils savent que cela peut parfois commander la fouille d’élèves et de leurs effets personnels de même que la saisie d’articles interdits.</w:t>
      </w:r>
    </w:p>
    <w:p w14:paraId="05AD79D5" w14:textId="77777777" w:rsidR="008E60F8" w:rsidRPr="008E60F8" w:rsidRDefault="008E60F8" w:rsidP="008E60F8">
      <w:pPr>
        <w:pStyle w:val="Paragraphedeliste"/>
        <w:numPr>
          <w:ilvl w:val="0"/>
          <w:numId w:val="65"/>
        </w:numPr>
        <w:jc w:val="both"/>
        <w:rPr>
          <w:rFonts w:ascii="Times New Roman" w:hAnsi="Times New Roman" w:cs="Times New Roman"/>
          <w:sz w:val="20"/>
          <w:szCs w:val="20"/>
        </w:rPr>
      </w:pPr>
      <w:r w:rsidRPr="008E60F8">
        <w:rPr>
          <w:rFonts w:ascii="Times New Roman" w:hAnsi="Times New Roman" w:cs="Times New Roman"/>
          <w:sz w:val="20"/>
          <w:szCs w:val="20"/>
        </w:rPr>
        <w:t>Une norme différente devrait s’appliquer aux fouilles effectuées par des autorités scolaires.  Les enseignants et les directeurs occupent un poste de confiance qui comporte les lourdes responsabilités d’enseigner et de veiller à la sécurité et au bien</w:t>
      </w:r>
      <w:r w:rsidRPr="008E60F8">
        <w:rPr>
          <w:rFonts w:ascii="American Typewriter" w:hAnsi="American Typewriter" w:cs="American Typewriter"/>
          <w:sz w:val="20"/>
          <w:szCs w:val="20"/>
        </w:rPr>
        <w:t>‑</w:t>
      </w:r>
      <w:r w:rsidRPr="008E60F8">
        <w:rPr>
          <w:rFonts w:ascii="Times New Roman" w:hAnsi="Times New Roman" w:cs="Times New Roman"/>
          <w:sz w:val="20"/>
          <w:szCs w:val="20"/>
        </w:rPr>
        <w:t>être des enfants.  Aux fins de l’enseignement, les responsables d’une école doivent procurer une atmosphère propice à l’apprentissage.  La possession de drogues illicites et le port d’armes dangereuses à l’école menacent la capacité des responsables d’une école de remplir leur devoir.  Les conditions actuelles sont telles qu’il faut donner aux enseignants et aux administrateurs scolaires la souplesse nécessaire pour régler les problèmes de discipline à l’école et être en mesure d’agir rapidement et efficacement.  L’une des façons dont les autorités scolaires peuvent être appelées à réagir raisonnablement consiste à fouiller des élèves et à saisir des articles interdits.  En matière de droit criminel, la preuve découverte par un enseignant ou par un directeur ne devrait pas être écartée parce que la fouille aurait été abusive si elle avait été effectuée par la police.</w:t>
      </w:r>
    </w:p>
    <w:p w14:paraId="587B1A51" w14:textId="3C9A3592" w:rsidR="008E60F8" w:rsidRDefault="008E60F8" w:rsidP="008E60F8">
      <w:pPr>
        <w:pStyle w:val="Paragraphedeliste"/>
        <w:numPr>
          <w:ilvl w:val="0"/>
          <w:numId w:val="65"/>
        </w:numPr>
        <w:jc w:val="both"/>
        <w:rPr>
          <w:rFonts w:ascii="Times New Roman" w:hAnsi="Times New Roman" w:cs="Times New Roman"/>
          <w:sz w:val="20"/>
          <w:szCs w:val="20"/>
        </w:rPr>
      </w:pPr>
      <w:r w:rsidRPr="008E60F8">
        <w:rPr>
          <w:rFonts w:ascii="Times New Roman" w:hAnsi="Times New Roman" w:cs="Times New Roman"/>
          <w:sz w:val="20"/>
          <w:szCs w:val="20"/>
        </w:rPr>
        <w:t>La fouille d’un élève par les responsables d’une école n’a pas à reposer sur des motifs raisonnables et probables.  Au contraire, dans ces circonstances, ils peuvent effectuer cette fouille s’ils ont des motifs raisonnables de croire qu’une règle de l’école a été violée ou est en train de l’être, et que la preuve de cette violation se trouve dans les lieux ou sur la personne de l’élève fouillé.</w:t>
      </w:r>
    </w:p>
    <w:p w14:paraId="2930D9B7" w14:textId="410A11D5" w:rsidR="008E60F8" w:rsidRDefault="008E60F8" w:rsidP="008E60F8">
      <w:pPr>
        <w:pStyle w:val="Paragraphedeliste"/>
        <w:numPr>
          <w:ilvl w:val="0"/>
          <w:numId w:val="65"/>
        </w:numPr>
        <w:jc w:val="both"/>
        <w:rPr>
          <w:rFonts w:ascii="Times New Roman" w:hAnsi="Times New Roman" w:cs="Times New Roman"/>
          <w:b/>
          <w:sz w:val="20"/>
          <w:szCs w:val="20"/>
        </w:rPr>
      </w:pPr>
      <w:r w:rsidRPr="008E60F8">
        <w:rPr>
          <w:rFonts w:ascii="Times New Roman" w:hAnsi="Times New Roman" w:cs="Times New Roman"/>
          <w:b/>
          <w:sz w:val="20"/>
          <w:szCs w:val="20"/>
        </w:rPr>
        <w:t>Un enseignant ou un directeur ne devrait pas être tenu d’obtenir un mandat pour fouiller un élève, et, partant, l’absence de mandat dans ces circonstances ne crée pas de présomption de fouille abusive.</w:t>
      </w:r>
    </w:p>
    <w:p w14:paraId="3C91CD58" w14:textId="784E1F69" w:rsidR="005A4EAE" w:rsidRDefault="005A4EAE" w:rsidP="008E60F8">
      <w:pPr>
        <w:pStyle w:val="Paragraphedeliste"/>
        <w:numPr>
          <w:ilvl w:val="0"/>
          <w:numId w:val="65"/>
        </w:numPr>
        <w:jc w:val="both"/>
        <w:rPr>
          <w:rFonts w:ascii="Times New Roman" w:hAnsi="Times New Roman" w:cs="Times New Roman"/>
          <w:b/>
          <w:sz w:val="20"/>
          <w:szCs w:val="20"/>
        </w:rPr>
      </w:pPr>
      <w:r w:rsidRPr="005A4EAE">
        <w:rPr>
          <w:rFonts w:ascii="Times New Roman" w:hAnsi="Times New Roman" w:cs="Times New Roman"/>
          <w:b/>
          <w:sz w:val="20"/>
          <w:szCs w:val="20"/>
        </w:rPr>
        <w:t>Les responsables d’une école peuvent fouiller un élève relevant de leur autorité s’ils ont des motifs raisonnables de croire qu’une règle de l’école a été violée ou est en train de l’être, et que la preuve de cette violation se trouve dans les lieux ou sur la personne de l’élève fouillé.  Les fouilles entreprises dans des cas où la santé et la sécurité des élèves est en cause peuvent bien nécessiter l’application d’autres facteurs.  Pour déterminer si une fouille est raisonnable, il faut prendre en considération toutes les circonstances qui l’ont entourée [48].</w:t>
      </w:r>
    </w:p>
    <w:p w14:paraId="3AE2E475" w14:textId="77777777" w:rsidR="005A4EAE" w:rsidRDefault="005A4EAE" w:rsidP="005A4EAE">
      <w:pPr>
        <w:jc w:val="both"/>
        <w:rPr>
          <w:rFonts w:ascii="Times New Roman" w:hAnsi="Times New Roman" w:cs="Times New Roman"/>
          <w:b/>
          <w:sz w:val="22"/>
          <w:szCs w:val="22"/>
        </w:rPr>
      </w:pPr>
    </w:p>
    <w:p w14:paraId="7D9DD088" w14:textId="6260851A" w:rsidR="005A4EAE" w:rsidRDefault="005A4EAE" w:rsidP="005A4EAE">
      <w:pPr>
        <w:jc w:val="both"/>
        <w:rPr>
          <w:rFonts w:ascii="Times New Roman" w:hAnsi="Times New Roman" w:cs="Times New Roman"/>
          <w:sz w:val="22"/>
          <w:szCs w:val="22"/>
        </w:rPr>
      </w:pPr>
      <w:r>
        <w:rPr>
          <w:rFonts w:ascii="Times New Roman" w:hAnsi="Times New Roman" w:cs="Times New Roman"/>
          <w:sz w:val="22"/>
          <w:szCs w:val="22"/>
        </w:rPr>
        <w:t>La fouille doit être effectuée de manière raisonnable</w:t>
      </w:r>
    </w:p>
    <w:p w14:paraId="6975AC51" w14:textId="7C4F4153" w:rsidR="005A4EAE" w:rsidRPr="005A4EAE" w:rsidRDefault="005A4EAE" w:rsidP="005A4EAE">
      <w:pPr>
        <w:pStyle w:val="Paragraphedeliste"/>
        <w:numPr>
          <w:ilvl w:val="0"/>
          <w:numId w:val="66"/>
        </w:numPr>
        <w:jc w:val="both"/>
        <w:rPr>
          <w:rFonts w:ascii="Times New Roman" w:hAnsi="Times New Roman" w:cs="Times New Roman"/>
          <w:sz w:val="22"/>
          <w:szCs w:val="22"/>
        </w:rPr>
      </w:pPr>
      <w:r w:rsidRPr="00626991">
        <w:rPr>
          <w:rFonts w:ascii="Times New Roman" w:hAnsi="Times New Roman" w:cs="Times New Roman"/>
          <w:b/>
          <w:sz w:val="22"/>
          <w:szCs w:val="22"/>
        </w:rPr>
        <w:t>Pour être raisonnable, la fouille doit être effectuée de manière raisonnable et être autorisée par une disposition législative qui est elle-même raisonnable.  On ne trouve aucune autorisation particulière de procéder à des fouilles dans l’</w:t>
      </w:r>
      <w:r w:rsidRPr="00626991">
        <w:rPr>
          <w:rFonts w:ascii="Times New Roman" w:hAnsi="Times New Roman" w:cs="Times New Roman"/>
          <w:b/>
          <w:i/>
          <w:iCs/>
          <w:sz w:val="22"/>
          <w:szCs w:val="22"/>
        </w:rPr>
        <w:t>Education Act</w:t>
      </w:r>
      <w:r w:rsidRPr="00626991">
        <w:rPr>
          <w:rFonts w:ascii="Times New Roman" w:hAnsi="Times New Roman" w:cs="Times New Roman"/>
          <w:b/>
          <w:sz w:val="22"/>
          <w:szCs w:val="22"/>
        </w:rPr>
        <w:t>, R.S.N.S. 1989, ou dans son règlement d’application.  Cependant, la responsabilité qui incombe aux enseignants et aux directeurs de maintenir l’ordre et la discipline dans l’école et de veiller à la santé et au bien-être des élèves autorise, par déduction nécessaire, les fouilles d’élèves.  Voir l’al. 54b) de la Loi et les par. 3(7) et (9) du Règlement.  Les  enseignants doivent pouvoir fouiller les élèves pour être en mesure de s’acquitter des responsabilités que leur impose la loi.  Il est raisonnable, voire essentiel, de donner cette autorisation de fouiller aux enseignants et aux directeurs.</w:t>
      </w:r>
      <w:r>
        <w:rPr>
          <w:rFonts w:ascii="Times New Roman" w:hAnsi="Times New Roman" w:cs="Times New Roman"/>
          <w:b/>
          <w:sz w:val="22"/>
          <w:szCs w:val="22"/>
        </w:rPr>
        <w:t xml:space="preserve"> [51].</w:t>
      </w:r>
    </w:p>
    <w:p w14:paraId="4631B73C" w14:textId="77777777" w:rsidR="005A4EAE" w:rsidRDefault="005A4EAE" w:rsidP="005A4EAE">
      <w:pPr>
        <w:jc w:val="both"/>
        <w:rPr>
          <w:rFonts w:ascii="Times New Roman" w:hAnsi="Times New Roman" w:cs="Times New Roman"/>
          <w:sz w:val="22"/>
          <w:szCs w:val="22"/>
        </w:rPr>
      </w:pPr>
    </w:p>
    <w:p w14:paraId="25952CE6" w14:textId="23A07EBA" w:rsidR="005A4EAE" w:rsidRDefault="005A4EAE" w:rsidP="005A4EAE">
      <w:pPr>
        <w:jc w:val="both"/>
        <w:rPr>
          <w:rFonts w:ascii="Times New Roman" w:hAnsi="Times New Roman" w:cs="Times New Roman"/>
          <w:sz w:val="22"/>
          <w:szCs w:val="22"/>
        </w:rPr>
      </w:pPr>
      <w:r>
        <w:rPr>
          <w:rFonts w:ascii="Times New Roman" w:hAnsi="Times New Roman" w:cs="Times New Roman"/>
          <w:sz w:val="22"/>
          <w:szCs w:val="22"/>
        </w:rPr>
        <w:t>En l’espèce, si ça aurait été un policier qui aurait fait la fouille, ce dernier aurait du préalablement avoir un mandat pour agir, mais tel n’est pas le cas en l’espèce, car le directeur de l’école n’est pas considéré comme mandataire de la police.</w:t>
      </w:r>
    </w:p>
    <w:p w14:paraId="2975B4A9" w14:textId="77777777" w:rsidR="005A4EAE" w:rsidRDefault="005A4EAE" w:rsidP="005A4EAE">
      <w:pPr>
        <w:jc w:val="both"/>
        <w:rPr>
          <w:rFonts w:ascii="Times New Roman" w:hAnsi="Times New Roman" w:cs="Times New Roman"/>
          <w:sz w:val="22"/>
          <w:szCs w:val="22"/>
        </w:rPr>
      </w:pPr>
    </w:p>
    <w:p w14:paraId="5F2A7C69" w14:textId="5BCACB88" w:rsidR="005A4EAE" w:rsidRPr="005A4EAE" w:rsidRDefault="005A4EAE" w:rsidP="005A4EAE">
      <w:pPr>
        <w:jc w:val="both"/>
        <w:rPr>
          <w:rFonts w:ascii="Times New Roman" w:hAnsi="Times New Roman" w:cs="Times New Roman"/>
          <w:i/>
          <w:sz w:val="22"/>
          <w:szCs w:val="22"/>
        </w:rPr>
      </w:pPr>
      <w:r>
        <w:rPr>
          <w:rFonts w:ascii="Times New Roman" w:hAnsi="Times New Roman" w:cs="Times New Roman"/>
          <w:i/>
          <w:sz w:val="22"/>
          <w:szCs w:val="22"/>
        </w:rPr>
        <w:t>Concernant l’utilisation de chiens renifleurs par la police dans une école (p.35).</w:t>
      </w:r>
    </w:p>
    <w:p w14:paraId="60D9FA55" w14:textId="77777777" w:rsidR="008E60F8" w:rsidRPr="008E60F8" w:rsidRDefault="008E60F8" w:rsidP="008E60F8">
      <w:pPr>
        <w:pStyle w:val="Paragraphedeliste"/>
        <w:jc w:val="both"/>
        <w:rPr>
          <w:rFonts w:ascii="Times New Roman" w:hAnsi="Times New Roman" w:cs="Times New Roman"/>
          <w:sz w:val="20"/>
          <w:szCs w:val="20"/>
        </w:rPr>
      </w:pPr>
    </w:p>
    <w:p w14:paraId="080F8285" w14:textId="48C2EFAA" w:rsidR="008E60F8" w:rsidRDefault="006B1FA8" w:rsidP="006B1FA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A.M. 2008 :</w:t>
      </w:r>
    </w:p>
    <w:p w14:paraId="79711F67" w14:textId="5092C19B" w:rsidR="006B1FA8" w:rsidRPr="00012D71" w:rsidRDefault="006B1FA8" w:rsidP="006B1FA8">
      <w:pPr>
        <w:pStyle w:val="Paragraphedeliste"/>
        <w:numPr>
          <w:ilvl w:val="0"/>
          <w:numId w:val="66"/>
        </w:numPr>
        <w:jc w:val="both"/>
        <w:rPr>
          <w:rFonts w:ascii="Times New Roman" w:hAnsi="Times New Roman" w:cs="Times New Roman"/>
          <w:b/>
          <w:sz w:val="20"/>
          <w:szCs w:val="20"/>
        </w:rPr>
      </w:pPr>
      <w:r w:rsidRPr="006B1FA8">
        <w:rPr>
          <w:rFonts w:ascii="Times New Roman" w:hAnsi="Times New Roman" w:cs="Times New Roman"/>
          <w:b/>
          <w:sz w:val="20"/>
          <w:szCs w:val="20"/>
        </w:rPr>
        <w:t>L</w:t>
      </w:r>
      <w:r w:rsidRPr="00012D71">
        <w:rPr>
          <w:rFonts w:ascii="Times New Roman" w:hAnsi="Times New Roman" w:cs="Times New Roman"/>
          <w:b/>
          <w:sz w:val="20"/>
          <w:szCs w:val="20"/>
        </w:rPr>
        <w:t xml:space="preserve">a common law reconnaît aux policiers le pouvoir d’effectuer des fouilles ou perquisitions à l’aide d’un chien renifleur en se fondant sur une norme des soupçons raisonnables conforme à la </w:t>
      </w:r>
      <w:r w:rsidRPr="00012D71">
        <w:rPr>
          <w:rFonts w:ascii="Times New Roman" w:hAnsi="Times New Roman" w:cs="Times New Roman"/>
          <w:b/>
          <w:i/>
          <w:iCs/>
          <w:sz w:val="20"/>
          <w:szCs w:val="20"/>
        </w:rPr>
        <w:t>Charte</w:t>
      </w:r>
      <w:r w:rsidRPr="00012D71">
        <w:rPr>
          <w:rFonts w:ascii="Times New Roman" w:hAnsi="Times New Roman" w:cs="Times New Roman"/>
          <w:b/>
          <w:sz w:val="20"/>
          <w:szCs w:val="20"/>
        </w:rPr>
        <w:t>. [1].</w:t>
      </w:r>
    </w:p>
    <w:p w14:paraId="6C854AC8" w14:textId="590B2361" w:rsidR="006B1FA8" w:rsidRPr="00012D71" w:rsidRDefault="006B1FA8" w:rsidP="006B1FA8">
      <w:pPr>
        <w:pStyle w:val="Paragraphedeliste"/>
        <w:numPr>
          <w:ilvl w:val="0"/>
          <w:numId w:val="66"/>
        </w:numPr>
        <w:jc w:val="both"/>
        <w:rPr>
          <w:rFonts w:ascii="Times New Roman" w:hAnsi="Times New Roman" w:cs="Times New Roman"/>
          <w:b/>
          <w:sz w:val="20"/>
          <w:szCs w:val="20"/>
        </w:rPr>
      </w:pPr>
      <w:r w:rsidRPr="00012D71">
        <w:rPr>
          <w:rFonts w:ascii="Times New Roman" w:hAnsi="Times New Roman" w:cs="Times New Roman"/>
          <w:sz w:val="20"/>
          <w:szCs w:val="20"/>
        </w:rPr>
        <w:t>Si, en l’espèce, la police avait été appelée pour enquêter, à l’aide de chiens dressés à cette fin, sur la présence éventuelle à l’école d’armes ou d’explosifs, l’importance et l’urgence de neutraliser rapidement et efficacement une telle menace pour la sécurité publique, même si elle était hypothétique, auraient eu préséance sur la simple prévention du crime.  De façon générale, l’équilibre juridique aurait privilégié le recours à des chiens renifleurs pour faire toute la lumière sur une menace éventuelle pour la vie ou la sécurité immédiate et le bien</w:t>
      </w:r>
      <w:r w:rsidRPr="00012D71">
        <w:rPr>
          <w:rFonts w:ascii="American Typewriter" w:hAnsi="American Typewriter" w:cs="American Typewriter"/>
          <w:sz w:val="20"/>
          <w:szCs w:val="20"/>
        </w:rPr>
        <w:t>‑</w:t>
      </w:r>
      <w:r w:rsidRPr="00012D71">
        <w:rPr>
          <w:rFonts w:ascii="Times New Roman" w:hAnsi="Times New Roman" w:cs="Times New Roman"/>
          <w:sz w:val="20"/>
          <w:szCs w:val="20"/>
        </w:rPr>
        <w:t>être des élèves et du personne</w:t>
      </w:r>
      <w:r w:rsidRPr="00012D71">
        <w:rPr>
          <w:rFonts w:ascii="Times New Roman" w:hAnsi="Times New Roman" w:cs="Times New Roman"/>
          <w:b/>
          <w:sz w:val="20"/>
          <w:szCs w:val="20"/>
        </w:rPr>
        <w:t>l</w:t>
      </w:r>
      <w:r w:rsidRPr="00012D71">
        <w:rPr>
          <w:rFonts w:ascii="Times New Roman" w:hAnsi="Times New Roman" w:cs="Times New Roman"/>
          <w:sz w:val="20"/>
          <w:szCs w:val="20"/>
        </w:rPr>
        <w:t xml:space="preserve"> [37]</w:t>
      </w:r>
    </w:p>
    <w:p w14:paraId="62901298" w14:textId="77777777" w:rsidR="00012D71" w:rsidRPr="00012D71" w:rsidRDefault="00012D71" w:rsidP="00012D71">
      <w:pPr>
        <w:pStyle w:val="Paragraphedeliste"/>
        <w:numPr>
          <w:ilvl w:val="0"/>
          <w:numId w:val="66"/>
        </w:numPr>
        <w:jc w:val="both"/>
        <w:rPr>
          <w:rFonts w:ascii="Times New Roman" w:hAnsi="Times New Roman" w:cs="Times New Roman"/>
          <w:sz w:val="20"/>
          <w:szCs w:val="20"/>
        </w:rPr>
      </w:pPr>
      <w:r w:rsidRPr="00012D71">
        <w:rPr>
          <w:rFonts w:ascii="Times New Roman" w:hAnsi="Times New Roman" w:cs="Times New Roman"/>
          <w:sz w:val="20"/>
          <w:szCs w:val="20"/>
        </w:rPr>
        <w:t xml:space="preserve">La différence entre une perquisition effectuée par la police et une enquête effectuée par les autorités scolaires était cruciale pour la décision de la Cour dans </w:t>
      </w:r>
      <w:r w:rsidRPr="00012D71">
        <w:rPr>
          <w:rFonts w:ascii="Times New Roman" w:hAnsi="Times New Roman" w:cs="Times New Roman"/>
          <w:i/>
          <w:iCs/>
          <w:sz w:val="20"/>
          <w:szCs w:val="20"/>
        </w:rPr>
        <w:t>M. (M.R.)</w:t>
      </w:r>
      <w:r w:rsidRPr="00012D71">
        <w:rPr>
          <w:rFonts w:ascii="Times New Roman" w:hAnsi="Times New Roman" w:cs="Times New Roman"/>
          <w:sz w:val="20"/>
          <w:szCs w:val="20"/>
        </w:rPr>
        <w:t xml:space="preserve"> et j’estime qu’elle est importante en l’espèce.</w:t>
      </w:r>
    </w:p>
    <w:p w14:paraId="178B5BEE" w14:textId="21C64E24"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p>
    <w:p w14:paraId="585270C2"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§6. L’article 1 de la Charte</w:t>
      </w:r>
    </w:p>
    <w:p w14:paraId="6DBC9E43" w14:textId="1BFFCFAA" w:rsidR="00B76612" w:rsidRDefault="00B76612" w:rsidP="00B76612">
      <w:pPr>
        <w:widowControl w:val="0"/>
        <w:autoSpaceDE w:val="0"/>
        <w:autoSpaceDN w:val="0"/>
        <w:adjustRightInd w:val="0"/>
        <w:spacing w:after="300"/>
        <w:jc w:val="both"/>
        <w:rPr>
          <w:rFonts w:ascii="Times New Roman" w:hAnsi="Times New Roman" w:cs="Times New Roman"/>
          <w:b/>
          <w:i/>
          <w:color w:val="3E3E3E"/>
          <w:sz w:val="22"/>
          <w:szCs w:val="22"/>
        </w:rPr>
      </w:pPr>
      <w:r w:rsidRPr="00B76612">
        <w:rPr>
          <w:rFonts w:ascii="Times New Roman" w:hAnsi="Times New Roman" w:cs="Times New Roman"/>
          <w:color w:val="3E3E3E"/>
          <w:sz w:val="22"/>
          <w:szCs w:val="22"/>
        </w:rPr>
        <w:t> </w:t>
      </w:r>
      <w:r w:rsidR="00012D71">
        <w:rPr>
          <w:rFonts w:ascii="Times New Roman" w:hAnsi="Times New Roman" w:cs="Times New Roman"/>
          <w:b/>
          <w:i/>
          <w:color w:val="3E3E3E"/>
          <w:sz w:val="22"/>
          <w:szCs w:val="22"/>
        </w:rPr>
        <w:t>Lavalle, Rackel Et Heintz c. Canada (p.35) :</w:t>
      </w:r>
    </w:p>
    <w:p w14:paraId="3FCE6D92" w14:textId="6AA30D37" w:rsidR="00012D71" w:rsidRPr="00012D71" w:rsidRDefault="00012D71" w:rsidP="00012D71">
      <w:pPr>
        <w:pStyle w:val="Paragraphedeliste"/>
        <w:widowControl w:val="0"/>
        <w:numPr>
          <w:ilvl w:val="0"/>
          <w:numId w:val="67"/>
        </w:numPr>
        <w:autoSpaceDE w:val="0"/>
        <w:autoSpaceDN w:val="0"/>
        <w:adjustRightInd w:val="0"/>
        <w:spacing w:after="300"/>
        <w:jc w:val="both"/>
        <w:rPr>
          <w:rFonts w:ascii="Times New Roman" w:hAnsi="Times New Roman" w:cs="Times New Roman"/>
          <w:color w:val="3E3E3E"/>
          <w:sz w:val="20"/>
          <w:szCs w:val="20"/>
        </w:rPr>
      </w:pPr>
      <w:r w:rsidRPr="00012D71">
        <w:rPr>
          <w:rFonts w:ascii="Times New Roman" w:hAnsi="Times New Roman" w:cs="Times New Roman"/>
          <w:b/>
          <w:sz w:val="20"/>
          <w:szCs w:val="20"/>
        </w:rPr>
        <w:t>Je conclus donc que l’art. 488.1 ne peut pas être justifié par l’article premier : bien que l’efficacité des enquêtes policières soit incontestablement une préoccupation de fond urgente, on ne peut pas dire que l’art. 488.1 prévoit des moyens proportionnés pour atteindre cet objectif dans la mesure où il porte atteinte au secret professionnel de l’avocat d’une façon plus que minimale [46].</w:t>
      </w:r>
    </w:p>
    <w:p w14:paraId="0C3EE880" w14:textId="77777777" w:rsidR="00012D71" w:rsidRPr="00012D71" w:rsidRDefault="00012D71" w:rsidP="00012D71">
      <w:pPr>
        <w:pStyle w:val="Paragraphedeliste"/>
        <w:widowControl w:val="0"/>
        <w:autoSpaceDE w:val="0"/>
        <w:autoSpaceDN w:val="0"/>
        <w:adjustRightInd w:val="0"/>
        <w:spacing w:after="300"/>
        <w:jc w:val="both"/>
        <w:rPr>
          <w:rFonts w:ascii="Times New Roman" w:hAnsi="Times New Roman" w:cs="Times New Roman"/>
          <w:color w:val="3E3E3E"/>
          <w:sz w:val="20"/>
          <w:szCs w:val="20"/>
        </w:rPr>
      </w:pPr>
    </w:p>
    <w:p w14:paraId="78105DBB" w14:textId="77777777"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Section II. Les pouvoirs de fouille en vertu de la loi</w:t>
      </w:r>
    </w:p>
    <w:p w14:paraId="649BA0E2" w14:textId="77777777" w:rsidR="00012D71" w:rsidRP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Les articles du Code criminel:</w:t>
      </w:r>
    </w:p>
    <w:p w14:paraId="4177EDBF" w14:textId="77777777" w:rsidR="00012D71" w:rsidRPr="00012D71" w:rsidRDefault="00012D71" w:rsidP="00012D71">
      <w:pPr>
        <w:jc w:val="both"/>
        <w:rPr>
          <w:rFonts w:ascii="Times New Roman" w:hAnsi="Times New Roman" w:cs="Times New Roman"/>
          <w:sz w:val="20"/>
          <w:szCs w:val="20"/>
          <w:lang w:val="fr-CA"/>
        </w:rPr>
      </w:pPr>
    </w:p>
    <w:p w14:paraId="30E88497" w14:textId="77777777" w:rsidR="00012D71" w:rsidRP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117.02 (concernant les FPS d’armes à feu situées dans un lieu autre qu’une maison d’habitation)</w:t>
      </w:r>
    </w:p>
    <w:p w14:paraId="63336447" w14:textId="77777777" w:rsidR="00012D71" w:rsidRPr="00012D71" w:rsidRDefault="00012D71" w:rsidP="00012D71">
      <w:pPr>
        <w:jc w:val="both"/>
        <w:rPr>
          <w:rFonts w:ascii="Times New Roman" w:hAnsi="Times New Roman" w:cs="Times New Roman"/>
          <w:sz w:val="20"/>
          <w:szCs w:val="20"/>
          <w:lang w:val="fr-CA"/>
        </w:rPr>
      </w:pPr>
    </w:p>
    <w:p w14:paraId="459AE650" w14:textId="77777777" w:rsidR="00012D71" w:rsidRP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117.04 (perquisition sans mandat relativement aux armes à feu)</w:t>
      </w:r>
    </w:p>
    <w:p w14:paraId="628261D4" w14:textId="77777777" w:rsidR="00012D71" w:rsidRPr="00012D71" w:rsidRDefault="00012D71" w:rsidP="00012D71">
      <w:pPr>
        <w:jc w:val="both"/>
        <w:rPr>
          <w:rFonts w:ascii="Times New Roman" w:hAnsi="Times New Roman" w:cs="Times New Roman"/>
          <w:sz w:val="20"/>
          <w:szCs w:val="20"/>
          <w:lang w:val="fr-CA"/>
        </w:rPr>
      </w:pPr>
    </w:p>
    <w:p w14:paraId="3EEFE8E4" w14:textId="77777777" w:rsidR="00012D71" w:rsidRP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199 (1) et (2) (perquisition dans les maisons de désordre et de jeu)</w:t>
      </w:r>
    </w:p>
    <w:p w14:paraId="14C65BBB" w14:textId="77777777" w:rsidR="00012D71" w:rsidRPr="00012D71" w:rsidRDefault="00012D71" w:rsidP="00012D71">
      <w:pPr>
        <w:jc w:val="both"/>
        <w:rPr>
          <w:rFonts w:ascii="Times New Roman" w:hAnsi="Times New Roman" w:cs="Times New Roman"/>
          <w:sz w:val="20"/>
          <w:szCs w:val="20"/>
          <w:lang w:val="fr-CA"/>
        </w:rPr>
      </w:pPr>
    </w:p>
    <w:p w14:paraId="18B9D3CD" w14:textId="77777777" w:rsidR="00012D71" w:rsidRP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339(3) (sur les timbres volé)</w:t>
      </w:r>
    </w:p>
    <w:p w14:paraId="2BFF2229" w14:textId="77777777" w:rsidR="00012D71" w:rsidRPr="00012D71" w:rsidRDefault="00012D71" w:rsidP="00012D71">
      <w:pPr>
        <w:jc w:val="both"/>
        <w:rPr>
          <w:rFonts w:ascii="Times New Roman" w:hAnsi="Times New Roman" w:cs="Times New Roman"/>
          <w:sz w:val="20"/>
          <w:szCs w:val="20"/>
          <w:lang w:val="fr-CA"/>
        </w:rPr>
      </w:pPr>
    </w:p>
    <w:p w14:paraId="1AAC71EF" w14:textId="18C30B83" w:rsidR="00012D71" w:rsidRDefault="00012D71" w:rsidP="00012D71">
      <w:pPr>
        <w:jc w:val="both"/>
        <w:rPr>
          <w:rFonts w:ascii="Times New Roman" w:hAnsi="Times New Roman" w:cs="Times New Roman"/>
          <w:sz w:val="20"/>
          <w:szCs w:val="20"/>
          <w:lang w:val="fr-CA"/>
        </w:rPr>
      </w:pPr>
      <w:r w:rsidRPr="00012D71">
        <w:rPr>
          <w:rFonts w:ascii="Times New Roman" w:hAnsi="Times New Roman" w:cs="Times New Roman"/>
          <w:sz w:val="20"/>
          <w:szCs w:val="20"/>
          <w:lang w:val="fr-CA"/>
        </w:rPr>
        <w:t>462 (saisie de fausse monnaie)</w:t>
      </w:r>
    </w:p>
    <w:p w14:paraId="50974A12" w14:textId="77777777" w:rsidR="00617526" w:rsidRDefault="00617526" w:rsidP="00012D71">
      <w:pPr>
        <w:jc w:val="both"/>
        <w:rPr>
          <w:rFonts w:ascii="Times New Roman" w:hAnsi="Times New Roman" w:cs="Times New Roman"/>
          <w:sz w:val="20"/>
          <w:szCs w:val="20"/>
          <w:lang w:val="fr-CA"/>
        </w:rPr>
      </w:pPr>
    </w:p>
    <w:p w14:paraId="5701792B" w14:textId="77777777" w:rsidR="00617526" w:rsidRPr="00012D71" w:rsidRDefault="00617526" w:rsidP="00012D71">
      <w:pPr>
        <w:jc w:val="both"/>
        <w:rPr>
          <w:rFonts w:ascii="Times New Roman" w:hAnsi="Times New Roman" w:cs="Times New Roman"/>
          <w:sz w:val="20"/>
          <w:szCs w:val="20"/>
          <w:lang w:val="fr-CA"/>
        </w:rPr>
      </w:pPr>
    </w:p>
    <w:p w14:paraId="26E8D6A1"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§1. Fouilles et perquisitions et circonstances exceptionnelles (sans mandat)</w:t>
      </w:r>
    </w:p>
    <w:p w14:paraId="4D7EB687" w14:textId="4CD4B155"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 </w:t>
      </w:r>
      <w:r w:rsidR="00012D71">
        <w:rPr>
          <w:rFonts w:ascii="Times New Roman" w:hAnsi="Times New Roman" w:cs="Times New Roman"/>
          <w:color w:val="3E3E3E"/>
          <w:sz w:val="22"/>
          <w:szCs w:val="22"/>
        </w:rPr>
        <w:t>Ex : art. 339(3) C.cr.</w:t>
      </w:r>
    </w:p>
    <w:p w14:paraId="2697F036" w14:textId="32E14F9F" w:rsidR="00012D71" w:rsidRDefault="00012D71"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w:t>
      </w:r>
      <w:r>
        <w:rPr>
          <w:rFonts w:ascii="Times New Roman" w:hAnsi="Times New Roman" w:cs="Times New Roman"/>
          <w:b/>
          <w:color w:val="3E3E3E"/>
          <w:sz w:val="22"/>
          <w:szCs w:val="22"/>
        </w:rPr>
        <w:t>urgence</w:t>
      </w:r>
      <w:r>
        <w:rPr>
          <w:rFonts w:ascii="Times New Roman" w:hAnsi="Times New Roman" w:cs="Times New Roman"/>
          <w:color w:val="3E3E3E"/>
          <w:sz w:val="22"/>
          <w:szCs w:val="22"/>
        </w:rPr>
        <w:t xml:space="preserve"> de conserver la preuve :</w:t>
      </w:r>
    </w:p>
    <w:p w14:paraId="21C103C1" w14:textId="63B86F5D" w:rsidR="00012D71" w:rsidRDefault="00012D71"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Grant 1993 (p.36) :</w:t>
      </w:r>
    </w:p>
    <w:p w14:paraId="35951D73" w14:textId="6F327B45" w:rsidR="00012D71" w:rsidRPr="00012D71" w:rsidRDefault="00012D71" w:rsidP="00012D71">
      <w:pPr>
        <w:pStyle w:val="Paragraphedeliste"/>
        <w:widowControl w:val="0"/>
        <w:numPr>
          <w:ilvl w:val="0"/>
          <w:numId w:val="67"/>
        </w:numPr>
        <w:autoSpaceDE w:val="0"/>
        <w:autoSpaceDN w:val="0"/>
        <w:adjustRightInd w:val="0"/>
        <w:spacing w:after="300"/>
        <w:jc w:val="both"/>
        <w:rPr>
          <w:rFonts w:ascii="Times New Roman" w:hAnsi="Times New Roman" w:cs="Times New Roman"/>
          <w:b/>
          <w:i/>
          <w:color w:val="3E3E3E"/>
          <w:sz w:val="20"/>
          <w:szCs w:val="20"/>
        </w:rPr>
      </w:pPr>
      <w:r w:rsidRPr="00012D71">
        <w:rPr>
          <w:rFonts w:ascii="Times New Roman" w:hAnsi="Times New Roman" w:cs="Times New Roman"/>
          <w:sz w:val="20"/>
          <w:szCs w:val="20"/>
        </w:rPr>
        <w:t>On jugera généralement qu'il y a situation d'urgence s'il existe un risque imminent que les éléments de preuve soient perdus, enlevés, détruits ou qu'ils disparaissent si la fouille, la perquisition ou la saisie est retardée</w:t>
      </w:r>
      <w:r>
        <w:rPr>
          <w:rFonts w:ascii="Times New Roman" w:hAnsi="Times New Roman" w:cs="Times New Roman"/>
          <w:sz w:val="20"/>
          <w:szCs w:val="20"/>
        </w:rPr>
        <w:t>.</w:t>
      </w:r>
    </w:p>
    <w:p w14:paraId="7EAFE8BE" w14:textId="7D2AF26C" w:rsidR="00012D71" w:rsidRPr="00012D71" w:rsidRDefault="00012D71" w:rsidP="00012D71">
      <w:pPr>
        <w:pStyle w:val="Paragraphedeliste"/>
        <w:widowControl w:val="0"/>
        <w:numPr>
          <w:ilvl w:val="0"/>
          <w:numId w:val="67"/>
        </w:numPr>
        <w:autoSpaceDE w:val="0"/>
        <w:autoSpaceDN w:val="0"/>
        <w:adjustRightInd w:val="0"/>
        <w:spacing w:after="300"/>
        <w:jc w:val="both"/>
        <w:rPr>
          <w:rFonts w:ascii="Times New Roman" w:hAnsi="Times New Roman" w:cs="Times New Roman"/>
          <w:b/>
          <w:i/>
          <w:color w:val="3E3E3E"/>
          <w:sz w:val="20"/>
          <w:szCs w:val="20"/>
        </w:rPr>
      </w:pPr>
      <w:r>
        <w:rPr>
          <w:rFonts w:ascii="Times New Roman" w:hAnsi="Times New Roman" w:cs="Times New Roman"/>
          <w:sz w:val="20"/>
          <w:szCs w:val="20"/>
        </w:rPr>
        <w:t>La simple possibilité de voir les preuves disparaître n’est pas souvent.</w:t>
      </w:r>
    </w:p>
    <w:p w14:paraId="73A326D9" w14:textId="0F29C4A0" w:rsidR="00012D71" w:rsidRDefault="00012D71" w:rsidP="00012D71">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situation d’urgence de la Common Law</w:t>
      </w:r>
    </w:p>
    <w:p w14:paraId="2625B1FC" w14:textId="640532B5" w:rsidR="00012D71" w:rsidRDefault="00012D71" w:rsidP="00012D71">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Fenney 1997 :</w:t>
      </w:r>
    </w:p>
    <w:p w14:paraId="36774157" w14:textId="4D69BCBE" w:rsidR="00012D71" w:rsidRPr="00012D71" w:rsidRDefault="00012D71" w:rsidP="00012D71">
      <w:pPr>
        <w:pStyle w:val="Paragraphedeliste"/>
        <w:widowControl w:val="0"/>
        <w:numPr>
          <w:ilvl w:val="0"/>
          <w:numId w:val="68"/>
        </w:numPr>
        <w:autoSpaceDE w:val="0"/>
        <w:autoSpaceDN w:val="0"/>
        <w:adjustRightInd w:val="0"/>
        <w:spacing w:after="300"/>
        <w:jc w:val="both"/>
        <w:rPr>
          <w:rFonts w:ascii="Times New Roman" w:hAnsi="Times New Roman" w:cs="Times New Roman"/>
          <w:color w:val="3E3E3E"/>
          <w:sz w:val="20"/>
          <w:szCs w:val="20"/>
        </w:rPr>
      </w:pPr>
      <w:r w:rsidRPr="00012D71">
        <w:rPr>
          <w:rFonts w:ascii="Times New Roman" w:hAnsi="Times New Roman" w:cs="Times New Roman"/>
          <w:b/>
          <w:sz w:val="20"/>
          <w:szCs w:val="20"/>
        </w:rPr>
        <w:t>En conséquence, peu importe qu’il ait existé des motifs raisonnables et probables, ou qu’une annonce régulière ait été faite, l’arrestation était illégale, à moins que la situation n’ait été exceptionnelle.  De toute évidence, ce n’était pas un cas de prise en chasse, et il n’y avait pas non plus, à mon sens, une situation d’urgence [52].</w:t>
      </w:r>
    </w:p>
    <w:p w14:paraId="6C7AAE12" w14:textId="67C71E86" w:rsidR="00012D71" w:rsidRPr="0074531C" w:rsidRDefault="0074531C" w:rsidP="00012D71">
      <w:pPr>
        <w:pStyle w:val="Paragraphedeliste"/>
        <w:widowControl w:val="0"/>
        <w:numPr>
          <w:ilvl w:val="0"/>
          <w:numId w:val="68"/>
        </w:numPr>
        <w:autoSpaceDE w:val="0"/>
        <w:autoSpaceDN w:val="0"/>
        <w:adjustRightInd w:val="0"/>
        <w:spacing w:after="300"/>
        <w:jc w:val="both"/>
        <w:rPr>
          <w:rFonts w:ascii="Times New Roman" w:hAnsi="Times New Roman" w:cs="Times New Roman"/>
          <w:color w:val="3E3E3E"/>
          <w:sz w:val="20"/>
          <w:szCs w:val="20"/>
          <w:u w:val="single"/>
        </w:rPr>
      </w:pPr>
      <w:r w:rsidRPr="0074531C">
        <w:rPr>
          <w:rFonts w:ascii="Times New Roman" w:hAnsi="Times New Roman" w:cs="Times New Roman"/>
          <w:sz w:val="22"/>
          <w:szCs w:val="22"/>
          <w:u w:val="single"/>
        </w:rPr>
        <w:t>il y a habituellement situation d’urgence quand une action immédiate est requise pour assurer la sécurité des policiers ou préserver des éléments de preuve concernant un crime</w:t>
      </w:r>
    </w:p>
    <w:p w14:paraId="5CEAF004" w14:textId="55434DB7" w:rsidR="0074531C" w:rsidRDefault="0074531C" w:rsidP="0074531C">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De plus, la police ne doit pas créer les conditions de cette urgence, c’est-à-dire, de créer une urgence artificielle ;</w:t>
      </w:r>
    </w:p>
    <w:p w14:paraId="12094CE2" w14:textId="475E3CE7" w:rsidR="0074531C" w:rsidRDefault="0074531C" w:rsidP="0074531C">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Silveira 1995 (p.37) :</w:t>
      </w:r>
    </w:p>
    <w:p w14:paraId="0553446F" w14:textId="74495CCF" w:rsidR="0074531C" w:rsidRPr="0074531C" w:rsidRDefault="0074531C" w:rsidP="0074531C">
      <w:pPr>
        <w:pStyle w:val="Paragraphedeliste"/>
        <w:numPr>
          <w:ilvl w:val="0"/>
          <w:numId w:val="69"/>
        </w:numPr>
        <w:jc w:val="both"/>
        <w:rPr>
          <w:rFonts w:ascii="Times New Roman" w:hAnsi="Times New Roman" w:cs="Times New Roman"/>
          <w:sz w:val="20"/>
          <w:szCs w:val="20"/>
        </w:rPr>
      </w:pPr>
      <w:r w:rsidRPr="0074531C">
        <w:rPr>
          <w:rFonts w:ascii="Times New Roman" w:hAnsi="Times New Roman" w:cs="Times New Roman"/>
          <w:sz w:val="20"/>
          <w:szCs w:val="20"/>
        </w:rPr>
        <w:t>J'ajoute, entre parenthèses, que je me demande ce qui permettait aux policiers de croire qu'ils pouvaient «détenir à domicile» les occupants dans leur propre maison, avec ou sans mandat de perquisition.  Ils n'avaient même pas de motifs raisonnables de croire que l'une ou l'autre de ces personnes était de quelque manière que ce soit mêlée au crime sur lequel ils enquêtaient. [4].</w:t>
      </w:r>
    </w:p>
    <w:p w14:paraId="040CA602" w14:textId="48B45A07" w:rsidR="0074531C" w:rsidRPr="0074531C" w:rsidRDefault="0074531C" w:rsidP="0074531C">
      <w:pPr>
        <w:pStyle w:val="Paragraphedeliste"/>
        <w:numPr>
          <w:ilvl w:val="0"/>
          <w:numId w:val="69"/>
        </w:numPr>
        <w:jc w:val="both"/>
        <w:rPr>
          <w:rFonts w:ascii="Times New Roman" w:hAnsi="Times New Roman" w:cs="Times New Roman"/>
          <w:b/>
          <w:sz w:val="20"/>
          <w:szCs w:val="20"/>
        </w:rPr>
      </w:pPr>
      <w:r w:rsidRPr="0074531C">
        <w:rPr>
          <w:rFonts w:ascii="Times New Roman" w:hAnsi="Times New Roman" w:cs="Times New Roman"/>
          <w:sz w:val="20"/>
          <w:szCs w:val="20"/>
        </w:rPr>
        <w:t>L'existence d'une situation d'urgence semble avoir dominé les pensées des tribunaux d'instance inférieure.  Il devient donc important d'examiner brièvement la règle de droit applicable telle qu'elle a évolué jusqu'ici.  Il s'agit tout simplement de la règle suivante:  en l'absence de dispositions législatives claires l'y autorisant, la police n'est pas habilitée à entrer dans une maison d'habitation pour y effectuer une perquisition sans mandat [49].</w:t>
      </w:r>
    </w:p>
    <w:p w14:paraId="22CCF9F4" w14:textId="3B8E31A8" w:rsidR="0074531C" w:rsidRPr="00820215" w:rsidRDefault="0074531C" w:rsidP="0074531C">
      <w:pPr>
        <w:pStyle w:val="Paragraphedeliste"/>
        <w:numPr>
          <w:ilvl w:val="0"/>
          <w:numId w:val="69"/>
        </w:numPr>
        <w:jc w:val="both"/>
        <w:rPr>
          <w:rFonts w:ascii="Times New Roman" w:hAnsi="Times New Roman" w:cs="Times New Roman"/>
          <w:b/>
          <w:sz w:val="20"/>
          <w:szCs w:val="20"/>
        </w:rPr>
      </w:pPr>
      <w:r w:rsidRPr="0074531C">
        <w:rPr>
          <w:rFonts w:ascii="Times New Roman" w:hAnsi="Times New Roman" w:cs="Times New Roman"/>
          <w:sz w:val="20"/>
          <w:szCs w:val="20"/>
        </w:rPr>
        <w:t>D'après les faits, les policiers auraient pu obtenir un mandat avant de commencer leur opération.  La situation d'urgence n'a découlé, en l'espèce, que de la manière dont ils ont choisi d'organiser leur opération, c'est</w:t>
      </w:r>
      <w:r w:rsidRPr="0074531C">
        <w:rPr>
          <w:rFonts w:ascii="American Typewriter" w:hAnsi="American Typewriter" w:cs="American Typewriter"/>
          <w:sz w:val="20"/>
          <w:szCs w:val="20"/>
        </w:rPr>
        <w:t>‑</w:t>
      </w:r>
      <w:r w:rsidRPr="0074531C">
        <w:rPr>
          <w:rFonts w:ascii="Times New Roman" w:hAnsi="Times New Roman" w:cs="Times New Roman"/>
          <w:sz w:val="20"/>
          <w:szCs w:val="20"/>
        </w:rPr>
        <w:t>à</w:t>
      </w:r>
      <w:r w:rsidRPr="0074531C">
        <w:rPr>
          <w:rFonts w:ascii="American Typewriter" w:hAnsi="American Typewriter" w:cs="American Typewriter"/>
          <w:sz w:val="20"/>
          <w:szCs w:val="20"/>
        </w:rPr>
        <w:t>‑</w:t>
      </w:r>
      <w:r w:rsidRPr="0074531C">
        <w:rPr>
          <w:rFonts w:ascii="Times New Roman" w:hAnsi="Times New Roman" w:cs="Times New Roman"/>
          <w:sz w:val="20"/>
          <w:szCs w:val="20"/>
        </w:rPr>
        <w:t xml:space="preserve">dire qu'ils ont créé leur propre situation d'urgence.  Dans l'arrêt </w:t>
      </w:r>
      <w:r w:rsidRPr="0074531C">
        <w:rPr>
          <w:rFonts w:ascii="Times New Roman" w:hAnsi="Times New Roman" w:cs="Times New Roman"/>
          <w:i/>
          <w:iCs/>
          <w:sz w:val="20"/>
          <w:szCs w:val="20"/>
        </w:rPr>
        <w:t>Grant</w:t>
      </w:r>
      <w:r w:rsidRPr="0074531C">
        <w:rPr>
          <w:rFonts w:ascii="Times New Roman" w:hAnsi="Times New Roman" w:cs="Times New Roman"/>
          <w:sz w:val="20"/>
          <w:szCs w:val="20"/>
        </w:rPr>
        <w:t>, précité, le juge Sopinka a clairement indiqué qu'on ne pouvait invoquer une situation d'urgence que lorsqu'il était impossible d'obtenir un mandat de perquisition.  Ce point ressortira encore davantage de mon analyse de l'urgence en vertu du par. 24(2), qui (étant donné que j'ai statué que la situation d'urgence ne joue aucun rôle en l'espèce) constitue le contexte approprié pour examiner cette question [54].</w:t>
      </w:r>
    </w:p>
    <w:p w14:paraId="7D3A9D5E" w14:textId="77777777" w:rsidR="00820215" w:rsidRDefault="00820215" w:rsidP="00820215">
      <w:pPr>
        <w:jc w:val="both"/>
        <w:rPr>
          <w:rFonts w:ascii="Times New Roman" w:hAnsi="Times New Roman" w:cs="Times New Roman"/>
          <w:b/>
          <w:sz w:val="20"/>
          <w:szCs w:val="20"/>
        </w:rPr>
      </w:pPr>
    </w:p>
    <w:p w14:paraId="46799FD4" w14:textId="79CFF1D7" w:rsidR="00820215" w:rsidRDefault="00820215" w:rsidP="00820215">
      <w:pPr>
        <w:jc w:val="both"/>
        <w:rPr>
          <w:rFonts w:ascii="Times New Roman" w:hAnsi="Times New Roman" w:cs="Times New Roman"/>
          <w:sz w:val="22"/>
          <w:szCs w:val="22"/>
        </w:rPr>
      </w:pPr>
      <w:r>
        <w:rPr>
          <w:rFonts w:ascii="Times New Roman" w:hAnsi="Times New Roman" w:cs="Times New Roman"/>
          <w:sz w:val="22"/>
          <w:szCs w:val="22"/>
        </w:rPr>
        <w:t>La situation d’urgence concernant les véhicules ;</w:t>
      </w:r>
    </w:p>
    <w:p w14:paraId="397DBDE4" w14:textId="1EDAA347" w:rsidR="00820215" w:rsidRDefault="00820215" w:rsidP="00820215">
      <w:pPr>
        <w:jc w:val="both"/>
        <w:rPr>
          <w:rFonts w:ascii="Times New Roman" w:hAnsi="Times New Roman" w:cs="Times New Roman"/>
          <w:b/>
          <w:i/>
          <w:sz w:val="22"/>
          <w:szCs w:val="22"/>
        </w:rPr>
      </w:pPr>
      <w:r>
        <w:rPr>
          <w:rFonts w:ascii="Times New Roman" w:hAnsi="Times New Roman" w:cs="Times New Roman"/>
          <w:b/>
          <w:i/>
          <w:sz w:val="22"/>
          <w:szCs w:val="22"/>
        </w:rPr>
        <w:t>R. c. Grant 1993 (p.38) :</w:t>
      </w:r>
    </w:p>
    <w:p w14:paraId="44B6978F" w14:textId="547E79FE" w:rsidR="00820215" w:rsidRPr="00820215" w:rsidRDefault="00820215" w:rsidP="00820215">
      <w:pPr>
        <w:pStyle w:val="Paragraphedeliste"/>
        <w:numPr>
          <w:ilvl w:val="0"/>
          <w:numId w:val="70"/>
        </w:numPr>
        <w:jc w:val="both"/>
        <w:rPr>
          <w:rFonts w:ascii="Times New Roman" w:hAnsi="Times New Roman" w:cs="Times New Roman"/>
          <w:sz w:val="20"/>
          <w:szCs w:val="20"/>
        </w:rPr>
      </w:pPr>
      <w:r w:rsidRPr="00820215">
        <w:rPr>
          <w:rFonts w:ascii="Times New Roman" w:hAnsi="Times New Roman" w:cs="Times New Roman"/>
          <w:sz w:val="20"/>
          <w:szCs w:val="20"/>
        </w:rPr>
        <w:t>je dois aussi tenir compte du fait que notre Cour a reconnu l'existence d'une attente en matière de vie privée relativement aux véhicules à moteur, moindre toutefois que celle qui existe à l'égard d'une maison d'habitation ou d'un bureau privé. </w:t>
      </w:r>
    </w:p>
    <w:p w14:paraId="10A20938" w14:textId="77777777" w:rsidR="00820215" w:rsidRPr="00820215" w:rsidRDefault="00820215" w:rsidP="00820215">
      <w:pPr>
        <w:pStyle w:val="Paragraphedeliste"/>
        <w:numPr>
          <w:ilvl w:val="0"/>
          <w:numId w:val="70"/>
        </w:numPr>
        <w:jc w:val="both"/>
        <w:rPr>
          <w:rFonts w:ascii="Times New Roman" w:hAnsi="Times New Roman" w:cs="Times New Roman"/>
          <w:sz w:val="20"/>
          <w:szCs w:val="20"/>
          <w:lang w:val="fr-CA"/>
        </w:rPr>
      </w:pPr>
      <w:r w:rsidRPr="00820215">
        <w:rPr>
          <w:rFonts w:ascii="Times New Roman" w:hAnsi="Times New Roman" w:cs="Times New Roman"/>
          <w:sz w:val="20"/>
          <w:szCs w:val="20"/>
        </w:rPr>
        <w:t>.  On jugera généralement qu'il y a situation d'urgence s'il existe un risque imminent que les éléments de preuve soient perdus, enlevés, détruits ou qu'ils disparaissent si la fouille, la perquisition ou la saisie est retardée.  La croyance que des éléments de preuve recherchés se trouvent à bord d'un véhicule à moteur, d'un navire, d'un aéronef ou de tout autre véhicule rapide créera souvent une situation d'urgence; toutefois, il n'existe aucune exception générale pour ces moyens de transport.</w:t>
      </w:r>
    </w:p>
    <w:p w14:paraId="7CBF77CE" w14:textId="77777777" w:rsidR="00820215" w:rsidRDefault="00820215" w:rsidP="00820215">
      <w:pPr>
        <w:jc w:val="both"/>
        <w:rPr>
          <w:rFonts w:ascii="Times New Roman" w:hAnsi="Times New Roman" w:cs="Times New Roman"/>
          <w:sz w:val="20"/>
          <w:szCs w:val="20"/>
          <w:lang w:val="fr-CA"/>
        </w:rPr>
      </w:pPr>
    </w:p>
    <w:p w14:paraId="1BDC87D4" w14:textId="243958C4" w:rsidR="00820215" w:rsidRDefault="00820215" w:rsidP="00820215">
      <w:pPr>
        <w:jc w:val="both"/>
        <w:rPr>
          <w:rFonts w:ascii="Times New Roman" w:hAnsi="Times New Roman" w:cs="Times New Roman"/>
          <w:sz w:val="22"/>
          <w:szCs w:val="22"/>
          <w:lang w:val="fr-CA"/>
        </w:rPr>
      </w:pPr>
      <w:r>
        <w:rPr>
          <w:rFonts w:ascii="Times New Roman" w:hAnsi="Times New Roman" w:cs="Times New Roman"/>
          <w:sz w:val="22"/>
          <w:szCs w:val="22"/>
          <w:lang w:val="fr-CA"/>
        </w:rPr>
        <w:t>D’autres cas où le mandat n’est pas nécessaire;</w:t>
      </w:r>
    </w:p>
    <w:p w14:paraId="68732402" w14:textId="470F0A3B" w:rsidR="00820215" w:rsidRDefault="00820215" w:rsidP="00820215">
      <w:pPr>
        <w:jc w:val="both"/>
        <w:rPr>
          <w:rFonts w:ascii="Times New Roman" w:hAnsi="Times New Roman" w:cs="Times New Roman"/>
          <w:sz w:val="22"/>
          <w:szCs w:val="22"/>
          <w:lang w:val="fr-CA"/>
        </w:rPr>
      </w:pPr>
      <w:r>
        <w:rPr>
          <w:rFonts w:ascii="Times New Roman" w:hAnsi="Times New Roman" w:cs="Times New Roman"/>
          <w:sz w:val="22"/>
          <w:szCs w:val="22"/>
          <w:lang w:val="fr-CA"/>
        </w:rPr>
        <w:t>Art. 487.11C.cr.</w:t>
      </w:r>
    </w:p>
    <w:p w14:paraId="270847A9" w14:textId="03B1EA27" w:rsidR="00820215" w:rsidRDefault="00820215" w:rsidP="00820215">
      <w:pPr>
        <w:jc w:val="both"/>
        <w:rPr>
          <w:rFonts w:ascii="Times New Roman" w:hAnsi="Times New Roman" w:cs="Times New Roman"/>
          <w:sz w:val="22"/>
          <w:szCs w:val="22"/>
          <w:lang w:val="fr-CA"/>
        </w:rPr>
      </w:pPr>
      <w:r>
        <w:rPr>
          <w:rFonts w:ascii="Times New Roman" w:hAnsi="Times New Roman" w:cs="Times New Roman"/>
          <w:sz w:val="22"/>
          <w:szCs w:val="22"/>
          <w:lang w:val="fr-CA"/>
        </w:rPr>
        <w:t>L.R.D.A.S. art. 11(7)</w:t>
      </w:r>
    </w:p>
    <w:p w14:paraId="5B707FC8" w14:textId="77777777" w:rsidR="00820215" w:rsidRDefault="00820215" w:rsidP="00820215">
      <w:pPr>
        <w:jc w:val="both"/>
        <w:rPr>
          <w:rFonts w:ascii="Times New Roman" w:hAnsi="Times New Roman" w:cs="Times New Roman"/>
          <w:sz w:val="22"/>
          <w:szCs w:val="22"/>
          <w:lang w:val="fr-CA"/>
        </w:rPr>
      </w:pPr>
    </w:p>
    <w:p w14:paraId="05E2FC8B" w14:textId="26E1F250" w:rsidR="00820215" w:rsidRDefault="00820215" w:rsidP="00820215">
      <w:pPr>
        <w:jc w:val="both"/>
        <w:rPr>
          <w:rFonts w:ascii="Times New Roman" w:hAnsi="Times New Roman" w:cs="Times New Roman"/>
          <w:sz w:val="22"/>
          <w:szCs w:val="22"/>
          <w:lang w:val="fr-CA"/>
        </w:rPr>
      </w:pPr>
      <w:r>
        <w:rPr>
          <w:rFonts w:ascii="Times New Roman" w:hAnsi="Times New Roman" w:cs="Times New Roman"/>
          <w:sz w:val="22"/>
          <w:szCs w:val="22"/>
          <w:lang w:val="fr-CA"/>
        </w:rPr>
        <w:t>Le cas de la prise en chasse;</w:t>
      </w:r>
    </w:p>
    <w:p w14:paraId="6FFF0EA6" w14:textId="1BE77AAD" w:rsidR="00820215" w:rsidRDefault="00820215" w:rsidP="00820215">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 xml:space="preserve"> R. c. Macooh 1993 (p.39) :</w:t>
      </w:r>
    </w:p>
    <w:p w14:paraId="1A5A105F" w14:textId="6C346B82" w:rsidR="00820215" w:rsidRPr="00820215" w:rsidRDefault="00820215" w:rsidP="00820215">
      <w:pPr>
        <w:pStyle w:val="Paragraphedeliste"/>
        <w:numPr>
          <w:ilvl w:val="0"/>
          <w:numId w:val="71"/>
        </w:numPr>
        <w:jc w:val="both"/>
        <w:rPr>
          <w:rFonts w:ascii="Times New Roman" w:hAnsi="Times New Roman" w:cs="Times New Roman"/>
          <w:b/>
          <w:i/>
          <w:sz w:val="22"/>
          <w:szCs w:val="22"/>
          <w:lang w:val="fr-CA"/>
        </w:rPr>
      </w:pPr>
      <w:r w:rsidRPr="00626991">
        <w:rPr>
          <w:rFonts w:ascii="Times New Roman" w:hAnsi="Times New Roman" w:cs="Times New Roman"/>
          <w:sz w:val="22"/>
          <w:szCs w:val="22"/>
        </w:rPr>
        <w:t>Généralement, l'essence de la prise en chasse est qu'elle doit être continue et effectuée avec diligence raisonnable, de façon à ce que la poursuite et la capture, avec la perpétration de l'infraction, puissent être considérées comme faisant partie d'une seule opération</w:t>
      </w:r>
    </w:p>
    <w:p w14:paraId="320D4440" w14:textId="77777777" w:rsidR="00820215" w:rsidRDefault="00820215" w:rsidP="00820215">
      <w:pPr>
        <w:pStyle w:val="Paragraphedeliste"/>
        <w:jc w:val="both"/>
        <w:rPr>
          <w:rFonts w:ascii="Times New Roman" w:hAnsi="Times New Roman" w:cs="Times New Roman"/>
          <w:b/>
          <w:i/>
          <w:sz w:val="22"/>
          <w:szCs w:val="22"/>
          <w:lang w:val="fr-CA"/>
        </w:rPr>
      </w:pPr>
    </w:p>
    <w:p w14:paraId="3748EFE7" w14:textId="77777777" w:rsidR="00820215" w:rsidRDefault="00820215" w:rsidP="00820215">
      <w:pPr>
        <w:pStyle w:val="Paragraphedeliste"/>
        <w:jc w:val="both"/>
        <w:rPr>
          <w:rFonts w:ascii="Times New Roman" w:hAnsi="Times New Roman" w:cs="Times New Roman"/>
          <w:b/>
          <w:i/>
          <w:sz w:val="22"/>
          <w:szCs w:val="22"/>
          <w:lang w:val="fr-CA"/>
        </w:rPr>
      </w:pPr>
    </w:p>
    <w:p w14:paraId="0428522E" w14:textId="77777777" w:rsidR="00820215" w:rsidRDefault="00820215" w:rsidP="00820215">
      <w:pPr>
        <w:pStyle w:val="Paragraphedeliste"/>
        <w:jc w:val="both"/>
        <w:rPr>
          <w:rFonts w:ascii="Times New Roman" w:hAnsi="Times New Roman" w:cs="Times New Roman"/>
          <w:b/>
          <w:i/>
          <w:sz w:val="22"/>
          <w:szCs w:val="22"/>
          <w:lang w:val="fr-CA"/>
        </w:rPr>
      </w:pPr>
    </w:p>
    <w:p w14:paraId="19E55959" w14:textId="77777777" w:rsidR="00820215" w:rsidRDefault="00820215" w:rsidP="00820215">
      <w:pPr>
        <w:pStyle w:val="Paragraphedeliste"/>
        <w:jc w:val="both"/>
        <w:rPr>
          <w:rFonts w:ascii="Times New Roman" w:hAnsi="Times New Roman" w:cs="Times New Roman"/>
          <w:b/>
          <w:i/>
          <w:sz w:val="22"/>
          <w:szCs w:val="22"/>
          <w:lang w:val="fr-CA"/>
        </w:rPr>
      </w:pPr>
    </w:p>
    <w:p w14:paraId="0EA16C60" w14:textId="77777777" w:rsidR="00820215" w:rsidRPr="00820215" w:rsidRDefault="00820215" w:rsidP="00820215">
      <w:pPr>
        <w:pStyle w:val="Paragraphedeliste"/>
        <w:jc w:val="both"/>
        <w:rPr>
          <w:rFonts w:ascii="Times New Roman" w:hAnsi="Times New Roman" w:cs="Times New Roman"/>
          <w:b/>
          <w:i/>
          <w:sz w:val="22"/>
          <w:szCs w:val="22"/>
          <w:lang w:val="fr-CA"/>
        </w:rPr>
      </w:pPr>
    </w:p>
    <w:p w14:paraId="131ADA05" w14:textId="77777777" w:rsidR="00820215" w:rsidRPr="00820215" w:rsidRDefault="00820215" w:rsidP="00820215">
      <w:pPr>
        <w:ind w:left="360"/>
        <w:jc w:val="both"/>
        <w:rPr>
          <w:rFonts w:ascii="Times New Roman" w:hAnsi="Times New Roman" w:cs="Times New Roman"/>
          <w:sz w:val="22"/>
          <w:szCs w:val="22"/>
          <w:lang w:val="fr-CA"/>
        </w:rPr>
      </w:pPr>
    </w:p>
    <w:p w14:paraId="112D434B" w14:textId="77777777"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§2. Le mandat de perquisition (article 487 du C. cr.)</w:t>
      </w:r>
    </w:p>
    <w:p w14:paraId="61C74576" w14:textId="5A3C1E80" w:rsidR="00820215" w:rsidRDefault="00820215"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texte le plus utilisé en matière de mandat est l’article 487(1) C.cr., si la police ne peut l’obtenir devant un juge, elle peut demander un télémandat sous 487.1(1)C.cr. C’est un juge qui peut émettre ce genre de mandat. À l’art. 487.1(5)C.cr. le juge peut émettre diverse condition</w:t>
      </w:r>
      <w:r w:rsidR="0011362B">
        <w:rPr>
          <w:rFonts w:ascii="Times New Roman" w:hAnsi="Times New Roman" w:cs="Times New Roman"/>
          <w:color w:val="3E3E3E"/>
          <w:sz w:val="22"/>
          <w:szCs w:val="22"/>
        </w:rPr>
        <w:t>s. Voir 487.3(1), (2), (3) et (4).</w:t>
      </w:r>
    </w:p>
    <w:p w14:paraId="4F6B092A" w14:textId="76354F6D" w:rsidR="0011362B" w:rsidRPr="0011362B" w:rsidRDefault="0011362B" w:rsidP="00B76612">
      <w:pPr>
        <w:widowControl w:val="0"/>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u w:val="single"/>
        </w:rPr>
        <w:t>I. Conditions d’obtention et exécution du mandat</w:t>
      </w:r>
    </w:p>
    <w:p w14:paraId="107B5D74" w14:textId="77777777" w:rsidR="00B76612" w:rsidRPr="0011362B"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11362B">
        <w:rPr>
          <w:rFonts w:ascii="Times New Roman" w:hAnsi="Times New Roman" w:cs="Times New Roman"/>
          <w:b/>
          <w:color w:val="3E3E3E"/>
          <w:sz w:val="22"/>
          <w:szCs w:val="22"/>
        </w:rPr>
        <w:t>A.     Les motifs raisonnables ;</w:t>
      </w:r>
    </w:p>
    <w:p w14:paraId="67BCF05F" w14:textId="6D14D719" w:rsidR="00B76612" w:rsidRDefault="00B76612" w:rsidP="00B76612">
      <w:pPr>
        <w:widowControl w:val="0"/>
        <w:autoSpaceDE w:val="0"/>
        <w:autoSpaceDN w:val="0"/>
        <w:adjustRightInd w:val="0"/>
        <w:spacing w:after="300"/>
        <w:jc w:val="both"/>
        <w:rPr>
          <w:rFonts w:ascii="Times New Roman" w:hAnsi="Times New Roman" w:cs="Times New Roman"/>
          <w:b/>
          <w:i/>
          <w:color w:val="3E3E3E"/>
          <w:sz w:val="22"/>
          <w:szCs w:val="22"/>
        </w:rPr>
      </w:pPr>
      <w:r w:rsidRPr="00B76612">
        <w:rPr>
          <w:rFonts w:ascii="Times New Roman" w:hAnsi="Times New Roman" w:cs="Times New Roman"/>
          <w:color w:val="3E3E3E"/>
          <w:sz w:val="22"/>
          <w:szCs w:val="22"/>
        </w:rPr>
        <w:t> </w:t>
      </w:r>
      <w:r w:rsidR="0011362B">
        <w:rPr>
          <w:rFonts w:ascii="Times New Roman" w:hAnsi="Times New Roman" w:cs="Times New Roman"/>
          <w:b/>
          <w:i/>
          <w:color w:val="3E3E3E"/>
          <w:sz w:val="22"/>
          <w:szCs w:val="22"/>
        </w:rPr>
        <w:t>R. c. Morelli 2010 (p.40) :</w:t>
      </w:r>
    </w:p>
    <w:p w14:paraId="538CD650" w14:textId="4B8B11E6" w:rsidR="0011362B" w:rsidRPr="0011362B" w:rsidRDefault="0011362B" w:rsidP="0011362B">
      <w:pPr>
        <w:pStyle w:val="Paragraphedeliste"/>
        <w:widowControl w:val="0"/>
        <w:numPr>
          <w:ilvl w:val="0"/>
          <w:numId w:val="71"/>
        </w:numPr>
        <w:autoSpaceDE w:val="0"/>
        <w:autoSpaceDN w:val="0"/>
        <w:adjustRightInd w:val="0"/>
        <w:spacing w:after="300"/>
        <w:jc w:val="both"/>
        <w:rPr>
          <w:rFonts w:ascii="Times New Roman" w:hAnsi="Times New Roman" w:cs="Times New Roman"/>
          <w:color w:val="3E3E3E"/>
          <w:sz w:val="22"/>
          <w:szCs w:val="22"/>
        </w:rPr>
      </w:pPr>
      <w:r w:rsidRPr="00EA18F1">
        <w:rPr>
          <w:rFonts w:ascii="Times New Roman" w:hAnsi="Times New Roman" w:cs="Times New Roman"/>
          <w:sz w:val="20"/>
          <w:szCs w:val="20"/>
        </w:rPr>
        <w:t xml:space="preserve">La </w:t>
      </w:r>
      <w:r w:rsidRPr="00EA18F1">
        <w:rPr>
          <w:rFonts w:ascii="Times New Roman" w:hAnsi="Times New Roman" w:cs="Times New Roman"/>
          <w:i/>
          <w:iCs/>
          <w:sz w:val="20"/>
          <w:szCs w:val="20"/>
        </w:rPr>
        <w:t>Charte</w:t>
      </w:r>
      <w:r w:rsidRPr="00EA18F1">
        <w:rPr>
          <w:rFonts w:ascii="Times New Roman" w:hAnsi="Times New Roman" w:cs="Times New Roman"/>
          <w:sz w:val="20"/>
          <w:szCs w:val="20"/>
        </w:rPr>
        <w:t xml:space="preserve"> exige que les policiers, avant d’effectuer une perquisition, attestent « l’existence de motifs raisonnables et probables, établie sous serment, de croire qu’une infraction a été commise et que des éléments de preuve se trouvent à l’endroit de la p</w:t>
      </w:r>
      <w:r>
        <w:rPr>
          <w:rFonts w:ascii="Times New Roman" w:hAnsi="Times New Roman" w:cs="Times New Roman"/>
          <w:sz w:val="20"/>
          <w:szCs w:val="20"/>
        </w:rPr>
        <w:t>erquisition.</w:t>
      </w:r>
    </w:p>
    <w:p w14:paraId="1C217B7C" w14:textId="5D469A54" w:rsidR="0011362B" w:rsidRDefault="0011362B" w:rsidP="0011362B">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Nelles c. Ontario :</w:t>
      </w:r>
    </w:p>
    <w:p w14:paraId="789B7888" w14:textId="25A1A02A" w:rsidR="0011362B" w:rsidRPr="0011362B" w:rsidRDefault="0011362B" w:rsidP="0011362B">
      <w:pPr>
        <w:pStyle w:val="Paragraphedeliste"/>
        <w:widowControl w:val="0"/>
        <w:numPr>
          <w:ilvl w:val="0"/>
          <w:numId w:val="71"/>
        </w:numPr>
        <w:autoSpaceDE w:val="0"/>
        <w:autoSpaceDN w:val="0"/>
        <w:adjustRightInd w:val="0"/>
        <w:spacing w:after="300"/>
        <w:jc w:val="both"/>
        <w:rPr>
          <w:rFonts w:ascii="Times New Roman" w:hAnsi="Times New Roman" w:cs="Times New Roman"/>
          <w:color w:val="3E3E3E"/>
          <w:sz w:val="20"/>
          <w:szCs w:val="20"/>
        </w:rPr>
      </w:pPr>
      <w:r w:rsidRPr="0011362B">
        <w:rPr>
          <w:rFonts w:ascii="Times New Roman" w:hAnsi="Times New Roman" w:cs="Times New Roman"/>
          <w:sz w:val="20"/>
          <w:szCs w:val="20"/>
        </w:rPr>
        <w:t>Un motif raisonnable et probable a été décrit comme [TRADUCTION] "la croyance de bonne foi en la culpabilité de l'accusé, basée sur la certitude, elle</w:t>
      </w:r>
      <w:r w:rsidRPr="0011362B">
        <w:rPr>
          <w:rFonts w:ascii="American Typewriter" w:hAnsi="American Typewriter" w:cs="American Typewriter"/>
          <w:sz w:val="20"/>
          <w:szCs w:val="20"/>
        </w:rPr>
        <w:t>‑</w:t>
      </w:r>
      <w:r w:rsidRPr="0011362B">
        <w:rPr>
          <w:rFonts w:ascii="Times New Roman" w:hAnsi="Times New Roman" w:cs="Times New Roman"/>
          <w:sz w:val="20"/>
          <w:szCs w:val="20"/>
        </w:rPr>
        <w:t>même fondée sur des motifs raisonnables, de l'existence d'un état de faits qui, en supposant qu'ils soient exacts, porterait raisonnablement tout homme normalement avisé et prudent, à la place de l'accusateur, à croire que la personne inculpée était probablement coupable du crime en question.</w:t>
      </w:r>
    </w:p>
    <w:p w14:paraId="062251EC" w14:textId="64B56C15" w:rsidR="0011362B" w:rsidRDefault="0011362B" w:rsidP="0011362B">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Debot 1989 :</w:t>
      </w:r>
    </w:p>
    <w:p w14:paraId="7B5DB331" w14:textId="77777777" w:rsidR="0011362B" w:rsidRDefault="0011362B" w:rsidP="0011362B">
      <w:pPr>
        <w:pStyle w:val="Paragraphedeliste"/>
        <w:numPr>
          <w:ilvl w:val="0"/>
          <w:numId w:val="71"/>
        </w:numPr>
        <w:jc w:val="both"/>
        <w:rPr>
          <w:rFonts w:ascii="Times New Roman" w:hAnsi="Times New Roman" w:cs="Times New Roman"/>
          <w:sz w:val="22"/>
          <w:szCs w:val="22"/>
        </w:rPr>
      </w:pPr>
      <w:r w:rsidRPr="0011362B">
        <w:rPr>
          <w:rFonts w:ascii="Times New Roman" w:hAnsi="Times New Roman" w:cs="Times New Roman"/>
          <w:sz w:val="22"/>
          <w:szCs w:val="22"/>
        </w:rPr>
        <w:t>Je suis de l'avis du juge Martin que la norme de preuve applicable est la "probabilité raisonnable" plutôt que "la preuve hors de tout doute raisonnable" ou "la preuve</w:t>
      </w:r>
      <w:r w:rsidRPr="0011362B">
        <w:rPr>
          <w:rFonts w:ascii="Times New Roman" w:hAnsi="Times New Roman" w:cs="Times New Roman"/>
          <w:i/>
          <w:iCs/>
          <w:sz w:val="22"/>
          <w:szCs w:val="22"/>
        </w:rPr>
        <w:t xml:space="preserve"> prima facie</w:t>
      </w:r>
      <w:r w:rsidRPr="0011362B">
        <w:rPr>
          <w:rFonts w:ascii="Times New Roman" w:hAnsi="Times New Roman" w:cs="Times New Roman"/>
          <w:sz w:val="22"/>
          <w:szCs w:val="22"/>
        </w:rPr>
        <w:t>".  L'expression "croyance raisonnable" correspond également assez bien à la norme applicable.</w:t>
      </w:r>
    </w:p>
    <w:p w14:paraId="1F0051CD" w14:textId="5FD75E11" w:rsidR="0011362B" w:rsidRPr="0011362B" w:rsidRDefault="0011362B" w:rsidP="0011362B">
      <w:pPr>
        <w:pStyle w:val="Paragraphedeliste"/>
        <w:numPr>
          <w:ilvl w:val="0"/>
          <w:numId w:val="71"/>
        </w:numPr>
        <w:jc w:val="both"/>
        <w:rPr>
          <w:rFonts w:ascii="Times New Roman" w:hAnsi="Times New Roman" w:cs="Times New Roman"/>
          <w:sz w:val="20"/>
          <w:szCs w:val="20"/>
          <w:lang w:val="fr-CA"/>
        </w:rPr>
      </w:pPr>
      <w:r w:rsidRPr="0011362B">
        <w:rPr>
          <w:rFonts w:ascii="Times New Roman" w:hAnsi="Times New Roman" w:cs="Times New Roman"/>
          <w:sz w:val="20"/>
          <w:szCs w:val="20"/>
        </w:rPr>
        <w:t>Il faut répondre à trois questions au moins pour évaluer si les éléments de preuve dont disposaient les policiers justifiaient une fouille sans mandat.  Premièrement, les renseignements permettant de prévoir la perpétration d'une infraction criminelle étaient</w:t>
      </w:r>
      <w:r w:rsidRPr="0011362B">
        <w:rPr>
          <w:rFonts w:ascii="American Typewriter" w:hAnsi="American Typewriter" w:cs="American Typewriter"/>
          <w:sz w:val="20"/>
          <w:szCs w:val="20"/>
        </w:rPr>
        <w:t>‑</w:t>
      </w:r>
      <w:r w:rsidRPr="0011362B">
        <w:rPr>
          <w:rFonts w:ascii="Times New Roman" w:hAnsi="Times New Roman" w:cs="Times New Roman"/>
          <w:sz w:val="20"/>
          <w:szCs w:val="20"/>
        </w:rPr>
        <w:t>ils convaincants?  Deuxièmement, la source extérieure à la police d'où provenait les renseignements était</w:t>
      </w:r>
      <w:r w:rsidRPr="0011362B">
        <w:rPr>
          <w:rFonts w:ascii="American Typewriter" w:hAnsi="American Typewriter" w:cs="American Typewriter"/>
          <w:sz w:val="20"/>
          <w:szCs w:val="20"/>
        </w:rPr>
        <w:t>‑</w:t>
      </w:r>
      <w:r w:rsidRPr="0011362B">
        <w:rPr>
          <w:rFonts w:ascii="Times New Roman" w:hAnsi="Times New Roman" w:cs="Times New Roman"/>
          <w:sz w:val="20"/>
          <w:szCs w:val="20"/>
        </w:rPr>
        <w:t>elle fiable?  Enfin, l'enquête de la police confirmait</w:t>
      </w:r>
      <w:r w:rsidRPr="0011362B">
        <w:rPr>
          <w:rFonts w:ascii="American Typewriter" w:hAnsi="American Typewriter" w:cs="American Typewriter"/>
          <w:sz w:val="20"/>
          <w:szCs w:val="20"/>
        </w:rPr>
        <w:t>‑</w:t>
      </w:r>
      <w:r w:rsidRPr="0011362B">
        <w:rPr>
          <w:rFonts w:ascii="Times New Roman" w:hAnsi="Times New Roman" w:cs="Times New Roman"/>
          <w:sz w:val="20"/>
          <w:szCs w:val="20"/>
        </w:rPr>
        <w:t>elle ces renseignements avant que les policiers décident de procéder à la fouille?  Chacune de ces questions ne constitue pas un critère distinct.  C'est plutôt "l'ensemble des circonstances" qui doit satisfaire au critère du caractère raisonnable.  La valeur des renseignements sous deux aspects peut dans une certaine mesure compenser leur faiblesse sous le troisième.</w:t>
      </w:r>
    </w:p>
    <w:p w14:paraId="64408C3D" w14:textId="77777777" w:rsidR="0011362B" w:rsidRPr="0011362B" w:rsidRDefault="0011362B" w:rsidP="0011362B">
      <w:pPr>
        <w:pStyle w:val="Paragraphedeliste"/>
        <w:jc w:val="both"/>
        <w:rPr>
          <w:rFonts w:ascii="Times New Roman" w:hAnsi="Times New Roman" w:cs="Times New Roman"/>
          <w:sz w:val="20"/>
          <w:szCs w:val="20"/>
          <w:lang w:val="fr-CA"/>
        </w:rPr>
      </w:pPr>
    </w:p>
    <w:p w14:paraId="708035A9" w14:textId="2D2CE5E4" w:rsidR="0011362B" w:rsidRDefault="0011362B" w:rsidP="0011362B">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Kang-Brown 2008 :</w:t>
      </w:r>
    </w:p>
    <w:p w14:paraId="51B45BE8" w14:textId="77777777" w:rsidR="0011362B" w:rsidRDefault="0011362B" w:rsidP="0011362B">
      <w:pPr>
        <w:pStyle w:val="Paragraphedeliste"/>
        <w:numPr>
          <w:ilvl w:val="0"/>
          <w:numId w:val="71"/>
        </w:numPr>
        <w:jc w:val="both"/>
        <w:rPr>
          <w:rFonts w:ascii="Times New Roman" w:hAnsi="Times New Roman" w:cs="Times New Roman"/>
          <w:b/>
          <w:sz w:val="20"/>
          <w:szCs w:val="20"/>
        </w:rPr>
      </w:pPr>
      <w:r w:rsidRPr="0011362B">
        <w:rPr>
          <w:rFonts w:ascii="Times New Roman" w:hAnsi="Times New Roman" w:cs="Times New Roman"/>
          <w:b/>
          <w:sz w:val="20"/>
          <w:szCs w:val="20"/>
        </w:rPr>
        <w:t>Ce qui distingue les « soupçons raisonnables » de la norme plus stricte des « motifs raisonnables et probables » est simplement le degré de probabilité qu’une personne se livre à une activité criminelle, et non l’existence de faits objectivement vérifiables, qui, dans les deux cas, sont nécessaires pour justifier la fouille ou la perquisition.  [p. 125-126]</w:t>
      </w:r>
    </w:p>
    <w:p w14:paraId="09B0ADB1" w14:textId="77777777" w:rsidR="0011362B" w:rsidRDefault="0011362B" w:rsidP="0011362B">
      <w:pPr>
        <w:jc w:val="both"/>
        <w:rPr>
          <w:rFonts w:ascii="Times New Roman" w:hAnsi="Times New Roman" w:cs="Times New Roman"/>
          <w:b/>
          <w:sz w:val="20"/>
          <w:szCs w:val="20"/>
        </w:rPr>
      </w:pPr>
    </w:p>
    <w:p w14:paraId="6340E455" w14:textId="7665803C" w:rsidR="0011362B" w:rsidRDefault="0011362B" w:rsidP="0011362B">
      <w:pPr>
        <w:jc w:val="both"/>
        <w:rPr>
          <w:rFonts w:ascii="Times New Roman" w:hAnsi="Times New Roman" w:cs="Times New Roman"/>
          <w:b/>
          <w:sz w:val="22"/>
          <w:szCs w:val="22"/>
        </w:rPr>
      </w:pPr>
      <w:r>
        <w:rPr>
          <w:rFonts w:ascii="Times New Roman" w:hAnsi="Times New Roman" w:cs="Times New Roman"/>
          <w:sz w:val="22"/>
          <w:szCs w:val="22"/>
        </w:rPr>
        <w:t xml:space="preserve">Concernant le cas de l’informateur et des motifs raisonnables, voir l’affaire </w:t>
      </w:r>
      <w:r>
        <w:rPr>
          <w:rFonts w:ascii="Times New Roman" w:hAnsi="Times New Roman" w:cs="Times New Roman"/>
          <w:b/>
          <w:sz w:val="22"/>
          <w:szCs w:val="22"/>
        </w:rPr>
        <w:t>Debot 1989 (</w:t>
      </w:r>
      <w:r>
        <w:rPr>
          <w:rFonts w:ascii="Times New Roman" w:hAnsi="Times New Roman" w:cs="Times New Roman"/>
          <w:sz w:val="22"/>
          <w:szCs w:val="22"/>
        </w:rPr>
        <w:t>p.41)</w:t>
      </w:r>
      <w:r>
        <w:rPr>
          <w:rFonts w:ascii="Times New Roman" w:hAnsi="Times New Roman" w:cs="Times New Roman"/>
          <w:b/>
          <w:sz w:val="22"/>
          <w:szCs w:val="22"/>
        </w:rPr>
        <w:t> ;</w:t>
      </w:r>
    </w:p>
    <w:p w14:paraId="33DFDD38" w14:textId="47697FFE" w:rsidR="0011362B" w:rsidRPr="0011362B" w:rsidRDefault="0011362B" w:rsidP="0011362B">
      <w:pPr>
        <w:pStyle w:val="Paragraphedeliste"/>
        <w:numPr>
          <w:ilvl w:val="0"/>
          <w:numId w:val="71"/>
        </w:numPr>
        <w:jc w:val="both"/>
        <w:rPr>
          <w:rFonts w:ascii="Times New Roman" w:hAnsi="Times New Roman" w:cs="Times New Roman"/>
          <w:sz w:val="22"/>
          <w:szCs w:val="22"/>
        </w:rPr>
      </w:pPr>
      <w:r w:rsidRPr="00EA18F1">
        <w:rPr>
          <w:rFonts w:ascii="Times New Roman" w:hAnsi="Times New Roman" w:cs="Times New Roman"/>
          <w:sz w:val="20"/>
          <w:szCs w:val="20"/>
        </w:rPr>
        <w:t>L'informateur dont la crédibilité est la plus déterminante est celui qui a fourni les renseignements sur le marché qui devait avoir lieu. La preuve de rapports antérieurs avec l'informateur en l'espèce tend à justifier la décision de considérer l'informateur comme crédible.  Quand la police s'appuie sur un renseignement anonyme ou fourni par un informateur qui n'a pas fait ses preuves, la qualité des renseignements et la valeur probante des preuves corroborantes doit suppléer à l'impossibilité d'évaluer la crédibilité de la source des renseignements</w:t>
      </w:r>
      <w:r>
        <w:rPr>
          <w:rFonts w:ascii="Times New Roman" w:hAnsi="Times New Roman" w:cs="Times New Roman"/>
          <w:sz w:val="20"/>
          <w:szCs w:val="20"/>
        </w:rPr>
        <w:t>.</w:t>
      </w:r>
    </w:p>
    <w:p w14:paraId="62AE91BC" w14:textId="77777777" w:rsidR="0011362B" w:rsidRPr="0011362B" w:rsidRDefault="0011362B" w:rsidP="0011362B">
      <w:pPr>
        <w:pStyle w:val="Paragraphedeliste"/>
        <w:numPr>
          <w:ilvl w:val="0"/>
          <w:numId w:val="71"/>
        </w:numPr>
        <w:jc w:val="both"/>
        <w:rPr>
          <w:rFonts w:ascii="Times New Roman" w:hAnsi="Times New Roman" w:cs="Times New Roman"/>
          <w:sz w:val="20"/>
          <w:szCs w:val="20"/>
          <w:lang w:val="fr-CA"/>
        </w:rPr>
      </w:pPr>
      <w:r w:rsidRPr="0011362B">
        <w:rPr>
          <w:rFonts w:ascii="Times New Roman" w:hAnsi="Times New Roman" w:cs="Times New Roman"/>
          <w:sz w:val="20"/>
          <w:szCs w:val="20"/>
        </w:rPr>
        <w:t>Il n'est pas nécessaire que la police confirme tous les détails des renseignements fournis par l'informateur quand le déroulement des événements observés correspond assez bien à la séquence prévue pour écarter la possibilité d'une coïncidence fortuite.  Le niveau de vérification peut être plus élevé cependant quand les policiers agissent sur la foi de renseignements d'un informateur dont ils ne peuvent évaluer la crédibilité ou s'ils ont moins de détails et que le risque de coïncidence fortuite est plus grand.  Compte tenu de la qualité des renseignements et de la fiabilité de l'informateur en l'espèce, la surveillance policière a produit suffisamment d'éléments de corroboration pour les justifier de croire qu'un marché de drogue venait de se produire.</w:t>
      </w:r>
    </w:p>
    <w:p w14:paraId="369DE6DE" w14:textId="77777777" w:rsidR="0011362B" w:rsidRDefault="0011362B" w:rsidP="0011362B">
      <w:pPr>
        <w:jc w:val="both"/>
        <w:rPr>
          <w:rFonts w:ascii="Times New Roman" w:hAnsi="Times New Roman" w:cs="Times New Roman"/>
          <w:sz w:val="22"/>
          <w:szCs w:val="22"/>
        </w:rPr>
      </w:pPr>
    </w:p>
    <w:p w14:paraId="2E7C196C" w14:textId="0F27FB33" w:rsidR="0011362B" w:rsidRDefault="0011362B" w:rsidP="00A24C21">
      <w:pPr>
        <w:jc w:val="both"/>
        <w:rPr>
          <w:rFonts w:ascii="Times New Roman" w:hAnsi="Times New Roman" w:cs="Times New Roman"/>
          <w:b/>
          <w:sz w:val="22"/>
          <w:szCs w:val="22"/>
        </w:rPr>
      </w:pPr>
      <w:r>
        <w:rPr>
          <w:rFonts w:ascii="Times New Roman" w:hAnsi="Times New Roman" w:cs="Times New Roman"/>
          <w:sz w:val="22"/>
          <w:szCs w:val="22"/>
        </w:rPr>
        <w:t xml:space="preserve">Pour apprécier la prépondérance des droits, aux fins d’émettre un mandat, il convient de se référer à l’affaire </w:t>
      </w:r>
      <w:r>
        <w:rPr>
          <w:rFonts w:ascii="Times New Roman" w:hAnsi="Times New Roman" w:cs="Times New Roman"/>
          <w:b/>
          <w:sz w:val="22"/>
          <w:szCs w:val="22"/>
        </w:rPr>
        <w:t>Hunter c. Southam 1984</w:t>
      </w:r>
      <w:r w:rsidR="00A24C21">
        <w:rPr>
          <w:rFonts w:ascii="Times New Roman" w:hAnsi="Times New Roman" w:cs="Times New Roman"/>
          <w:b/>
          <w:sz w:val="22"/>
          <w:szCs w:val="22"/>
        </w:rPr>
        <w:t xml:space="preserve"> (p.42).</w:t>
      </w:r>
    </w:p>
    <w:p w14:paraId="0BDC8C70" w14:textId="77777777" w:rsidR="00A24C21" w:rsidRPr="00A24C21" w:rsidRDefault="00A24C21" w:rsidP="00A24C21">
      <w:pPr>
        <w:jc w:val="both"/>
        <w:rPr>
          <w:rFonts w:ascii="Times New Roman" w:hAnsi="Times New Roman" w:cs="Times New Roman"/>
          <w:b/>
          <w:sz w:val="22"/>
          <w:szCs w:val="22"/>
        </w:rPr>
      </w:pPr>
    </w:p>
    <w:p w14:paraId="565E666B"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A24C21">
        <w:rPr>
          <w:rFonts w:ascii="Times New Roman" w:hAnsi="Times New Roman" w:cs="Times New Roman"/>
          <w:b/>
          <w:color w:val="3E3E3E"/>
          <w:sz w:val="22"/>
          <w:szCs w:val="22"/>
        </w:rPr>
        <w:t>B.     La procédure d’obtention </w:t>
      </w:r>
      <w:r>
        <w:rPr>
          <w:rFonts w:ascii="Times New Roman" w:hAnsi="Times New Roman" w:cs="Times New Roman"/>
          <w:color w:val="3E3E3E"/>
          <w:sz w:val="22"/>
          <w:szCs w:val="22"/>
        </w:rPr>
        <w:t>;</w:t>
      </w:r>
    </w:p>
    <w:p w14:paraId="7E8C0503" w14:textId="5BE45D52"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 </w:t>
      </w:r>
      <w:r w:rsidR="00A24C21">
        <w:rPr>
          <w:rFonts w:ascii="Times New Roman" w:hAnsi="Times New Roman" w:cs="Times New Roman"/>
          <w:color w:val="3E3E3E"/>
          <w:sz w:val="22"/>
          <w:szCs w:val="22"/>
        </w:rPr>
        <w:t>Voir la formule 1 p.43.</w:t>
      </w:r>
    </w:p>
    <w:p w14:paraId="725C1160" w14:textId="743DDB99" w:rsidR="00A24C21" w:rsidRDefault="00A24C21"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Debot 1989 :</w:t>
      </w:r>
    </w:p>
    <w:p w14:paraId="041E64BD" w14:textId="4DF7A0C1" w:rsidR="00A24C21" w:rsidRDefault="00A24C21" w:rsidP="00B766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Araujo 2000 :</w:t>
      </w:r>
    </w:p>
    <w:p w14:paraId="2FDEE0DC" w14:textId="28D58114" w:rsidR="00A24C21" w:rsidRPr="00A24C21" w:rsidRDefault="00A24C21" w:rsidP="00305ED6">
      <w:pPr>
        <w:pStyle w:val="Paragraphedeliste"/>
        <w:widowControl w:val="0"/>
        <w:numPr>
          <w:ilvl w:val="0"/>
          <w:numId w:val="72"/>
        </w:numPr>
        <w:autoSpaceDE w:val="0"/>
        <w:autoSpaceDN w:val="0"/>
        <w:adjustRightInd w:val="0"/>
        <w:spacing w:after="300"/>
        <w:jc w:val="both"/>
        <w:rPr>
          <w:rFonts w:ascii="Times New Roman" w:hAnsi="Times New Roman" w:cs="Times New Roman"/>
          <w:i/>
          <w:color w:val="3E3E3E"/>
          <w:sz w:val="22"/>
          <w:szCs w:val="22"/>
        </w:rPr>
      </w:pPr>
      <w:r w:rsidRPr="00243CFE">
        <w:rPr>
          <w:rFonts w:ascii="Times New Roman" w:hAnsi="Times New Roman" w:cs="Times New Roman"/>
          <w:b/>
          <w:sz w:val="20"/>
          <w:szCs w:val="20"/>
        </w:rPr>
        <w:t xml:space="preserve">Quiconque demande une autorisation </w:t>
      </w:r>
      <w:r w:rsidRPr="00243CFE">
        <w:rPr>
          <w:rFonts w:ascii="Times New Roman" w:hAnsi="Times New Roman" w:cs="Times New Roman"/>
          <w:b/>
          <w:i/>
          <w:iCs/>
          <w:sz w:val="20"/>
          <w:szCs w:val="20"/>
        </w:rPr>
        <w:t>ex parte</w:t>
      </w:r>
      <w:r w:rsidRPr="00243CFE">
        <w:rPr>
          <w:rFonts w:ascii="Times New Roman" w:hAnsi="Times New Roman" w:cs="Times New Roman"/>
          <w:b/>
          <w:sz w:val="20"/>
          <w:szCs w:val="20"/>
        </w:rPr>
        <w:t xml:space="preserve"> a l’obligation juridique d’exposer de manière </w:t>
      </w:r>
      <w:r w:rsidRPr="00243CFE">
        <w:rPr>
          <w:rFonts w:ascii="Times New Roman" w:hAnsi="Times New Roman" w:cs="Times New Roman"/>
          <w:b/>
          <w:sz w:val="20"/>
          <w:szCs w:val="20"/>
          <w:u w:val="single"/>
        </w:rPr>
        <w:t>complète et sincère</w:t>
      </w:r>
      <w:r w:rsidRPr="00243CFE">
        <w:rPr>
          <w:rFonts w:ascii="Times New Roman" w:hAnsi="Times New Roman" w:cs="Times New Roman"/>
          <w:b/>
          <w:sz w:val="20"/>
          <w:szCs w:val="20"/>
        </w:rPr>
        <w:t xml:space="preserve"> les </w:t>
      </w:r>
      <w:r w:rsidRPr="00243CFE">
        <w:rPr>
          <w:rFonts w:ascii="Times New Roman" w:hAnsi="Times New Roman" w:cs="Times New Roman"/>
          <w:b/>
          <w:sz w:val="20"/>
          <w:szCs w:val="20"/>
          <w:u w:val="single"/>
        </w:rPr>
        <w:t>faits considérés</w:t>
      </w:r>
      <w:r w:rsidRPr="00243CFE">
        <w:rPr>
          <w:rFonts w:ascii="Times New Roman" w:hAnsi="Times New Roman" w:cs="Times New Roman"/>
          <w:b/>
          <w:sz w:val="20"/>
          <w:szCs w:val="20"/>
        </w:rPr>
        <w:t>:</w:t>
      </w:r>
      <w:r w:rsidRPr="00243CFE">
        <w:rPr>
          <w:rFonts w:ascii="Times New Roman" w:hAnsi="Times New Roman" w:cs="Times New Roman"/>
          <w:sz w:val="20"/>
          <w:szCs w:val="20"/>
        </w:rPr>
        <w:t xml:space="preserve"> </w:t>
      </w:r>
      <w:r w:rsidRPr="00243CFE">
        <w:rPr>
          <w:rFonts w:ascii="Times New Roman" w:hAnsi="Times New Roman" w:cs="Times New Roman"/>
          <w:i/>
          <w:iCs/>
          <w:sz w:val="20"/>
          <w:szCs w:val="20"/>
        </w:rPr>
        <w:t>cf.</w:t>
      </w:r>
      <w:r w:rsidRPr="00243CFE">
        <w:rPr>
          <w:rFonts w:ascii="Times New Roman" w:hAnsi="Times New Roman" w:cs="Times New Roman"/>
          <w:sz w:val="20"/>
          <w:szCs w:val="20"/>
        </w:rPr>
        <w:t xml:space="preserve"> </w:t>
      </w:r>
      <w:r w:rsidRPr="00243CFE">
        <w:rPr>
          <w:rFonts w:ascii="Times New Roman" w:hAnsi="Times New Roman" w:cs="Times New Roman"/>
          <w:i/>
          <w:iCs/>
          <w:sz w:val="20"/>
          <w:szCs w:val="20"/>
        </w:rPr>
        <w:t>Dalglish c. Jarvie</w:t>
      </w:r>
      <w:r w:rsidRPr="00243CFE">
        <w:rPr>
          <w:rFonts w:ascii="Times New Roman" w:hAnsi="Times New Roman" w:cs="Times New Roman"/>
          <w:sz w:val="20"/>
          <w:szCs w:val="20"/>
        </w:rPr>
        <w:t xml:space="preserve"> (1850), 2 Mac. &amp; G. 231, 42 E.R. 89; </w:t>
      </w:r>
      <w:r w:rsidRPr="00243CFE">
        <w:rPr>
          <w:rFonts w:ascii="Times New Roman" w:hAnsi="Times New Roman" w:cs="Times New Roman"/>
          <w:i/>
          <w:iCs/>
          <w:sz w:val="20"/>
          <w:szCs w:val="20"/>
        </w:rPr>
        <w:t>R. c. Kensington Income Tax Commissioners</w:t>
      </w:r>
      <w:r w:rsidRPr="00243CFE">
        <w:rPr>
          <w:rFonts w:ascii="Times New Roman" w:hAnsi="Times New Roman" w:cs="Times New Roman"/>
          <w:sz w:val="20"/>
          <w:szCs w:val="20"/>
        </w:rPr>
        <w:t xml:space="preserve">, [1917] 1 K.B. 486 (C.A.); </w:t>
      </w:r>
      <w:r w:rsidRPr="00243CFE">
        <w:rPr>
          <w:rFonts w:ascii="Times New Roman" w:hAnsi="Times New Roman" w:cs="Times New Roman"/>
          <w:i/>
          <w:iCs/>
          <w:sz w:val="20"/>
          <w:szCs w:val="20"/>
        </w:rPr>
        <w:t>Re Church of Scientology and  The Queen (No. 6)</w:t>
      </w:r>
      <w:r w:rsidRPr="00243CFE">
        <w:rPr>
          <w:rFonts w:ascii="Times New Roman" w:hAnsi="Times New Roman" w:cs="Times New Roman"/>
          <w:sz w:val="20"/>
          <w:szCs w:val="20"/>
        </w:rPr>
        <w:t xml:space="preserve"> (1987), 31 C.C.C. (3d) 449 (C.A. Ont.), à la p. 528; </w:t>
      </w:r>
      <w:r w:rsidRPr="00243CFE">
        <w:rPr>
          <w:rFonts w:ascii="Times New Roman" w:hAnsi="Times New Roman" w:cs="Times New Roman"/>
          <w:i/>
          <w:iCs/>
          <w:sz w:val="20"/>
          <w:szCs w:val="20"/>
        </w:rPr>
        <w:t>United States of America c. Friedland</w:t>
      </w:r>
      <w:r w:rsidRPr="00243CFE">
        <w:rPr>
          <w:rFonts w:ascii="Times New Roman" w:hAnsi="Times New Roman" w:cs="Times New Roman"/>
          <w:sz w:val="20"/>
          <w:szCs w:val="20"/>
        </w:rPr>
        <w:t xml:space="preserve">, [1996] O.J. No. 4399 (QL) (Div. gén.), aux par. 26 à 29, le juge Sharpe.  </w:t>
      </w:r>
      <w:r w:rsidRPr="00243CFE">
        <w:rPr>
          <w:rFonts w:ascii="Times New Roman" w:hAnsi="Times New Roman" w:cs="Times New Roman"/>
          <w:b/>
          <w:sz w:val="20"/>
          <w:szCs w:val="20"/>
        </w:rPr>
        <w:t>Tant que l’affidavit satisfait à la norme juridique applicable, il n’est pas nécessaire qu’il soit aussi long qu’</w:t>
      </w:r>
      <w:r w:rsidRPr="00243CFE">
        <w:rPr>
          <w:rFonts w:ascii="Times New Roman" w:hAnsi="Times New Roman" w:cs="Times New Roman"/>
          <w:b/>
          <w:i/>
          <w:iCs/>
          <w:sz w:val="20"/>
          <w:szCs w:val="20"/>
        </w:rPr>
        <w:t>À la recherche du temps perdu</w:t>
      </w:r>
      <w:r w:rsidRPr="00243CFE">
        <w:rPr>
          <w:rFonts w:ascii="Times New Roman" w:hAnsi="Times New Roman" w:cs="Times New Roman"/>
          <w:b/>
          <w:sz w:val="20"/>
          <w:szCs w:val="20"/>
        </w:rPr>
        <w:t xml:space="preserve">, aussi sémillant que le </w:t>
      </w:r>
      <w:r w:rsidRPr="00243CFE">
        <w:rPr>
          <w:rFonts w:ascii="Times New Roman" w:hAnsi="Times New Roman" w:cs="Times New Roman"/>
          <w:b/>
          <w:i/>
          <w:iCs/>
          <w:sz w:val="20"/>
          <w:szCs w:val="20"/>
        </w:rPr>
        <w:t>Kama Sutra</w:t>
      </w:r>
      <w:r w:rsidRPr="00243CFE">
        <w:rPr>
          <w:rFonts w:ascii="Times New Roman" w:hAnsi="Times New Roman" w:cs="Times New Roman"/>
          <w:b/>
          <w:sz w:val="20"/>
          <w:szCs w:val="20"/>
        </w:rPr>
        <w:t xml:space="preserve"> ni aussi détaillé qu’un guide de réparation d’automobiles.</w:t>
      </w:r>
      <w:r>
        <w:rPr>
          <w:rFonts w:ascii="Times New Roman" w:hAnsi="Times New Roman" w:cs="Times New Roman"/>
          <w:b/>
          <w:sz w:val="20"/>
          <w:szCs w:val="20"/>
        </w:rPr>
        <w:t xml:space="preserve"> [46].</w:t>
      </w:r>
    </w:p>
    <w:p w14:paraId="31907930" w14:textId="3C1793B7" w:rsidR="00A24C21" w:rsidRPr="00A24C21" w:rsidRDefault="00A24C21" w:rsidP="00305ED6">
      <w:pPr>
        <w:pStyle w:val="Paragraphedeliste"/>
        <w:widowControl w:val="0"/>
        <w:numPr>
          <w:ilvl w:val="0"/>
          <w:numId w:val="72"/>
        </w:numPr>
        <w:autoSpaceDE w:val="0"/>
        <w:autoSpaceDN w:val="0"/>
        <w:adjustRightInd w:val="0"/>
        <w:spacing w:after="300"/>
        <w:jc w:val="both"/>
        <w:rPr>
          <w:rFonts w:ascii="Times New Roman" w:hAnsi="Times New Roman" w:cs="Times New Roman"/>
          <w:i/>
          <w:color w:val="3E3E3E"/>
          <w:sz w:val="22"/>
          <w:szCs w:val="22"/>
        </w:rPr>
      </w:pPr>
      <w:r w:rsidRPr="00243CFE">
        <w:rPr>
          <w:rFonts w:ascii="Times New Roman" w:hAnsi="Times New Roman" w:cs="Times New Roman"/>
          <w:sz w:val="20"/>
          <w:szCs w:val="20"/>
        </w:rPr>
        <w:t>En plus d’être complet et sincère, l’affidavit ne devrait jamais viser à tromper le lecteur.  Dans le meilleur des cas, le recours à un libellé standard ne fait qu’ajouter au verbiage et se révèle rarement utile</w:t>
      </w:r>
      <w:r>
        <w:rPr>
          <w:rFonts w:ascii="Times New Roman" w:hAnsi="Times New Roman" w:cs="Times New Roman"/>
          <w:sz w:val="20"/>
          <w:szCs w:val="20"/>
        </w:rPr>
        <w:t xml:space="preserve"> [47]</w:t>
      </w:r>
    </w:p>
    <w:p w14:paraId="6F8AAAFE" w14:textId="77777777" w:rsidR="00A24C21" w:rsidRPr="00A24C21" w:rsidRDefault="00A24C21" w:rsidP="00A24C21">
      <w:pPr>
        <w:pStyle w:val="Paragraphedeliste"/>
        <w:widowControl w:val="0"/>
        <w:autoSpaceDE w:val="0"/>
        <w:autoSpaceDN w:val="0"/>
        <w:adjustRightInd w:val="0"/>
        <w:spacing w:after="300"/>
        <w:jc w:val="both"/>
        <w:rPr>
          <w:rFonts w:ascii="Times New Roman" w:hAnsi="Times New Roman" w:cs="Times New Roman"/>
          <w:i/>
          <w:color w:val="3E3E3E"/>
          <w:sz w:val="22"/>
          <w:szCs w:val="22"/>
        </w:rPr>
      </w:pPr>
    </w:p>
    <w:p w14:paraId="5CA944BE" w14:textId="35CED879"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C.     L’exécution du mandat</w:t>
      </w:r>
      <w:r w:rsidR="00A24C21">
        <w:rPr>
          <w:rFonts w:ascii="Times New Roman" w:hAnsi="Times New Roman" w:cs="Times New Roman"/>
          <w:color w:val="3E3E3E"/>
          <w:sz w:val="22"/>
          <w:szCs w:val="22"/>
        </w:rPr>
        <w:t xml:space="preserve"> (p.45)</w:t>
      </w:r>
      <w:r>
        <w:rPr>
          <w:rFonts w:ascii="Times New Roman" w:hAnsi="Times New Roman" w:cs="Times New Roman"/>
          <w:color w:val="3E3E3E"/>
          <w:sz w:val="22"/>
          <w:szCs w:val="22"/>
        </w:rPr>
        <w:t> ;</w:t>
      </w:r>
    </w:p>
    <w:p w14:paraId="64BF0237" w14:textId="14B5533E"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 </w:t>
      </w:r>
      <w:r w:rsidR="00A24C21">
        <w:rPr>
          <w:rFonts w:ascii="Times New Roman" w:hAnsi="Times New Roman" w:cs="Times New Roman"/>
          <w:color w:val="3E3E3E"/>
          <w:sz w:val="22"/>
          <w:szCs w:val="22"/>
        </w:rPr>
        <w:t xml:space="preserve">Lorsque la police exécute un mandat, elle doit respecter les conditions de l’art. 29(1) C.cr. À cet effet, voir l’affaire </w:t>
      </w:r>
      <w:r w:rsidR="00A24C21">
        <w:rPr>
          <w:rFonts w:ascii="Times New Roman" w:hAnsi="Times New Roman" w:cs="Times New Roman"/>
          <w:b/>
          <w:color w:val="3E3E3E"/>
          <w:sz w:val="22"/>
          <w:szCs w:val="22"/>
        </w:rPr>
        <w:t>R. c. Cornell 2010 </w:t>
      </w:r>
      <w:r w:rsidR="00A24C21">
        <w:rPr>
          <w:rFonts w:ascii="Times New Roman" w:hAnsi="Times New Roman" w:cs="Times New Roman"/>
          <w:color w:val="3E3E3E"/>
          <w:sz w:val="22"/>
          <w:szCs w:val="22"/>
        </w:rPr>
        <w:t>;</w:t>
      </w:r>
    </w:p>
    <w:p w14:paraId="0B47206F" w14:textId="66D8F31F" w:rsidR="00A24C21" w:rsidRPr="00A24C21" w:rsidRDefault="00A24C21" w:rsidP="00305ED6">
      <w:pPr>
        <w:pStyle w:val="Paragraphedeliste"/>
        <w:widowControl w:val="0"/>
        <w:numPr>
          <w:ilvl w:val="0"/>
          <w:numId w:val="73"/>
        </w:numPr>
        <w:autoSpaceDE w:val="0"/>
        <w:autoSpaceDN w:val="0"/>
        <w:adjustRightInd w:val="0"/>
        <w:spacing w:after="300"/>
        <w:jc w:val="both"/>
        <w:rPr>
          <w:rFonts w:ascii="Times New Roman" w:hAnsi="Times New Roman" w:cs="Times New Roman"/>
          <w:color w:val="3E3E3E"/>
          <w:sz w:val="22"/>
          <w:szCs w:val="22"/>
        </w:rPr>
      </w:pPr>
      <w:r w:rsidRPr="00243CFE">
        <w:rPr>
          <w:rFonts w:ascii="Times New Roman" w:hAnsi="Times New Roman" w:cs="Times New Roman"/>
          <w:b/>
          <w:sz w:val="20"/>
          <w:szCs w:val="20"/>
        </w:rPr>
        <w:t xml:space="preserve">le par. 29(1) du </w:t>
      </w:r>
      <w:r w:rsidRPr="00243CFE">
        <w:rPr>
          <w:rFonts w:ascii="Times New Roman" w:hAnsi="Times New Roman" w:cs="Times New Roman"/>
          <w:b/>
          <w:i/>
          <w:iCs/>
          <w:sz w:val="20"/>
          <w:szCs w:val="20"/>
        </w:rPr>
        <w:t>Code</w:t>
      </w:r>
      <w:r w:rsidRPr="00243CFE">
        <w:rPr>
          <w:rFonts w:ascii="Times New Roman" w:hAnsi="Times New Roman" w:cs="Times New Roman"/>
          <w:b/>
          <w:sz w:val="20"/>
          <w:szCs w:val="20"/>
        </w:rPr>
        <w:t xml:space="preserve"> a pour objet de permettre à l’occupant des lieux visés par la perquisition d’être mis au courant des motifs de la perquisition, d’évaluer sa position sur le plan juridique et de savoir que la perquisition semble être autorisée, de sorte qu’il devienne inutile d’y résister par la force.  À mon avis, on répond pleinement à ces objectifs lorsqu’on insiste pour dire que le mandat se trouve en la possession d’au moins une des personnes faisant partie de l’équipe chargée d’exécuter le mandat</w:t>
      </w:r>
      <w:r>
        <w:rPr>
          <w:rFonts w:ascii="Times New Roman" w:hAnsi="Times New Roman" w:cs="Times New Roman"/>
          <w:b/>
          <w:sz w:val="20"/>
          <w:szCs w:val="20"/>
        </w:rPr>
        <w:t>.</w:t>
      </w:r>
    </w:p>
    <w:p w14:paraId="2BF3D098" w14:textId="5A64D9A5" w:rsidR="00A24C21" w:rsidRDefault="00A24C21" w:rsidP="00A24C21">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L’article 488C.cr. concerne l’exécution du mandat de perquisition, la police doit en outre</w:t>
      </w:r>
      <w:r w:rsidR="008E5FA4">
        <w:rPr>
          <w:rFonts w:ascii="Times New Roman" w:hAnsi="Times New Roman" w:cs="Times New Roman"/>
          <w:color w:val="3E3E3E"/>
          <w:sz w:val="22"/>
          <w:szCs w:val="22"/>
        </w:rPr>
        <w:t xml:space="preserve"> frapper à la porte s’annoncer, sauf situation d’urgence, comme le rappel l’arrêt </w:t>
      </w:r>
      <w:r w:rsidR="008E5FA4">
        <w:rPr>
          <w:rFonts w:ascii="Times New Roman" w:hAnsi="Times New Roman" w:cs="Times New Roman"/>
          <w:b/>
          <w:color w:val="3E3E3E"/>
          <w:sz w:val="22"/>
          <w:szCs w:val="22"/>
        </w:rPr>
        <w:t>Cornell 2010 ;</w:t>
      </w:r>
    </w:p>
    <w:p w14:paraId="69FE82C7" w14:textId="633E0BF4" w:rsidR="008E5FA4" w:rsidRPr="008E5FA4" w:rsidRDefault="008E5FA4" w:rsidP="00305ED6">
      <w:pPr>
        <w:pStyle w:val="Paragraphedeliste"/>
        <w:widowControl w:val="0"/>
        <w:numPr>
          <w:ilvl w:val="0"/>
          <w:numId w:val="73"/>
        </w:numPr>
        <w:autoSpaceDE w:val="0"/>
        <w:autoSpaceDN w:val="0"/>
        <w:adjustRightInd w:val="0"/>
        <w:spacing w:after="300"/>
        <w:jc w:val="both"/>
        <w:rPr>
          <w:rFonts w:ascii="Times New Roman" w:hAnsi="Times New Roman" w:cs="Times New Roman"/>
          <w:b/>
          <w:color w:val="3E3E3E"/>
          <w:sz w:val="20"/>
          <w:szCs w:val="20"/>
        </w:rPr>
      </w:pPr>
      <w:r w:rsidRPr="008E5FA4">
        <w:rPr>
          <w:rFonts w:ascii="Times New Roman" w:hAnsi="Times New Roman" w:cs="Times New Roman"/>
          <w:sz w:val="20"/>
          <w:szCs w:val="20"/>
        </w:rPr>
        <w:t>Sauf en cas d’urgence, les policiers doivent s’annoncer avant d’entrer de force dans une maison d’habitation.  Normalement, ils doivent donner : « (i)  avis de leur présence en frappant ou en sonnant, (ii) avis de leur autorité, en s’identifiant comme agents chargés d’exécuter la loi et (iii) avis du but de leur visite, en déclarant un motif légitime d’entrer [18].</w:t>
      </w:r>
    </w:p>
    <w:p w14:paraId="5E5D88A6" w14:textId="7A45E29D" w:rsidR="008E5FA4" w:rsidRPr="008E5FA4" w:rsidRDefault="008E5FA4" w:rsidP="00305ED6">
      <w:pPr>
        <w:pStyle w:val="Paragraphedeliste"/>
        <w:widowControl w:val="0"/>
        <w:numPr>
          <w:ilvl w:val="0"/>
          <w:numId w:val="73"/>
        </w:numPr>
        <w:autoSpaceDE w:val="0"/>
        <w:autoSpaceDN w:val="0"/>
        <w:adjustRightInd w:val="0"/>
        <w:spacing w:after="300"/>
        <w:jc w:val="both"/>
        <w:rPr>
          <w:rFonts w:ascii="Times New Roman" w:hAnsi="Times New Roman" w:cs="Times New Roman"/>
          <w:b/>
          <w:color w:val="3E3E3E"/>
          <w:sz w:val="20"/>
          <w:szCs w:val="20"/>
        </w:rPr>
      </w:pPr>
      <w:r w:rsidRPr="00896DC0">
        <w:rPr>
          <w:rFonts w:ascii="Times New Roman" w:hAnsi="Times New Roman" w:cs="Times New Roman"/>
          <w:b/>
          <w:sz w:val="20"/>
          <w:szCs w:val="20"/>
        </w:rPr>
        <w:t xml:space="preserve">S’ils décident de déroger à ce principe, les policiers doivent expliquer pourquoi ils jugent nécessaire de le faire.  En cas de contestation, le ministère public doit produire des éléments de preuve propres à étayer la conclusion que les policiers avaient des motifs raisonnables de craindre pour leur sécurité ou pour celle des occupants de la maison ou de craindre que des éléments de preuve ne soient détruits.  Plus les policiers s’écartent du principe les obligeant à s’annoncer avant d’entrer, plus le fardeau qui leur incombe de démontrer pourquoi ils étaient justifiés de recourir à une telle méthode est lourd.  Les éléments de preuve justifiant une telle conduite doivent figurer au dossier et avoir été à la disposition des policiers au moment où ils ont choisi d’agir comme ils l’ont fait.  Le ministère public ne saurait alléguer des justifications </w:t>
      </w:r>
      <w:r w:rsidRPr="00896DC0">
        <w:rPr>
          <w:rFonts w:ascii="Times New Roman" w:hAnsi="Times New Roman" w:cs="Times New Roman"/>
          <w:b/>
          <w:i/>
          <w:iCs/>
          <w:sz w:val="20"/>
          <w:szCs w:val="20"/>
        </w:rPr>
        <w:t>ex post facto</w:t>
      </w:r>
      <w:r>
        <w:rPr>
          <w:rFonts w:ascii="Times New Roman" w:hAnsi="Times New Roman" w:cs="Times New Roman"/>
          <w:b/>
          <w:i/>
          <w:iCs/>
          <w:sz w:val="20"/>
          <w:szCs w:val="20"/>
        </w:rPr>
        <w:t>.</w:t>
      </w:r>
    </w:p>
    <w:p w14:paraId="1B4585AA" w14:textId="0E46E9CF" w:rsidR="008E5FA4" w:rsidRDefault="008E5FA4" w:rsidP="008E5FA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police doit de surcroit faire usage d’une force raisonnable, comme le mentionne l’article 25(1) C.cr. La police peut aussi saisir des choses non-spécifiées dans le mandat, si les conditions de l’article 489C.cr. sont respectées.</w:t>
      </w:r>
    </w:p>
    <w:p w14:paraId="51844FD0" w14:textId="46634278" w:rsidR="008E5FA4" w:rsidRPr="008E5FA4" w:rsidRDefault="008E5FA4" w:rsidP="008E5FA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Il existe aussi des dispositions spécifiques qui concerne les données numériques : art. 487(2.1) et (2.2)C.cr.</w:t>
      </w:r>
    </w:p>
    <w:p w14:paraId="0EC4E5FB"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8E5FA4">
        <w:rPr>
          <w:rFonts w:ascii="Times New Roman" w:hAnsi="Times New Roman" w:cs="Times New Roman"/>
          <w:b/>
          <w:color w:val="3E3E3E"/>
          <w:sz w:val="22"/>
          <w:szCs w:val="22"/>
        </w:rPr>
        <w:t>D.    Les recours </w:t>
      </w:r>
      <w:r>
        <w:rPr>
          <w:rFonts w:ascii="Times New Roman" w:hAnsi="Times New Roman" w:cs="Times New Roman"/>
          <w:color w:val="3E3E3E"/>
          <w:sz w:val="22"/>
          <w:szCs w:val="22"/>
        </w:rPr>
        <w:t>;</w:t>
      </w:r>
    </w:p>
    <w:p w14:paraId="32B7742C" w14:textId="76B70632" w:rsidR="00B76612" w:rsidRDefault="00B76612" w:rsidP="00B76612">
      <w:pPr>
        <w:widowControl w:val="0"/>
        <w:autoSpaceDE w:val="0"/>
        <w:autoSpaceDN w:val="0"/>
        <w:adjustRightInd w:val="0"/>
        <w:spacing w:after="300"/>
        <w:jc w:val="both"/>
        <w:rPr>
          <w:rFonts w:ascii="Times New Roman" w:hAnsi="Times New Roman" w:cs="Times New Roman"/>
          <w:b/>
          <w:i/>
          <w:color w:val="3E3E3E"/>
          <w:sz w:val="22"/>
          <w:szCs w:val="22"/>
        </w:rPr>
      </w:pPr>
      <w:r w:rsidRPr="00B76612">
        <w:rPr>
          <w:rFonts w:ascii="Times New Roman" w:hAnsi="Times New Roman" w:cs="Times New Roman"/>
          <w:color w:val="3E3E3E"/>
          <w:sz w:val="22"/>
          <w:szCs w:val="22"/>
        </w:rPr>
        <w:t> </w:t>
      </w:r>
      <w:r w:rsidR="008E5FA4">
        <w:rPr>
          <w:rFonts w:ascii="Times New Roman" w:hAnsi="Times New Roman" w:cs="Times New Roman"/>
          <w:b/>
          <w:i/>
          <w:color w:val="3E3E3E"/>
          <w:sz w:val="22"/>
          <w:szCs w:val="22"/>
        </w:rPr>
        <w:t>R. c. Araujo 2000 (p.46) :</w:t>
      </w:r>
    </w:p>
    <w:p w14:paraId="66759BA8" w14:textId="189A7A04" w:rsidR="008E5FA4" w:rsidRPr="008E5FA4" w:rsidRDefault="008E5FA4" w:rsidP="00305ED6">
      <w:pPr>
        <w:pStyle w:val="Paragraphedeliste"/>
        <w:widowControl w:val="0"/>
        <w:numPr>
          <w:ilvl w:val="0"/>
          <w:numId w:val="74"/>
        </w:numPr>
        <w:autoSpaceDE w:val="0"/>
        <w:autoSpaceDN w:val="0"/>
        <w:adjustRightInd w:val="0"/>
        <w:spacing w:after="300"/>
        <w:jc w:val="both"/>
        <w:rPr>
          <w:rFonts w:ascii="Times New Roman" w:hAnsi="Times New Roman" w:cs="Times New Roman"/>
          <w:color w:val="3E3E3E"/>
          <w:sz w:val="22"/>
          <w:szCs w:val="22"/>
        </w:rPr>
      </w:pPr>
      <w:r w:rsidRPr="00896DC0">
        <w:rPr>
          <w:rFonts w:ascii="Times New Roman" w:hAnsi="Times New Roman" w:cs="Times New Roman"/>
          <w:sz w:val="20"/>
          <w:szCs w:val="20"/>
        </w:rPr>
        <w:t xml:space="preserve">le juge Sopinka explique le critère applicable à la révision d’un mandat de perquisition lorsque certains des renseignements à l’appui du mandat ont été obtenus en contravention avec la Constitution.  Il écrit que «le tribunal qui siège en révision doit examiner si le mandat </w:t>
      </w:r>
      <w:r w:rsidRPr="00896DC0">
        <w:rPr>
          <w:rFonts w:ascii="Times New Roman" w:hAnsi="Times New Roman" w:cs="Times New Roman"/>
          <w:sz w:val="20"/>
          <w:szCs w:val="20"/>
          <w:u w:val="single"/>
        </w:rPr>
        <w:t>aurait</w:t>
      </w:r>
      <w:r w:rsidRPr="00896DC0">
        <w:rPr>
          <w:rFonts w:ascii="Times New Roman" w:hAnsi="Times New Roman" w:cs="Times New Roman"/>
          <w:sz w:val="20"/>
          <w:szCs w:val="20"/>
        </w:rPr>
        <w:t xml:space="preserve"> été décerné sans la mention, dans la dénonciation faite sous serment aux fins de l’obtention du mandat, des faits obtenus d’une façon abusive</w:t>
      </w:r>
      <w:r>
        <w:rPr>
          <w:rFonts w:ascii="Times New Roman" w:hAnsi="Times New Roman" w:cs="Times New Roman"/>
          <w:sz w:val="20"/>
          <w:szCs w:val="20"/>
        </w:rPr>
        <w:t xml:space="preserve"> [52].</w:t>
      </w:r>
    </w:p>
    <w:p w14:paraId="02C69DA5" w14:textId="2DF753A7" w:rsidR="008E5FA4" w:rsidRPr="008E5FA4" w:rsidRDefault="008E5FA4" w:rsidP="00305ED6">
      <w:pPr>
        <w:pStyle w:val="Paragraphedeliste"/>
        <w:numPr>
          <w:ilvl w:val="0"/>
          <w:numId w:val="74"/>
        </w:numPr>
        <w:jc w:val="both"/>
        <w:rPr>
          <w:rFonts w:ascii="Times New Roman" w:hAnsi="Times New Roman" w:cs="Times New Roman"/>
          <w:sz w:val="20"/>
          <w:szCs w:val="20"/>
          <w:lang w:val="fr-CA"/>
        </w:rPr>
      </w:pPr>
      <w:r w:rsidRPr="008E5FA4">
        <w:rPr>
          <w:rFonts w:ascii="Times New Roman" w:hAnsi="Times New Roman" w:cs="Times New Roman"/>
          <w:sz w:val="20"/>
          <w:szCs w:val="20"/>
        </w:rPr>
        <w:t xml:space="preserve">Comme notre Cour l’a confirmé dans </w:t>
      </w:r>
      <w:r w:rsidRPr="008E5FA4">
        <w:rPr>
          <w:rFonts w:ascii="Times New Roman" w:hAnsi="Times New Roman" w:cs="Times New Roman"/>
          <w:i/>
          <w:iCs/>
          <w:sz w:val="20"/>
          <w:szCs w:val="20"/>
        </w:rPr>
        <w:t>Bisson</w:t>
      </w:r>
      <w:r w:rsidRPr="008E5FA4">
        <w:rPr>
          <w:rFonts w:ascii="Times New Roman" w:hAnsi="Times New Roman" w:cs="Times New Roman"/>
          <w:sz w:val="20"/>
          <w:szCs w:val="20"/>
        </w:rPr>
        <w:t xml:space="preserve">, précité, le juge siégeant en révision doit déterminer, à l’issue d’un examen minutieux, s’il existait des renseignements </w:t>
      </w:r>
      <w:r w:rsidRPr="008E5FA4">
        <w:rPr>
          <w:rFonts w:ascii="Times New Roman" w:hAnsi="Times New Roman" w:cs="Times New Roman"/>
          <w:sz w:val="20"/>
          <w:szCs w:val="20"/>
          <w:u w:val="single"/>
        </w:rPr>
        <w:t>fiables</w:t>
      </w:r>
      <w:r w:rsidRPr="008E5FA4">
        <w:rPr>
          <w:rFonts w:ascii="Times New Roman" w:hAnsi="Times New Roman" w:cs="Times New Roman"/>
          <w:sz w:val="20"/>
          <w:szCs w:val="20"/>
        </w:rPr>
        <w:t xml:space="preserve"> suffisants, c’est</w:t>
      </w:r>
      <w:r w:rsidRPr="008E5FA4">
        <w:rPr>
          <w:rFonts w:ascii="American Typewriter" w:hAnsi="American Typewriter" w:cs="American Typewriter"/>
          <w:sz w:val="20"/>
          <w:szCs w:val="20"/>
        </w:rPr>
        <w:t>‑</w:t>
      </w:r>
      <w:r w:rsidRPr="008E5FA4">
        <w:rPr>
          <w:rFonts w:ascii="Times New Roman" w:hAnsi="Times New Roman" w:cs="Times New Roman"/>
          <w:sz w:val="20"/>
          <w:szCs w:val="20"/>
        </w:rPr>
        <w:t>à</w:t>
      </w:r>
      <w:r w:rsidRPr="008E5FA4">
        <w:rPr>
          <w:rFonts w:ascii="American Typewriter" w:hAnsi="American Typewriter" w:cs="American Typewriter"/>
          <w:sz w:val="20"/>
          <w:szCs w:val="20"/>
        </w:rPr>
        <w:t>‑</w:t>
      </w:r>
      <w:r w:rsidRPr="008E5FA4">
        <w:rPr>
          <w:rFonts w:ascii="Times New Roman" w:hAnsi="Times New Roman" w:cs="Times New Roman"/>
          <w:sz w:val="20"/>
          <w:szCs w:val="20"/>
        </w:rPr>
        <w:t>dire des renseignements auxquels on pouvait raisonnablement ajouter foi pour accorder l’autorisation.</w:t>
      </w:r>
      <w:r>
        <w:rPr>
          <w:rFonts w:ascii="Times New Roman" w:hAnsi="Times New Roman" w:cs="Times New Roman"/>
          <w:sz w:val="20"/>
          <w:szCs w:val="20"/>
        </w:rPr>
        <w:t xml:space="preserve"> [52].</w:t>
      </w:r>
    </w:p>
    <w:p w14:paraId="248F7139" w14:textId="04989BF3" w:rsidR="008E5FA4" w:rsidRPr="008E5FA4" w:rsidRDefault="008E5FA4" w:rsidP="00305ED6">
      <w:pPr>
        <w:pStyle w:val="Paragraphedeliste"/>
        <w:numPr>
          <w:ilvl w:val="0"/>
          <w:numId w:val="74"/>
        </w:numPr>
        <w:jc w:val="both"/>
        <w:rPr>
          <w:rFonts w:ascii="Times New Roman" w:hAnsi="Times New Roman" w:cs="Times New Roman"/>
          <w:sz w:val="20"/>
          <w:szCs w:val="20"/>
          <w:lang w:val="fr-CA"/>
        </w:rPr>
      </w:pPr>
      <w:r w:rsidRPr="00896DC0">
        <w:rPr>
          <w:rFonts w:ascii="Times New Roman" w:hAnsi="Times New Roman" w:cs="Times New Roman"/>
          <w:sz w:val="20"/>
          <w:szCs w:val="20"/>
        </w:rPr>
        <w:t xml:space="preserve">e juge devait évaluer la preuve soumise au juge de paix à la lumière des éléments recueillis au procès afin de déterminer si, abstraction faite de tout renseignement trompeur ou inexact, </w:t>
      </w:r>
      <w:r w:rsidRPr="00896DC0">
        <w:rPr>
          <w:rFonts w:ascii="Times New Roman" w:hAnsi="Times New Roman" w:cs="Times New Roman"/>
          <w:sz w:val="20"/>
          <w:szCs w:val="20"/>
          <w:u w:val="single"/>
        </w:rPr>
        <w:t>des renseignements fiables suffisants</w:t>
      </w:r>
      <w:r w:rsidRPr="00896DC0">
        <w:rPr>
          <w:rFonts w:ascii="Times New Roman" w:hAnsi="Times New Roman" w:cs="Times New Roman"/>
          <w:sz w:val="20"/>
          <w:szCs w:val="20"/>
        </w:rPr>
        <w:t xml:space="preserve"> justifiaient toujours le mandat de perquisition</w:t>
      </w:r>
      <w:r>
        <w:rPr>
          <w:rFonts w:ascii="Times New Roman" w:hAnsi="Times New Roman" w:cs="Times New Roman"/>
          <w:sz w:val="20"/>
          <w:szCs w:val="20"/>
        </w:rPr>
        <w:t xml:space="preserve"> [53]</w:t>
      </w:r>
    </w:p>
    <w:p w14:paraId="78D7A9C3" w14:textId="611E444A" w:rsidR="008E5FA4" w:rsidRPr="008E5FA4" w:rsidRDefault="008E5FA4" w:rsidP="00305ED6">
      <w:pPr>
        <w:pStyle w:val="Paragraphedeliste"/>
        <w:numPr>
          <w:ilvl w:val="0"/>
          <w:numId w:val="74"/>
        </w:numPr>
        <w:jc w:val="both"/>
        <w:rPr>
          <w:rFonts w:ascii="Times New Roman" w:hAnsi="Times New Roman" w:cs="Times New Roman"/>
          <w:sz w:val="20"/>
          <w:szCs w:val="20"/>
          <w:lang w:val="fr-CA"/>
        </w:rPr>
      </w:pPr>
      <w:r w:rsidRPr="00896DC0">
        <w:rPr>
          <w:rFonts w:ascii="Times New Roman" w:hAnsi="Times New Roman" w:cs="Times New Roman"/>
          <w:sz w:val="20"/>
          <w:szCs w:val="20"/>
        </w:rPr>
        <w:t xml:space="preserve">Il ne s’ensuit toutefois pas que l’erreur, en particulier celle qui est délibérée, ne doit pas être prise en considération par le juge siégeant en révision.  Même s’il n’en résulte pas une invalidation automatique du mandat, il demeure que le processus d’autorisation préalable doit être protégé.  Les arrêts tout juste précités n’empêchent pas le juge siégeant en révision, lorsque les circonstances s’y prêtent, de conclure, à partir de </w:t>
      </w:r>
      <w:r w:rsidRPr="00896DC0">
        <w:rPr>
          <w:rFonts w:ascii="Times New Roman" w:hAnsi="Times New Roman" w:cs="Times New Roman"/>
          <w:sz w:val="20"/>
          <w:szCs w:val="20"/>
          <w:u w:val="single"/>
        </w:rPr>
        <w:t>l’ensemble des faits</w:t>
      </w:r>
      <w:r w:rsidRPr="00896DC0">
        <w:rPr>
          <w:rFonts w:ascii="Times New Roman" w:hAnsi="Times New Roman" w:cs="Times New Roman"/>
          <w:sz w:val="20"/>
          <w:szCs w:val="20"/>
        </w:rPr>
        <w:t>, que les mesures prises par la police pour obtenir l’autorisation préalable ne respectent pas le processus de sorte qu’il faut annuler le mandat décerné pour protéger l’intégrité du processus et le rôle préventif qu’il joue</w:t>
      </w:r>
      <w:r>
        <w:rPr>
          <w:rFonts w:ascii="Times New Roman" w:hAnsi="Times New Roman" w:cs="Times New Roman"/>
          <w:sz w:val="20"/>
          <w:szCs w:val="20"/>
        </w:rPr>
        <w:t xml:space="preserve"> [54].</w:t>
      </w:r>
    </w:p>
    <w:p w14:paraId="77FACB02" w14:textId="77777777" w:rsidR="008E5FA4" w:rsidRDefault="008E5FA4" w:rsidP="008E5FA4">
      <w:pPr>
        <w:jc w:val="both"/>
        <w:rPr>
          <w:rFonts w:ascii="Times New Roman" w:hAnsi="Times New Roman" w:cs="Times New Roman"/>
          <w:sz w:val="20"/>
          <w:szCs w:val="20"/>
          <w:lang w:val="fr-CA"/>
        </w:rPr>
      </w:pPr>
    </w:p>
    <w:p w14:paraId="22601EF5" w14:textId="2CBED30E" w:rsidR="008E5FA4" w:rsidRDefault="008E5FA4" w:rsidP="008E5FA4">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Morris (p.47) :</w:t>
      </w:r>
    </w:p>
    <w:p w14:paraId="2FB39CA0" w14:textId="4C84C48C" w:rsidR="008E5FA4" w:rsidRPr="008E5FA4" w:rsidRDefault="008E5FA4" w:rsidP="00305ED6">
      <w:pPr>
        <w:pStyle w:val="Paragraphedeliste"/>
        <w:numPr>
          <w:ilvl w:val="0"/>
          <w:numId w:val="74"/>
        </w:numPr>
        <w:jc w:val="both"/>
        <w:rPr>
          <w:rFonts w:ascii="Times New Roman" w:hAnsi="Times New Roman" w:cs="Times New Roman"/>
          <w:sz w:val="22"/>
          <w:szCs w:val="22"/>
          <w:lang w:val="fr-CA"/>
        </w:rPr>
      </w:pPr>
      <w:r w:rsidRPr="00896DC0">
        <w:rPr>
          <w:rFonts w:ascii="Times New Roman" w:hAnsi="Times New Roman" w:cs="Times New Roman"/>
          <w:sz w:val="20"/>
          <w:szCs w:val="20"/>
        </w:rPr>
        <w:t xml:space="preserve">Par conséquent, pour déterminer s’il existait des éléments de preuve auxquels le juge aurait pu raisonnablement ajouter foi pour accorder l’autorisation, le tribunal qui siège en révision doit </w:t>
      </w:r>
      <w:r w:rsidRPr="00896DC0">
        <w:rPr>
          <w:rFonts w:ascii="Times New Roman" w:hAnsi="Times New Roman" w:cs="Times New Roman"/>
          <w:b/>
          <w:sz w:val="20"/>
          <w:szCs w:val="20"/>
        </w:rPr>
        <w:t>faire abstraction des renseignements inexacts.  Cependant, lorsque la police a commis une erreur de bonne foi, on peut avoir recours à l’amplification pour rétablir les faits</w:t>
      </w:r>
      <w:r>
        <w:rPr>
          <w:rFonts w:ascii="Times New Roman" w:hAnsi="Times New Roman" w:cs="Times New Roman"/>
          <w:b/>
          <w:sz w:val="20"/>
          <w:szCs w:val="20"/>
        </w:rPr>
        <w:t xml:space="preserve"> [58]</w:t>
      </w:r>
    </w:p>
    <w:p w14:paraId="22A91B30" w14:textId="1EC91AA8" w:rsidR="008E5FA4" w:rsidRPr="00102387" w:rsidRDefault="008E5FA4" w:rsidP="00305ED6">
      <w:pPr>
        <w:pStyle w:val="Paragraphedeliste"/>
        <w:numPr>
          <w:ilvl w:val="0"/>
          <w:numId w:val="74"/>
        </w:numPr>
        <w:jc w:val="both"/>
        <w:rPr>
          <w:rFonts w:ascii="Times New Roman" w:hAnsi="Times New Roman" w:cs="Times New Roman"/>
          <w:sz w:val="22"/>
          <w:szCs w:val="22"/>
          <w:lang w:val="fr-CA"/>
        </w:rPr>
      </w:pPr>
      <w:r w:rsidRPr="00896DC0">
        <w:rPr>
          <w:rFonts w:ascii="Times New Roman" w:hAnsi="Times New Roman" w:cs="Times New Roman"/>
          <w:b/>
          <w:sz w:val="20"/>
          <w:szCs w:val="20"/>
        </w:rPr>
        <w:t>En ayant recours à l’amplification, le tribunal doit établir un équilibre entre deux principes fondamentaux du droit relatif aux fouilles, perquisitions et saisies qui s’opposent particulièrement dans ce genre de situation</w:t>
      </w:r>
      <w:r>
        <w:rPr>
          <w:rFonts w:ascii="Times New Roman" w:hAnsi="Times New Roman" w:cs="Times New Roman"/>
          <w:b/>
          <w:sz w:val="20"/>
          <w:szCs w:val="20"/>
        </w:rPr>
        <w:t xml:space="preserve"> [59].</w:t>
      </w:r>
    </w:p>
    <w:p w14:paraId="32E66F7A" w14:textId="77777777" w:rsidR="00102387" w:rsidRDefault="00102387" w:rsidP="00102387">
      <w:pPr>
        <w:jc w:val="both"/>
        <w:rPr>
          <w:rFonts w:ascii="Times New Roman" w:hAnsi="Times New Roman" w:cs="Times New Roman"/>
          <w:sz w:val="22"/>
          <w:szCs w:val="22"/>
          <w:lang w:val="fr-CA"/>
        </w:rPr>
      </w:pPr>
    </w:p>
    <w:p w14:paraId="633B384E" w14:textId="040B2A99" w:rsidR="00102387" w:rsidRDefault="00102387" w:rsidP="00102387">
      <w:pPr>
        <w:jc w:val="both"/>
        <w:rPr>
          <w:rFonts w:ascii="Times New Roman" w:hAnsi="Times New Roman" w:cs="Times New Roman"/>
          <w:b/>
          <w:i/>
          <w:sz w:val="22"/>
          <w:szCs w:val="22"/>
          <w:lang w:val="fr-CA"/>
        </w:rPr>
      </w:pPr>
      <w:r>
        <w:rPr>
          <w:rFonts w:ascii="Times New Roman" w:hAnsi="Times New Roman" w:cs="Times New Roman"/>
          <w:b/>
          <w:i/>
          <w:sz w:val="22"/>
          <w:szCs w:val="22"/>
          <w:lang w:val="fr-CA"/>
        </w:rPr>
        <w:t>R. c. Morelli 2010 :</w:t>
      </w:r>
    </w:p>
    <w:p w14:paraId="3B6DDEB6" w14:textId="2559DC84" w:rsidR="00102387" w:rsidRPr="00102387" w:rsidRDefault="00102387" w:rsidP="00305ED6">
      <w:pPr>
        <w:pStyle w:val="Paragraphedeliste"/>
        <w:numPr>
          <w:ilvl w:val="0"/>
          <w:numId w:val="75"/>
        </w:numPr>
        <w:jc w:val="both"/>
        <w:rPr>
          <w:rFonts w:ascii="Times New Roman" w:hAnsi="Times New Roman" w:cs="Times New Roman"/>
          <w:sz w:val="22"/>
          <w:szCs w:val="22"/>
          <w:lang w:val="fr-CA"/>
        </w:rPr>
      </w:pPr>
      <w:r w:rsidRPr="00102387">
        <w:rPr>
          <w:rFonts w:ascii="Times New Roman" w:hAnsi="Times New Roman" w:cs="Times New Roman"/>
          <w:sz w:val="20"/>
          <w:szCs w:val="20"/>
        </w:rPr>
        <w:t>Au contraire, « le tribunal qui siège en révision doit faire abstraction des renseignements inexacts » figurant dans la dénonciation initiale (</w:t>
      </w:r>
      <w:r w:rsidRPr="00102387">
        <w:rPr>
          <w:rFonts w:ascii="Times New Roman" w:hAnsi="Times New Roman" w:cs="Times New Roman"/>
          <w:i/>
          <w:iCs/>
          <w:sz w:val="20"/>
          <w:szCs w:val="20"/>
        </w:rPr>
        <w:t>Araujo</w:t>
      </w:r>
      <w:r w:rsidRPr="00102387">
        <w:rPr>
          <w:rFonts w:ascii="Times New Roman" w:hAnsi="Times New Roman" w:cs="Times New Roman"/>
          <w:sz w:val="20"/>
          <w:szCs w:val="20"/>
        </w:rPr>
        <w:t>, par. 58)</w:t>
      </w:r>
      <w:r w:rsidRPr="00102387">
        <w:rPr>
          <w:rFonts w:ascii="Times New Roman" w:hAnsi="Times New Roman" w:cs="Times New Roman"/>
          <w:i/>
          <w:iCs/>
          <w:sz w:val="20"/>
          <w:szCs w:val="20"/>
        </w:rPr>
        <w:t xml:space="preserve">.  </w:t>
      </w:r>
      <w:r w:rsidRPr="00102387">
        <w:rPr>
          <w:rFonts w:ascii="Times New Roman" w:hAnsi="Times New Roman" w:cs="Times New Roman"/>
          <w:sz w:val="20"/>
          <w:szCs w:val="20"/>
        </w:rPr>
        <w:t>De plus, il peut avoir recours à « l’amplification » — c’est</w:t>
      </w:r>
      <w:r w:rsidRPr="00102387">
        <w:rPr>
          <w:rFonts w:ascii="American Typewriter" w:hAnsi="American Typewriter" w:cs="American Typewriter"/>
          <w:sz w:val="20"/>
          <w:szCs w:val="20"/>
        </w:rPr>
        <w:t>‑</w:t>
      </w:r>
      <w:r w:rsidRPr="00102387">
        <w:rPr>
          <w:rFonts w:ascii="Times New Roman" w:hAnsi="Times New Roman" w:cs="Times New Roman"/>
          <w:sz w:val="20"/>
          <w:szCs w:val="20"/>
        </w:rPr>
        <w:t>à</w:t>
      </w:r>
      <w:r w:rsidRPr="00102387">
        <w:rPr>
          <w:rFonts w:ascii="American Typewriter" w:hAnsi="American Typewriter" w:cs="American Typewriter"/>
          <w:sz w:val="20"/>
          <w:szCs w:val="20"/>
        </w:rPr>
        <w:t>‑</w:t>
      </w:r>
      <w:r w:rsidRPr="00102387">
        <w:rPr>
          <w:rFonts w:ascii="Times New Roman" w:hAnsi="Times New Roman" w:cs="Times New Roman"/>
          <w:sz w:val="20"/>
          <w:szCs w:val="20"/>
        </w:rPr>
        <w:t>dire, à d’autres éléments de preuve présentés lors du voir</w:t>
      </w:r>
      <w:r w:rsidRPr="00102387">
        <w:rPr>
          <w:rFonts w:ascii="American Typewriter" w:hAnsi="American Typewriter" w:cs="American Typewriter"/>
          <w:sz w:val="20"/>
          <w:szCs w:val="20"/>
        </w:rPr>
        <w:t>‑</w:t>
      </w:r>
      <w:r w:rsidRPr="00102387">
        <w:rPr>
          <w:rFonts w:ascii="Times New Roman" w:hAnsi="Times New Roman" w:cs="Times New Roman"/>
          <w:sz w:val="20"/>
          <w:szCs w:val="20"/>
        </w:rPr>
        <w:t>dire pour corriger les erreurs mineures dans la dénonciation — dans la mesure où ces éléments de preuve permettent de corriger des erreurs commises de bonne foi par la police lors de la préparation de la dénonciation plutôt que des tentatives délibérées d’induire en erreur le juge saisi de la demande d’autorisation.[41]</w:t>
      </w:r>
    </w:p>
    <w:p w14:paraId="148D63E8" w14:textId="70ED2069" w:rsidR="00102387" w:rsidRPr="00102387" w:rsidRDefault="00102387" w:rsidP="00305ED6">
      <w:pPr>
        <w:pStyle w:val="Paragraphedeliste"/>
        <w:numPr>
          <w:ilvl w:val="0"/>
          <w:numId w:val="75"/>
        </w:numPr>
        <w:jc w:val="both"/>
        <w:rPr>
          <w:rFonts w:ascii="Times New Roman" w:hAnsi="Times New Roman" w:cs="Times New Roman"/>
          <w:sz w:val="22"/>
          <w:szCs w:val="22"/>
          <w:lang w:val="fr-CA"/>
        </w:rPr>
      </w:pPr>
      <w:r w:rsidRPr="00102387">
        <w:rPr>
          <w:rFonts w:ascii="Times New Roman" w:hAnsi="Times New Roman" w:cs="Times New Roman"/>
          <w:sz w:val="20"/>
          <w:szCs w:val="20"/>
        </w:rPr>
        <w:t>En particulier, le par. 5 de la dénonciation, qui est le premier paragraphe à présenter des faits précis à l’appui de la demande, contient deux inexactitudes flagrantes et trompeuses.  On peut y lire que, [TRADUCTION] « [u]ne fois à l’ordinateur, HOUNJET a remarqué “Lolita Porn” sur l’écran », et que lorsqu’il « est revenu le lendemain, il a constaté que la porno avait été supprimée [45].</w:t>
      </w:r>
    </w:p>
    <w:p w14:paraId="54014D96" w14:textId="77777777" w:rsidR="00102387" w:rsidRDefault="00102387" w:rsidP="00102387">
      <w:pPr>
        <w:jc w:val="both"/>
        <w:rPr>
          <w:rFonts w:ascii="Times New Roman" w:hAnsi="Times New Roman" w:cs="Times New Roman"/>
          <w:sz w:val="22"/>
          <w:szCs w:val="22"/>
          <w:lang w:val="fr-CA"/>
        </w:rPr>
      </w:pPr>
    </w:p>
    <w:p w14:paraId="3B0F0453" w14:textId="2B8A15BA" w:rsidR="00102387" w:rsidRDefault="00102387" w:rsidP="00102387">
      <w:pPr>
        <w:jc w:val="both"/>
        <w:rPr>
          <w:rFonts w:ascii="Times New Roman" w:hAnsi="Times New Roman" w:cs="Times New Roman"/>
          <w:i/>
          <w:sz w:val="22"/>
          <w:szCs w:val="22"/>
          <w:lang w:val="fr-CA"/>
        </w:rPr>
      </w:pPr>
      <w:r>
        <w:rPr>
          <w:rFonts w:ascii="Times New Roman" w:hAnsi="Times New Roman" w:cs="Times New Roman"/>
          <w:b/>
          <w:i/>
          <w:sz w:val="22"/>
          <w:szCs w:val="22"/>
          <w:lang w:val="fr-CA"/>
        </w:rPr>
        <w:t xml:space="preserve">R. c. Araujo 2000 </w:t>
      </w:r>
      <w:r>
        <w:rPr>
          <w:rFonts w:ascii="Times New Roman" w:hAnsi="Times New Roman" w:cs="Times New Roman"/>
          <w:i/>
          <w:sz w:val="22"/>
          <w:szCs w:val="22"/>
          <w:lang w:val="fr-CA"/>
        </w:rPr>
        <w:t>(p.50) :</w:t>
      </w:r>
    </w:p>
    <w:p w14:paraId="6B7044E7" w14:textId="3F1A2A96" w:rsidR="00102387" w:rsidRDefault="00102387" w:rsidP="00305ED6">
      <w:pPr>
        <w:pStyle w:val="Paragraphedeliste"/>
        <w:numPr>
          <w:ilvl w:val="0"/>
          <w:numId w:val="76"/>
        </w:numPr>
        <w:jc w:val="both"/>
        <w:rPr>
          <w:rFonts w:ascii="Times New Roman" w:hAnsi="Times New Roman" w:cs="Times New Roman"/>
          <w:sz w:val="22"/>
          <w:szCs w:val="22"/>
          <w:lang w:val="fr-CA"/>
        </w:rPr>
      </w:pPr>
      <w:r>
        <w:rPr>
          <w:rFonts w:ascii="Times New Roman" w:hAnsi="Times New Roman" w:cs="Times New Roman"/>
          <w:sz w:val="22"/>
          <w:szCs w:val="22"/>
          <w:lang w:val="fr-CA"/>
        </w:rPr>
        <w:t>[46 et 47].</w:t>
      </w:r>
    </w:p>
    <w:p w14:paraId="2D47B20C" w14:textId="77777777" w:rsidR="00102387" w:rsidRDefault="00102387" w:rsidP="00102387">
      <w:pPr>
        <w:jc w:val="both"/>
        <w:rPr>
          <w:rFonts w:ascii="Times New Roman" w:hAnsi="Times New Roman" w:cs="Times New Roman"/>
          <w:sz w:val="22"/>
          <w:szCs w:val="22"/>
          <w:lang w:val="fr-CA"/>
        </w:rPr>
      </w:pPr>
    </w:p>
    <w:p w14:paraId="782F8F7A" w14:textId="77777777" w:rsidR="00102387" w:rsidRPr="00102387" w:rsidRDefault="00102387" w:rsidP="00102387">
      <w:pPr>
        <w:jc w:val="both"/>
        <w:rPr>
          <w:rFonts w:ascii="Times New Roman" w:hAnsi="Times New Roman" w:cs="Times New Roman"/>
          <w:sz w:val="22"/>
          <w:szCs w:val="22"/>
          <w:lang w:val="fr-CA"/>
        </w:rPr>
      </w:pPr>
    </w:p>
    <w:p w14:paraId="42F09958" w14:textId="77777777" w:rsidR="00B76612" w:rsidRDefault="00B76612" w:rsidP="00B76612">
      <w:pPr>
        <w:widowControl w:val="0"/>
        <w:autoSpaceDE w:val="0"/>
        <w:autoSpaceDN w:val="0"/>
        <w:adjustRightInd w:val="0"/>
        <w:spacing w:after="300"/>
        <w:jc w:val="both"/>
        <w:rPr>
          <w:rFonts w:ascii="Times New Roman" w:hAnsi="Times New Roman" w:cs="Times New Roman"/>
          <w:b/>
          <w:color w:val="3E3E3E"/>
          <w:sz w:val="22"/>
          <w:szCs w:val="22"/>
        </w:rPr>
      </w:pPr>
      <w:r w:rsidRPr="00102387">
        <w:rPr>
          <w:rFonts w:ascii="Times New Roman" w:hAnsi="Times New Roman" w:cs="Times New Roman"/>
          <w:b/>
          <w:color w:val="3E3E3E"/>
          <w:sz w:val="22"/>
          <w:szCs w:val="22"/>
        </w:rPr>
        <w:t>E.     La restitution des biens saisis ;</w:t>
      </w:r>
    </w:p>
    <w:p w14:paraId="24428A7F" w14:textId="27C7FE48" w:rsidR="00102387" w:rsidRDefault="00102387" w:rsidP="00B76612">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Les procédures sont exposées aux articles 489.1 et 490C.cr.</w:t>
      </w:r>
    </w:p>
    <w:p w14:paraId="3E72E952" w14:textId="77777777" w:rsidR="00102387" w:rsidRPr="00B76612" w:rsidRDefault="00102387" w:rsidP="00B76612">
      <w:pPr>
        <w:widowControl w:val="0"/>
        <w:autoSpaceDE w:val="0"/>
        <w:autoSpaceDN w:val="0"/>
        <w:adjustRightInd w:val="0"/>
        <w:spacing w:after="300"/>
        <w:jc w:val="both"/>
        <w:rPr>
          <w:rFonts w:ascii="Times New Roman" w:hAnsi="Times New Roman" w:cs="Times New Roman"/>
          <w:color w:val="3E3E3E"/>
          <w:sz w:val="22"/>
          <w:szCs w:val="22"/>
        </w:rPr>
      </w:pPr>
    </w:p>
    <w:p w14:paraId="29B16768" w14:textId="77777777" w:rsidR="00B76612" w:rsidRP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w:t>
      </w:r>
      <w:r w:rsidRPr="00B76612">
        <w:rPr>
          <w:rFonts w:ascii="Times New Roman" w:hAnsi="Times New Roman" w:cs="Times New Roman"/>
          <w:b/>
          <w:color w:val="3E3E3E"/>
          <w:sz w:val="22"/>
          <w:szCs w:val="22"/>
        </w:rPr>
        <w:t>3. Les ordonnances de communications</w:t>
      </w:r>
    </w:p>
    <w:p w14:paraId="15D8BA41" w14:textId="08B933C2" w:rsidR="00B76612" w:rsidRDefault="00B76612" w:rsidP="00B76612">
      <w:pPr>
        <w:widowControl w:val="0"/>
        <w:autoSpaceDE w:val="0"/>
        <w:autoSpaceDN w:val="0"/>
        <w:adjustRightInd w:val="0"/>
        <w:spacing w:after="300"/>
        <w:jc w:val="both"/>
        <w:rPr>
          <w:rFonts w:ascii="Times New Roman" w:hAnsi="Times New Roman" w:cs="Times New Roman"/>
          <w:color w:val="3E3E3E"/>
          <w:sz w:val="22"/>
          <w:szCs w:val="22"/>
        </w:rPr>
      </w:pPr>
      <w:r w:rsidRPr="00B76612">
        <w:rPr>
          <w:rFonts w:ascii="Times New Roman" w:hAnsi="Times New Roman" w:cs="Times New Roman"/>
          <w:color w:val="3E3E3E"/>
          <w:sz w:val="22"/>
          <w:szCs w:val="22"/>
        </w:rPr>
        <w:t> </w:t>
      </w:r>
      <w:r w:rsidR="00102387">
        <w:rPr>
          <w:rFonts w:ascii="Times New Roman" w:hAnsi="Times New Roman" w:cs="Times New Roman"/>
          <w:color w:val="3E3E3E"/>
          <w:sz w:val="22"/>
          <w:szCs w:val="22"/>
        </w:rPr>
        <w:t>Art. 487.012C.cr. ; 487.013C.cr. Voir société c. Ontario p. 52</w:t>
      </w:r>
    </w:p>
    <w:p w14:paraId="44035E8F" w14:textId="77777777" w:rsidR="00102387" w:rsidRPr="00B76612" w:rsidRDefault="00102387" w:rsidP="00B76612">
      <w:pPr>
        <w:widowControl w:val="0"/>
        <w:autoSpaceDE w:val="0"/>
        <w:autoSpaceDN w:val="0"/>
        <w:adjustRightInd w:val="0"/>
        <w:spacing w:after="300"/>
        <w:jc w:val="both"/>
        <w:rPr>
          <w:rFonts w:ascii="Times New Roman" w:hAnsi="Times New Roman" w:cs="Times New Roman"/>
          <w:b/>
          <w:color w:val="3E3E3E"/>
          <w:sz w:val="22"/>
          <w:szCs w:val="22"/>
        </w:rPr>
      </w:pPr>
    </w:p>
    <w:p w14:paraId="366E0F4E" w14:textId="77777777" w:rsidR="00B76612" w:rsidRDefault="00B76612" w:rsidP="00B76612">
      <w:pPr>
        <w:widowControl w:val="0"/>
        <w:autoSpaceDE w:val="0"/>
        <w:autoSpaceDN w:val="0"/>
        <w:adjustRightInd w:val="0"/>
        <w:spacing w:after="300"/>
        <w:rPr>
          <w:rFonts w:ascii="Times New Roman" w:hAnsi="Times New Roman" w:cs="Times New Roman"/>
          <w:b/>
          <w:color w:val="3E3E3E"/>
          <w:sz w:val="22"/>
          <w:szCs w:val="22"/>
        </w:rPr>
      </w:pPr>
      <w:r w:rsidRPr="00B76612">
        <w:rPr>
          <w:rFonts w:ascii="Times New Roman" w:hAnsi="Times New Roman" w:cs="Times New Roman"/>
          <w:b/>
          <w:color w:val="3E3E3E"/>
          <w:sz w:val="22"/>
          <w:szCs w:val="22"/>
        </w:rPr>
        <w:t>§4. Le mandat général</w:t>
      </w:r>
    </w:p>
    <w:p w14:paraId="504F7FEC" w14:textId="7D0C2B5B" w:rsidR="00102387" w:rsidRDefault="00102387" w:rsidP="00B76612">
      <w:pPr>
        <w:widowControl w:val="0"/>
        <w:autoSpaceDE w:val="0"/>
        <w:autoSpaceDN w:val="0"/>
        <w:adjustRightInd w:val="0"/>
        <w:spacing w:after="300"/>
        <w:rPr>
          <w:rFonts w:ascii="Times New Roman" w:hAnsi="Times New Roman" w:cs="Times New Roman"/>
          <w:b/>
          <w:color w:val="3E3E3E"/>
          <w:sz w:val="22"/>
          <w:szCs w:val="22"/>
        </w:rPr>
      </w:pPr>
      <w:r>
        <w:rPr>
          <w:rFonts w:ascii="Times New Roman" w:hAnsi="Times New Roman" w:cs="Times New Roman"/>
          <w:b/>
          <w:color w:val="3E3E3E"/>
          <w:sz w:val="22"/>
          <w:szCs w:val="22"/>
        </w:rPr>
        <w:t>Art. 487.01C.cr.</w:t>
      </w:r>
      <w:r w:rsidR="00850921">
        <w:rPr>
          <w:rFonts w:ascii="Times New Roman" w:hAnsi="Times New Roman" w:cs="Times New Roman"/>
          <w:b/>
          <w:color w:val="3E3E3E"/>
          <w:sz w:val="22"/>
          <w:szCs w:val="22"/>
        </w:rPr>
        <w:t xml:space="preserve"> et National Post[89 et 90].</w:t>
      </w:r>
    </w:p>
    <w:p w14:paraId="1333A6D6" w14:textId="77777777" w:rsidR="009F4734" w:rsidRDefault="009F4734" w:rsidP="00B76612">
      <w:pPr>
        <w:widowControl w:val="0"/>
        <w:autoSpaceDE w:val="0"/>
        <w:autoSpaceDN w:val="0"/>
        <w:adjustRightInd w:val="0"/>
        <w:spacing w:after="300"/>
        <w:rPr>
          <w:rFonts w:ascii="Times New Roman" w:hAnsi="Times New Roman" w:cs="Times New Roman"/>
          <w:b/>
          <w:color w:val="3E3E3E"/>
          <w:sz w:val="22"/>
          <w:szCs w:val="22"/>
        </w:rPr>
      </w:pPr>
    </w:p>
    <w:p w14:paraId="3F941BC3" w14:textId="124FFFC0" w:rsidR="009F4734" w:rsidRDefault="009F4734" w:rsidP="009F4734">
      <w:pPr>
        <w:widowControl w:val="0"/>
        <w:autoSpaceDE w:val="0"/>
        <w:autoSpaceDN w:val="0"/>
        <w:adjustRightInd w:val="0"/>
        <w:spacing w:after="300"/>
        <w:jc w:val="center"/>
        <w:rPr>
          <w:rFonts w:ascii="Times New Roman" w:hAnsi="Times New Roman" w:cs="Times New Roman"/>
          <w:b/>
          <w:color w:val="3E3E3E"/>
          <w:sz w:val="22"/>
          <w:szCs w:val="22"/>
        </w:rPr>
      </w:pPr>
      <w:r>
        <w:rPr>
          <w:rFonts w:ascii="Times New Roman" w:hAnsi="Times New Roman" w:cs="Times New Roman"/>
          <w:b/>
          <w:color w:val="3E3E3E"/>
          <w:sz w:val="22"/>
          <w:szCs w:val="22"/>
        </w:rPr>
        <w:t>COURS 6 – FPS- MANDAT- ARRESTATION (FIN)</w:t>
      </w:r>
    </w:p>
    <w:p w14:paraId="350000E9" w14:textId="0E066A3D" w:rsidR="00555F53" w:rsidRDefault="009F4734" w:rsidP="00555F53">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§5. La théorie des « objets bien en vue »</w:t>
      </w:r>
    </w:p>
    <w:p w14:paraId="272654C4" w14:textId="3AC06C01" w:rsidR="00555F53" w:rsidRDefault="00555F53" w:rsidP="00555F53">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Buhay 2003 CSC 30 (p. 1) :</w:t>
      </w:r>
    </w:p>
    <w:p w14:paraId="3EECF69B" w14:textId="57667C0D" w:rsidR="00555F53" w:rsidRPr="00555F53" w:rsidRDefault="00555F53" w:rsidP="00305ED6">
      <w:pPr>
        <w:pStyle w:val="Paragraphedeliste"/>
        <w:widowControl w:val="0"/>
        <w:numPr>
          <w:ilvl w:val="0"/>
          <w:numId w:val="76"/>
        </w:numPr>
        <w:autoSpaceDE w:val="0"/>
        <w:autoSpaceDN w:val="0"/>
        <w:adjustRightInd w:val="0"/>
        <w:spacing w:after="300"/>
        <w:jc w:val="both"/>
        <w:rPr>
          <w:rFonts w:ascii="Times New Roman" w:hAnsi="Times New Roman" w:cs="Verdana"/>
          <w:bCs/>
          <w:color w:val="3E3E3E"/>
          <w:sz w:val="20"/>
          <w:szCs w:val="20"/>
        </w:rPr>
      </w:pPr>
      <w:r w:rsidRPr="00555F53">
        <w:rPr>
          <w:rFonts w:ascii="Times New Roman" w:hAnsi="Times New Roman" w:cs="Times New Roman"/>
          <w:b/>
          <w:sz w:val="20"/>
          <w:szCs w:val="20"/>
        </w:rPr>
        <w:t xml:space="preserve">Il ne suffit pas d’affirmer que la preuve était bien en vue au moment de la saisie.  En fait, </w:t>
      </w:r>
      <w:r w:rsidRPr="00555F53">
        <w:rPr>
          <w:rFonts w:ascii="Times New Roman" w:hAnsi="Times New Roman" w:cs="Times New Roman"/>
          <w:sz w:val="20"/>
          <w:szCs w:val="20"/>
        </w:rPr>
        <w:t>dans la quasi</w:t>
      </w:r>
      <w:r w:rsidRPr="00555F53">
        <w:rPr>
          <w:rFonts w:ascii="PT Sans" w:hAnsi="PT Sans" w:cs="PT Sans"/>
          <w:sz w:val="20"/>
          <w:szCs w:val="20"/>
        </w:rPr>
        <w:t>‑</w:t>
      </w:r>
      <w:r w:rsidRPr="00555F53">
        <w:rPr>
          <w:rFonts w:ascii="Times New Roman" w:hAnsi="Times New Roman" w:cs="Times New Roman"/>
          <w:sz w:val="20"/>
          <w:szCs w:val="20"/>
        </w:rPr>
        <w:t xml:space="preserve">totalité des cas, les policiers voient l’objet lorsqu’ils le saisissent (voir </w:t>
      </w:r>
      <w:r w:rsidRPr="00555F53">
        <w:rPr>
          <w:rFonts w:ascii="Times New Roman" w:hAnsi="Times New Roman" w:cs="Times New Roman"/>
          <w:i/>
          <w:iCs/>
          <w:sz w:val="20"/>
          <w:szCs w:val="20"/>
        </w:rPr>
        <w:t>Coolidge c. New Hampshire [...]</w:t>
      </w:r>
      <w:r w:rsidRPr="00555F53">
        <w:rPr>
          <w:rFonts w:ascii="Times New Roman" w:hAnsi="Times New Roman" w:cs="Times New Roman"/>
          <w:b/>
          <w:sz w:val="20"/>
          <w:szCs w:val="20"/>
        </w:rPr>
        <w:t>La théorie des objets bien en vue exige, et peut</w:t>
      </w:r>
      <w:r w:rsidRPr="00555F53">
        <w:rPr>
          <w:rFonts w:ascii="PT Sans" w:hAnsi="PT Sans" w:cs="PT Sans"/>
          <w:b/>
          <w:sz w:val="20"/>
          <w:szCs w:val="20"/>
        </w:rPr>
        <w:t>‑</w:t>
      </w:r>
      <w:r w:rsidRPr="00555F53">
        <w:rPr>
          <w:rFonts w:ascii="Times New Roman" w:hAnsi="Times New Roman" w:cs="Times New Roman"/>
          <w:b/>
          <w:sz w:val="20"/>
          <w:szCs w:val="20"/>
        </w:rPr>
        <w:t>être s’agit</w:t>
      </w:r>
      <w:r w:rsidRPr="00555F53">
        <w:rPr>
          <w:rFonts w:ascii="PT Sans" w:hAnsi="PT Sans" w:cs="PT Sans"/>
          <w:b/>
          <w:sz w:val="20"/>
          <w:szCs w:val="20"/>
        </w:rPr>
        <w:t>‑</w:t>
      </w:r>
      <w:r w:rsidRPr="00555F53">
        <w:rPr>
          <w:rFonts w:ascii="Times New Roman" w:hAnsi="Times New Roman" w:cs="Times New Roman"/>
          <w:b/>
          <w:sz w:val="20"/>
          <w:szCs w:val="20"/>
        </w:rPr>
        <w:t xml:space="preserve">il d’un élément central, que l’agent de police ait été préalablement justifié de s’introduire dans les lieux où ont été saisis les objets  « bien en vue » </w:t>
      </w:r>
      <w:r w:rsidRPr="00555F53">
        <w:rPr>
          <w:rFonts w:ascii="Times New Roman" w:hAnsi="Times New Roman" w:cs="Times New Roman"/>
          <w:sz w:val="20"/>
          <w:szCs w:val="20"/>
        </w:rPr>
        <w:t xml:space="preserve">(voir p. ex. </w:t>
      </w:r>
      <w:r w:rsidRPr="00555F53">
        <w:rPr>
          <w:rFonts w:ascii="Times New Roman" w:hAnsi="Times New Roman" w:cs="Times New Roman"/>
          <w:i/>
          <w:iCs/>
          <w:sz w:val="20"/>
          <w:szCs w:val="20"/>
        </w:rPr>
        <w:t>Law</w:t>
      </w:r>
      <w:r w:rsidRPr="00555F53">
        <w:rPr>
          <w:rFonts w:ascii="Times New Roman" w:hAnsi="Times New Roman" w:cs="Times New Roman"/>
          <w:sz w:val="20"/>
          <w:szCs w:val="20"/>
        </w:rPr>
        <w:t xml:space="preserve">, précité, par. 27; </w:t>
      </w:r>
      <w:r w:rsidRPr="00555F53">
        <w:rPr>
          <w:rFonts w:ascii="Times New Roman" w:hAnsi="Times New Roman" w:cs="Times New Roman"/>
          <w:i/>
          <w:iCs/>
          <w:sz w:val="20"/>
          <w:szCs w:val="20"/>
        </w:rPr>
        <w:t>Spindloe</w:t>
      </w:r>
      <w:r w:rsidRPr="00555F53">
        <w:rPr>
          <w:rFonts w:ascii="Times New Roman" w:hAnsi="Times New Roman" w:cs="Times New Roman"/>
          <w:sz w:val="20"/>
          <w:szCs w:val="20"/>
        </w:rPr>
        <w:t xml:space="preserve">, précité; </w:t>
      </w:r>
      <w:r w:rsidRPr="00555F53">
        <w:rPr>
          <w:rFonts w:ascii="Times New Roman" w:hAnsi="Times New Roman" w:cs="Times New Roman"/>
          <w:i/>
          <w:iCs/>
          <w:sz w:val="20"/>
          <w:szCs w:val="20"/>
        </w:rPr>
        <w:t>R. c. Belliveau</w:t>
      </w:r>
      <w:r w:rsidRPr="00555F53">
        <w:rPr>
          <w:rFonts w:ascii="Times New Roman" w:hAnsi="Times New Roman" w:cs="Times New Roman"/>
          <w:sz w:val="20"/>
          <w:szCs w:val="20"/>
        </w:rPr>
        <w:t xml:space="preserve"> (1986), 75 R.N.</w:t>
      </w:r>
      <w:r w:rsidRPr="00555F53">
        <w:rPr>
          <w:rFonts w:ascii="PT Sans" w:hAnsi="PT Sans" w:cs="PT Sans"/>
          <w:sz w:val="20"/>
          <w:szCs w:val="20"/>
        </w:rPr>
        <w:t>‑</w:t>
      </w:r>
      <w:r w:rsidRPr="00555F53">
        <w:rPr>
          <w:rFonts w:ascii="Times New Roman" w:hAnsi="Times New Roman" w:cs="Times New Roman"/>
          <w:sz w:val="20"/>
          <w:szCs w:val="20"/>
        </w:rPr>
        <w:t>B. (2</w:t>
      </w:r>
      <w:r w:rsidRPr="00555F53">
        <w:rPr>
          <w:rFonts w:ascii="Times New Roman" w:hAnsi="Times New Roman" w:cs="Times New Roman"/>
          <w:sz w:val="20"/>
          <w:szCs w:val="20"/>
          <w:vertAlign w:val="superscript"/>
        </w:rPr>
        <w:t>e</w:t>
      </w:r>
      <w:r w:rsidRPr="00555F53">
        <w:rPr>
          <w:rFonts w:ascii="Times New Roman" w:hAnsi="Times New Roman" w:cs="Times New Roman"/>
          <w:sz w:val="20"/>
          <w:szCs w:val="20"/>
        </w:rPr>
        <w:t xml:space="preserve">) 18 (C.A.); </w:t>
      </w:r>
      <w:r w:rsidRPr="00555F53">
        <w:rPr>
          <w:rFonts w:ascii="Times New Roman" w:hAnsi="Times New Roman" w:cs="Times New Roman"/>
          <w:i/>
          <w:iCs/>
          <w:sz w:val="20"/>
          <w:szCs w:val="20"/>
        </w:rPr>
        <w:t xml:space="preserve">R. c. Nielsen </w:t>
      </w:r>
      <w:r w:rsidRPr="00555F53">
        <w:rPr>
          <w:rFonts w:ascii="Times New Roman" w:hAnsi="Times New Roman" w:cs="Times New Roman"/>
          <w:iCs/>
          <w:sz w:val="20"/>
          <w:szCs w:val="20"/>
        </w:rPr>
        <w:t>[37].</w:t>
      </w:r>
    </w:p>
    <w:p w14:paraId="456FD5A7" w14:textId="566CADA6" w:rsidR="00555F53" w:rsidRDefault="00555F53" w:rsidP="00555F53">
      <w:pPr>
        <w:widowControl w:val="0"/>
        <w:autoSpaceDE w:val="0"/>
        <w:autoSpaceDN w:val="0"/>
        <w:adjustRightInd w:val="0"/>
        <w:spacing w:after="300"/>
        <w:jc w:val="both"/>
        <w:rPr>
          <w:rFonts w:ascii="Times New Roman" w:hAnsi="Times New Roman" w:cs="Verdana"/>
          <w:b/>
          <w:bCs/>
          <w:i/>
          <w:color w:val="3E3E3E"/>
          <w:sz w:val="20"/>
          <w:szCs w:val="20"/>
        </w:rPr>
      </w:pPr>
      <w:r w:rsidRPr="00555F53">
        <w:rPr>
          <w:rFonts w:ascii="Times New Roman" w:hAnsi="Times New Roman" w:cs="Verdana"/>
          <w:b/>
          <w:bCs/>
          <w:i/>
          <w:color w:val="3E3E3E"/>
          <w:sz w:val="22"/>
          <w:szCs w:val="22"/>
        </w:rPr>
        <w:t>R. c. Law 2002 CSC 10 </w:t>
      </w:r>
      <w:r>
        <w:rPr>
          <w:rFonts w:ascii="Times New Roman" w:hAnsi="Times New Roman" w:cs="Verdana"/>
          <w:b/>
          <w:bCs/>
          <w:i/>
          <w:color w:val="3E3E3E"/>
          <w:sz w:val="20"/>
          <w:szCs w:val="20"/>
        </w:rPr>
        <w:t>:</w:t>
      </w:r>
    </w:p>
    <w:p w14:paraId="02FC2A99" w14:textId="6ACE0149" w:rsidR="00555F53" w:rsidRPr="00132D16" w:rsidRDefault="00555F53" w:rsidP="00305ED6">
      <w:pPr>
        <w:pStyle w:val="Paragraphedeliste"/>
        <w:widowControl w:val="0"/>
        <w:numPr>
          <w:ilvl w:val="0"/>
          <w:numId w:val="76"/>
        </w:numPr>
        <w:autoSpaceDE w:val="0"/>
        <w:autoSpaceDN w:val="0"/>
        <w:adjustRightInd w:val="0"/>
        <w:spacing w:after="300"/>
        <w:jc w:val="both"/>
        <w:rPr>
          <w:rFonts w:ascii="Times New Roman" w:hAnsi="Times New Roman" w:cs="Verdana"/>
          <w:b/>
          <w:bCs/>
          <w:i/>
          <w:color w:val="3E3E3E"/>
          <w:sz w:val="20"/>
          <w:szCs w:val="20"/>
        </w:rPr>
      </w:pPr>
      <w:r w:rsidRPr="00FD0EF3">
        <w:rPr>
          <w:rFonts w:ascii="Times New Roman" w:hAnsi="Times New Roman" w:cs="Times New Roman"/>
          <w:sz w:val="20"/>
          <w:szCs w:val="20"/>
        </w:rPr>
        <w:t>L’intimée invoque la théorie des objets bien en vue, soutenant que la preuve qui se présente à la vue d’un policier « agissant légalement » peut être admissible si elle est découverte par inadvertance.  Plusieurs des arrêts cités par l’intimée portent sur ce qu’on peut qualifier de fouilles d’objets bien en vue </w:t>
      </w:r>
      <w:r>
        <w:rPr>
          <w:rFonts w:ascii="Times New Roman" w:hAnsi="Times New Roman" w:cs="Times New Roman"/>
          <w:sz w:val="20"/>
          <w:szCs w:val="20"/>
        </w:rPr>
        <w:t>[...]</w:t>
      </w:r>
      <w:r w:rsidRPr="00FD0EF3">
        <w:rPr>
          <w:rFonts w:ascii="Times New Roman" w:hAnsi="Times New Roman" w:cs="Times New Roman"/>
          <w:sz w:val="20"/>
          <w:szCs w:val="20"/>
        </w:rPr>
        <w:t xml:space="preserve">).  </w:t>
      </w:r>
      <w:r w:rsidRPr="00555F53">
        <w:rPr>
          <w:rFonts w:ascii="Times New Roman" w:hAnsi="Times New Roman" w:cs="Times New Roman"/>
          <w:sz w:val="20"/>
          <w:szCs w:val="20"/>
        </w:rPr>
        <w:t>En l’espèce, je conviens avec le juge McKee que la preuve incriminante n’était pas immédiatement apparente au caporal Desroches et qu’elle n’avait pas été non plus découverte par inadvertance.  Au contraire, elle a été découverte seulement après qu’il eut examiné, fait traduire et photocopié plusieurs documents</w:t>
      </w:r>
      <w:r>
        <w:rPr>
          <w:rFonts w:ascii="Times New Roman" w:hAnsi="Times New Roman" w:cs="Times New Roman"/>
          <w:sz w:val="20"/>
          <w:szCs w:val="20"/>
        </w:rPr>
        <w:t xml:space="preserve"> [27].</w:t>
      </w:r>
    </w:p>
    <w:p w14:paraId="7D5B9697" w14:textId="7885A488" w:rsidR="00132D16" w:rsidRPr="00132D16" w:rsidRDefault="00132D16" w:rsidP="00132D16">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La théorie est maintenant codifiée au sein du C.cr., à l’article 489(1) C.cr., ainsi qu’à l’article 11(8) de la Loi réglementant certaines drogues et autres substance. Il ne faut certes pas oublier les précisions de la Common law sur l’emploie de cette théorie, notamment celles portant sur les arrêts précités.</w:t>
      </w:r>
    </w:p>
    <w:p w14:paraId="10C91D90" w14:textId="77777777" w:rsidR="00132D16" w:rsidRDefault="009F4734" w:rsidP="009F4734">
      <w:pPr>
        <w:widowControl w:val="0"/>
        <w:autoSpaceDE w:val="0"/>
        <w:autoSpaceDN w:val="0"/>
        <w:adjustRightInd w:val="0"/>
        <w:spacing w:after="300"/>
        <w:jc w:val="both"/>
        <w:rPr>
          <w:rFonts w:ascii="Times New Roman" w:hAnsi="Times New Roman" w:cs="Verdana"/>
          <w:color w:val="3E3E3E"/>
          <w:sz w:val="22"/>
          <w:szCs w:val="22"/>
        </w:rPr>
      </w:pPr>
      <w:r w:rsidRPr="00555F53">
        <w:rPr>
          <w:rFonts w:ascii="Times New Roman" w:hAnsi="Times New Roman" w:cs="Verdana"/>
          <w:b/>
          <w:bCs/>
          <w:color w:val="3E3E3E"/>
          <w:sz w:val="22"/>
          <w:szCs w:val="22"/>
        </w:rPr>
        <w:t>§6. Saisie de substances corporelles</w:t>
      </w:r>
      <w:r w:rsidRPr="00555F53">
        <w:rPr>
          <w:rFonts w:ascii="Times New Roman" w:hAnsi="Times New Roman" w:cs="Verdana"/>
          <w:color w:val="3E3E3E"/>
          <w:sz w:val="22"/>
          <w:szCs w:val="22"/>
        </w:rPr>
        <w:t xml:space="preserve"> </w:t>
      </w:r>
    </w:p>
    <w:p w14:paraId="75F68176" w14:textId="4C2892C8" w:rsidR="009F4734" w:rsidRPr="00555F53" w:rsidRDefault="009F4734" w:rsidP="009F4734">
      <w:pPr>
        <w:widowControl w:val="0"/>
        <w:autoSpaceDE w:val="0"/>
        <w:autoSpaceDN w:val="0"/>
        <w:adjustRightInd w:val="0"/>
        <w:spacing w:after="300"/>
        <w:jc w:val="both"/>
        <w:rPr>
          <w:rFonts w:ascii="Times New Roman" w:hAnsi="Times New Roman" w:cs="Verdana"/>
          <w:color w:val="3E3E3E"/>
          <w:sz w:val="22"/>
          <w:szCs w:val="22"/>
        </w:rPr>
      </w:pPr>
      <w:r w:rsidRPr="00555F53">
        <w:rPr>
          <w:rFonts w:ascii="Times New Roman" w:hAnsi="Times New Roman" w:cs="Verdana"/>
          <w:b/>
          <w:bCs/>
          <w:color w:val="3E3E3E"/>
          <w:sz w:val="22"/>
          <w:szCs w:val="22"/>
        </w:rPr>
        <w:t>A. Analyses génétiques effectué</w:t>
      </w:r>
      <w:r w:rsidR="006E2495">
        <w:rPr>
          <w:rFonts w:ascii="Times New Roman" w:hAnsi="Times New Roman" w:cs="Verdana"/>
          <w:b/>
          <w:bCs/>
          <w:color w:val="3E3E3E"/>
          <w:sz w:val="22"/>
          <w:szCs w:val="22"/>
        </w:rPr>
        <w:t>e</w:t>
      </w:r>
      <w:r w:rsidRPr="00555F53">
        <w:rPr>
          <w:rFonts w:ascii="Times New Roman" w:hAnsi="Times New Roman" w:cs="Verdana"/>
          <w:b/>
          <w:bCs/>
          <w:color w:val="3E3E3E"/>
          <w:sz w:val="22"/>
          <w:szCs w:val="22"/>
        </w:rPr>
        <w:t>s à des fins médicolégales</w:t>
      </w:r>
    </w:p>
    <w:p w14:paraId="0CD16FFA" w14:textId="23DD5B66" w:rsidR="009F4734" w:rsidRDefault="009F4734" w:rsidP="009F4734">
      <w:pPr>
        <w:widowControl w:val="0"/>
        <w:autoSpaceDE w:val="0"/>
        <w:autoSpaceDN w:val="0"/>
        <w:adjustRightInd w:val="0"/>
        <w:spacing w:after="300"/>
        <w:jc w:val="both"/>
        <w:rPr>
          <w:rFonts w:ascii="Times New Roman" w:hAnsi="Times New Roman" w:cs="Verdana"/>
          <w:color w:val="3E3E3E"/>
          <w:sz w:val="22"/>
          <w:szCs w:val="22"/>
        </w:rPr>
      </w:pPr>
      <w:r w:rsidRPr="006E2495">
        <w:rPr>
          <w:rFonts w:ascii="Times New Roman" w:hAnsi="Times New Roman" w:cs="Verdana"/>
          <w:color w:val="3E3E3E"/>
          <w:sz w:val="22"/>
          <w:szCs w:val="22"/>
          <w:u w:val="single"/>
        </w:rPr>
        <w:t>1. Mandat autorisant le prélèvement</w:t>
      </w:r>
      <w:r w:rsidR="00132D16">
        <w:rPr>
          <w:rFonts w:ascii="Times New Roman" w:hAnsi="Times New Roman" w:cs="Verdana"/>
          <w:color w:val="3E3E3E"/>
          <w:sz w:val="22"/>
          <w:szCs w:val="22"/>
        </w:rPr>
        <w:t xml:space="preserve"> (p.2) :</w:t>
      </w:r>
    </w:p>
    <w:p w14:paraId="7E08187D" w14:textId="054DC2CC" w:rsidR="00132D16" w:rsidRDefault="00132D16" w:rsidP="009F473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Certaines dispositions du C.cr. en traitent spécifiquement aux art</w:t>
      </w:r>
      <w:r w:rsidR="006E2495">
        <w:rPr>
          <w:rFonts w:ascii="Times New Roman" w:hAnsi="Times New Roman" w:cs="Verdana"/>
          <w:color w:val="3E3E3E"/>
          <w:sz w:val="22"/>
          <w:szCs w:val="22"/>
        </w:rPr>
        <w:t xml:space="preserve">icles 487.04, </w:t>
      </w:r>
      <w:r w:rsidR="006E2495" w:rsidRPr="006E2495">
        <w:rPr>
          <w:rFonts w:ascii="Times New Roman" w:hAnsi="Times New Roman" w:cs="Verdana"/>
          <w:b/>
          <w:color w:val="3E3E3E"/>
          <w:sz w:val="22"/>
          <w:szCs w:val="22"/>
        </w:rPr>
        <w:t>487.05(1</w:t>
      </w:r>
      <w:r w:rsidR="006E2495">
        <w:rPr>
          <w:rFonts w:ascii="Times New Roman" w:hAnsi="Times New Roman" w:cs="Verdana"/>
          <w:color w:val="3E3E3E"/>
          <w:sz w:val="22"/>
          <w:szCs w:val="22"/>
        </w:rPr>
        <w:t>), 487.06 à .08</w:t>
      </w:r>
      <w:r>
        <w:rPr>
          <w:rFonts w:ascii="Times New Roman" w:hAnsi="Times New Roman" w:cs="Verdana"/>
          <w:color w:val="3E3E3E"/>
          <w:sz w:val="22"/>
          <w:szCs w:val="22"/>
        </w:rPr>
        <w:t xml:space="preserve"> C.cr.</w:t>
      </w:r>
    </w:p>
    <w:p w14:paraId="78973299" w14:textId="2A5465C2" w:rsidR="00132D16" w:rsidRDefault="00132D16"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S.A.B. 2003 CSC :</w:t>
      </w:r>
    </w:p>
    <w:p w14:paraId="02D085CB" w14:textId="1424E9AB" w:rsidR="00132D16" w:rsidRPr="00132D16" w:rsidRDefault="006E2495" w:rsidP="00305ED6">
      <w:pPr>
        <w:pStyle w:val="Paragraphedeliste"/>
        <w:widowControl w:val="0"/>
        <w:numPr>
          <w:ilvl w:val="0"/>
          <w:numId w:val="76"/>
        </w:numPr>
        <w:autoSpaceDE w:val="0"/>
        <w:autoSpaceDN w:val="0"/>
        <w:adjustRightInd w:val="0"/>
        <w:spacing w:after="300"/>
        <w:jc w:val="both"/>
        <w:rPr>
          <w:rFonts w:ascii="Times New Roman" w:hAnsi="Times New Roman" w:cs="Verdana"/>
          <w:b/>
          <w:i/>
          <w:color w:val="3E3E3E"/>
          <w:sz w:val="22"/>
          <w:szCs w:val="22"/>
        </w:rPr>
      </w:pPr>
      <w:r w:rsidRPr="00363552">
        <w:rPr>
          <w:rFonts w:ascii="Times New Roman" w:hAnsi="Times New Roman" w:cs="Times New Roman"/>
          <w:sz w:val="20"/>
          <w:szCs w:val="20"/>
        </w:rPr>
        <w:t xml:space="preserve">En règle générale, une pondération convenable de ces intérêts requiert un système d’autorisation préalable par le moyen de la délivrance d’un mandat par un décideur capable de pondérer les intérêts en jeu et d’agir judiciairement.  Le régime de mandat ADN répond clairement à ces exigences en prévoyant une procédure détaillée en vertu de laquelle un officier de justice délivre un mandat.  </w:t>
      </w:r>
      <w:r w:rsidRPr="006E2495">
        <w:rPr>
          <w:rFonts w:ascii="Times New Roman" w:hAnsi="Times New Roman" w:cs="Times New Roman"/>
          <w:b/>
          <w:sz w:val="20"/>
          <w:szCs w:val="20"/>
        </w:rPr>
        <w:t>Fait important, le par. 487.05(1) prévoit qu’une demande visant à obtenir un mandat doit être présentée à un juge de la cour provinciale plutôt qu’à un juge de paix, comme c’est le cas pour d’autres types de mandat</w:t>
      </w:r>
      <w:r w:rsidRPr="00363552">
        <w:rPr>
          <w:rFonts w:ascii="Times New Roman" w:hAnsi="Times New Roman" w:cs="Times New Roman"/>
          <w:sz w:val="20"/>
          <w:szCs w:val="20"/>
        </w:rPr>
        <w:t>.  Cette mesure dénote l’attention que le législateur accorde à l’importance des intérêts en jeu dans l’obtention d’un mandat ADN</w:t>
      </w:r>
      <w:r>
        <w:rPr>
          <w:rFonts w:ascii="Times New Roman" w:hAnsi="Times New Roman" w:cs="Times New Roman"/>
          <w:sz w:val="20"/>
          <w:szCs w:val="20"/>
        </w:rPr>
        <w:t xml:space="preserve"> [38]</w:t>
      </w:r>
    </w:p>
    <w:p w14:paraId="59C170B5" w14:textId="38D7DC3B" w:rsidR="009F4734" w:rsidRDefault="009F4734" w:rsidP="009F4734">
      <w:pPr>
        <w:widowControl w:val="0"/>
        <w:autoSpaceDE w:val="0"/>
        <w:autoSpaceDN w:val="0"/>
        <w:adjustRightInd w:val="0"/>
        <w:spacing w:after="300"/>
        <w:jc w:val="both"/>
        <w:rPr>
          <w:rFonts w:ascii="Times New Roman" w:hAnsi="Times New Roman" w:cs="Verdana"/>
          <w:color w:val="3E3E3E"/>
          <w:sz w:val="22"/>
          <w:szCs w:val="22"/>
          <w:u w:val="single"/>
        </w:rPr>
      </w:pPr>
      <w:r w:rsidRPr="006E2495">
        <w:rPr>
          <w:rFonts w:ascii="Times New Roman" w:hAnsi="Times New Roman" w:cs="Verdana"/>
          <w:color w:val="3E3E3E"/>
          <w:sz w:val="22"/>
          <w:szCs w:val="22"/>
          <w:u w:val="single"/>
        </w:rPr>
        <w:t>2. Banque nationale de données génétiques</w:t>
      </w:r>
      <w:r w:rsidR="006E2495">
        <w:rPr>
          <w:rFonts w:ascii="Times New Roman" w:hAnsi="Times New Roman" w:cs="Verdana"/>
          <w:color w:val="3E3E3E"/>
          <w:sz w:val="22"/>
          <w:szCs w:val="22"/>
          <w:u w:val="single"/>
        </w:rPr>
        <w:t xml:space="preserve"> (p.3)</w:t>
      </w:r>
    </w:p>
    <w:p w14:paraId="4B93EA35" w14:textId="468A8D2A" w:rsidR="006E2495" w:rsidRDefault="006E2495" w:rsidP="009F4734">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2"/>
          <w:szCs w:val="22"/>
        </w:rPr>
        <w:t xml:space="preserve">La Loi sur l’identification par les empreintes génétiques crée deux fichiers (article 5 de ladite Loi), l’un appeler </w:t>
      </w:r>
      <w:r>
        <w:rPr>
          <w:rFonts w:ascii="Times New Roman" w:hAnsi="Times New Roman" w:cs="Verdana"/>
          <w:b/>
          <w:color w:val="3E3E3E"/>
          <w:sz w:val="22"/>
          <w:szCs w:val="22"/>
        </w:rPr>
        <w:t xml:space="preserve">fichier de criminalistique </w:t>
      </w:r>
      <w:r>
        <w:rPr>
          <w:rFonts w:ascii="Times New Roman" w:hAnsi="Times New Roman" w:cs="Verdana"/>
          <w:color w:val="3E3E3E"/>
          <w:sz w:val="22"/>
          <w:szCs w:val="22"/>
        </w:rPr>
        <w:t xml:space="preserve">et l’autre </w:t>
      </w:r>
      <w:r>
        <w:rPr>
          <w:rFonts w:ascii="Times New Roman" w:hAnsi="Times New Roman" w:cs="Verdana"/>
          <w:b/>
          <w:color w:val="3E3E3E"/>
          <w:sz w:val="22"/>
          <w:szCs w:val="22"/>
        </w:rPr>
        <w:t>fichier des condamnés.</w:t>
      </w:r>
    </w:p>
    <w:p w14:paraId="4C565B79" w14:textId="27236955" w:rsidR="006E2495" w:rsidRDefault="006E2495"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Rodgers 2006 CSC (p.3) :</w:t>
      </w:r>
    </w:p>
    <w:p w14:paraId="60D3081F" w14:textId="77777777" w:rsidR="00C567E5" w:rsidRPr="00C567E5" w:rsidRDefault="00C567E5" w:rsidP="00305ED6">
      <w:pPr>
        <w:pStyle w:val="Paragraphedeliste"/>
        <w:numPr>
          <w:ilvl w:val="0"/>
          <w:numId w:val="76"/>
        </w:numPr>
        <w:jc w:val="both"/>
        <w:rPr>
          <w:rFonts w:ascii="Times New Roman" w:hAnsi="Times New Roman" w:cs="Times New Roman"/>
          <w:sz w:val="20"/>
          <w:szCs w:val="20"/>
        </w:rPr>
      </w:pPr>
      <w:r w:rsidRPr="00C567E5">
        <w:rPr>
          <w:rFonts w:ascii="Times New Roman" w:hAnsi="Times New Roman" w:cs="Times New Roman"/>
          <w:sz w:val="20"/>
          <w:szCs w:val="20"/>
        </w:rPr>
        <w:t xml:space="preserve">La Cour d’appel a eu tort de présumer que l’art. 487.055 du </w:t>
      </w:r>
      <w:r w:rsidRPr="00C567E5">
        <w:rPr>
          <w:rFonts w:ascii="Times New Roman" w:hAnsi="Times New Roman" w:cs="Times New Roman"/>
          <w:i/>
          <w:iCs/>
          <w:sz w:val="20"/>
          <w:szCs w:val="20"/>
        </w:rPr>
        <w:t>Code</w:t>
      </w:r>
      <w:r w:rsidRPr="00C567E5">
        <w:rPr>
          <w:rFonts w:ascii="Times New Roman" w:hAnsi="Times New Roman" w:cs="Times New Roman"/>
          <w:sz w:val="20"/>
          <w:szCs w:val="20"/>
        </w:rPr>
        <w:t xml:space="preserve"> nécessitait une audition </w:t>
      </w:r>
      <w:r w:rsidRPr="00C567E5">
        <w:rPr>
          <w:rFonts w:ascii="Times New Roman" w:hAnsi="Times New Roman" w:cs="Times New Roman"/>
          <w:i/>
          <w:iCs/>
          <w:sz w:val="20"/>
          <w:szCs w:val="20"/>
        </w:rPr>
        <w:t>inter partes</w:t>
      </w:r>
      <w:r w:rsidRPr="00C567E5">
        <w:rPr>
          <w:rFonts w:ascii="Times New Roman" w:hAnsi="Times New Roman" w:cs="Times New Roman"/>
          <w:sz w:val="20"/>
          <w:szCs w:val="20"/>
        </w:rPr>
        <w:t xml:space="preserve">.  Le paragraphe 487.055(1) ne doit pas être interprété au regard des valeurs et des principes consacrés par la </w:t>
      </w:r>
      <w:r w:rsidRPr="00C567E5">
        <w:rPr>
          <w:rFonts w:ascii="Times New Roman" w:hAnsi="Times New Roman" w:cs="Times New Roman"/>
          <w:i/>
          <w:iCs/>
          <w:sz w:val="20"/>
          <w:szCs w:val="20"/>
        </w:rPr>
        <w:t>Charte</w:t>
      </w:r>
      <w:r w:rsidRPr="00C567E5">
        <w:rPr>
          <w:rFonts w:ascii="Times New Roman" w:hAnsi="Times New Roman" w:cs="Times New Roman"/>
          <w:sz w:val="20"/>
          <w:szCs w:val="20"/>
        </w:rPr>
        <w:t>, ceux</w:t>
      </w:r>
      <w:r w:rsidRPr="00C567E5">
        <w:rPr>
          <w:rFonts w:ascii="PT Sans" w:hAnsi="PT Sans" w:cs="PT Sans"/>
          <w:sz w:val="20"/>
          <w:szCs w:val="20"/>
        </w:rPr>
        <w:t>‑</w:t>
      </w:r>
      <w:r w:rsidRPr="00C567E5">
        <w:rPr>
          <w:rFonts w:ascii="Times New Roman" w:hAnsi="Times New Roman" w:cs="Times New Roman"/>
          <w:sz w:val="20"/>
          <w:szCs w:val="20"/>
        </w:rPr>
        <w:t xml:space="preserve">ci ne jouant que lorsque la disposition comporte une véritable ambiguïté.  Comme la disposition en cause est claire, le tribunal doit donner effet à l’intention manifeste du législateur de permettre l’audition </w:t>
      </w:r>
      <w:r w:rsidRPr="00C567E5">
        <w:rPr>
          <w:rFonts w:ascii="Times New Roman" w:hAnsi="Times New Roman" w:cs="Times New Roman"/>
          <w:i/>
          <w:iCs/>
          <w:sz w:val="20"/>
          <w:szCs w:val="20"/>
        </w:rPr>
        <w:t>ex parte</w:t>
      </w:r>
      <w:r w:rsidRPr="00C567E5">
        <w:rPr>
          <w:rFonts w:ascii="Times New Roman" w:hAnsi="Times New Roman" w:cs="Times New Roman"/>
          <w:sz w:val="20"/>
          <w:szCs w:val="20"/>
        </w:rPr>
        <w:t>. [6] [18</w:t>
      </w:r>
      <w:r w:rsidRPr="00C567E5">
        <w:rPr>
          <w:rFonts w:ascii="PT Sans" w:hAnsi="PT Sans" w:cs="PT Sans"/>
          <w:sz w:val="20"/>
          <w:szCs w:val="20"/>
        </w:rPr>
        <w:t>‑</w:t>
      </w:r>
      <w:r w:rsidRPr="00C567E5">
        <w:rPr>
          <w:rFonts w:ascii="Times New Roman" w:hAnsi="Times New Roman" w:cs="Times New Roman"/>
          <w:sz w:val="20"/>
          <w:szCs w:val="20"/>
        </w:rPr>
        <w:t>20]</w:t>
      </w:r>
    </w:p>
    <w:p w14:paraId="148CA2FF" w14:textId="1EB40A45" w:rsidR="006E2495" w:rsidRPr="00C567E5" w:rsidRDefault="00C567E5" w:rsidP="00305ED6">
      <w:pPr>
        <w:pStyle w:val="Paragraphedeliste"/>
        <w:widowControl w:val="0"/>
        <w:numPr>
          <w:ilvl w:val="0"/>
          <w:numId w:val="76"/>
        </w:numPr>
        <w:autoSpaceDE w:val="0"/>
        <w:autoSpaceDN w:val="0"/>
        <w:adjustRightInd w:val="0"/>
        <w:spacing w:after="300"/>
        <w:jc w:val="both"/>
        <w:rPr>
          <w:rFonts w:ascii="Times New Roman" w:hAnsi="Times New Roman" w:cs="Verdana"/>
          <w:color w:val="3E3E3E"/>
          <w:sz w:val="20"/>
          <w:szCs w:val="20"/>
        </w:rPr>
      </w:pPr>
      <w:r w:rsidRPr="00C567E5">
        <w:rPr>
          <w:rFonts w:ascii="Times New Roman" w:hAnsi="Times New Roman" w:cs="Times New Roman"/>
          <w:b/>
          <w:sz w:val="20"/>
          <w:szCs w:val="20"/>
        </w:rPr>
        <w:t xml:space="preserve">Contrairement au mandat ADN décerné pour les besoins d’une enquête, l’autorisation de prélèvement ne vise pas les personnes soupçonnées d’une infraction ni ne permet l’obtention d’éléments de preuve aux fins d’une poursuite. </w:t>
      </w:r>
      <w:r w:rsidRPr="00C567E5">
        <w:rPr>
          <w:rFonts w:ascii="Times New Roman" w:hAnsi="Times New Roman" w:cs="Times New Roman"/>
          <w:sz w:val="20"/>
          <w:szCs w:val="20"/>
        </w:rPr>
        <w:t>Les dispositions mettent les nouvelles techniques d’analyse génétique au service de l’identification des contrevenants, et l’analogie doit se faire avec la prise des empreintes digitales et les autres mesures d’identification</w:t>
      </w:r>
    </w:p>
    <w:p w14:paraId="722087EC" w14:textId="733D9B1A" w:rsidR="00C567E5" w:rsidRPr="00C567E5" w:rsidRDefault="00C567E5" w:rsidP="00305ED6">
      <w:pPr>
        <w:pStyle w:val="Paragraphedeliste"/>
        <w:widowControl w:val="0"/>
        <w:numPr>
          <w:ilvl w:val="0"/>
          <w:numId w:val="76"/>
        </w:numPr>
        <w:autoSpaceDE w:val="0"/>
        <w:autoSpaceDN w:val="0"/>
        <w:adjustRightInd w:val="0"/>
        <w:spacing w:after="300"/>
        <w:jc w:val="both"/>
        <w:rPr>
          <w:rFonts w:ascii="Times New Roman" w:hAnsi="Times New Roman" w:cs="Verdana"/>
          <w:color w:val="3E3E3E"/>
          <w:sz w:val="20"/>
          <w:szCs w:val="20"/>
        </w:rPr>
      </w:pPr>
      <w:r w:rsidRPr="00C567E5">
        <w:rPr>
          <w:rFonts w:ascii="Times New Roman" w:hAnsi="Times New Roman" w:cs="Times New Roman"/>
          <w:sz w:val="20"/>
          <w:szCs w:val="20"/>
        </w:rPr>
        <w:t>L’atteinte à l’intégrité physique des condamnés visés est minime.  Qui plus est, en ne permettant l’utilisation des échantillons d’ADN destinés à la banque de données qu’à des fins d’identification, le législateur a dûment tenu compte de l’inquiétude accrue suscitée par l’incidence considérable qu’a le prélèvement d’échantillons d’ADN sur la protection des renseignements personnels.  Dans la présente affaire, R n’avait pas d’attentes raisonnables en matière de vie privée quant à son identité.  L’article 487.055 vise des condamnés dangereux.  Comme son identité en tant que délinquant sexuel récidiviste intéresse désormais l’État, R n’a plus d’attentes raisonnables en matière de vie privée à l’égard des renseignements d’identification tirés des échantillons d’ADN [...]</w:t>
      </w:r>
      <w:r>
        <w:rPr>
          <w:rFonts w:ascii="Times New Roman" w:hAnsi="Times New Roman" w:cs="Times New Roman"/>
          <w:sz w:val="20"/>
          <w:szCs w:val="20"/>
        </w:rPr>
        <w:t xml:space="preserve"> </w:t>
      </w:r>
      <w:r w:rsidRPr="00C567E5">
        <w:rPr>
          <w:rFonts w:ascii="Times New Roman" w:hAnsi="Times New Roman" w:cs="Times New Roman"/>
          <w:sz w:val="20"/>
          <w:szCs w:val="20"/>
        </w:rPr>
        <w:t>Vu les intérêts concurrents en jeu, il n’y a pas d’obligation constitutionnelle d’établir l’existence de motifs raisonnables et probables de relier le condamné à une enquête en particulier. [5] [25] [37</w:t>
      </w:r>
      <w:r w:rsidRPr="00C567E5">
        <w:rPr>
          <w:rFonts w:ascii="PT Sans" w:hAnsi="PT Sans" w:cs="PT Sans"/>
          <w:sz w:val="20"/>
          <w:szCs w:val="20"/>
        </w:rPr>
        <w:t>‑</w:t>
      </w:r>
      <w:r w:rsidRPr="00C567E5">
        <w:rPr>
          <w:rFonts w:ascii="Times New Roman" w:hAnsi="Times New Roman" w:cs="Times New Roman"/>
          <w:sz w:val="20"/>
          <w:szCs w:val="20"/>
        </w:rPr>
        <w:t>38] [42</w:t>
      </w:r>
      <w:r w:rsidRPr="00C567E5">
        <w:rPr>
          <w:rFonts w:ascii="PT Sans" w:hAnsi="PT Sans" w:cs="PT Sans"/>
          <w:sz w:val="20"/>
          <w:szCs w:val="20"/>
        </w:rPr>
        <w:t>‑</w:t>
      </w:r>
      <w:r w:rsidRPr="00C567E5">
        <w:rPr>
          <w:rFonts w:ascii="Times New Roman" w:hAnsi="Times New Roman" w:cs="Times New Roman"/>
          <w:sz w:val="20"/>
          <w:szCs w:val="20"/>
        </w:rPr>
        <w:t>44]</w:t>
      </w:r>
      <w:r>
        <w:rPr>
          <w:rFonts w:ascii="Times New Roman" w:hAnsi="Times New Roman" w:cs="Times New Roman"/>
          <w:sz w:val="20"/>
          <w:szCs w:val="20"/>
        </w:rPr>
        <w:t>.</w:t>
      </w:r>
    </w:p>
    <w:p w14:paraId="296F083F" w14:textId="042B5CF4" w:rsidR="00C567E5" w:rsidRPr="00C567E5" w:rsidRDefault="00C567E5" w:rsidP="00305ED6">
      <w:pPr>
        <w:pStyle w:val="Paragraphedeliste"/>
        <w:widowControl w:val="0"/>
        <w:numPr>
          <w:ilvl w:val="0"/>
          <w:numId w:val="76"/>
        </w:numPr>
        <w:autoSpaceDE w:val="0"/>
        <w:autoSpaceDN w:val="0"/>
        <w:adjustRightInd w:val="0"/>
        <w:spacing w:after="300"/>
        <w:jc w:val="both"/>
        <w:rPr>
          <w:rFonts w:ascii="Times New Roman" w:hAnsi="Times New Roman" w:cs="Verdana"/>
          <w:color w:val="3E3E3E"/>
          <w:sz w:val="20"/>
          <w:szCs w:val="20"/>
        </w:rPr>
      </w:pPr>
      <w:r w:rsidRPr="00C567E5">
        <w:rPr>
          <w:rFonts w:ascii="Times New Roman" w:hAnsi="Times New Roman" w:cs="Times New Roman"/>
          <w:sz w:val="20"/>
          <w:szCs w:val="20"/>
        </w:rPr>
        <w:t xml:space="preserve">Compte tenu des intérêts en jeu et des garanties procédurales offertes par le régime législatif, le caractère </w:t>
      </w:r>
      <w:r w:rsidRPr="00C567E5">
        <w:rPr>
          <w:rFonts w:ascii="Times New Roman" w:hAnsi="Times New Roman" w:cs="Times New Roman"/>
          <w:i/>
          <w:iCs/>
          <w:sz w:val="20"/>
          <w:szCs w:val="20"/>
        </w:rPr>
        <w:t>ex parte</w:t>
      </w:r>
      <w:r w:rsidRPr="00C567E5">
        <w:rPr>
          <w:rFonts w:ascii="Times New Roman" w:hAnsi="Times New Roman" w:cs="Times New Roman"/>
          <w:sz w:val="20"/>
          <w:szCs w:val="20"/>
        </w:rPr>
        <w:t xml:space="preserve"> de l’instance respecte les exigences de l’art. 7 de la</w:t>
      </w:r>
      <w:r w:rsidRPr="00C567E5">
        <w:rPr>
          <w:rFonts w:ascii="Times New Roman" w:hAnsi="Times New Roman" w:cs="Times New Roman"/>
          <w:i/>
          <w:iCs/>
          <w:sz w:val="20"/>
          <w:szCs w:val="20"/>
        </w:rPr>
        <w:t xml:space="preserve"> Charte </w:t>
      </w:r>
      <w:r w:rsidRPr="00C567E5">
        <w:rPr>
          <w:rFonts w:ascii="Times New Roman" w:hAnsi="Times New Roman" w:cs="Times New Roman"/>
          <w:sz w:val="20"/>
          <w:szCs w:val="20"/>
        </w:rPr>
        <w:t>en matière d’équité procédurale.</w:t>
      </w:r>
      <w:r>
        <w:rPr>
          <w:rFonts w:ascii="Times New Roman" w:hAnsi="Times New Roman" w:cs="Times New Roman"/>
          <w:sz w:val="20"/>
          <w:szCs w:val="20"/>
        </w:rPr>
        <w:t xml:space="preserve"> </w:t>
      </w:r>
      <w:r w:rsidRPr="00C567E5">
        <w:rPr>
          <w:rFonts w:ascii="Times New Roman" w:hAnsi="Times New Roman" w:cs="Times New Roman"/>
          <w:sz w:val="20"/>
          <w:szCs w:val="20"/>
        </w:rPr>
        <w:t xml:space="preserve">En outre, bien qu’il n’existe aucun droit d’en appeler de l’autorisation visée à l’art. 487.055, la décision du juge est susceptible de révision par voie de </w:t>
      </w:r>
      <w:r w:rsidRPr="00C567E5">
        <w:rPr>
          <w:rFonts w:ascii="Times New Roman" w:hAnsi="Times New Roman" w:cs="Times New Roman"/>
          <w:i/>
          <w:iCs/>
          <w:sz w:val="20"/>
          <w:szCs w:val="20"/>
        </w:rPr>
        <w:t>certiorari</w:t>
      </w:r>
      <w:r w:rsidRPr="00C567E5">
        <w:rPr>
          <w:rFonts w:ascii="Times New Roman" w:hAnsi="Times New Roman" w:cs="Times New Roman"/>
          <w:sz w:val="20"/>
          <w:szCs w:val="20"/>
        </w:rPr>
        <w:t>.</w:t>
      </w:r>
    </w:p>
    <w:p w14:paraId="09128E41" w14:textId="637A429B" w:rsidR="00C567E5" w:rsidRDefault="00C567E5" w:rsidP="00C567E5">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Cour vient nous dire que dans ce genre de cas-là, les critères de l’arrêt Hunter, concernant les saisies, sont inapplicables. La CSC s’exprime comme suit</w:t>
      </w:r>
      <w:r w:rsidR="001E32B1">
        <w:rPr>
          <w:rFonts w:ascii="Times New Roman" w:hAnsi="Times New Roman" w:cs="Verdana"/>
          <w:color w:val="3E3E3E"/>
          <w:sz w:val="22"/>
          <w:szCs w:val="22"/>
        </w:rPr>
        <w:t xml:space="preserve"> (p.5)</w:t>
      </w:r>
      <w:r>
        <w:rPr>
          <w:rFonts w:ascii="Times New Roman" w:hAnsi="Times New Roman" w:cs="Verdana"/>
          <w:color w:val="3E3E3E"/>
          <w:sz w:val="22"/>
          <w:szCs w:val="22"/>
        </w:rPr>
        <w:t> :</w:t>
      </w:r>
    </w:p>
    <w:p w14:paraId="64AD2473" w14:textId="5C2F74EB" w:rsidR="00C567E5" w:rsidRPr="001E32B1" w:rsidRDefault="00C567E5" w:rsidP="00305ED6">
      <w:pPr>
        <w:pStyle w:val="Paragraphedeliste"/>
        <w:widowControl w:val="0"/>
        <w:numPr>
          <w:ilvl w:val="0"/>
          <w:numId w:val="77"/>
        </w:numPr>
        <w:autoSpaceDE w:val="0"/>
        <w:autoSpaceDN w:val="0"/>
        <w:adjustRightInd w:val="0"/>
        <w:spacing w:after="300"/>
        <w:jc w:val="both"/>
        <w:rPr>
          <w:rFonts w:ascii="Times New Roman" w:hAnsi="Times New Roman" w:cs="Verdana"/>
          <w:color w:val="3E3E3E"/>
          <w:sz w:val="20"/>
          <w:szCs w:val="20"/>
        </w:rPr>
      </w:pPr>
      <w:r w:rsidRPr="001E32B1">
        <w:rPr>
          <w:rFonts w:ascii="Times New Roman" w:hAnsi="Times New Roman" w:cs="Times New Roman"/>
          <w:sz w:val="20"/>
          <w:szCs w:val="20"/>
        </w:rPr>
        <w:t>Même dans le contexte restreint d’une enquête criminelle, des exceptions à l’exigence de motifs raisonnables de croire et à celle d’une autorisation judiciaire préalable ont été admises.  Dans le contexte d’une fouille à un poste</w:t>
      </w:r>
      <w:r w:rsidRPr="001E32B1">
        <w:rPr>
          <w:rFonts w:ascii="PT Sans" w:hAnsi="PT Sans" w:cs="PT Sans"/>
          <w:sz w:val="20"/>
          <w:szCs w:val="20"/>
        </w:rPr>
        <w:t>‑</w:t>
      </w:r>
      <w:r w:rsidRPr="001E32B1">
        <w:rPr>
          <w:rFonts w:ascii="Times New Roman" w:hAnsi="Times New Roman" w:cs="Times New Roman"/>
          <w:sz w:val="20"/>
          <w:szCs w:val="20"/>
        </w:rPr>
        <w:t xml:space="preserve">frontière, par exemple, notre Cour a conclu à l’inapplicabilité des critères énoncés dans l’arrêt </w:t>
      </w:r>
      <w:r w:rsidRPr="001E32B1">
        <w:rPr>
          <w:rFonts w:ascii="Times New Roman" w:hAnsi="Times New Roman" w:cs="Times New Roman"/>
          <w:i/>
          <w:iCs/>
          <w:sz w:val="20"/>
          <w:szCs w:val="20"/>
        </w:rPr>
        <w:t xml:space="preserve">Hunter </w:t>
      </w:r>
      <w:r w:rsidRPr="001E32B1">
        <w:rPr>
          <w:rFonts w:ascii="Times New Roman" w:hAnsi="Times New Roman" w:cs="Times New Roman"/>
          <w:sz w:val="20"/>
          <w:szCs w:val="20"/>
        </w:rPr>
        <w:t xml:space="preserve">pour apprécier le caractère abusif ou non de la mesure au sens de l’art. 8 : voir </w:t>
      </w:r>
      <w:r w:rsidRPr="001E32B1">
        <w:rPr>
          <w:rFonts w:ascii="Times New Roman" w:hAnsi="Times New Roman" w:cs="Times New Roman"/>
          <w:i/>
          <w:iCs/>
          <w:sz w:val="20"/>
          <w:szCs w:val="20"/>
        </w:rPr>
        <w:t>R. c. Simmons</w:t>
      </w:r>
      <w:r w:rsidR="001E32B1" w:rsidRPr="001E32B1">
        <w:rPr>
          <w:rFonts w:ascii="Times New Roman" w:hAnsi="Times New Roman" w:cs="Times New Roman"/>
          <w:i/>
          <w:iCs/>
          <w:sz w:val="20"/>
          <w:szCs w:val="20"/>
        </w:rPr>
        <w:t xml:space="preserve"> </w:t>
      </w:r>
      <w:r w:rsidR="001E32B1" w:rsidRPr="001E32B1">
        <w:rPr>
          <w:rFonts w:ascii="Times New Roman" w:hAnsi="Times New Roman" w:cs="Times New Roman"/>
          <w:iCs/>
          <w:sz w:val="20"/>
          <w:szCs w:val="20"/>
        </w:rPr>
        <w:t>[...]</w:t>
      </w:r>
      <w:r w:rsidR="001E32B1" w:rsidRPr="001E32B1">
        <w:rPr>
          <w:rFonts w:ascii="Times New Roman" w:hAnsi="Times New Roman" w:cs="Times New Roman"/>
          <w:sz w:val="20"/>
          <w:szCs w:val="20"/>
        </w:rPr>
        <w:t xml:space="preserve">Voir également </w:t>
      </w:r>
      <w:r w:rsidR="001E32B1" w:rsidRPr="001E32B1">
        <w:rPr>
          <w:rFonts w:ascii="Times New Roman" w:hAnsi="Times New Roman" w:cs="Times New Roman"/>
          <w:i/>
          <w:iCs/>
          <w:sz w:val="20"/>
          <w:szCs w:val="20"/>
        </w:rPr>
        <w:t>R. c. Caslake</w:t>
      </w:r>
      <w:r w:rsidR="001E32B1" w:rsidRPr="001E32B1">
        <w:rPr>
          <w:rFonts w:ascii="Times New Roman" w:hAnsi="Times New Roman" w:cs="Times New Roman"/>
          <w:sz w:val="20"/>
          <w:szCs w:val="20"/>
        </w:rPr>
        <w:t xml:space="preserve">, [1998] 1 R.C.S. 51, quant au pouvoir conféré par la common law d’effectuer une fouille accessoire à l’arrestation, et </w:t>
      </w:r>
      <w:r w:rsidR="001E32B1" w:rsidRPr="001E32B1">
        <w:rPr>
          <w:rFonts w:ascii="Times New Roman" w:hAnsi="Times New Roman" w:cs="Times New Roman"/>
          <w:i/>
          <w:iCs/>
          <w:sz w:val="20"/>
          <w:szCs w:val="20"/>
        </w:rPr>
        <w:t>R. c. Grant</w:t>
      </w:r>
      <w:r w:rsidR="001E32B1" w:rsidRPr="001E32B1">
        <w:rPr>
          <w:rFonts w:ascii="Times New Roman" w:hAnsi="Times New Roman" w:cs="Times New Roman"/>
          <w:sz w:val="20"/>
          <w:szCs w:val="20"/>
        </w:rPr>
        <w:t xml:space="preserve">,[1993] 3 R.C.S. 223, relativement à la perquisition sans mandat en situation d’urgence.  Comme je l’explique plus loin, les critères de l’arrêt </w:t>
      </w:r>
      <w:r w:rsidR="001E32B1" w:rsidRPr="001E32B1">
        <w:rPr>
          <w:rFonts w:ascii="Times New Roman" w:hAnsi="Times New Roman" w:cs="Times New Roman"/>
          <w:i/>
          <w:iCs/>
          <w:sz w:val="20"/>
          <w:szCs w:val="20"/>
        </w:rPr>
        <w:t xml:space="preserve">Hunter </w:t>
      </w:r>
      <w:r w:rsidR="001E32B1" w:rsidRPr="001E32B1">
        <w:rPr>
          <w:rFonts w:ascii="Times New Roman" w:hAnsi="Times New Roman" w:cs="Times New Roman"/>
          <w:sz w:val="20"/>
          <w:szCs w:val="20"/>
        </w:rPr>
        <w:t>ne s’appliquent pas dans le présent contexte non plus</w:t>
      </w:r>
      <w:r w:rsidR="001E32B1" w:rsidRPr="001E32B1">
        <w:rPr>
          <w:rFonts w:ascii="Times New Roman" w:hAnsi="Times New Roman" w:cs="Times New Roman"/>
          <w:i/>
          <w:iCs/>
          <w:sz w:val="20"/>
          <w:szCs w:val="20"/>
        </w:rPr>
        <w:t xml:space="preserve"> </w:t>
      </w:r>
      <w:r w:rsidRPr="001E32B1">
        <w:rPr>
          <w:rFonts w:ascii="Times New Roman" w:hAnsi="Times New Roman" w:cs="Times New Roman"/>
          <w:i/>
          <w:iCs/>
          <w:sz w:val="20"/>
          <w:szCs w:val="20"/>
        </w:rPr>
        <w:t>[35]</w:t>
      </w:r>
      <w:r w:rsidR="001E32B1">
        <w:rPr>
          <w:rFonts w:ascii="Times New Roman" w:hAnsi="Times New Roman" w:cs="Times New Roman"/>
          <w:i/>
          <w:iCs/>
          <w:sz w:val="20"/>
          <w:szCs w:val="20"/>
        </w:rPr>
        <w:t>.</w:t>
      </w:r>
    </w:p>
    <w:p w14:paraId="2D0C5F73" w14:textId="4A3E22C8" w:rsidR="001E32B1" w:rsidRPr="001E32B1" w:rsidRDefault="001E32B1" w:rsidP="00305ED6">
      <w:pPr>
        <w:pStyle w:val="Paragraphedeliste"/>
        <w:widowControl w:val="0"/>
        <w:numPr>
          <w:ilvl w:val="0"/>
          <w:numId w:val="77"/>
        </w:numPr>
        <w:autoSpaceDE w:val="0"/>
        <w:autoSpaceDN w:val="0"/>
        <w:adjustRightInd w:val="0"/>
        <w:spacing w:after="300"/>
        <w:jc w:val="both"/>
        <w:rPr>
          <w:rFonts w:ascii="Times New Roman" w:hAnsi="Times New Roman" w:cs="Verdana"/>
          <w:color w:val="3E3E3E"/>
          <w:sz w:val="20"/>
          <w:szCs w:val="20"/>
        </w:rPr>
      </w:pPr>
      <w:r w:rsidRPr="00547B7D">
        <w:rPr>
          <w:rFonts w:ascii="Times New Roman" w:hAnsi="Times New Roman" w:cs="Times New Roman"/>
          <w:sz w:val="20"/>
          <w:szCs w:val="20"/>
        </w:rPr>
        <w:t xml:space="preserve">Contrairement aux dispositions sur les mandats de perquisition, celles relatives au prélèvement d’échantillons destinés à la </w:t>
      </w:r>
      <w:r w:rsidRPr="00547B7D">
        <w:rPr>
          <w:rFonts w:ascii="Times New Roman" w:hAnsi="Times New Roman" w:cs="Times New Roman"/>
          <w:i/>
          <w:iCs/>
          <w:sz w:val="20"/>
          <w:szCs w:val="20"/>
        </w:rPr>
        <w:t xml:space="preserve">banque de données </w:t>
      </w:r>
      <w:r w:rsidRPr="00547B7D">
        <w:rPr>
          <w:rFonts w:ascii="Times New Roman" w:hAnsi="Times New Roman" w:cs="Times New Roman"/>
          <w:sz w:val="20"/>
          <w:szCs w:val="20"/>
        </w:rPr>
        <w:t>génétiques ne visent pas les personnes soupçonnées d’une infraction, mais bien celles déclarées coupables de différentes catégories d’infractions.  Elles ne permettent pas l’obtention d’éléments de preuve pour les besoins d’une poursuite.  Elles prévoient plutôt le prélèvement d’échantillons à la seule fin d’établir des profils d’identification génétique destinés à la banque de données.  Lors d’une enquête ultérieure, la comparaison des éléments de preuve génétique recueillis sur le lieu du crime avec les profils d’identification génétique contenus dans la banque de données permettra de disculper ou d’identifier un suspect.  Toutefois, lorsqu’il y a correspondance, l’échantillon ne sera pas remis aux enquêteurs.  Il leur faudra recourir aux méthodes habituelles, dont l’obtention d’un mandat ADN, pour recueillir des éléments de preuve et faire progresser l’enquête</w:t>
      </w:r>
      <w:r>
        <w:rPr>
          <w:rFonts w:ascii="Times New Roman" w:hAnsi="Times New Roman" w:cs="Times New Roman"/>
          <w:sz w:val="20"/>
          <w:szCs w:val="20"/>
        </w:rPr>
        <w:t xml:space="preserve"> [37].</w:t>
      </w:r>
    </w:p>
    <w:p w14:paraId="68589B77" w14:textId="43C31430" w:rsidR="001E32B1" w:rsidRDefault="001E32B1" w:rsidP="001E32B1">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CSC déclarant la constitutionnalité de la disposition ajoute qu’il en est de même pour les autres mesures d’identifications analogues. Elle s’exprime comme suit (p.6) :</w:t>
      </w:r>
    </w:p>
    <w:p w14:paraId="6F23A8AA" w14:textId="534CC8E0" w:rsidR="001E32B1" w:rsidRPr="00C759CA" w:rsidRDefault="001E32B1" w:rsidP="00305ED6">
      <w:pPr>
        <w:pStyle w:val="Paragraphedeliste"/>
        <w:widowControl w:val="0"/>
        <w:numPr>
          <w:ilvl w:val="0"/>
          <w:numId w:val="78"/>
        </w:numPr>
        <w:autoSpaceDE w:val="0"/>
        <w:autoSpaceDN w:val="0"/>
        <w:adjustRightInd w:val="0"/>
        <w:spacing w:after="300"/>
        <w:jc w:val="both"/>
        <w:rPr>
          <w:rFonts w:ascii="Times New Roman" w:hAnsi="Times New Roman" w:cs="Verdana"/>
          <w:color w:val="3E3E3E"/>
          <w:sz w:val="20"/>
          <w:szCs w:val="20"/>
        </w:rPr>
      </w:pPr>
      <w:r w:rsidRPr="001E32B1">
        <w:rPr>
          <w:rFonts w:ascii="Times New Roman" w:hAnsi="Times New Roman" w:cs="Times New Roman"/>
          <w:sz w:val="20"/>
          <w:szCs w:val="20"/>
        </w:rPr>
        <w:t>Vu l’objet des dispositions relatives à la banque de données génétiques, j’estime que l’analogie doit se faire avec la prise des empreintes digitales et les autres mesures d’identification liées à l’application de la loi [38].</w:t>
      </w:r>
    </w:p>
    <w:p w14:paraId="42B11EE5" w14:textId="4577E525" w:rsidR="00C759CA" w:rsidRDefault="00C759CA" w:rsidP="00C759CA">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seule échappatoire possible pour l’inculpé était de plaider l’expectative de vie privée concernant le prélèvement de son ADN. La CSC élabore sur ce critère (p.7) :</w:t>
      </w:r>
    </w:p>
    <w:p w14:paraId="239E8845" w14:textId="59603D6D" w:rsidR="00C759CA" w:rsidRPr="00C759CA" w:rsidRDefault="00C759CA" w:rsidP="00305ED6">
      <w:pPr>
        <w:pStyle w:val="Paragraphedeliste"/>
        <w:widowControl w:val="0"/>
        <w:numPr>
          <w:ilvl w:val="0"/>
          <w:numId w:val="78"/>
        </w:numPr>
        <w:autoSpaceDE w:val="0"/>
        <w:autoSpaceDN w:val="0"/>
        <w:adjustRightInd w:val="0"/>
        <w:spacing w:after="300"/>
        <w:jc w:val="both"/>
        <w:rPr>
          <w:rFonts w:ascii="Times New Roman" w:hAnsi="Times New Roman" w:cs="Times New Roman"/>
          <w:color w:val="3E3E3E"/>
          <w:sz w:val="20"/>
          <w:szCs w:val="20"/>
        </w:rPr>
      </w:pPr>
      <w:r w:rsidRPr="00C759CA">
        <w:rPr>
          <w:rFonts w:ascii="Times New Roman" w:hAnsi="Times New Roman" w:cs="Times New Roman"/>
          <w:b/>
          <w:sz w:val="20"/>
          <w:szCs w:val="20"/>
        </w:rPr>
        <w:t>Une personne déclarée coupable d’une infraction désignée, y compris un contrevenant visé à l’art. 487.055, peut</w:t>
      </w:r>
      <w:r w:rsidRPr="00C759CA">
        <w:rPr>
          <w:rFonts w:ascii="Palatino" w:hAnsi="Palatino" w:cs="Palatino"/>
          <w:b/>
          <w:sz w:val="20"/>
          <w:szCs w:val="20"/>
        </w:rPr>
        <w:t>‑</w:t>
      </w:r>
      <w:r w:rsidRPr="00C759CA">
        <w:rPr>
          <w:rFonts w:ascii="Times New Roman" w:hAnsi="Times New Roman" w:cs="Times New Roman"/>
          <w:b/>
          <w:sz w:val="20"/>
          <w:szCs w:val="20"/>
        </w:rPr>
        <w:t>elle raisonnablement s’attendre à conserver un certain anonymat vis</w:t>
      </w:r>
      <w:r w:rsidRPr="00C759CA">
        <w:rPr>
          <w:rFonts w:ascii="Palatino" w:hAnsi="Palatino" w:cs="Palatino"/>
          <w:b/>
          <w:sz w:val="20"/>
          <w:szCs w:val="20"/>
        </w:rPr>
        <w:t>‑</w:t>
      </w:r>
      <w:r w:rsidRPr="00C759CA">
        <w:rPr>
          <w:rFonts w:ascii="Times New Roman" w:hAnsi="Times New Roman" w:cs="Times New Roman"/>
          <w:b/>
          <w:sz w:val="20"/>
          <w:szCs w:val="20"/>
        </w:rPr>
        <w:t>à</w:t>
      </w:r>
      <w:r w:rsidRPr="00C759CA">
        <w:rPr>
          <w:rFonts w:ascii="Palatino" w:hAnsi="Palatino" w:cs="Palatino"/>
          <w:b/>
          <w:sz w:val="20"/>
          <w:szCs w:val="20"/>
        </w:rPr>
        <w:t>‑</w:t>
      </w:r>
      <w:r w:rsidRPr="00C759CA">
        <w:rPr>
          <w:rFonts w:ascii="Times New Roman" w:hAnsi="Times New Roman" w:cs="Times New Roman"/>
          <w:b/>
          <w:sz w:val="20"/>
          <w:szCs w:val="20"/>
        </w:rPr>
        <w:t>vis des autorités chargées du contrôle d’application de la loi?</w:t>
      </w:r>
      <w:r w:rsidRPr="00C759CA">
        <w:rPr>
          <w:rFonts w:ascii="Times New Roman" w:hAnsi="Times New Roman" w:cs="Times New Roman"/>
          <w:sz w:val="20"/>
          <w:szCs w:val="20"/>
        </w:rPr>
        <w:t xml:space="preserve">  Dans l’arrêt </w:t>
      </w:r>
      <w:r w:rsidRPr="00C759CA">
        <w:rPr>
          <w:rFonts w:ascii="Times New Roman" w:hAnsi="Times New Roman" w:cs="Times New Roman"/>
          <w:i/>
          <w:iCs/>
          <w:sz w:val="20"/>
          <w:szCs w:val="20"/>
        </w:rPr>
        <w:t>R. c.</w:t>
      </w:r>
      <w:r w:rsidRPr="00C759CA">
        <w:rPr>
          <w:rFonts w:ascii="Times New Roman" w:hAnsi="Times New Roman" w:cs="Times New Roman"/>
          <w:sz w:val="20"/>
          <w:szCs w:val="20"/>
        </w:rPr>
        <w:t xml:space="preserve"> </w:t>
      </w:r>
      <w:r w:rsidRPr="00C759CA">
        <w:rPr>
          <w:rFonts w:ascii="Times New Roman" w:hAnsi="Times New Roman" w:cs="Times New Roman"/>
          <w:i/>
          <w:iCs/>
          <w:sz w:val="20"/>
          <w:szCs w:val="20"/>
        </w:rPr>
        <w:t>Murrins</w:t>
      </w:r>
      <w:r w:rsidRPr="00C759CA">
        <w:rPr>
          <w:rFonts w:ascii="Times New Roman" w:hAnsi="Times New Roman" w:cs="Times New Roman"/>
          <w:sz w:val="20"/>
          <w:szCs w:val="20"/>
        </w:rPr>
        <w:t xml:space="preserve">, (2002), 201 N.S.R. (2d) 288 (C.A.), </w:t>
      </w:r>
      <w:r w:rsidRPr="00C759CA">
        <w:rPr>
          <w:rFonts w:ascii="Times New Roman" w:hAnsi="Times New Roman" w:cs="Times New Roman"/>
          <w:b/>
          <w:sz w:val="20"/>
          <w:szCs w:val="20"/>
        </w:rPr>
        <w:t>le juge Bateman a répondu par la négative</w:t>
      </w:r>
      <w:r w:rsidRPr="00C759CA">
        <w:rPr>
          <w:rFonts w:ascii="Times New Roman" w:hAnsi="Times New Roman" w:cs="Times New Roman"/>
          <w:sz w:val="20"/>
          <w:szCs w:val="20"/>
        </w:rPr>
        <w:t xml:space="preserve"> (par. 41).</w:t>
      </w:r>
    </w:p>
    <w:p w14:paraId="45D494E7" w14:textId="7F939A9C" w:rsidR="00C759CA" w:rsidRDefault="00C759CA" w:rsidP="00C759C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Cour conclu comme suit sur la disposition attaquée :</w:t>
      </w:r>
    </w:p>
    <w:p w14:paraId="5C9F3C2B" w14:textId="35FB6E98" w:rsidR="00C759CA" w:rsidRPr="00C759CA" w:rsidRDefault="00C759CA" w:rsidP="00305ED6">
      <w:pPr>
        <w:pStyle w:val="Paragraphedeliste"/>
        <w:widowControl w:val="0"/>
        <w:numPr>
          <w:ilvl w:val="0"/>
          <w:numId w:val="78"/>
        </w:numPr>
        <w:autoSpaceDE w:val="0"/>
        <w:autoSpaceDN w:val="0"/>
        <w:adjustRightInd w:val="0"/>
        <w:spacing w:after="300"/>
        <w:jc w:val="both"/>
        <w:rPr>
          <w:rFonts w:ascii="Times New Roman" w:hAnsi="Times New Roman" w:cs="Times New Roman"/>
          <w:color w:val="3E3E3E"/>
          <w:sz w:val="22"/>
          <w:szCs w:val="22"/>
        </w:rPr>
      </w:pPr>
      <w:r w:rsidRPr="007F64D4">
        <w:rPr>
          <w:rFonts w:ascii="Times New Roman" w:hAnsi="Times New Roman" w:cs="Times New Roman"/>
          <w:sz w:val="20"/>
          <w:szCs w:val="20"/>
        </w:rPr>
        <w:t>Vu les intérêts concurrents en jeu, je conclus qu’il n’y a pas d’obligation constitutionnelle d’établir l’existence de motifs raisonnables et probables de relier le condamné à une enquête en particulier.  Les dispositions relatives à la banque de données génétiques établissent un juste équilibre entre l’intérêt qu’a la société à ce que soient dûment identifiées les personnes déclarées coupables d’infractions graves et le droit du particulier à l’intégrité physique et à la communication à son gré de renseignements le concernant</w:t>
      </w:r>
      <w:r>
        <w:rPr>
          <w:rFonts w:ascii="Times New Roman" w:hAnsi="Times New Roman" w:cs="Times New Roman"/>
          <w:sz w:val="20"/>
          <w:szCs w:val="20"/>
        </w:rPr>
        <w:t xml:space="preserve"> [44].</w:t>
      </w:r>
    </w:p>
    <w:p w14:paraId="375F7DAA" w14:textId="05A69B76" w:rsidR="00C759CA" w:rsidRDefault="00C759CA" w:rsidP="00C759C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Et sur la question de «l’équité procédural» et de la demande </w:t>
      </w:r>
      <w:r>
        <w:rPr>
          <w:rFonts w:ascii="Times New Roman" w:hAnsi="Times New Roman" w:cs="Times New Roman"/>
          <w:i/>
          <w:color w:val="3E3E3E"/>
          <w:sz w:val="22"/>
          <w:szCs w:val="22"/>
        </w:rPr>
        <w:t>ex parte</w:t>
      </w:r>
      <w:r>
        <w:rPr>
          <w:rFonts w:ascii="Times New Roman" w:hAnsi="Times New Roman" w:cs="Times New Roman"/>
          <w:color w:val="3E3E3E"/>
          <w:sz w:val="22"/>
          <w:szCs w:val="22"/>
        </w:rPr>
        <w:t xml:space="preserve"> faite sous 487.055(1)C.cr., la CSC s’exprime comme suit (p.9) :</w:t>
      </w:r>
    </w:p>
    <w:p w14:paraId="2EB1CA4B" w14:textId="59C8C125" w:rsidR="00C759CA" w:rsidRPr="00C759CA" w:rsidRDefault="00C759CA" w:rsidP="00305ED6">
      <w:pPr>
        <w:pStyle w:val="Paragraphedeliste"/>
        <w:widowControl w:val="0"/>
        <w:numPr>
          <w:ilvl w:val="0"/>
          <w:numId w:val="78"/>
        </w:numPr>
        <w:autoSpaceDE w:val="0"/>
        <w:autoSpaceDN w:val="0"/>
        <w:adjustRightInd w:val="0"/>
        <w:spacing w:after="300"/>
        <w:jc w:val="both"/>
        <w:rPr>
          <w:rFonts w:ascii="Times New Roman" w:hAnsi="Times New Roman" w:cs="Times New Roman"/>
          <w:color w:val="3E3E3E"/>
          <w:sz w:val="20"/>
          <w:szCs w:val="20"/>
        </w:rPr>
      </w:pPr>
      <w:r w:rsidRPr="00C759CA">
        <w:rPr>
          <w:rFonts w:ascii="Times New Roman" w:hAnsi="Times New Roman" w:cs="Times New Roman"/>
          <w:sz w:val="20"/>
          <w:szCs w:val="20"/>
        </w:rPr>
        <w:t xml:space="preserve">Notre Cour a clairement dit non seulement que ce qui est équitable dans un cas donné dépend entièrement du contexte, mais aussi que la question constitutionnelle se rapporte à la norme </w:t>
      </w:r>
      <w:r w:rsidRPr="00C759CA">
        <w:rPr>
          <w:rFonts w:ascii="Times New Roman" w:hAnsi="Times New Roman" w:cs="Times New Roman"/>
          <w:i/>
          <w:iCs/>
          <w:sz w:val="20"/>
          <w:szCs w:val="20"/>
        </w:rPr>
        <w:t xml:space="preserve">minimale </w:t>
      </w:r>
      <w:r w:rsidRPr="00C759CA">
        <w:rPr>
          <w:rFonts w:ascii="Times New Roman" w:hAnsi="Times New Roman" w:cs="Times New Roman"/>
          <w:sz w:val="20"/>
          <w:szCs w:val="20"/>
        </w:rPr>
        <w:t xml:space="preserve">imposée par la </w:t>
      </w:r>
      <w:r w:rsidRPr="00C759CA">
        <w:rPr>
          <w:rFonts w:ascii="Times New Roman" w:hAnsi="Times New Roman" w:cs="Times New Roman"/>
          <w:i/>
          <w:iCs/>
          <w:sz w:val="20"/>
          <w:szCs w:val="20"/>
        </w:rPr>
        <w:t xml:space="preserve">Charte. </w:t>
      </w:r>
      <w:r w:rsidRPr="00C759CA">
        <w:rPr>
          <w:rFonts w:ascii="Times New Roman" w:hAnsi="Times New Roman" w:cs="Times New Roman"/>
          <w:sz w:val="20"/>
          <w:szCs w:val="20"/>
        </w:rPr>
        <w:t> Le Parlement et les législatures peuvent — et ils le font souvent — légiférer en surpassant les exigences constitutionnelles minimales sur des sujets qui mettent en jeu les droits et les libertés garantis par la Constitution [49].</w:t>
      </w:r>
    </w:p>
    <w:p w14:paraId="63A6AA5F" w14:textId="59179873" w:rsidR="00C759CA" w:rsidRPr="00C24102" w:rsidRDefault="00E21DB7" w:rsidP="00305ED6">
      <w:pPr>
        <w:pStyle w:val="Paragraphedeliste"/>
        <w:widowControl w:val="0"/>
        <w:numPr>
          <w:ilvl w:val="0"/>
          <w:numId w:val="78"/>
        </w:numPr>
        <w:autoSpaceDE w:val="0"/>
        <w:autoSpaceDN w:val="0"/>
        <w:adjustRightInd w:val="0"/>
        <w:spacing w:after="300"/>
        <w:jc w:val="both"/>
        <w:rPr>
          <w:rFonts w:ascii="Times New Roman" w:hAnsi="Times New Roman" w:cs="Times New Roman"/>
          <w:color w:val="3E3E3E"/>
          <w:sz w:val="20"/>
          <w:szCs w:val="20"/>
        </w:rPr>
      </w:pPr>
      <w:r w:rsidRPr="00E21DB7">
        <w:rPr>
          <w:rFonts w:ascii="Times New Roman" w:hAnsi="Times New Roman" w:cs="Times New Roman"/>
          <w:sz w:val="20"/>
          <w:szCs w:val="20"/>
        </w:rPr>
        <w:t xml:space="preserve">Le législateur n’a pas choisi cette voie — il a prévu une autorisation judiciaire préalable.  Vu l’effet possible sur la protection des renseignements personnels, cette garantie supplémentaire, jumelée au fait que la loi permet l’utilisation des échantillons à des fins d’identification seulement, pourrait bien constituer un choix judicieux — qu’elle surpasse ou non les exigences constitutionnelles.  La question déterminante qui se pose dès lors est de savoir si, compte tenu de toutes les circonstances, le choix présumé d’une audience </w:t>
      </w:r>
      <w:r w:rsidRPr="00E21DB7">
        <w:rPr>
          <w:rFonts w:ascii="Times New Roman" w:hAnsi="Times New Roman" w:cs="Times New Roman"/>
          <w:i/>
          <w:iCs/>
          <w:sz w:val="20"/>
          <w:szCs w:val="20"/>
        </w:rPr>
        <w:t xml:space="preserve">ex parte </w:t>
      </w:r>
      <w:r w:rsidRPr="00E21DB7">
        <w:rPr>
          <w:rFonts w:ascii="Times New Roman" w:hAnsi="Times New Roman" w:cs="Times New Roman"/>
          <w:sz w:val="20"/>
          <w:szCs w:val="20"/>
        </w:rPr>
        <w:t>est fondamentalement inéquitable.  À mon avis, ce n’est pas le cas.  Sans oublier qu’il n’existe aucun droit constitutionnel à la procédure la plus favorable, il importe de souligner que la procédure retenue en l’espèce par le législateur offre les garanties suivantes au contrevenant  [51].</w:t>
      </w:r>
    </w:p>
    <w:p w14:paraId="5C216BB1" w14:textId="44F80A55" w:rsidR="00C759CA" w:rsidRPr="00C24102" w:rsidRDefault="00C24102" w:rsidP="00305ED6">
      <w:pPr>
        <w:pStyle w:val="Paragraphedeliste"/>
        <w:widowControl w:val="0"/>
        <w:numPr>
          <w:ilvl w:val="0"/>
          <w:numId w:val="78"/>
        </w:numPr>
        <w:autoSpaceDE w:val="0"/>
        <w:autoSpaceDN w:val="0"/>
        <w:adjustRightInd w:val="0"/>
        <w:spacing w:after="300"/>
        <w:jc w:val="both"/>
        <w:rPr>
          <w:rFonts w:ascii="Times New Roman" w:hAnsi="Times New Roman" w:cs="Times New Roman"/>
          <w:color w:val="3E3E3E"/>
          <w:sz w:val="20"/>
          <w:szCs w:val="20"/>
        </w:rPr>
      </w:pPr>
      <w:r w:rsidRPr="00C24102">
        <w:rPr>
          <w:rFonts w:ascii="Times New Roman" w:hAnsi="Times New Roman" w:cs="Times New Roman"/>
          <w:sz w:val="20"/>
          <w:szCs w:val="20"/>
        </w:rPr>
        <w:t xml:space="preserve">Pour ces motifs, je conclus que le régime législatif relatif à la banque de données génétiques satisfait aux exigences constitutionnelles de l’art. 8 de la </w:t>
      </w:r>
      <w:r w:rsidRPr="00C24102">
        <w:rPr>
          <w:rFonts w:ascii="Times New Roman" w:hAnsi="Times New Roman" w:cs="Times New Roman"/>
          <w:i/>
          <w:iCs/>
          <w:sz w:val="20"/>
          <w:szCs w:val="20"/>
        </w:rPr>
        <w:t>Charte [55].</w:t>
      </w:r>
    </w:p>
    <w:p w14:paraId="6D0DB401" w14:textId="7B07E5F4"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B. Prélèvements d'haleine et de sang</w:t>
      </w:r>
      <w:r w:rsidR="00C24102">
        <w:rPr>
          <w:rFonts w:ascii="Times New Roman" w:hAnsi="Times New Roman" w:cs="Verdana"/>
          <w:b/>
          <w:bCs/>
          <w:color w:val="3E3E3E"/>
          <w:sz w:val="22"/>
          <w:szCs w:val="22"/>
        </w:rPr>
        <w:t xml:space="preserve"> (p.10)</w:t>
      </w:r>
    </w:p>
    <w:p w14:paraId="7AB1333F" w14:textId="1ACC1CFC" w:rsidR="00C24102" w:rsidRDefault="00C24102"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Il faut se référer aux articles 254(2) b), 254(3) (a) (i) et (ii) C.cr. concernant une sommation à souffler dans une machine de détection approuvé, mais il faut bien faire attention aussi à l’article 258(2)C.cr.</w:t>
      </w:r>
    </w:p>
    <w:p w14:paraId="55D0D893" w14:textId="500F2BA1" w:rsidR="00362FAA" w:rsidRPr="00362FAA" w:rsidRDefault="00362FAA" w:rsidP="00305ED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À cet effet, voir les notes de cours d’infraction contre la personne concernant la sommation à un test d’alcoolémie.</w:t>
      </w:r>
    </w:p>
    <w:p w14:paraId="41BF8BEA" w14:textId="12D3F5C8"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C. Empreintes digitales</w:t>
      </w:r>
      <w:r w:rsidR="00362FAA">
        <w:rPr>
          <w:rFonts w:ascii="Times New Roman" w:hAnsi="Times New Roman" w:cs="Verdana"/>
          <w:b/>
          <w:bCs/>
          <w:color w:val="3E3E3E"/>
          <w:sz w:val="22"/>
          <w:szCs w:val="22"/>
        </w:rPr>
        <w:t xml:space="preserve"> (p.10)</w:t>
      </w:r>
    </w:p>
    <w:p w14:paraId="3C2FDA3C" w14:textId="6C771E55" w:rsidR="00362FAA" w:rsidRDefault="00362FAA"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 xml:space="preserve">La loi sur l’identification des criminels en traite à son article 2. Le paragraphe 2 dudit article mentionne que le constable </w:t>
      </w:r>
      <w:r>
        <w:rPr>
          <w:rFonts w:ascii="Times New Roman" w:hAnsi="Times New Roman" w:cs="Verdana"/>
          <w:b/>
          <w:bCs/>
          <w:color w:val="3E3E3E"/>
          <w:sz w:val="22"/>
          <w:szCs w:val="22"/>
        </w:rPr>
        <w:t>peut utiliser la force</w:t>
      </w:r>
      <w:r>
        <w:rPr>
          <w:rFonts w:ascii="Times New Roman" w:hAnsi="Times New Roman" w:cs="Verdana"/>
          <w:bCs/>
          <w:color w:val="3E3E3E"/>
          <w:sz w:val="22"/>
          <w:szCs w:val="22"/>
        </w:rPr>
        <w:t xml:space="preserve"> dans la mesure ou elle est nécessaire.</w:t>
      </w:r>
    </w:p>
    <w:p w14:paraId="0CC8ABC2" w14:textId="27B4F713" w:rsidR="00362FAA" w:rsidRDefault="00362FAA"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 xml:space="preserve">Le C.cr. traite aussi de la question à son article 487.092(1)C.cr. Le constable peut donc, en vertu de ce mandat, prélever les empreintes digitales de l’inculpé, mais pour cela, il doit réunir les conditions mentionnées aux alinéas a) et b) inclusivement. Les paragraphes (2) et (3) dudit article mentionne que d’autres articles concernant les mandats s’applique avec les adaptations nécessaires, notamment les conditions de raisonnabilité de la saisie en l’espèce. Il y a toujours possibilité d’obtenir un </w:t>
      </w:r>
      <w:r>
        <w:rPr>
          <w:rFonts w:ascii="Times New Roman" w:hAnsi="Times New Roman" w:cs="Verdana"/>
          <w:b/>
          <w:bCs/>
          <w:color w:val="3E3E3E"/>
          <w:sz w:val="22"/>
          <w:szCs w:val="22"/>
        </w:rPr>
        <w:t>télémandats</w:t>
      </w:r>
      <w:r>
        <w:rPr>
          <w:rFonts w:ascii="Times New Roman" w:hAnsi="Times New Roman" w:cs="Verdana"/>
          <w:bCs/>
          <w:color w:val="3E3E3E"/>
          <w:sz w:val="22"/>
          <w:szCs w:val="22"/>
        </w:rPr>
        <w:t>, en vertu du paragraphe 4 dudit article, et cela se fait avec les adaptations nécessaires.</w:t>
      </w:r>
    </w:p>
    <w:p w14:paraId="647756F6" w14:textId="77777777" w:rsidR="00362FAA" w:rsidRPr="00362FAA" w:rsidRDefault="00362FAA" w:rsidP="009F4734">
      <w:pPr>
        <w:widowControl w:val="0"/>
        <w:autoSpaceDE w:val="0"/>
        <w:autoSpaceDN w:val="0"/>
        <w:adjustRightInd w:val="0"/>
        <w:spacing w:after="300"/>
        <w:jc w:val="both"/>
        <w:rPr>
          <w:rFonts w:ascii="Times New Roman" w:hAnsi="Times New Roman" w:cs="Verdana"/>
          <w:bCs/>
          <w:color w:val="3E3E3E"/>
          <w:sz w:val="22"/>
          <w:szCs w:val="22"/>
        </w:rPr>
      </w:pPr>
    </w:p>
    <w:p w14:paraId="6C676C18" w14:textId="1CFC7772"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§7. Interception de communications privées</w:t>
      </w:r>
      <w:r w:rsidR="00362FAA">
        <w:rPr>
          <w:rFonts w:ascii="Times New Roman" w:hAnsi="Times New Roman" w:cs="Verdana"/>
          <w:b/>
          <w:bCs/>
          <w:color w:val="3E3E3E"/>
          <w:sz w:val="22"/>
          <w:szCs w:val="22"/>
        </w:rPr>
        <w:t xml:space="preserve"> (p.12)</w:t>
      </w:r>
    </w:p>
    <w:p w14:paraId="47B8F0D8" w14:textId="4E765D7F" w:rsidR="00362FAA" w:rsidRDefault="005F2D98" w:rsidP="009F473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Cela concerne la partie VI du C.cr. on y retrouve notamment les articles suivant : 183, 184, 184.4, 185, 186 (4) e) et d), 193, 196(1),  195 C.cr.</w:t>
      </w:r>
    </w:p>
    <w:p w14:paraId="40E28E35" w14:textId="60A13D1C" w:rsidR="005F2D98" w:rsidRDefault="005F2D98" w:rsidP="009F473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En plus, depuis 2010, le législateur a établis un rapport annuel sur la surveillance électronique. Habituellement celui qui fais l’objet de mandat d’écoute électronique reçoit une lettre à la fins de la période visée par le mandat, pour lui dire qu’il était sous écoute.</w:t>
      </w:r>
    </w:p>
    <w:p w14:paraId="6E923E49" w14:textId="344F6C5C" w:rsidR="00617526" w:rsidRDefault="00617526" w:rsidP="009F4734">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2"/>
          <w:szCs w:val="22"/>
        </w:rPr>
        <w:t>La Cour suprême du Canada est venu rappeler en 2013 l’importance de ces nouvelles dispositions du C.cr., et que leurs utilisations primes sur le mandat générale de 487.01C.cr., lorsque la police cherche à saisir des communications privées. Le principe est rappeler dans l’</w:t>
      </w:r>
      <w:r>
        <w:rPr>
          <w:rFonts w:ascii="Times New Roman" w:hAnsi="Times New Roman" w:cs="Verdana"/>
          <w:b/>
          <w:color w:val="3E3E3E"/>
          <w:sz w:val="22"/>
          <w:szCs w:val="22"/>
        </w:rPr>
        <w:t>affaire Telus 2013 :</w:t>
      </w:r>
    </w:p>
    <w:p w14:paraId="65FCC8EE" w14:textId="4CD8186E" w:rsidR="00617526" w:rsidRDefault="00617526"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Société TELUS Communication (appelante) c. R (intimée), 2013 CSC 16. (p.13)</w:t>
      </w:r>
    </w:p>
    <w:p w14:paraId="1726F6D5" w14:textId="31D0E51E" w:rsidR="00617526" w:rsidRPr="00617526" w:rsidRDefault="00617526" w:rsidP="0061752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2"/>
          <w:szCs w:val="22"/>
        </w:rPr>
      </w:pPr>
      <w:r w:rsidRPr="00E16F5A">
        <w:rPr>
          <w:rFonts w:ascii="Times New Roman" w:hAnsi="Times New Roman" w:cs="Times New Roman"/>
          <w:sz w:val="20"/>
          <w:szCs w:val="20"/>
          <w:lang w:val="fr-CA"/>
        </w:rPr>
        <w:t xml:space="preserve">Le nœud du présent pourvoi réside donc dans l’interprétation du mot « intercepter » utilisé à la partie VI.  Dans toute cette partie, ce mot se rapporte à l’interception de </w:t>
      </w:r>
      <w:r w:rsidRPr="00E16F5A">
        <w:rPr>
          <w:rFonts w:ascii="Times New Roman" w:hAnsi="Times New Roman" w:cs="Times New Roman"/>
          <w:i/>
          <w:sz w:val="20"/>
          <w:szCs w:val="20"/>
          <w:lang w:val="fr-CA"/>
        </w:rPr>
        <w:t>communications privées</w:t>
      </w:r>
      <w:r w:rsidRPr="00E16F5A">
        <w:rPr>
          <w:rFonts w:ascii="Times New Roman" w:hAnsi="Times New Roman" w:cs="Times New Roman"/>
          <w:sz w:val="20"/>
          <w:szCs w:val="20"/>
          <w:lang w:val="fr-CA"/>
        </w:rPr>
        <w:t>.  Il faut par conséquent interpréter l’expression « intercepter une communication privée » en tenant compte de la vaste portée de la partie VI, du fait qu’elle s’applique à différentes plateformes technologiques ainsi que de son objectif, à savoir la protection du droit individuel à la vie privée en matière de communication au moyen de garanties particulièrement strictes.  Cette interprétation ne doit pas être dictée par le moyen technologique qui est employé pour transmettre de telles communications, par exemple l’ordinateur utilisé en l’espèce, mais plutôt par les aspects que le législateur a voulu protéger au moyen des dispositions de la partie VI.</w:t>
      </w:r>
      <w:r>
        <w:rPr>
          <w:rFonts w:ascii="Times New Roman" w:hAnsi="Times New Roman" w:cs="Times New Roman"/>
          <w:sz w:val="20"/>
          <w:szCs w:val="20"/>
          <w:lang w:val="fr-CA"/>
        </w:rPr>
        <w:t xml:space="preserve"> [4].</w:t>
      </w:r>
    </w:p>
    <w:p w14:paraId="25C280B8" w14:textId="25439CBD" w:rsidR="00617526" w:rsidRPr="00617526" w:rsidRDefault="00617526" w:rsidP="0061752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2"/>
          <w:szCs w:val="22"/>
        </w:rPr>
      </w:pPr>
      <w:r w:rsidRPr="00E16F5A">
        <w:rPr>
          <w:rFonts w:ascii="Times New Roman" w:hAnsi="Times New Roman" w:cs="Times New Roman"/>
          <w:sz w:val="20"/>
          <w:szCs w:val="20"/>
          <w:lang w:val="fr-CA"/>
        </w:rPr>
        <w:t xml:space="preserve">À mon avis, les messages textes constituent des communications privées et, même s’ils sont stockés dans l’ordinateur d’un fournisseur de services, la communication prospective de futurs messages de cette nature doit être autorisée en vertu de la partie VI du </w:t>
      </w:r>
      <w:r w:rsidRPr="00E16F5A">
        <w:rPr>
          <w:rFonts w:ascii="Times New Roman" w:hAnsi="Times New Roman" w:cs="Times New Roman"/>
          <w:i/>
          <w:sz w:val="20"/>
          <w:szCs w:val="20"/>
          <w:lang w:val="fr-CA"/>
        </w:rPr>
        <w:t>Code</w:t>
      </w:r>
      <w:r>
        <w:rPr>
          <w:rFonts w:ascii="Times New Roman" w:hAnsi="Times New Roman" w:cs="Times New Roman"/>
          <w:i/>
          <w:sz w:val="20"/>
          <w:szCs w:val="20"/>
          <w:lang w:val="fr-CA"/>
        </w:rPr>
        <w:t xml:space="preserve"> [12].</w:t>
      </w:r>
    </w:p>
    <w:p w14:paraId="27313178" w14:textId="10EA205A" w:rsidR="00617526" w:rsidRPr="00617526" w:rsidRDefault="00617526" w:rsidP="0061752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2"/>
          <w:szCs w:val="22"/>
        </w:rPr>
      </w:pPr>
      <w:r w:rsidRPr="00E16F5A">
        <w:rPr>
          <w:rFonts w:ascii="Times New Roman" w:hAnsi="Times New Roman" w:cs="Times New Roman"/>
          <w:b/>
          <w:sz w:val="20"/>
          <w:szCs w:val="20"/>
          <w:lang w:val="fr-CA"/>
        </w:rPr>
        <w:t>Autrement dit, l’al. 487.01(1)</w:t>
      </w:r>
      <w:r w:rsidRPr="00E16F5A">
        <w:rPr>
          <w:rFonts w:ascii="Times New Roman" w:hAnsi="Times New Roman" w:cs="Times New Roman"/>
          <w:b/>
          <w:i/>
          <w:sz w:val="20"/>
          <w:szCs w:val="20"/>
          <w:lang w:val="fr-CA"/>
        </w:rPr>
        <w:t>c</w:t>
      </w:r>
      <w:r w:rsidRPr="00E16F5A">
        <w:rPr>
          <w:rFonts w:ascii="Times New Roman" w:hAnsi="Times New Roman" w:cs="Times New Roman"/>
          <w:b/>
          <w:sz w:val="20"/>
          <w:szCs w:val="20"/>
          <w:lang w:val="fr-CA"/>
        </w:rPr>
        <w:t xml:space="preserve">) doit être interprété largement de sorte que le mandat général ne soit pas utilisé comme mesure de premier recours.  Il a pour but d’éviter que les autorités se soustraient aux exigences plus spécifiques ou rigoureuses en matière d’autorisation préalable (S.C. Hutchinson </w:t>
      </w:r>
      <w:r w:rsidRPr="00E16F5A">
        <w:rPr>
          <w:rFonts w:ascii="Times New Roman" w:hAnsi="Times New Roman" w:cs="Times New Roman"/>
          <w:b/>
          <w:i/>
          <w:sz w:val="20"/>
          <w:szCs w:val="20"/>
          <w:lang w:val="fr-CA"/>
        </w:rPr>
        <w:t>et al.</w:t>
      </w:r>
      <w:r w:rsidRPr="00E16F5A">
        <w:rPr>
          <w:rFonts w:ascii="Times New Roman" w:hAnsi="Times New Roman" w:cs="Times New Roman"/>
          <w:b/>
          <w:sz w:val="20"/>
          <w:szCs w:val="20"/>
          <w:lang w:val="fr-CA"/>
        </w:rPr>
        <w:t xml:space="preserve">, </w:t>
      </w:r>
      <w:r w:rsidRPr="00E16F5A">
        <w:rPr>
          <w:rFonts w:ascii="Times New Roman" w:hAnsi="Times New Roman" w:cs="Times New Roman"/>
          <w:b/>
          <w:i/>
          <w:sz w:val="20"/>
          <w:szCs w:val="20"/>
          <w:lang w:val="fr-CA"/>
        </w:rPr>
        <w:t xml:space="preserve">Search and Seizure Law in Canada </w:t>
      </w:r>
      <w:r w:rsidRPr="00E16F5A">
        <w:rPr>
          <w:rFonts w:ascii="Times New Roman" w:hAnsi="Times New Roman" w:cs="Times New Roman"/>
          <w:b/>
          <w:sz w:val="20"/>
          <w:szCs w:val="20"/>
          <w:lang w:val="fr-CA"/>
        </w:rPr>
        <w:t>(feuilles mobiles), p. 16</w:t>
      </w:r>
      <w:r w:rsidRPr="00E16F5A">
        <w:rPr>
          <w:rFonts w:ascii="Times New Roman" w:hAnsi="Times New Roman" w:cs="Times New Roman"/>
          <w:b/>
          <w:sz w:val="20"/>
          <w:szCs w:val="20"/>
          <w:lang w:val="fr-CA"/>
        </w:rPr>
        <w:noBreakHyphen/>
        <w:t>40.3).</w:t>
      </w:r>
      <w:r>
        <w:rPr>
          <w:rFonts w:ascii="Times New Roman" w:hAnsi="Times New Roman" w:cs="Times New Roman"/>
          <w:b/>
          <w:sz w:val="20"/>
          <w:szCs w:val="20"/>
          <w:lang w:val="fr-CA"/>
        </w:rPr>
        <w:t xml:space="preserve"> [19].</w:t>
      </w:r>
    </w:p>
    <w:p w14:paraId="00E7E3A8" w14:textId="46DFCB66" w:rsidR="00617526" w:rsidRDefault="00617526" w:rsidP="00617526">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La CSC vient définir ce que l’on entend par «intercepter» au sens de la partie VI :</w:t>
      </w:r>
    </w:p>
    <w:p w14:paraId="128AE8B7" w14:textId="38276582" w:rsidR="00617526" w:rsidRPr="006D493E" w:rsidRDefault="00617526" w:rsidP="00617526">
      <w:pPr>
        <w:pStyle w:val="Paragraphedeliste"/>
        <w:widowControl w:val="0"/>
        <w:numPr>
          <w:ilvl w:val="0"/>
          <w:numId w:val="96"/>
        </w:numPr>
        <w:autoSpaceDE w:val="0"/>
        <w:autoSpaceDN w:val="0"/>
        <w:adjustRightInd w:val="0"/>
        <w:spacing w:after="300"/>
        <w:jc w:val="both"/>
        <w:rPr>
          <w:rFonts w:ascii="Times New Roman" w:hAnsi="Times New Roman" w:cs="Verdana"/>
          <w:color w:val="3E3E3E"/>
          <w:sz w:val="22"/>
          <w:szCs w:val="22"/>
        </w:rPr>
      </w:pPr>
      <w:r w:rsidRPr="00E16F5A">
        <w:rPr>
          <w:rFonts w:ascii="Times New Roman" w:hAnsi="Times New Roman" w:cs="Times New Roman"/>
          <w:sz w:val="20"/>
          <w:szCs w:val="20"/>
          <w:lang w:val="fr-CA"/>
        </w:rPr>
        <w:t>Suivant la définition qui en est donnée à l’art. 183, le mot « intercepter » s’entend notamment « du fait d’écouter, d’enregistrer ou de prendre volontairement connaissance d’une communication ou de sa substance, son sens ou son objet ».  Il s’agit là d’une définition non exhaustive, qui cadre avec la portée large de la partie VI et met l’accent sur la prise de connaissance par l’État du contenu informationnel — substance, sens ou objet — de la communication privée.  Ce n’est pas seulement la communication elle</w:t>
      </w:r>
      <w:r w:rsidRPr="00E16F5A">
        <w:rPr>
          <w:rFonts w:ascii="Times New Roman" w:hAnsi="Times New Roman" w:cs="Times New Roman"/>
          <w:sz w:val="20"/>
          <w:szCs w:val="20"/>
          <w:lang w:val="fr-CA"/>
        </w:rPr>
        <w:noBreakHyphen/>
        <w:t>même qui est protégée, mais aussi toute information connexe à cette communication qui permet d’en dégager la substance ou le sens. L’expression « communication privée » est définie ainsi à l’art. 183 </w:t>
      </w:r>
      <w:r>
        <w:rPr>
          <w:rFonts w:ascii="Times New Roman" w:hAnsi="Times New Roman" w:cs="Times New Roman"/>
          <w:sz w:val="20"/>
          <w:szCs w:val="20"/>
          <w:lang w:val="fr-CA"/>
        </w:rPr>
        <w:t>[25].</w:t>
      </w:r>
    </w:p>
    <w:p w14:paraId="3F7766A3" w14:textId="177E1140" w:rsidR="006D493E" w:rsidRPr="006D493E" w:rsidRDefault="006D493E" w:rsidP="00617526">
      <w:pPr>
        <w:pStyle w:val="Paragraphedeliste"/>
        <w:widowControl w:val="0"/>
        <w:numPr>
          <w:ilvl w:val="0"/>
          <w:numId w:val="96"/>
        </w:numPr>
        <w:autoSpaceDE w:val="0"/>
        <w:autoSpaceDN w:val="0"/>
        <w:adjustRightInd w:val="0"/>
        <w:spacing w:after="300"/>
        <w:jc w:val="both"/>
        <w:rPr>
          <w:rFonts w:ascii="Times New Roman" w:hAnsi="Times New Roman" w:cs="Verdana"/>
          <w:color w:val="3E3E3E"/>
          <w:sz w:val="22"/>
          <w:szCs w:val="22"/>
        </w:rPr>
      </w:pPr>
      <w:r w:rsidRPr="00E16F5A">
        <w:rPr>
          <w:rFonts w:cs="Times New Roman"/>
          <w:b/>
          <w:sz w:val="20"/>
          <w:szCs w:val="20"/>
          <w:lang w:val="fr-CA"/>
        </w:rPr>
        <w:t xml:space="preserve">Il faut par conséquent interpréter les mots « intercepter une communication privée » en s’attachant à la prise de connaissance du contenu informationnel de la communication et aux attentes qu’avaient les interlocuteurs en matière de respect de la vie privée au moment de cette communication.  </w:t>
      </w:r>
      <w:r w:rsidRPr="00E16F5A">
        <w:rPr>
          <w:rFonts w:cs="Times New Roman"/>
          <w:b/>
          <w:sz w:val="20"/>
          <w:szCs w:val="20"/>
        </w:rPr>
        <w:t xml:space="preserve">À mon avis, </w:t>
      </w:r>
      <w:r w:rsidRPr="00E16F5A">
        <w:rPr>
          <w:rFonts w:cs="Times New Roman"/>
          <w:b/>
          <w:sz w:val="20"/>
          <w:szCs w:val="20"/>
          <w:lang w:val="fr-CA"/>
        </w:rPr>
        <w:t>dans la mesure où le sens formaliste du mot « intercepter » pourrait comporter intrinsèquement un aspect temporel, cela ne devrait pas faire obstacle à l’intention du législateur de protéger, dans l’application de la partie VI, le droit des gens au respect de leur vie privée en matière de communications</w:t>
      </w:r>
      <w:r>
        <w:rPr>
          <w:rFonts w:cs="Times New Roman"/>
          <w:b/>
          <w:sz w:val="20"/>
          <w:szCs w:val="20"/>
          <w:lang w:val="fr-CA"/>
        </w:rPr>
        <w:t xml:space="preserve"> [36].</w:t>
      </w:r>
    </w:p>
    <w:p w14:paraId="1557D7C6" w14:textId="4B5B9647" w:rsidR="006D493E" w:rsidRPr="00617526" w:rsidRDefault="006D493E" w:rsidP="00617526">
      <w:pPr>
        <w:pStyle w:val="Paragraphedeliste"/>
        <w:widowControl w:val="0"/>
        <w:numPr>
          <w:ilvl w:val="0"/>
          <w:numId w:val="96"/>
        </w:numPr>
        <w:autoSpaceDE w:val="0"/>
        <w:autoSpaceDN w:val="0"/>
        <w:adjustRightInd w:val="0"/>
        <w:spacing w:after="300"/>
        <w:jc w:val="both"/>
        <w:rPr>
          <w:rFonts w:ascii="Times New Roman" w:hAnsi="Times New Roman" w:cs="Verdana"/>
          <w:color w:val="3E3E3E"/>
          <w:sz w:val="22"/>
          <w:szCs w:val="22"/>
        </w:rPr>
      </w:pPr>
      <w:r w:rsidRPr="00E16F5A">
        <w:rPr>
          <w:rFonts w:cs="Times New Roman"/>
          <w:sz w:val="20"/>
          <w:szCs w:val="20"/>
          <w:lang w:val="fr-CA"/>
        </w:rPr>
        <w:t>La définition d’« intercepter » à l’art. 183 appuie une interprétation des mots « intercepter une communication privée » qui englobe la technique d’enquête utilisée par la police en l’espèce.  Cette définition inclut la simple prise de connaissance d’une communication.  Elle n’exige pas qu’il soit pris connaissance de la communication elle</w:t>
      </w:r>
      <w:r w:rsidRPr="00E16F5A">
        <w:rPr>
          <w:rFonts w:cs="Times New Roman"/>
          <w:sz w:val="20"/>
          <w:szCs w:val="20"/>
          <w:lang w:val="fr-CA"/>
        </w:rPr>
        <w:noBreakHyphen/>
        <w:t>même; la prise de connaissance « de sa substance, son sens ou son objet » suffit.  En outre, cette interprétation s’harmonise avec l’esprit et l’objet de la partie VI, laquelle est rédigée en termes larges de manière à régir et à encadrer une grande variété d’atteintes technologiques à la vie privée.  Enfin, elle établit l’équilibre voulu entre l’atteinte grave à la vie privée qui résulte de la prise de connaissance clandestine de communications privées, et l’évolution des besoins en matière d’application efficace de la lo</w:t>
      </w:r>
      <w:r>
        <w:rPr>
          <w:rFonts w:cs="Times New Roman"/>
          <w:sz w:val="20"/>
          <w:szCs w:val="20"/>
          <w:lang w:val="fr-CA"/>
        </w:rPr>
        <w:t>i [43].</w:t>
      </w:r>
    </w:p>
    <w:p w14:paraId="56AAB79F" w14:textId="208F16C9"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A. Servir au mieux les intérêts de la justice</w:t>
      </w:r>
      <w:r w:rsidR="006D493E">
        <w:rPr>
          <w:rFonts w:ascii="Times New Roman" w:hAnsi="Times New Roman" w:cs="Verdana"/>
          <w:b/>
          <w:bCs/>
          <w:color w:val="3E3E3E"/>
          <w:sz w:val="22"/>
          <w:szCs w:val="22"/>
        </w:rPr>
        <w:t xml:space="preserve"> (p.17</w:t>
      </w:r>
      <w:r w:rsidR="00B16662">
        <w:rPr>
          <w:rFonts w:ascii="Times New Roman" w:hAnsi="Times New Roman" w:cs="Verdana"/>
          <w:b/>
          <w:bCs/>
          <w:color w:val="3E3E3E"/>
          <w:sz w:val="22"/>
          <w:szCs w:val="22"/>
        </w:rPr>
        <w:t>)</w:t>
      </w:r>
    </w:p>
    <w:p w14:paraId="7DB239E2" w14:textId="43AD87D4" w:rsidR="00B16662" w:rsidRDefault="00B16662"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Le juge doit se demander s’il n’y a pas d’autres meilleurs moyens de servir l’intérêt de la justice, car cela répugne au droit l’écoute électronique.</w:t>
      </w:r>
    </w:p>
    <w:p w14:paraId="765C080B" w14:textId="14C670F4" w:rsidR="00B16662" w:rsidRDefault="00B16662" w:rsidP="009F4734">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Duarte 1990 :</w:t>
      </w:r>
    </w:p>
    <w:p w14:paraId="1BE80D4B" w14:textId="5388304A" w:rsidR="00B16662" w:rsidRPr="00B16662" w:rsidRDefault="00B16662" w:rsidP="00305ED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2"/>
          <w:szCs w:val="22"/>
        </w:rPr>
      </w:pPr>
      <w:r w:rsidRPr="00F53DFB">
        <w:rPr>
          <w:rFonts w:ascii="Times New Roman" w:hAnsi="Times New Roman" w:cs="Times New Roman"/>
          <w:iCs/>
          <w:sz w:val="20"/>
          <w:szCs w:val="20"/>
        </w:rPr>
        <w:t xml:space="preserve">À l'examen de la Partie IV.1, on constate que le Parlement a essayé de concilier ces droits contradictoires en exigeant que la police obtienne une autorisation judiciaire avant de procéder à la surveillance électronique.  Seul un juge d'une cour supérieure peut l'autoriser et la loi soumet l'obtention d'une telle autorisation à une norme sévère.  </w:t>
      </w:r>
      <w:r w:rsidRPr="00F53DFB">
        <w:rPr>
          <w:rFonts w:ascii="Times New Roman" w:hAnsi="Times New Roman" w:cs="Times New Roman"/>
          <w:b/>
          <w:iCs/>
          <w:sz w:val="20"/>
          <w:szCs w:val="20"/>
        </w:rPr>
        <w:t>En effet, le juge doit être convaincu que d'autres méthodes d'enquête échoueraient certainement ou vraisemblablement et que l'autorisation est le meilleur moyen de servir l'administration de la justice</w:t>
      </w:r>
      <w:r w:rsidRPr="00F53DFB">
        <w:rPr>
          <w:rFonts w:ascii="Times New Roman" w:hAnsi="Times New Roman" w:cs="Times New Roman"/>
          <w:iCs/>
          <w:sz w:val="20"/>
          <w:szCs w:val="20"/>
        </w:rPr>
        <w:t>.  Comme le juge Martin dans l'affaire</w:t>
      </w:r>
      <w:r w:rsidRPr="00F53DFB">
        <w:rPr>
          <w:rFonts w:ascii="Times New Roman" w:hAnsi="Times New Roman" w:cs="Times New Roman"/>
          <w:i/>
          <w:iCs/>
          <w:sz w:val="20"/>
          <w:szCs w:val="20"/>
        </w:rPr>
        <w:t xml:space="preserve"> R. v. Finlay and Grellette</w:t>
      </w:r>
      <w:r w:rsidRPr="00F53DFB">
        <w:rPr>
          <w:rFonts w:ascii="Times New Roman" w:hAnsi="Times New Roman" w:cs="Times New Roman"/>
          <w:iCs/>
          <w:sz w:val="20"/>
          <w:szCs w:val="20"/>
        </w:rPr>
        <w:t>, précitée, aux pp. 70 et suiv., j'estime que cette dernière condition comporte tout au moins l'exigence que le juge donnant l'autorisation soit convaincu de l'existence de motifs raisonnables et probables de croire qu'une infraction a été commise ou est en voie de l'être et que l'autorisation sollicitée permettra d'obtenir une preuve de sa perpétration</w:t>
      </w:r>
      <w:r>
        <w:rPr>
          <w:rFonts w:ascii="Times New Roman" w:hAnsi="Times New Roman" w:cs="Times New Roman"/>
          <w:iCs/>
          <w:sz w:val="20"/>
          <w:szCs w:val="20"/>
        </w:rPr>
        <w:t>.</w:t>
      </w:r>
    </w:p>
    <w:p w14:paraId="2AB15E07" w14:textId="0D42B9B9" w:rsidR="00B16662" w:rsidRDefault="00B16662" w:rsidP="00B16662">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Araujo 2000 :</w:t>
      </w:r>
    </w:p>
    <w:p w14:paraId="53DBA2F5" w14:textId="1210EF98" w:rsidR="00B16662" w:rsidRPr="00B16662" w:rsidRDefault="00B16662" w:rsidP="00305ED6">
      <w:pPr>
        <w:pStyle w:val="Paragraphedeliste"/>
        <w:widowControl w:val="0"/>
        <w:numPr>
          <w:ilvl w:val="0"/>
          <w:numId w:val="79"/>
        </w:numPr>
        <w:autoSpaceDE w:val="0"/>
        <w:autoSpaceDN w:val="0"/>
        <w:adjustRightInd w:val="0"/>
        <w:spacing w:after="300"/>
        <w:jc w:val="both"/>
        <w:rPr>
          <w:rFonts w:ascii="Times New Roman" w:hAnsi="Times New Roman" w:cs="Verdana"/>
          <w:color w:val="3E3E3E"/>
          <w:sz w:val="20"/>
          <w:szCs w:val="20"/>
        </w:rPr>
      </w:pPr>
      <w:r w:rsidRPr="00B16662">
        <w:rPr>
          <w:rFonts w:ascii="Times New Roman" w:hAnsi="Times New Roman" w:cs="Times New Roman"/>
          <w:iCs/>
          <w:sz w:val="20"/>
          <w:szCs w:val="20"/>
        </w:rPr>
        <w:t>la présente affaire ne soulève pas de question d’interprétation de l’al. 186(1)</w:t>
      </w:r>
      <w:r w:rsidRPr="00B16662">
        <w:rPr>
          <w:rFonts w:ascii="Times New Roman" w:hAnsi="Times New Roman" w:cs="Times New Roman"/>
          <w:i/>
          <w:iCs/>
          <w:sz w:val="20"/>
          <w:szCs w:val="20"/>
        </w:rPr>
        <w:t>a</w:t>
      </w:r>
      <w:r w:rsidRPr="00B16662">
        <w:rPr>
          <w:rFonts w:ascii="Times New Roman" w:hAnsi="Times New Roman" w:cs="Times New Roman"/>
          <w:iCs/>
          <w:sz w:val="20"/>
          <w:szCs w:val="20"/>
        </w:rPr>
        <w:t>), qui prévoit que l’autorisation doit servir l’administration de la justice.  Les tribunaux ont conclu que cette exigence signifie que,  conformément à l’art. </w:t>
      </w:r>
      <w:hyperlink r:id="rId25" w:anchor="art8" w:history="1">
        <w:r w:rsidRPr="00B16662">
          <w:rPr>
            <w:rStyle w:val="Lienhypertexte"/>
            <w:rFonts w:ascii="Times New Roman" w:hAnsi="Times New Roman" w:cs="Times New Roman"/>
            <w:iCs/>
            <w:sz w:val="20"/>
            <w:szCs w:val="20"/>
          </w:rPr>
          <w:t>8</w:t>
        </w:r>
      </w:hyperlink>
      <w:r w:rsidRPr="00B16662">
        <w:rPr>
          <w:rFonts w:ascii="Times New Roman" w:hAnsi="Times New Roman" w:cs="Times New Roman"/>
          <w:iCs/>
          <w:sz w:val="20"/>
          <w:szCs w:val="20"/>
        </w:rPr>
        <w:t xml:space="preserve"> de la </w:t>
      </w:r>
      <w:r w:rsidRPr="00B16662">
        <w:rPr>
          <w:rFonts w:ascii="Times New Roman" w:hAnsi="Times New Roman" w:cs="Times New Roman"/>
          <w:i/>
          <w:iCs/>
          <w:sz w:val="20"/>
          <w:szCs w:val="20"/>
        </w:rPr>
        <w:t>Charte canadienne des droits et libertés</w:t>
      </w:r>
      <w:r w:rsidRPr="00B16662">
        <w:rPr>
          <w:rFonts w:ascii="Times New Roman" w:hAnsi="Times New Roman" w:cs="Times New Roman"/>
          <w:iCs/>
          <w:sz w:val="20"/>
          <w:szCs w:val="20"/>
        </w:rPr>
        <w:t>, il doit y avoir des motifs raisonnables et probables  de croire qu’une infraction a été commise (</w:t>
      </w:r>
      <w:r w:rsidRPr="00B16662">
        <w:rPr>
          <w:rFonts w:ascii="Times New Roman" w:hAnsi="Times New Roman" w:cs="Times New Roman"/>
          <w:i/>
          <w:iCs/>
          <w:sz w:val="20"/>
          <w:szCs w:val="20"/>
        </w:rPr>
        <w:t>Hunter c. Southam Inc [20].</w:t>
      </w:r>
    </w:p>
    <w:p w14:paraId="6E5345F8" w14:textId="7641BDD6"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B. Les nécessités de l'enquête</w:t>
      </w:r>
      <w:r w:rsidR="006D493E">
        <w:rPr>
          <w:rFonts w:ascii="Times New Roman" w:hAnsi="Times New Roman" w:cs="Verdana"/>
          <w:b/>
          <w:bCs/>
          <w:color w:val="3E3E3E"/>
          <w:sz w:val="22"/>
          <w:szCs w:val="22"/>
        </w:rPr>
        <w:t xml:space="preserve"> (p.17</w:t>
      </w:r>
      <w:r w:rsidR="007661D1">
        <w:rPr>
          <w:rFonts w:ascii="Times New Roman" w:hAnsi="Times New Roman" w:cs="Verdana"/>
          <w:b/>
          <w:bCs/>
          <w:color w:val="3E3E3E"/>
          <w:sz w:val="22"/>
          <w:szCs w:val="22"/>
        </w:rPr>
        <w:t>)</w:t>
      </w:r>
    </w:p>
    <w:p w14:paraId="270F05A0" w14:textId="292B98F6" w:rsidR="007661D1" w:rsidRDefault="007661D1"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 xml:space="preserve">Au surplus, l’écoute électronique doit être nécessaire pour les fins de l’enquête comme l’illustre l’article 185(1) h) C.cr. </w:t>
      </w:r>
      <w:r w:rsidRPr="007661D1">
        <w:rPr>
          <w:rFonts w:ascii="Times New Roman" w:hAnsi="Times New Roman" w:cs="Verdana"/>
          <w:b/>
          <w:bCs/>
          <w:color w:val="3E3E3E"/>
          <w:sz w:val="22"/>
          <w:szCs w:val="22"/>
        </w:rPr>
        <w:t>Dans l’affaire Araujo</w:t>
      </w:r>
      <w:r>
        <w:rPr>
          <w:rFonts w:ascii="Times New Roman" w:hAnsi="Times New Roman" w:cs="Verdana"/>
          <w:bCs/>
          <w:color w:val="3E3E3E"/>
          <w:sz w:val="22"/>
          <w:szCs w:val="22"/>
        </w:rPr>
        <w:t>, la CSC vient établir la teneur de cette obligation :</w:t>
      </w:r>
    </w:p>
    <w:p w14:paraId="0897DE93" w14:textId="6526129F" w:rsidR="007661D1" w:rsidRPr="00770B39" w:rsidRDefault="00770B39" w:rsidP="00305ED6">
      <w:pPr>
        <w:pStyle w:val="Paragraphedeliste"/>
        <w:widowControl w:val="0"/>
        <w:numPr>
          <w:ilvl w:val="0"/>
          <w:numId w:val="79"/>
        </w:numPr>
        <w:autoSpaceDE w:val="0"/>
        <w:autoSpaceDN w:val="0"/>
        <w:adjustRightInd w:val="0"/>
        <w:spacing w:after="300"/>
        <w:jc w:val="both"/>
        <w:rPr>
          <w:rFonts w:ascii="Times New Roman" w:hAnsi="Times New Roman" w:cs="Verdana"/>
          <w:b/>
          <w:bCs/>
          <w:i/>
          <w:color w:val="3E3E3E"/>
          <w:sz w:val="20"/>
          <w:szCs w:val="20"/>
        </w:rPr>
      </w:pPr>
      <w:r w:rsidRPr="00770B39">
        <w:rPr>
          <w:rFonts w:ascii="Times New Roman" w:hAnsi="Times New Roman" w:cs="Times New Roman"/>
          <w:sz w:val="20"/>
          <w:szCs w:val="20"/>
        </w:rPr>
        <w:t xml:space="preserve">Cette protection s’explique par la conscience du fait que, si l’État était libre de faire, à son entière discrétion, des enregistrements électroniques permanents de nos communications privées, il ne nous resterait rien qui vaille de notre droit de vivre libre de toute surveillance.  La surveillance électronique est à ce point efficace qu’elle rend possible, en l’absence de réglementation, l’anéantissement de tout espoir que nos communications restent privées.  Une société nous exposant, au gré de l’État, au risque qu’un enregistrement électronique permanent soit fait de nos propos chaque fois que nous ouvrons la bouche, disposerait peut être d’excellents moyens de combattre le crime, mais serait une société où la notion de vie privée serait vide de sens.  Comme le dit le juge Douglas, dissident dans l’affaire </w:t>
      </w:r>
      <w:r w:rsidRPr="00770B39">
        <w:rPr>
          <w:rFonts w:ascii="Times New Roman" w:hAnsi="Times New Roman" w:cs="Times New Roman"/>
          <w:i/>
          <w:iCs/>
          <w:sz w:val="20"/>
          <w:szCs w:val="20"/>
        </w:rPr>
        <w:t>United States v. White</w:t>
      </w:r>
      <w:r w:rsidRPr="00770B39">
        <w:rPr>
          <w:rFonts w:ascii="Times New Roman" w:hAnsi="Times New Roman" w:cs="Times New Roman"/>
          <w:sz w:val="20"/>
          <w:szCs w:val="20"/>
        </w:rPr>
        <w:t>, précitée, à la p. 756:  [TRADUCTION] «La surveillance électronique est le pire destructeur de la vie privée».  S’il est permis à l’État d’enregistrer et de transmettre arbitrairement nos communications privées, il devient dès lors impossible de trouver un juste équilibre entre le droit du particulier d’être laissé tranquille et le droit de l’État de porter atteinte à la vie privée dans la poursuite de ses objets, notamment la nécessité d’enquêter sur le crime et de le combattre [21]</w:t>
      </w:r>
      <w:r>
        <w:rPr>
          <w:rFonts w:ascii="Times New Roman" w:hAnsi="Times New Roman" w:cs="Times New Roman"/>
          <w:sz w:val="20"/>
          <w:szCs w:val="20"/>
        </w:rPr>
        <w:t>.</w:t>
      </w:r>
    </w:p>
    <w:p w14:paraId="73D59F80" w14:textId="387E0BB3" w:rsidR="00770B39" w:rsidRDefault="008122E1" w:rsidP="00305ED6">
      <w:pPr>
        <w:pStyle w:val="Paragraphedeliste"/>
        <w:numPr>
          <w:ilvl w:val="0"/>
          <w:numId w:val="79"/>
        </w:numPr>
        <w:jc w:val="both"/>
        <w:rPr>
          <w:rFonts w:ascii="Times New Roman" w:hAnsi="Times New Roman" w:cs="Times New Roman"/>
          <w:sz w:val="20"/>
          <w:szCs w:val="20"/>
        </w:rPr>
      </w:pPr>
      <w:r w:rsidRPr="008122E1">
        <w:rPr>
          <w:rFonts w:ascii="Times New Roman" w:hAnsi="Times New Roman" w:cs="Times New Roman"/>
          <w:sz w:val="20"/>
          <w:szCs w:val="20"/>
        </w:rPr>
        <w:t xml:space="preserve">La Forest, dans </w:t>
      </w:r>
      <w:r w:rsidRPr="008122E1">
        <w:rPr>
          <w:rFonts w:ascii="Times New Roman" w:hAnsi="Times New Roman" w:cs="Times New Roman"/>
          <w:i/>
          <w:iCs/>
          <w:sz w:val="20"/>
          <w:szCs w:val="20"/>
        </w:rPr>
        <w:t>Duarte</w:t>
      </w:r>
      <w:r w:rsidRPr="008122E1">
        <w:rPr>
          <w:rFonts w:ascii="Times New Roman" w:hAnsi="Times New Roman" w:cs="Times New Roman"/>
          <w:sz w:val="20"/>
          <w:szCs w:val="20"/>
        </w:rPr>
        <w:t>, précité, qu’elle s’est le plus avancée.  Dans l’examen d’un problème de surveillance électronique effectuée avec le consentement de l’une des parties, le juge La Forest fait allusion, à la p. 55, à l’exigence que l’écoute électronique</w:t>
      </w:r>
      <w:r>
        <w:rPr>
          <w:rFonts w:ascii="Times New Roman" w:hAnsi="Times New Roman" w:cs="Times New Roman"/>
          <w:sz w:val="20"/>
          <w:szCs w:val="20"/>
        </w:rPr>
        <w:t xml:space="preserve"> soit nécessaire pour l’enquête</w:t>
      </w:r>
      <w:r w:rsidRPr="008122E1">
        <w:rPr>
          <w:rFonts w:ascii="Times New Roman" w:hAnsi="Times New Roman" w:cs="Times New Roman"/>
          <w:sz w:val="20"/>
          <w:szCs w:val="20"/>
        </w:rPr>
        <w:t xml:space="preserve">. . . l’autorisation de procéder à la surveillance électronique ne doit être accordée que si l’on démontre qu’il n’existe en réalité aucun autre moyen pratique (par. 178.13(1)); en d’autres termes, comme le dit la Cour d’appel de l’Ontario dans l’arrêt </w:t>
      </w:r>
      <w:r w:rsidRPr="008122E1">
        <w:rPr>
          <w:rFonts w:ascii="Times New Roman" w:hAnsi="Times New Roman" w:cs="Times New Roman"/>
          <w:i/>
          <w:iCs/>
          <w:sz w:val="20"/>
          <w:szCs w:val="20"/>
        </w:rPr>
        <w:t>R. v. Playford</w:t>
      </w:r>
      <w:r w:rsidRPr="008122E1">
        <w:rPr>
          <w:rFonts w:ascii="Times New Roman" w:hAnsi="Times New Roman" w:cs="Times New Roman"/>
          <w:sz w:val="20"/>
          <w:szCs w:val="20"/>
        </w:rPr>
        <w:t xml:space="preserve"> (1987), 40 C.C.C. (3d) 142, à la p. 185:  [TRADUCTION] «. . . elle est traitée comme une méthode d’enquête de dernier recours» et ne peut être obtenue qu’aux fins d’enquêtes sur les infractions les plus graves au </w:t>
      </w:r>
      <w:r w:rsidRPr="008122E1">
        <w:rPr>
          <w:rFonts w:ascii="Times New Roman" w:hAnsi="Times New Roman" w:cs="Times New Roman"/>
          <w:i/>
          <w:iCs/>
          <w:sz w:val="20"/>
          <w:szCs w:val="20"/>
        </w:rPr>
        <w:t>Code</w:t>
      </w:r>
      <w:r>
        <w:rPr>
          <w:rFonts w:ascii="Times New Roman" w:hAnsi="Times New Roman" w:cs="Times New Roman"/>
          <w:sz w:val="20"/>
          <w:szCs w:val="20"/>
        </w:rPr>
        <w:t xml:space="preserve"> (art. 178.1).</w:t>
      </w:r>
    </w:p>
    <w:p w14:paraId="622044BA" w14:textId="6E4F3F05" w:rsidR="008122E1" w:rsidRDefault="008122E1" w:rsidP="00305ED6">
      <w:pPr>
        <w:pStyle w:val="Paragraphedeliste"/>
        <w:numPr>
          <w:ilvl w:val="0"/>
          <w:numId w:val="79"/>
        </w:numPr>
        <w:jc w:val="both"/>
        <w:rPr>
          <w:rFonts w:ascii="Times New Roman" w:hAnsi="Times New Roman" w:cs="Times New Roman"/>
          <w:sz w:val="20"/>
          <w:szCs w:val="20"/>
        </w:rPr>
      </w:pPr>
      <w:r w:rsidRPr="007A18A2">
        <w:rPr>
          <w:rFonts w:ascii="Times New Roman" w:hAnsi="Times New Roman" w:cs="Times New Roman"/>
          <w:sz w:val="20"/>
          <w:szCs w:val="20"/>
        </w:rPr>
        <w:t>En gardant ces valeurs présentes à l’esprit, je dois examiner le libellé de  l’al. 186(1)</w:t>
      </w:r>
      <w:r w:rsidRPr="007A18A2">
        <w:rPr>
          <w:rFonts w:ascii="Times New Roman" w:hAnsi="Times New Roman" w:cs="Times New Roman"/>
          <w:i/>
          <w:iCs/>
          <w:sz w:val="20"/>
          <w:szCs w:val="20"/>
        </w:rPr>
        <w:t>b</w:t>
      </w:r>
      <w:r w:rsidRPr="007A18A2">
        <w:rPr>
          <w:rFonts w:ascii="Times New Roman" w:hAnsi="Times New Roman" w:cs="Times New Roman"/>
          <w:sz w:val="20"/>
          <w:szCs w:val="20"/>
        </w:rPr>
        <w:t xml:space="preserve">).  Selon cette disposition, l’écoute électronique peut être justifiée,  lorsque «d’autres méthodes d’enquête ont été essayées et ont échoué, ou ont peu de chance de succès, </w:t>
      </w:r>
      <w:r w:rsidRPr="007A18A2">
        <w:rPr>
          <w:rFonts w:ascii="Times New Roman" w:hAnsi="Times New Roman" w:cs="Times New Roman"/>
          <w:sz w:val="20"/>
          <w:szCs w:val="20"/>
          <w:u w:val="single"/>
        </w:rPr>
        <w:t>ou</w:t>
      </w:r>
      <w:r w:rsidRPr="007A18A2">
        <w:rPr>
          <w:rFonts w:ascii="Times New Roman" w:hAnsi="Times New Roman" w:cs="Times New Roman"/>
          <w:sz w:val="20"/>
          <w:szCs w:val="20"/>
        </w:rPr>
        <w:t xml:space="preserve"> que l’urgence de l’affaire est telle qu’il ne serait pas pratique de mener l’enquête relative à l’infraction en n’utilisant que les autres méthodes d’enquête» (je souligne).  Vu l’emploi de la conjonction disjonctive «ou», il ressort du libellé de la disposition que l’écoute électronique peut être un moyen d’enquête approprié dans trois catégories de circonstances (voir, p. ex., </w:t>
      </w:r>
      <w:r w:rsidRPr="007A18A2">
        <w:rPr>
          <w:rFonts w:ascii="Times New Roman" w:hAnsi="Times New Roman" w:cs="Times New Roman"/>
          <w:i/>
          <w:iCs/>
          <w:sz w:val="20"/>
          <w:szCs w:val="20"/>
        </w:rPr>
        <w:t>Smyk</w:t>
      </w:r>
      <w:r w:rsidRPr="007A18A2">
        <w:rPr>
          <w:rFonts w:ascii="Times New Roman" w:hAnsi="Times New Roman" w:cs="Times New Roman"/>
          <w:sz w:val="20"/>
          <w:szCs w:val="20"/>
        </w:rPr>
        <w:t>, précité, aux pp. 70 et 71).  Le troisième volet de l’alinéa semble viser la situation d’urgence, alors que le premier correspond au véritable cas «de dernier recours», c’est</w:t>
      </w:r>
      <w:r w:rsidRPr="007A18A2">
        <w:rPr>
          <w:rFonts w:ascii="PT Sans" w:hAnsi="PT Sans" w:cs="PT Sans"/>
          <w:sz w:val="20"/>
          <w:szCs w:val="20"/>
        </w:rPr>
        <w:t>‑</w:t>
      </w:r>
      <w:r w:rsidRPr="007A18A2">
        <w:rPr>
          <w:rFonts w:ascii="Times New Roman" w:hAnsi="Times New Roman" w:cs="Times New Roman"/>
          <w:sz w:val="20"/>
          <w:szCs w:val="20"/>
        </w:rPr>
        <w:t>à</w:t>
      </w:r>
      <w:r w:rsidRPr="007A18A2">
        <w:rPr>
          <w:rFonts w:ascii="PT Sans" w:hAnsi="PT Sans" w:cs="PT Sans"/>
          <w:sz w:val="20"/>
          <w:szCs w:val="20"/>
        </w:rPr>
        <w:t>‑</w:t>
      </w:r>
      <w:r w:rsidRPr="007A18A2">
        <w:rPr>
          <w:rFonts w:ascii="Times New Roman" w:hAnsi="Times New Roman" w:cs="Times New Roman"/>
          <w:sz w:val="20"/>
          <w:szCs w:val="20"/>
        </w:rPr>
        <w:t>dire lorsque d’autres méthodes d’enquête «ont été essayées et ont échoué».  Les plaidoiries n’ayant pas porté sur ces éléments, c’est le deuxième volet, celui qui mentionne la chance de succès des autres méthodes d’enquête, que notre Cour doit examiner en l’espèce.</w:t>
      </w:r>
    </w:p>
    <w:p w14:paraId="50BD9440" w14:textId="0975AA5F" w:rsidR="008122E1" w:rsidRDefault="008122E1" w:rsidP="00305ED6">
      <w:pPr>
        <w:pStyle w:val="Paragraphedeliste"/>
        <w:numPr>
          <w:ilvl w:val="0"/>
          <w:numId w:val="79"/>
        </w:numPr>
        <w:jc w:val="both"/>
        <w:rPr>
          <w:rFonts w:ascii="Times New Roman" w:hAnsi="Times New Roman" w:cs="Times New Roman"/>
          <w:sz w:val="20"/>
          <w:szCs w:val="20"/>
        </w:rPr>
      </w:pPr>
      <w:r w:rsidRPr="008122E1">
        <w:rPr>
          <w:rFonts w:ascii="Times New Roman" w:hAnsi="Times New Roman" w:cs="Times New Roman"/>
          <w:sz w:val="20"/>
          <w:szCs w:val="20"/>
        </w:rPr>
        <w:t>Toutefois, en fin de compte, il suffit de satisfaire à l’un des volets de l’al. 186(1)</w:t>
      </w:r>
      <w:r w:rsidRPr="008122E1">
        <w:rPr>
          <w:rFonts w:ascii="Times New Roman" w:hAnsi="Times New Roman" w:cs="Times New Roman"/>
          <w:i/>
          <w:iCs/>
          <w:sz w:val="20"/>
          <w:szCs w:val="20"/>
        </w:rPr>
        <w:t>b</w:t>
      </w:r>
      <w:r w:rsidRPr="008122E1">
        <w:rPr>
          <w:rFonts w:ascii="Times New Roman" w:hAnsi="Times New Roman" w:cs="Times New Roman"/>
          <w:sz w:val="20"/>
          <w:szCs w:val="20"/>
        </w:rPr>
        <w:t>).  Aussi, les termes employés doivent être correctement interprétés dans leur contexte,  compte tenu des valeurs reconnues dès le départ et de la manière dont une enquête en particulier interagit avec ces valeurs.</w:t>
      </w:r>
      <w:r>
        <w:rPr>
          <w:rFonts w:ascii="Times New Roman" w:hAnsi="Times New Roman" w:cs="Times New Roman"/>
          <w:sz w:val="20"/>
          <w:szCs w:val="20"/>
        </w:rPr>
        <w:t xml:space="preserve"> [28].</w:t>
      </w:r>
    </w:p>
    <w:p w14:paraId="15AD64D6" w14:textId="1239EE4D" w:rsidR="008122E1" w:rsidRDefault="008122E1" w:rsidP="00305ED6">
      <w:pPr>
        <w:pStyle w:val="Paragraphedeliste"/>
        <w:numPr>
          <w:ilvl w:val="0"/>
          <w:numId w:val="79"/>
        </w:numPr>
        <w:jc w:val="both"/>
        <w:rPr>
          <w:rFonts w:ascii="Times New Roman" w:hAnsi="Times New Roman" w:cs="Times New Roman"/>
          <w:sz w:val="20"/>
          <w:szCs w:val="20"/>
        </w:rPr>
      </w:pPr>
      <w:r w:rsidRPr="008122E1">
        <w:rPr>
          <w:rFonts w:ascii="Times New Roman" w:hAnsi="Times New Roman" w:cs="Times New Roman"/>
          <w:sz w:val="20"/>
          <w:szCs w:val="20"/>
        </w:rPr>
        <w:t xml:space="preserve">Le législateur et les tribunaux ont en effet reconnu que l’interception des communications privées est une mesure grave, qui ne doit être envisagée </w:t>
      </w:r>
      <w:r w:rsidRPr="008122E1">
        <w:rPr>
          <w:rFonts w:ascii="Times New Roman" w:hAnsi="Times New Roman" w:cs="Times New Roman"/>
          <w:sz w:val="20"/>
          <w:szCs w:val="20"/>
          <w:u w:val="single"/>
        </w:rPr>
        <w:t>que pour des infractions graves, que s’il existe des motifs probables et que s’il est véritablement nécessaire de recourir à l’écoute électronique compte tenu de l’enquête en cause et de ses objectifs</w:t>
      </w:r>
      <w:r w:rsidRPr="008122E1">
        <w:rPr>
          <w:rFonts w:ascii="Times New Roman" w:hAnsi="Times New Roman" w:cs="Times New Roman"/>
          <w:sz w:val="20"/>
          <w:szCs w:val="20"/>
        </w:rPr>
        <w:t xml:space="preserve"> (</w:t>
      </w:r>
      <w:r w:rsidRPr="008122E1">
        <w:rPr>
          <w:rFonts w:ascii="Times New Roman" w:hAnsi="Times New Roman" w:cs="Times New Roman"/>
          <w:i/>
          <w:iCs/>
          <w:sz w:val="20"/>
          <w:szCs w:val="20"/>
        </w:rPr>
        <w:t>cf. Smyk</w:t>
      </w:r>
      <w:r w:rsidRPr="008122E1">
        <w:rPr>
          <w:rFonts w:ascii="Times New Roman" w:hAnsi="Times New Roman" w:cs="Times New Roman"/>
          <w:sz w:val="20"/>
          <w:szCs w:val="20"/>
        </w:rPr>
        <w:t xml:space="preserve">, précité, à la p. 74).  Sur le plan pratique, il ne doit exister </w:t>
      </w:r>
      <w:r w:rsidRPr="008122E1">
        <w:rPr>
          <w:rFonts w:ascii="Times New Roman" w:hAnsi="Times New Roman" w:cs="Times New Roman"/>
          <w:sz w:val="20"/>
          <w:szCs w:val="20"/>
          <w:u w:val="single"/>
        </w:rPr>
        <w:t>aucune autre méthode d’enquête raisonnable</w:t>
      </w:r>
      <w:r w:rsidRPr="008122E1">
        <w:rPr>
          <w:rFonts w:ascii="Times New Roman" w:hAnsi="Times New Roman" w:cs="Times New Roman"/>
          <w:sz w:val="20"/>
          <w:szCs w:val="20"/>
        </w:rPr>
        <w:t>, dans les circonstances de l’enquête criminelle considérée.</w:t>
      </w:r>
      <w:r>
        <w:rPr>
          <w:rFonts w:ascii="Times New Roman" w:hAnsi="Times New Roman" w:cs="Times New Roman"/>
          <w:sz w:val="20"/>
          <w:szCs w:val="20"/>
        </w:rPr>
        <w:t xml:space="preserve"> [29].</w:t>
      </w:r>
    </w:p>
    <w:p w14:paraId="61E11677" w14:textId="77777777" w:rsidR="008122E1" w:rsidRDefault="008122E1" w:rsidP="008122E1">
      <w:pPr>
        <w:jc w:val="both"/>
        <w:rPr>
          <w:rFonts w:ascii="Times New Roman" w:hAnsi="Times New Roman" w:cs="Times New Roman"/>
          <w:sz w:val="22"/>
          <w:szCs w:val="22"/>
        </w:rPr>
      </w:pPr>
    </w:p>
    <w:p w14:paraId="76730985" w14:textId="3BD884A9" w:rsidR="008122E1" w:rsidRDefault="008122E1" w:rsidP="008122E1">
      <w:pPr>
        <w:jc w:val="both"/>
        <w:rPr>
          <w:rFonts w:ascii="Times New Roman" w:hAnsi="Times New Roman" w:cs="Times New Roman"/>
          <w:sz w:val="22"/>
          <w:szCs w:val="22"/>
        </w:rPr>
      </w:pPr>
      <w:r>
        <w:rPr>
          <w:rFonts w:ascii="Times New Roman" w:hAnsi="Times New Roman" w:cs="Times New Roman"/>
          <w:sz w:val="22"/>
          <w:szCs w:val="22"/>
        </w:rPr>
        <w:t>La Cour est plus explicite concernant</w:t>
      </w:r>
      <w:r w:rsidR="006D493E">
        <w:rPr>
          <w:rFonts w:ascii="Times New Roman" w:hAnsi="Times New Roman" w:cs="Times New Roman"/>
          <w:sz w:val="22"/>
          <w:szCs w:val="22"/>
        </w:rPr>
        <w:t xml:space="preserve"> l’obtention dudit mandat  (p.20</w:t>
      </w:r>
      <w:r>
        <w:rPr>
          <w:rFonts w:ascii="Times New Roman" w:hAnsi="Times New Roman" w:cs="Times New Roman"/>
          <w:sz w:val="22"/>
          <w:szCs w:val="22"/>
        </w:rPr>
        <w:t>) :</w:t>
      </w:r>
    </w:p>
    <w:p w14:paraId="30BF9963" w14:textId="44E81438" w:rsidR="008122E1" w:rsidRPr="00897359" w:rsidRDefault="008122E1" w:rsidP="00305ED6">
      <w:pPr>
        <w:pStyle w:val="Paragraphedeliste"/>
        <w:numPr>
          <w:ilvl w:val="0"/>
          <w:numId w:val="80"/>
        </w:numPr>
        <w:jc w:val="both"/>
        <w:rPr>
          <w:rFonts w:ascii="Times New Roman" w:hAnsi="Times New Roman" w:cs="Times New Roman"/>
          <w:sz w:val="22"/>
          <w:szCs w:val="22"/>
        </w:rPr>
      </w:pPr>
      <w:r w:rsidRPr="007A18A2">
        <w:rPr>
          <w:rFonts w:ascii="Times New Roman" w:hAnsi="Times New Roman" w:cs="Times New Roman"/>
          <w:sz w:val="20"/>
          <w:szCs w:val="20"/>
        </w:rPr>
        <w:t xml:space="preserve">l’article 186 C.Cr. n’exige pas l’épuisement de toutes les méthodes alternatives.  Il ne représente </w:t>
      </w:r>
      <w:r w:rsidRPr="007A18A2">
        <w:rPr>
          <w:rFonts w:ascii="Times New Roman" w:hAnsi="Times New Roman" w:cs="Times New Roman"/>
          <w:sz w:val="20"/>
          <w:szCs w:val="20"/>
          <w:u w:val="single"/>
        </w:rPr>
        <w:t>pas simplement un ultime recours</w:t>
      </w:r>
      <w:r w:rsidRPr="007A18A2">
        <w:rPr>
          <w:rFonts w:ascii="Times New Roman" w:hAnsi="Times New Roman" w:cs="Times New Roman"/>
          <w:sz w:val="20"/>
          <w:szCs w:val="20"/>
        </w:rPr>
        <w:t xml:space="preserve">.  Il joue le rôle d’un instrument qui ne doit pas être utilisé sans motifs sérieux, probables, mais qui peut être employé </w:t>
      </w:r>
      <w:r w:rsidRPr="007A18A2">
        <w:rPr>
          <w:rFonts w:ascii="Times New Roman" w:hAnsi="Times New Roman" w:cs="Times New Roman"/>
          <w:sz w:val="20"/>
          <w:szCs w:val="20"/>
          <w:u w:val="single"/>
        </w:rPr>
        <w:t>non seulement lorsque les autres méthodes ont échoué, mais aussi lorsqu’elles paraissent avoir peu de chances de succès ou que l’urgence de l’affaire rendrait autrement l’enquête infructueuse</w:t>
      </w:r>
      <w:r>
        <w:rPr>
          <w:rFonts w:ascii="Times New Roman" w:hAnsi="Times New Roman" w:cs="Times New Roman"/>
          <w:sz w:val="20"/>
          <w:szCs w:val="20"/>
          <w:u w:val="single"/>
        </w:rPr>
        <w:t xml:space="preserve"> [...]</w:t>
      </w:r>
      <w:r w:rsidRPr="007A18A2">
        <w:rPr>
          <w:rFonts w:ascii="Times New Roman" w:hAnsi="Times New Roman" w:cs="Times New Roman"/>
          <w:sz w:val="20"/>
          <w:szCs w:val="20"/>
        </w:rPr>
        <w:t xml:space="preserve">Dans ce rôle, </w:t>
      </w:r>
      <w:r w:rsidRPr="007A18A2">
        <w:rPr>
          <w:rFonts w:ascii="Times New Roman" w:hAnsi="Times New Roman" w:cs="Times New Roman"/>
          <w:sz w:val="20"/>
          <w:szCs w:val="20"/>
          <w:u w:val="single"/>
        </w:rPr>
        <w:t>pour éviter des intrusions inadmissibles dans la sphère de la vie privée des citoyens</w:t>
      </w:r>
      <w:r w:rsidRPr="007A18A2">
        <w:rPr>
          <w:rFonts w:ascii="Times New Roman" w:hAnsi="Times New Roman" w:cs="Times New Roman"/>
          <w:sz w:val="20"/>
          <w:szCs w:val="20"/>
        </w:rPr>
        <w:t xml:space="preserve">, le juge d’autorisation doit s’assurer que la demande repose sur des causes raisonnables et probables.  Elle ne doit pas constituer une simple expédition de pêche, basée sur de purs soupçons.  Il faut qu’il se convainque également de la </w:t>
      </w:r>
      <w:r w:rsidRPr="007A18A2">
        <w:rPr>
          <w:rFonts w:ascii="Times New Roman" w:hAnsi="Times New Roman" w:cs="Times New Roman"/>
          <w:sz w:val="20"/>
          <w:szCs w:val="20"/>
          <w:u w:val="single"/>
        </w:rPr>
        <w:t>nécessité</w:t>
      </w:r>
      <w:r w:rsidRPr="007A18A2">
        <w:rPr>
          <w:rFonts w:ascii="Times New Roman" w:hAnsi="Times New Roman" w:cs="Times New Roman"/>
          <w:sz w:val="20"/>
          <w:szCs w:val="20"/>
        </w:rPr>
        <w:t xml:space="preserve"> du recours à cette technique particulière d’investigation</w:t>
      </w:r>
      <w:r>
        <w:rPr>
          <w:rFonts w:ascii="Times New Roman" w:hAnsi="Times New Roman" w:cs="Times New Roman"/>
          <w:sz w:val="20"/>
          <w:szCs w:val="20"/>
        </w:rPr>
        <w:t>.</w:t>
      </w:r>
    </w:p>
    <w:p w14:paraId="2C5CF031" w14:textId="77777777" w:rsidR="00897359" w:rsidRDefault="00897359" w:rsidP="00897359">
      <w:pPr>
        <w:jc w:val="both"/>
        <w:rPr>
          <w:rFonts w:ascii="Times New Roman" w:hAnsi="Times New Roman" w:cs="Times New Roman"/>
          <w:sz w:val="22"/>
          <w:szCs w:val="22"/>
        </w:rPr>
      </w:pPr>
    </w:p>
    <w:p w14:paraId="5E43586C" w14:textId="1E401A00" w:rsidR="00897359" w:rsidRDefault="00897359" w:rsidP="00897359">
      <w:pPr>
        <w:jc w:val="both"/>
        <w:rPr>
          <w:rFonts w:ascii="Times New Roman" w:hAnsi="Times New Roman" w:cs="Times New Roman"/>
          <w:sz w:val="22"/>
          <w:szCs w:val="22"/>
        </w:rPr>
      </w:pPr>
      <w:r>
        <w:rPr>
          <w:rFonts w:ascii="Times New Roman" w:hAnsi="Times New Roman" w:cs="Times New Roman"/>
          <w:sz w:val="22"/>
          <w:szCs w:val="22"/>
        </w:rPr>
        <w:t>De plus, la Loi réglementant certaines drogues et autres substances mentionne à son article 11 certains pouvoirs d’écoute.</w:t>
      </w:r>
    </w:p>
    <w:p w14:paraId="4DD5CDAC" w14:textId="77777777" w:rsidR="00897359" w:rsidRDefault="00897359" w:rsidP="00897359">
      <w:pPr>
        <w:jc w:val="both"/>
        <w:rPr>
          <w:rFonts w:ascii="Times New Roman" w:hAnsi="Times New Roman" w:cs="Times New Roman"/>
          <w:sz w:val="22"/>
          <w:szCs w:val="22"/>
        </w:rPr>
      </w:pPr>
    </w:p>
    <w:p w14:paraId="1C3235AA" w14:textId="3512D265" w:rsidR="00897359" w:rsidRPr="00897359" w:rsidRDefault="00897359" w:rsidP="00897359">
      <w:pPr>
        <w:jc w:val="both"/>
        <w:rPr>
          <w:rFonts w:ascii="Times New Roman" w:hAnsi="Times New Roman" w:cs="Times New Roman"/>
          <w:sz w:val="22"/>
          <w:szCs w:val="22"/>
        </w:rPr>
      </w:pPr>
      <w:r>
        <w:rPr>
          <w:rFonts w:ascii="Times New Roman" w:hAnsi="Times New Roman" w:cs="Times New Roman"/>
          <w:sz w:val="22"/>
          <w:szCs w:val="22"/>
        </w:rPr>
        <w:t>Certes, si le mandat ne peut être obtenu, il y a toujours la possibilité du mandat général sous 487C.cr. si l’on rencontre les conditions.</w:t>
      </w:r>
    </w:p>
    <w:p w14:paraId="4071444F" w14:textId="77777777" w:rsidR="00555F53" w:rsidRDefault="00555F53" w:rsidP="009F4734">
      <w:pPr>
        <w:widowControl w:val="0"/>
        <w:autoSpaceDE w:val="0"/>
        <w:autoSpaceDN w:val="0"/>
        <w:adjustRightInd w:val="0"/>
        <w:spacing w:after="300"/>
        <w:jc w:val="both"/>
        <w:rPr>
          <w:rFonts w:ascii="Times New Roman" w:hAnsi="Times New Roman" w:cs="Verdana"/>
          <w:b/>
          <w:bCs/>
          <w:color w:val="3E3E3E"/>
          <w:sz w:val="22"/>
          <w:szCs w:val="22"/>
        </w:rPr>
      </w:pPr>
    </w:p>
    <w:p w14:paraId="5456606B" w14:textId="77777777" w:rsidR="00555F53" w:rsidRPr="00555F53" w:rsidRDefault="00555F53" w:rsidP="009F4734">
      <w:pPr>
        <w:widowControl w:val="0"/>
        <w:autoSpaceDE w:val="0"/>
        <w:autoSpaceDN w:val="0"/>
        <w:adjustRightInd w:val="0"/>
        <w:spacing w:after="300"/>
        <w:jc w:val="both"/>
        <w:rPr>
          <w:rFonts w:ascii="Times New Roman" w:hAnsi="Times New Roman" w:cs="Verdana"/>
          <w:color w:val="3E3E3E"/>
          <w:sz w:val="22"/>
          <w:szCs w:val="22"/>
        </w:rPr>
      </w:pPr>
    </w:p>
    <w:p w14:paraId="0BB03AED" w14:textId="73EAD9EA" w:rsidR="009F4734" w:rsidRDefault="009F4734" w:rsidP="009F4734">
      <w:pPr>
        <w:widowControl w:val="0"/>
        <w:autoSpaceDE w:val="0"/>
        <w:autoSpaceDN w:val="0"/>
        <w:adjustRightInd w:val="0"/>
        <w:spacing w:after="300"/>
        <w:jc w:val="both"/>
        <w:rPr>
          <w:rFonts w:ascii="Times New Roman" w:hAnsi="Times New Roman" w:cs="Verdana"/>
          <w:b/>
          <w:color w:val="3E3E3E"/>
          <w:sz w:val="22"/>
          <w:szCs w:val="22"/>
        </w:rPr>
      </w:pPr>
      <w:r w:rsidRPr="00897359">
        <w:rPr>
          <w:rFonts w:ascii="Times New Roman" w:hAnsi="Times New Roman" w:cs="Verdana"/>
          <w:b/>
          <w:color w:val="3E3E3E"/>
          <w:sz w:val="22"/>
          <w:szCs w:val="22"/>
        </w:rPr>
        <w:t>Section III. Les pouvoirs de fouille, perquisition et saisie en vertu de la common law</w:t>
      </w:r>
      <w:r w:rsidR="006D493E">
        <w:rPr>
          <w:rFonts w:ascii="Times New Roman" w:hAnsi="Times New Roman" w:cs="Verdana"/>
          <w:b/>
          <w:color w:val="3E3E3E"/>
          <w:sz w:val="22"/>
          <w:szCs w:val="22"/>
        </w:rPr>
        <w:t xml:space="preserve"> (p.20</w:t>
      </w:r>
      <w:r w:rsidR="00B1780F">
        <w:rPr>
          <w:rFonts w:ascii="Times New Roman" w:hAnsi="Times New Roman" w:cs="Verdana"/>
          <w:b/>
          <w:color w:val="3E3E3E"/>
          <w:sz w:val="22"/>
          <w:szCs w:val="22"/>
        </w:rPr>
        <w:t>)</w:t>
      </w:r>
    </w:p>
    <w:p w14:paraId="200623FD" w14:textId="5DAD44E4" w:rsidR="00B1780F" w:rsidRDefault="00B1780F" w:rsidP="009F473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Mise en situation avec un arrêt</w:t>
      </w:r>
      <w:r w:rsidR="005A143B">
        <w:rPr>
          <w:rFonts w:ascii="Times New Roman" w:hAnsi="Times New Roman" w:cs="Verdana"/>
          <w:color w:val="3E3E3E"/>
          <w:sz w:val="22"/>
          <w:szCs w:val="22"/>
        </w:rPr>
        <w:t>. On y traite notamment des pouvoirs ancillaires de la Common law</w:t>
      </w:r>
      <w:r>
        <w:rPr>
          <w:rFonts w:ascii="Times New Roman" w:hAnsi="Times New Roman" w:cs="Verdana"/>
          <w:color w:val="3E3E3E"/>
          <w:sz w:val="22"/>
          <w:szCs w:val="22"/>
        </w:rPr>
        <w:t> :</w:t>
      </w:r>
    </w:p>
    <w:p w14:paraId="7E64D5F9" w14:textId="2D2BC01A" w:rsidR="00B1780F" w:rsidRDefault="005A143B"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Clayton 2007 :</w:t>
      </w:r>
    </w:p>
    <w:p w14:paraId="02755F85" w14:textId="60A84FF6" w:rsidR="005A143B" w:rsidRPr="005A143B" w:rsidRDefault="005A143B" w:rsidP="00305ED6">
      <w:pPr>
        <w:pStyle w:val="Paragraphedeliste"/>
        <w:widowControl w:val="0"/>
        <w:numPr>
          <w:ilvl w:val="0"/>
          <w:numId w:val="80"/>
        </w:numPr>
        <w:autoSpaceDE w:val="0"/>
        <w:autoSpaceDN w:val="0"/>
        <w:adjustRightInd w:val="0"/>
        <w:spacing w:after="300"/>
        <w:jc w:val="both"/>
        <w:rPr>
          <w:rFonts w:ascii="Times New Roman" w:hAnsi="Times New Roman" w:cs="Verdana"/>
          <w:color w:val="3E3E3E"/>
          <w:sz w:val="22"/>
          <w:szCs w:val="22"/>
        </w:rPr>
      </w:pPr>
      <w:r w:rsidRPr="006346DD">
        <w:rPr>
          <w:rFonts w:ascii="Times New Roman" w:hAnsi="Times New Roman" w:cs="Times New Roman"/>
          <w:sz w:val="20"/>
          <w:szCs w:val="20"/>
        </w:rPr>
        <w:t xml:space="preserve">La règle de droit autorisant la détention doit respecter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Le droit issu de la common law applicable aux pouvoirs de détention des policiers exige de l’État qu’il justifie l’entrave à la liberté en établissant essentiellement qu’elle était nécessaire vu l’étendue du risque et la liberté en jeu et qu’elle n’était attentatoire que dans la mesure raisonnablement nécessaire pour faire face au risque.  Il faut délimiter les pouvoirs policiers avec prudence afin d’établir un juste équilibre entre le pouvoir des policiers de s’acquitter de leurs fonctions et le droit des accusés à la liberté et à la vie privée.  L’examen tiendra compte de la nature de la situation, y compris la gravité de l’infraction, des renseignements sur le suspect ou sur le crime dont disposaient les policiers et de la mesure dans laquelle la détention était raisonnablement adaptée à ces éléments, notamment en ce qui a trait à l’emplacement et au moment. </w:t>
      </w:r>
    </w:p>
    <w:p w14:paraId="341077D8" w14:textId="4BF253FF" w:rsidR="005A143B" w:rsidRPr="005A143B" w:rsidRDefault="005A143B" w:rsidP="00305ED6">
      <w:pPr>
        <w:pStyle w:val="Paragraphedeliste"/>
        <w:widowControl w:val="0"/>
        <w:numPr>
          <w:ilvl w:val="0"/>
          <w:numId w:val="80"/>
        </w:numPr>
        <w:autoSpaceDE w:val="0"/>
        <w:autoSpaceDN w:val="0"/>
        <w:adjustRightInd w:val="0"/>
        <w:spacing w:after="300"/>
        <w:jc w:val="both"/>
        <w:rPr>
          <w:rFonts w:ascii="Times New Roman" w:hAnsi="Times New Roman" w:cs="Verdana"/>
          <w:color w:val="3E3E3E"/>
          <w:sz w:val="22"/>
          <w:szCs w:val="22"/>
        </w:rPr>
      </w:pPr>
      <w:r w:rsidRPr="006346DD">
        <w:rPr>
          <w:rFonts w:ascii="Times New Roman" w:hAnsi="Times New Roman" w:cs="Times New Roman"/>
          <w:sz w:val="20"/>
          <w:szCs w:val="20"/>
        </w:rPr>
        <w:t xml:space="preserve">Il arrive que le ministère public fasse valoir (comme en l’espèce) qu’une règle de droit de common law autorisant une mesure policière attentatoire à une liberté individuelle garantie par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xml:space="preserve"> peut néanmoins être justifiée dans l’intérêt général de la société.  Les juges majoritaires appliquent le critère antérieur à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xml:space="preserve"> établi dans l’arrêt </w:t>
      </w:r>
      <w:r w:rsidRPr="006346DD">
        <w:rPr>
          <w:rFonts w:ascii="Times New Roman" w:hAnsi="Times New Roman" w:cs="Times New Roman"/>
          <w:i/>
          <w:iCs/>
          <w:sz w:val="20"/>
          <w:szCs w:val="20"/>
        </w:rPr>
        <w:t>Waterfield</w:t>
      </w:r>
      <w:r w:rsidRPr="006346DD">
        <w:rPr>
          <w:rFonts w:ascii="Times New Roman" w:hAnsi="Times New Roman" w:cs="Times New Roman"/>
          <w:sz w:val="20"/>
          <w:szCs w:val="20"/>
        </w:rPr>
        <w:t xml:space="preserve">.  Toutefois, recourir encore à ce critère sans quelque modification ajoute non seulement au problème de l’élasticité des pouvoirs policiers en common law, mais esquive aussi le véritable débat de principe où les intérêts opposés de l’individu et de la société doivent être clairement exposés dans le cadre établi de l’analyse fondée sur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xml:space="preserve">.  Dans le cas d’un pouvoir policier contesté sur le fondement de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xml:space="preserve">, le critère de l’arrêt </w:t>
      </w:r>
      <w:r w:rsidRPr="006346DD">
        <w:rPr>
          <w:rFonts w:ascii="Times New Roman" w:hAnsi="Times New Roman" w:cs="Times New Roman"/>
          <w:i/>
          <w:iCs/>
          <w:sz w:val="20"/>
          <w:szCs w:val="20"/>
        </w:rPr>
        <w:t>Waterfield</w:t>
      </w:r>
      <w:r w:rsidRPr="006346DD">
        <w:rPr>
          <w:rFonts w:ascii="Times New Roman" w:hAnsi="Times New Roman" w:cs="Times New Roman"/>
          <w:sz w:val="20"/>
          <w:szCs w:val="20"/>
        </w:rPr>
        <w:t xml:space="preserve"> devrait être modifié en exigeant que le tribunal détermine d’abord si le pouvoir policier allégué existe en common law puis, dans l’affirmative, s’il autorise l’atteinte aux droits garantis par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xml:space="preserve"> et, enfin, si la règle de droit qui autorise l’atteinte peut être justifiée par application de l’article premier de la </w:t>
      </w:r>
      <w:r w:rsidRPr="006346DD">
        <w:rPr>
          <w:rFonts w:ascii="Times New Roman" w:hAnsi="Times New Roman" w:cs="Times New Roman"/>
          <w:i/>
          <w:iCs/>
          <w:sz w:val="20"/>
          <w:szCs w:val="20"/>
        </w:rPr>
        <w:t>Charte</w:t>
      </w:r>
      <w:r w:rsidRPr="006346DD">
        <w:rPr>
          <w:rFonts w:ascii="Times New Roman" w:hAnsi="Times New Roman" w:cs="Times New Roman"/>
          <w:sz w:val="20"/>
          <w:szCs w:val="20"/>
        </w:rPr>
        <w:t>.  Au besoin, le tribunal peut devoir en outre se demander si, dans une affaire donnée, le pouvoir policier a été exercé raisonnablement eu égard à « l’ensemble des circonstances </w:t>
      </w:r>
      <w:r>
        <w:rPr>
          <w:rFonts w:ascii="Times New Roman" w:hAnsi="Times New Roman" w:cs="Times New Roman"/>
          <w:sz w:val="20"/>
          <w:szCs w:val="20"/>
        </w:rPr>
        <w:t>[59-61].</w:t>
      </w:r>
    </w:p>
    <w:p w14:paraId="78625484" w14:textId="15702A64" w:rsidR="005A143B" w:rsidRPr="005A143B" w:rsidRDefault="005A143B" w:rsidP="00305ED6">
      <w:pPr>
        <w:pStyle w:val="Paragraphedeliste"/>
        <w:widowControl w:val="0"/>
        <w:numPr>
          <w:ilvl w:val="0"/>
          <w:numId w:val="80"/>
        </w:numPr>
        <w:autoSpaceDE w:val="0"/>
        <w:autoSpaceDN w:val="0"/>
        <w:adjustRightInd w:val="0"/>
        <w:spacing w:after="300"/>
        <w:jc w:val="both"/>
        <w:rPr>
          <w:rFonts w:ascii="Times New Roman" w:hAnsi="Times New Roman" w:cs="Verdana"/>
          <w:color w:val="3E3E3E"/>
          <w:sz w:val="22"/>
          <w:szCs w:val="22"/>
        </w:rPr>
      </w:pPr>
      <w:r w:rsidRPr="00247672">
        <w:rPr>
          <w:rFonts w:ascii="Times New Roman" w:hAnsi="Times New Roman" w:cs="Times New Roman"/>
          <w:b/>
          <w:sz w:val="20"/>
          <w:szCs w:val="20"/>
        </w:rPr>
        <w:t>En common law, l’atteinte à une liberté individuelle par un policier doit être nécessaire à l’exécution de ses obligations, dont le maintien de la paix, la prévention du crime et la protection de la vie des personnes et des biens</w:t>
      </w:r>
      <w:r>
        <w:rPr>
          <w:rFonts w:ascii="Times New Roman" w:hAnsi="Times New Roman" w:cs="Times New Roman"/>
          <w:b/>
          <w:sz w:val="20"/>
          <w:szCs w:val="20"/>
        </w:rPr>
        <w:t>.</w:t>
      </w:r>
    </w:p>
    <w:p w14:paraId="02D14515" w14:textId="6B9BEC80"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§1. Fouilles incidentes à une arrestation</w:t>
      </w:r>
      <w:r w:rsidR="006D493E">
        <w:rPr>
          <w:rFonts w:ascii="Times New Roman" w:hAnsi="Times New Roman" w:cs="Verdana"/>
          <w:b/>
          <w:bCs/>
          <w:color w:val="3E3E3E"/>
          <w:sz w:val="22"/>
          <w:szCs w:val="22"/>
        </w:rPr>
        <w:t xml:space="preserve"> (p.23</w:t>
      </w:r>
      <w:r w:rsidR="005A143B">
        <w:rPr>
          <w:rFonts w:ascii="Times New Roman" w:hAnsi="Times New Roman" w:cs="Verdana"/>
          <w:b/>
          <w:bCs/>
          <w:color w:val="3E3E3E"/>
          <w:sz w:val="22"/>
          <w:szCs w:val="22"/>
        </w:rPr>
        <w:t>)</w:t>
      </w:r>
    </w:p>
    <w:p w14:paraId="0D329BE3" w14:textId="2EA12D86" w:rsidR="005A143B" w:rsidRDefault="005A143B"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Cloutier c. Langlois 1990 :</w:t>
      </w:r>
    </w:p>
    <w:p w14:paraId="785C354F" w14:textId="70538177" w:rsidR="005A143B" w:rsidRPr="00E15D85" w:rsidRDefault="005A143B" w:rsidP="00305ED6">
      <w:pPr>
        <w:pStyle w:val="Paragraphedeliste"/>
        <w:widowControl w:val="0"/>
        <w:numPr>
          <w:ilvl w:val="0"/>
          <w:numId w:val="81"/>
        </w:numPr>
        <w:autoSpaceDE w:val="0"/>
        <w:autoSpaceDN w:val="0"/>
        <w:adjustRightInd w:val="0"/>
        <w:spacing w:after="300"/>
        <w:jc w:val="both"/>
        <w:rPr>
          <w:rFonts w:ascii="Times New Roman" w:hAnsi="Times New Roman" w:cs="Verdana"/>
          <w:color w:val="3E3E3E"/>
          <w:sz w:val="20"/>
          <w:szCs w:val="20"/>
        </w:rPr>
      </w:pPr>
      <w:r w:rsidRPr="00E15D85">
        <w:rPr>
          <w:rFonts w:ascii="Times New Roman" w:hAnsi="Times New Roman" w:cs="Times New Roman"/>
          <w:sz w:val="20"/>
          <w:szCs w:val="20"/>
        </w:rPr>
        <w:t>j'estime que la fouille sommaire accessoire à une arrestation légale concilie ces deux impératifs en ce que l'intrusion minimale que représente la fouille est nécessaire pour assurer une saine administration de la justice criminelle.  Je suis d'accord avec l'opinion de la Cour d'appel de l'Ontario telle qu'exprimée dans</w:t>
      </w:r>
      <w:r w:rsidRPr="00E15D85">
        <w:rPr>
          <w:rFonts w:ascii="Times New Roman" w:hAnsi="Times New Roman" w:cs="Times New Roman"/>
          <w:i/>
          <w:iCs/>
          <w:sz w:val="20"/>
          <w:szCs w:val="20"/>
        </w:rPr>
        <w:t xml:space="preserve"> Brezack, Morrison</w:t>
      </w:r>
      <w:r w:rsidRPr="00E15D85">
        <w:rPr>
          <w:rFonts w:ascii="Times New Roman" w:hAnsi="Times New Roman" w:cs="Times New Roman"/>
          <w:sz w:val="20"/>
          <w:szCs w:val="20"/>
        </w:rPr>
        <w:t xml:space="preserve"> et</w:t>
      </w:r>
      <w:r w:rsidRPr="00E15D85">
        <w:rPr>
          <w:rFonts w:ascii="Times New Roman" w:hAnsi="Times New Roman" w:cs="Times New Roman"/>
          <w:i/>
          <w:iCs/>
          <w:sz w:val="20"/>
          <w:szCs w:val="20"/>
        </w:rPr>
        <w:t xml:space="preserve"> Miller</w:t>
      </w:r>
      <w:r w:rsidRPr="00E15D85">
        <w:rPr>
          <w:rFonts w:ascii="Times New Roman" w:hAnsi="Times New Roman" w:cs="Times New Roman"/>
          <w:sz w:val="20"/>
          <w:szCs w:val="20"/>
        </w:rPr>
        <w:t xml:space="preserve">, précités, à l'effet que la présence de motifs raisonnables et probables n'est pas un prérequis à l'existence du pouvoir de fouille par les policiers.  L'exercice de ce pouvoir n'est toutefois pas sans limites et je formulerais à cet égard les trois propositions suivantes qui se dégagent de la jurisprudence et de ma considération des intérêts sous-jacents [...] </w:t>
      </w:r>
    </w:p>
    <w:p w14:paraId="71A44302" w14:textId="77777777" w:rsidR="00D97A92" w:rsidRPr="00E15D85" w:rsidRDefault="00D97A92" w:rsidP="00D97A92">
      <w:pPr>
        <w:pStyle w:val="Paragraphedeliste"/>
        <w:widowControl w:val="0"/>
        <w:autoSpaceDE w:val="0"/>
        <w:autoSpaceDN w:val="0"/>
        <w:adjustRightInd w:val="0"/>
        <w:spacing w:after="300"/>
        <w:jc w:val="both"/>
        <w:rPr>
          <w:rFonts w:ascii="Times New Roman" w:hAnsi="Times New Roman" w:cs="Verdana"/>
          <w:color w:val="3E3E3E"/>
          <w:sz w:val="20"/>
          <w:szCs w:val="20"/>
        </w:rPr>
      </w:pPr>
    </w:p>
    <w:p w14:paraId="31DB1A06" w14:textId="77777777" w:rsidR="00D97A92" w:rsidRPr="00E15D85" w:rsidRDefault="00D97A92" w:rsidP="00D97A92">
      <w:pPr>
        <w:pStyle w:val="Paragraphedeliste"/>
        <w:jc w:val="both"/>
        <w:rPr>
          <w:rFonts w:ascii="Times New Roman" w:hAnsi="Times New Roman" w:cs="Times New Roman"/>
          <w:sz w:val="20"/>
          <w:szCs w:val="20"/>
        </w:rPr>
      </w:pPr>
      <w:r w:rsidRPr="00E15D85">
        <w:rPr>
          <w:rFonts w:ascii="Times New Roman" w:hAnsi="Times New Roman" w:cs="Times New Roman"/>
          <w:sz w:val="20"/>
          <w:szCs w:val="20"/>
        </w:rPr>
        <w:t>1.  Ce pouvoir n'impose pas de devoir.  Les policiers jouissent d'une discrétion dans l'exercice de la fouille.  Dans les cas où ils sont satisfaits que l'application de la loi peut s'effectuer d'une façon efficace et sécuritaire sans l'intervention d'une fouille, les policiers peuvent juger opportun de ne pas procéder à la fouille.  Ils doivent être en mesure d'apprécier les circonstances de chaque cas afin de déterminer si la fouille répond aux objectifs sous-jacents. </w:t>
      </w:r>
    </w:p>
    <w:p w14:paraId="45AB897B" w14:textId="77777777" w:rsidR="00D97A92" w:rsidRPr="00E15D85" w:rsidRDefault="00D97A92" w:rsidP="00D97A92">
      <w:pPr>
        <w:pStyle w:val="Paragraphedeliste"/>
        <w:jc w:val="both"/>
        <w:rPr>
          <w:rFonts w:ascii="Times New Roman" w:hAnsi="Times New Roman" w:cs="Times New Roman"/>
          <w:b/>
          <w:bCs/>
          <w:sz w:val="20"/>
          <w:szCs w:val="20"/>
        </w:rPr>
      </w:pPr>
    </w:p>
    <w:p w14:paraId="459AC8F0" w14:textId="292BC26B" w:rsidR="00D97A92" w:rsidRPr="00E15D85" w:rsidRDefault="00D97A92" w:rsidP="00D97A92">
      <w:pPr>
        <w:pStyle w:val="Paragraphedeliste"/>
        <w:jc w:val="both"/>
        <w:rPr>
          <w:rFonts w:ascii="Times New Roman" w:hAnsi="Times New Roman" w:cs="Times New Roman"/>
          <w:sz w:val="20"/>
          <w:szCs w:val="20"/>
          <w:u w:val="single"/>
        </w:rPr>
      </w:pPr>
      <w:r w:rsidRPr="00E15D85">
        <w:rPr>
          <w:rFonts w:ascii="Times New Roman" w:hAnsi="Times New Roman" w:cs="Times New Roman"/>
          <w:sz w:val="20"/>
          <w:szCs w:val="20"/>
        </w:rPr>
        <w:t>2</w:t>
      </w:r>
      <w:r w:rsidRPr="00E15D85">
        <w:rPr>
          <w:rFonts w:ascii="Times New Roman" w:hAnsi="Times New Roman" w:cs="Times New Roman"/>
          <w:b/>
          <w:sz w:val="20"/>
          <w:szCs w:val="20"/>
        </w:rPr>
        <w:t>.  La fouille doit viser un objectif valable dans la poursuite des fins de la justice criminelle, telle la découverte d'un objet pouvant menacer la sécurité des policiers, du prévenu ou du public, faciliter l'évasion ou constituer une preuve contre le prévenu</w:t>
      </w:r>
      <w:r w:rsidRPr="00E15D85">
        <w:rPr>
          <w:rFonts w:ascii="Times New Roman" w:hAnsi="Times New Roman" w:cs="Times New Roman"/>
          <w:sz w:val="20"/>
          <w:szCs w:val="20"/>
        </w:rPr>
        <w:t xml:space="preserve">.  </w:t>
      </w:r>
      <w:r w:rsidRPr="00E15D85">
        <w:rPr>
          <w:rFonts w:ascii="Times New Roman" w:hAnsi="Times New Roman" w:cs="Times New Roman"/>
          <w:sz w:val="20"/>
          <w:szCs w:val="20"/>
          <w:u w:val="single"/>
        </w:rPr>
        <w:t>Le but de la fouille ne doit pas être étranger aux fins d'une saine administration de la justice, ce qui serait le cas, par exemple, si la fouille avait pour but d'intimider le prévenu, de le ridiculiser ou  d'exercer une contrainte pour lui soutirer des aveux.</w:t>
      </w:r>
    </w:p>
    <w:p w14:paraId="60C600EF" w14:textId="77777777" w:rsidR="00D97A92" w:rsidRPr="00E15D85" w:rsidRDefault="00D97A92" w:rsidP="00D97A92">
      <w:pPr>
        <w:pStyle w:val="Paragraphedeliste"/>
        <w:jc w:val="both"/>
        <w:rPr>
          <w:rFonts w:ascii="Times New Roman" w:hAnsi="Times New Roman" w:cs="Times New Roman"/>
          <w:sz w:val="20"/>
          <w:szCs w:val="20"/>
        </w:rPr>
      </w:pPr>
    </w:p>
    <w:p w14:paraId="5FEA889C" w14:textId="4464FF55" w:rsidR="00D97A92" w:rsidRPr="00E15D85" w:rsidRDefault="00D97A92" w:rsidP="00D97A92">
      <w:pPr>
        <w:pStyle w:val="Paragraphedeliste"/>
        <w:jc w:val="both"/>
        <w:rPr>
          <w:rFonts w:ascii="Times New Roman" w:hAnsi="Times New Roman" w:cs="Times New Roman"/>
          <w:b/>
          <w:bCs/>
          <w:sz w:val="20"/>
          <w:szCs w:val="20"/>
        </w:rPr>
      </w:pPr>
      <w:r w:rsidRPr="00E15D85">
        <w:rPr>
          <w:rFonts w:ascii="Times New Roman" w:hAnsi="Times New Roman" w:cs="Times New Roman"/>
          <w:sz w:val="20"/>
          <w:szCs w:val="20"/>
        </w:rPr>
        <w:t>3.  La fouille ne doit pas être effectuée de façon abusive et, en particulier, l'usage de contrainte physique ou psychologique ne doit pas être hors de proportion avec les objectifs poursuivis et les autres circonstances de l'espèce.</w:t>
      </w:r>
    </w:p>
    <w:p w14:paraId="7098D2C7" w14:textId="77777777" w:rsidR="00D97A92" w:rsidRDefault="00D97A92" w:rsidP="00D97A92">
      <w:pPr>
        <w:widowControl w:val="0"/>
        <w:autoSpaceDE w:val="0"/>
        <w:autoSpaceDN w:val="0"/>
        <w:adjustRightInd w:val="0"/>
        <w:spacing w:after="300"/>
        <w:jc w:val="both"/>
        <w:rPr>
          <w:rFonts w:ascii="Times New Roman" w:hAnsi="Times New Roman" w:cs="Verdana"/>
          <w:color w:val="3E3E3E"/>
          <w:sz w:val="22"/>
          <w:szCs w:val="22"/>
        </w:rPr>
      </w:pPr>
    </w:p>
    <w:p w14:paraId="13272089" w14:textId="31D44E81" w:rsidR="00D97A92" w:rsidRDefault="00D97A92" w:rsidP="00D97A92">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Une fouille qui ne répond pas à ces objectifs pourrait manifestement être tenue pour abusive au sens de la Common law.</w:t>
      </w:r>
    </w:p>
    <w:p w14:paraId="2574F90B" w14:textId="1FE52F47" w:rsidR="00E15D85" w:rsidRDefault="00E15D85" w:rsidP="00D97A92">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Stillman 1997 :</w:t>
      </w:r>
    </w:p>
    <w:p w14:paraId="36537612" w14:textId="5366AE4B" w:rsidR="00E15D85" w:rsidRPr="00E15D85" w:rsidRDefault="00E15D85" w:rsidP="00305ED6">
      <w:pPr>
        <w:pStyle w:val="Paragraphedeliste"/>
        <w:widowControl w:val="0"/>
        <w:numPr>
          <w:ilvl w:val="0"/>
          <w:numId w:val="81"/>
        </w:numPr>
        <w:autoSpaceDE w:val="0"/>
        <w:autoSpaceDN w:val="0"/>
        <w:adjustRightInd w:val="0"/>
        <w:spacing w:after="300"/>
        <w:jc w:val="both"/>
        <w:rPr>
          <w:rFonts w:ascii="Times New Roman" w:hAnsi="Times New Roman" w:cs="Verdana"/>
          <w:b/>
          <w:i/>
          <w:color w:val="3E3E3E"/>
          <w:sz w:val="20"/>
          <w:szCs w:val="20"/>
        </w:rPr>
      </w:pPr>
      <w:r w:rsidRPr="00E15D85">
        <w:rPr>
          <w:rFonts w:ascii="Times New Roman" w:hAnsi="Times New Roman" w:cs="Times New Roman"/>
          <w:sz w:val="20"/>
          <w:szCs w:val="20"/>
        </w:rPr>
        <w:t>Trois conditions doivent être remplies pour qu’une fouille soit validement effectuée en vertu du pouvoir de common law de procéder à une fouille accessoire à une arrestation légale.  Premièrement, l’arrestation doit être légale.  Aucune fouille, si raisonnable soit</w:t>
      </w:r>
      <w:r w:rsidRPr="00E15D85">
        <w:rPr>
          <w:rFonts w:ascii="PT Sans" w:hAnsi="PT Sans" w:cs="PT Sans"/>
          <w:sz w:val="20"/>
          <w:szCs w:val="20"/>
        </w:rPr>
        <w:t>‑</w:t>
      </w:r>
      <w:r w:rsidRPr="00E15D85">
        <w:rPr>
          <w:rFonts w:ascii="Times New Roman" w:hAnsi="Times New Roman" w:cs="Times New Roman"/>
          <w:sz w:val="20"/>
          <w:szCs w:val="20"/>
        </w:rPr>
        <w:t>elle, ne peut être validée par ce pouvoir de common law si l’arrestation qui y a donné lieu a été arbitraire ou par ailleurs illégale.  Deuxièmement, la fouille doit avoir été effectuée «accessoirement» à l’arrestation légale.  À ces conditions qui sont presque évidentes en soi, il faut en ajouter une troisième, qui s’applique à toutes les fouilles effectuées par la police:  la fouille doit être effectuée de manière raisonnable [27].</w:t>
      </w:r>
    </w:p>
    <w:p w14:paraId="5BCBD24A" w14:textId="666CA5BA" w:rsidR="00E15D85" w:rsidRDefault="006D493E" w:rsidP="00E15D85">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Caslake 1998 (p.24</w:t>
      </w:r>
      <w:r w:rsidR="00E15D85">
        <w:rPr>
          <w:rFonts w:ascii="Times New Roman" w:hAnsi="Times New Roman" w:cs="Verdana"/>
          <w:b/>
          <w:i/>
          <w:color w:val="3E3E3E"/>
          <w:sz w:val="22"/>
          <w:szCs w:val="22"/>
        </w:rPr>
        <w:t>) :</w:t>
      </w:r>
    </w:p>
    <w:p w14:paraId="553D9F7A" w14:textId="48EBEA83" w:rsidR="00E15D85" w:rsidRPr="00D5257B" w:rsidRDefault="00D5257B" w:rsidP="00305ED6">
      <w:pPr>
        <w:pStyle w:val="Paragraphedeliste"/>
        <w:widowControl w:val="0"/>
        <w:numPr>
          <w:ilvl w:val="0"/>
          <w:numId w:val="81"/>
        </w:numPr>
        <w:autoSpaceDE w:val="0"/>
        <w:autoSpaceDN w:val="0"/>
        <w:adjustRightInd w:val="0"/>
        <w:spacing w:after="300"/>
        <w:jc w:val="both"/>
        <w:rPr>
          <w:rFonts w:ascii="Times New Roman" w:hAnsi="Times New Roman" w:cs="Verdana"/>
          <w:b/>
          <w:i/>
          <w:color w:val="3E3E3E"/>
          <w:sz w:val="22"/>
          <w:szCs w:val="22"/>
        </w:rPr>
      </w:pPr>
      <w:r w:rsidRPr="007C3B8C">
        <w:rPr>
          <w:rFonts w:ascii="Times New Roman" w:hAnsi="Times New Roman" w:cs="Times New Roman"/>
          <w:sz w:val="22"/>
          <w:szCs w:val="22"/>
        </w:rPr>
        <w:t xml:space="preserve">Dans </w:t>
      </w:r>
      <w:r w:rsidRPr="007C3B8C">
        <w:rPr>
          <w:rFonts w:ascii="Times New Roman" w:hAnsi="Times New Roman" w:cs="Times New Roman"/>
          <w:i/>
          <w:iCs/>
          <w:sz w:val="22"/>
          <w:szCs w:val="22"/>
        </w:rPr>
        <w:t>Cloutier</w:t>
      </w:r>
      <w:r w:rsidRPr="007C3B8C">
        <w:rPr>
          <w:rFonts w:ascii="Times New Roman" w:hAnsi="Times New Roman" w:cs="Times New Roman"/>
          <w:sz w:val="22"/>
          <w:szCs w:val="22"/>
        </w:rPr>
        <w:t>, précité, ma collègue le juge L’Heureux</w:t>
      </w:r>
      <w:r w:rsidRPr="007C3B8C">
        <w:rPr>
          <w:rFonts w:ascii="PT Sans" w:hAnsi="PT Sans" w:cs="PT Sans"/>
          <w:sz w:val="22"/>
          <w:szCs w:val="22"/>
        </w:rPr>
        <w:t>‑</w:t>
      </w:r>
      <w:r w:rsidRPr="007C3B8C">
        <w:rPr>
          <w:rFonts w:ascii="Times New Roman" w:hAnsi="Times New Roman" w:cs="Times New Roman"/>
          <w:sz w:val="22"/>
          <w:szCs w:val="22"/>
        </w:rPr>
        <w:t xml:space="preserve">Dubé (au nom de la Cour à l’unanimité) a analysé ce pouvoir en détail.  Elle a conclu qu’il constitue une exception aux conditions ordinaires d’une fouille non abusive (énoncées dans </w:t>
      </w:r>
      <w:r w:rsidRPr="007C3B8C">
        <w:rPr>
          <w:rFonts w:ascii="Times New Roman" w:hAnsi="Times New Roman" w:cs="Times New Roman"/>
          <w:i/>
          <w:iCs/>
          <w:sz w:val="22"/>
          <w:szCs w:val="22"/>
        </w:rPr>
        <w:t>Hunter</w:t>
      </w:r>
      <w:r w:rsidRPr="007C3B8C">
        <w:rPr>
          <w:rFonts w:ascii="Times New Roman" w:hAnsi="Times New Roman" w:cs="Times New Roman"/>
          <w:sz w:val="22"/>
          <w:szCs w:val="22"/>
        </w:rPr>
        <w:t>, précité), du fait qu’il ne requiert ni mandat ni motifs raisonnables et probables indépendants.  Au contraire, le droit de fouiller découle de l’arrestation même.  Cela est justifiable du fait que l’arrestation elle</w:t>
      </w:r>
      <w:r w:rsidRPr="007C3B8C">
        <w:rPr>
          <w:rFonts w:ascii="PT Sans" w:hAnsi="PT Sans" w:cs="PT Sans"/>
          <w:sz w:val="22"/>
          <w:szCs w:val="22"/>
        </w:rPr>
        <w:t>‑</w:t>
      </w:r>
      <w:r w:rsidRPr="007C3B8C">
        <w:rPr>
          <w:rFonts w:ascii="Times New Roman" w:hAnsi="Times New Roman" w:cs="Times New Roman"/>
          <w:sz w:val="22"/>
          <w:szCs w:val="22"/>
        </w:rPr>
        <w:t xml:space="preserve">même requiert l’existence de motifs raisonnables et probables (en vertu de l’art. 494 du </w:t>
      </w:r>
      <w:r w:rsidRPr="007C3B8C">
        <w:rPr>
          <w:rFonts w:ascii="Times New Roman" w:hAnsi="Times New Roman" w:cs="Times New Roman"/>
          <w:i/>
          <w:iCs/>
          <w:sz w:val="22"/>
          <w:szCs w:val="22"/>
        </w:rPr>
        <w:t>Code</w:t>
      </w:r>
      <w:r w:rsidRPr="007C3B8C">
        <w:rPr>
          <w:rFonts w:ascii="Times New Roman" w:hAnsi="Times New Roman" w:cs="Times New Roman"/>
          <w:sz w:val="22"/>
          <w:szCs w:val="22"/>
        </w:rPr>
        <w:t>) ou un mandat d’arrestation (en vertu de l’art. 495).  Cependant, étant donné que la légalité de la fouille dépend de la légalité de l’arrestation, s’il s’avère ultérieurement que l’arrestation était invalide, la fouille le sera aussi</w:t>
      </w:r>
      <w:r>
        <w:rPr>
          <w:rFonts w:ascii="Times New Roman" w:hAnsi="Times New Roman" w:cs="Times New Roman"/>
          <w:sz w:val="22"/>
          <w:szCs w:val="22"/>
        </w:rPr>
        <w:t xml:space="preserve"> [13].</w:t>
      </w:r>
    </w:p>
    <w:p w14:paraId="1D907989" w14:textId="62E2567F" w:rsidR="00D5257B" w:rsidRDefault="00D5257B" w:rsidP="00D5257B">
      <w:pPr>
        <w:widowControl w:val="0"/>
        <w:autoSpaceDE w:val="0"/>
        <w:autoSpaceDN w:val="0"/>
        <w:adjustRightInd w:val="0"/>
        <w:spacing w:after="300"/>
        <w:jc w:val="both"/>
        <w:rPr>
          <w:rFonts w:ascii="Times New Roman" w:hAnsi="Times New Roman" w:cs="Verdana"/>
          <w:b/>
          <w:color w:val="3E3E3E"/>
          <w:sz w:val="22"/>
          <w:szCs w:val="22"/>
        </w:rPr>
      </w:pPr>
      <w:r>
        <w:rPr>
          <w:rFonts w:ascii="Times New Roman" w:hAnsi="Times New Roman" w:cs="Verdana"/>
          <w:color w:val="3E3E3E"/>
          <w:sz w:val="22"/>
          <w:szCs w:val="22"/>
        </w:rPr>
        <w:t>Par ailleurs, lorsqu’on dit que la fouille est accessoire à une arrestation : c’est qu’</w:t>
      </w:r>
      <w:r>
        <w:rPr>
          <w:rFonts w:ascii="Times New Roman" w:hAnsi="Times New Roman" w:cs="Verdana"/>
          <w:b/>
          <w:color w:val="3E3E3E"/>
          <w:sz w:val="22"/>
          <w:szCs w:val="22"/>
        </w:rPr>
        <w:t>elle doit être en lien avec l’arrestation :</w:t>
      </w:r>
    </w:p>
    <w:p w14:paraId="5AC83ECB" w14:textId="116A6F62" w:rsidR="00D5257B" w:rsidRPr="00D5257B" w:rsidRDefault="00D5257B" w:rsidP="00305ED6">
      <w:pPr>
        <w:pStyle w:val="Paragraphedeliste"/>
        <w:widowControl w:val="0"/>
        <w:numPr>
          <w:ilvl w:val="0"/>
          <w:numId w:val="81"/>
        </w:numPr>
        <w:autoSpaceDE w:val="0"/>
        <w:autoSpaceDN w:val="0"/>
        <w:adjustRightInd w:val="0"/>
        <w:spacing w:after="300"/>
        <w:jc w:val="both"/>
        <w:rPr>
          <w:rFonts w:ascii="Times New Roman" w:hAnsi="Times New Roman" w:cs="Verdana"/>
          <w:color w:val="3E3E3E"/>
          <w:sz w:val="22"/>
          <w:szCs w:val="22"/>
        </w:rPr>
      </w:pPr>
      <w:r w:rsidRPr="0034340F">
        <w:rPr>
          <w:rFonts w:ascii="Times New Roman" w:hAnsi="Times New Roman" w:cs="Times New Roman"/>
          <w:sz w:val="20"/>
          <w:szCs w:val="20"/>
        </w:rPr>
        <w:t>La condition que la fouille soit «vraiment accessoire» à l’arrestation signifie que les policiers doivent tenter de réaliser un objectif valable lié à l’arrestation.  L’existence d’un tel objectif dépendra de ce que les policiers cherchaient et des raisons pour lesquelles ils le faisaient.  Cette question comporte à la fois un aspect subjectif et un aspect objectif.  Selon moi, les policiers doivent avoir à l’esprit l’un des objectifs d’une fouille valide effectuée accessoirement à une arrestation lorsqu’ils procèdent à la fouille.  En outre, la conviction du policier que la fouille permettra de réaliser cet objectif doit être raisonnable</w:t>
      </w:r>
      <w:r>
        <w:rPr>
          <w:rFonts w:ascii="Times New Roman" w:hAnsi="Times New Roman" w:cs="Times New Roman"/>
          <w:sz w:val="20"/>
          <w:szCs w:val="20"/>
        </w:rPr>
        <w:t xml:space="preserve"> [19].</w:t>
      </w:r>
    </w:p>
    <w:p w14:paraId="65189F0E" w14:textId="149BDDEB" w:rsidR="00E15D85" w:rsidRPr="00D5257B" w:rsidRDefault="00D5257B" w:rsidP="00305ED6">
      <w:pPr>
        <w:pStyle w:val="Paragraphedeliste"/>
        <w:widowControl w:val="0"/>
        <w:numPr>
          <w:ilvl w:val="0"/>
          <w:numId w:val="81"/>
        </w:numPr>
        <w:autoSpaceDE w:val="0"/>
        <w:autoSpaceDN w:val="0"/>
        <w:adjustRightInd w:val="0"/>
        <w:spacing w:after="300"/>
        <w:jc w:val="both"/>
        <w:rPr>
          <w:rFonts w:ascii="Times New Roman" w:hAnsi="Times New Roman" w:cs="Verdana"/>
          <w:color w:val="3E3E3E"/>
          <w:sz w:val="22"/>
          <w:szCs w:val="22"/>
        </w:rPr>
      </w:pPr>
      <w:r w:rsidRPr="0034340F">
        <w:rPr>
          <w:rFonts w:ascii="Times New Roman" w:hAnsi="Times New Roman" w:cs="Times New Roman"/>
          <w:sz w:val="20"/>
          <w:szCs w:val="20"/>
        </w:rPr>
        <w:t xml:space="preserve">Exiger que la fouille soit vraiment accessoire à l’arrestation signifie que, si la raison d’être de la fouille est la découverte d’éléments de preuve, il doit y avoir des chances raisonnables de trouver des éléments de preuve </w:t>
      </w:r>
      <w:r w:rsidRPr="0034340F">
        <w:rPr>
          <w:rFonts w:ascii="Times New Roman" w:hAnsi="Times New Roman" w:cs="Times New Roman"/>
          <w:sz w:val="20"/>
          <w:szCs w:val="20"/>
          <w:u w:val="single"/>
        </w:rPr>
        <w:t>de l’infraction pour laquelle l’accusé est arrêté</w:t>
      </w:r>
      <w:r w:rsidRPr="0034340F">
        <w:rPr>
          <w:rFonts w:ascii="Times New Roman" w:hAnsi="Times New Roman" w:cs="Times New Roman"/>
          <w:sz w:val="20"/>
          <w:szCs w:val="20"/>
        </w:rPr>
        <w:t xml:space="preserve">.  Par exemple, lorsque l’arrestation a trait à une infraction au code de la route, dès que les policiers ont fait ce qu’il faut pour assurer leur propre sécurité, rien ne peut justifier de fouiller davantage (voir </w:t>
      </w:r>
      <w:r w:rsidRPr="0034340F">
        <w:rPr>
          <w:rFonts w:ascii="Times New Roman" w:hAnsi="Times New Roman" w:cs="Times New Roman"/>
          <w:i/>
          <w:iCs/>
          <w:sz w:val="20"/>
          <w:szCs w:val="20"/>
        </w:rPr>
        <w:t>Belnavis</w:t>
      </w:r>
      <w:r w:rsidRPr="0034340F">
        <w:rPr>
          <w:rFonts w:ascii="Times New Roman" w:hAnsi="Times New Roman" w:cs="Times New Roman"/>
          <w:sz w:val="20"/>
          <w:szCs w:val="20"/>
        </w:rPr>
        <w:t>, précité)</w:t>
      </w:r>
      <w:r>
        <w:rPr>
          <w:rFonts w:ascii="Times New Roman" w:hAnsi="Times New Roman" w:cs="Times New Roman"/>
          <w:sz w:val="20"/>
          <w:szCs w:val="20"/>
        </w:rPr>
        <w:t xml:space="preserve"> [22].</w:t>
      </w:r>
    </w:p>
    <w:p w14:paraId="3153E5D6" w14:textId="422E5C4A"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A. Fouille d'une personne</w:t>
      </w:r>
      <w:r w:rsidR="006D493E">
        <w:rPr>
          <w:rFonts w:ascii="Times New Roman" w:hAnsi="Times New Roman" w:cs="Verdana"/>
          <w:b/>
          <w:bCs/>
          <w:color w:val="3E3E3E"/>
          <w:sz w:val="22"/>
          <w:szCs w:val="22"/>
        </w:rPr>
        <w:t xml:space="preserve"> (p.25</w:t>
      </w:r>
      <w:r w:rsidR="00D5257B">
        <w:rPr>
          <w:rFonts w:ascii="Times New Roman" w:hAnsi="Times New Roman" w:cs="Verdana"/>
          <w:b/>
          <w:bCs/>
          <w:color w:val="3E3E3E"/>
          <w:sz w:val="22"/>
          <w:szCs w:val="22"/>
        </w:rPr>
        <w:t>)</w:t>
      </w:r>
    </w:p>
    <w:p w14:paraId="3A9D2F0D" w14:textId="6087B9DC" w:rsidR="00D5257B" w:rsidRDefault="00D5257B" w:rsidP="009F4734">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Cloutier c. Langlois 1990 :</w:t>
      </w:r>
    </w:p>
    <w:p w14:paraId="51F21A3E" w14:textId="72F74B4C" w:rsidR="00D5257B" w:rsidRPr="00105E61" w:rsidRDefault="00D5257B" w:rsidP="00305ED6">
      <w:pPr>
        <w:pStyle w:val="Paragraphedeliste"/>
        <w:widowControl w:val="0"/>
        <w:numPr>
          <w:ilvl w:val="0"/>
          <w:numId w:val="82"/>
        </w:numPr>
        <w:autoSpaceDE w:val="0"/>
        <w:autoSpaceDN w:val="0"/>
        <w:adjustRightInd w:val="0"/>
        <w:spacing w:after="300"/>
        <w:jc w:val="both"/>
        <w:rPr>
          <w:rFonts w:ascii="Times New Roman" w:hAnsi="Times New Roman" w:cs="Verdana"/>
          <w:bCs/>
          <w:color w:val="3E3E3E"/>
          <w:sz w:val="22"/>
          <w:szCs w:val="22"/>
        </w:rPr>
      </w:pPr>
      <w:r w:rsidRPr="007C3B8C">
        <w:rPr>
          <w:rFonts w:ascii="Times New Roman" w:hAnsi="Times New Roman" w:cs="Times New Roman"/>
          <w:sz w:val="22"/>
          <w:szCs w:val="22"/>
        </w:rPr>
        <w:t>La fouille sommaire constitue à cet égard un mécanisme relativement peu intrusif:  les vêtements sont palpés de façon à vérifier par l'extérieur la présence d'objets sur la personne mise en état d'arrestation.  Les poches peuvent être examinées mais les vêtements ne sont pas retirés et aucune force physique n'est appliquée.  La fouille ne dure que quelques secondes</w:t>
      </w:r>
      <w:r>
        <w:rPr>
          <w:rFonts w:ascii="Times New Roman" w:hAnsi="Times New Roman" w:cs="Times New Roman"/>
          <w:sz w:val="22"/>
          <w:szCs w:val="22"/>
        </w:rPr>
        <w:t xml:space="preserve"> [...] </w:t>
      </w:r>
      <w:r w:rsidRPr="007C3B8C">
        <w:rPr>
          <w:rFonts w:ascii="Times New Roman" w:hAnsi="Times New Roman" w:cs="Times New Roman"/>
          <w:sz w:val="22"/>
          <w:szCs w:val="22"/>
        </w:rPr>
        <w:t>une fouille sommaire ne constitue pas une entrave abusive à la liberté des personnes légalement mises en état d'arrestation, compte tenu des objectifs poursuivis.  Il n'existe pas de moyen moins intrusif qui permette d'atteindre ces objectifs</w:t>
      </w:r>
      <w:r>
        <w:rPr>
          <w:rFonts w:ascii="Times New Roman" w:hAnsi="Times New Roman" w:cs="Times New Roman"/>
          <w:sz w:val="22"/>
          <w:szCs w:val="22"/>
        </w:rPr>
        <w:t>.</w:t>
      </w:r>
    </w:p>
    <w:p w14:paraId="0F8B5BB1" w14:textId="6BDB6C70" w:rsidR="00105E61" w:rsidRDefault="00105E61" w:rsidP="00105E61">
      <w:pPr>
        <w:widowControl w:val="0"/>
        <w:autoSpaceDE w:val="0"/>
        <w:autoSpaceDN w:val="0"/>
        <w:adjustRightInd w:val="0"/>
        <w:spacing w:after="300"/>
        <w:jc w:val="both"/>
        <w:rPr>
          <w:rFonts w:ascii="Times New Roman" w:hAnsi="Times New Roman" w:cs="Verdana"/>
          <w:b/>
          <w:bCs/>
          <w:color w:val="3E3E3E"/>
          <w:sz w:val="22"/>
          <w:szCs w:val="22"/>
        </w:rPr>
      </w:pPr>
      <w:r>
        <w:rPr>
          <w:rFonts w:ascii="Times New Roman" w:hAnsi="Times New Roman" w:cs="Verdana"/>
          <w:b/>
          <w:bCs/>
          <w:color w:val="3E3E3E"/>
          <w:sz w:val="22"/>
          <w:szCs w:val="22"/>
        </w:rPr>
        <w:t>R. c. Stillman 1997 :</w:t>
      </w:r>
    </w:p>
    <w:p w14:paraId="5BDBE5F1" w14:textId="73FD3B50" w:rsidR="00105E61" w:rsidRPr="00A66888" w:rsidRDefault="00A66888" w:rsidP="00305ED6">
      <w:pPr>
        <w:pStyle w:val="Paragraphedeliste"/>
        <w:widowControl w:val="0"/>
        <w:numPr>
          <w:ilvl w:val="0"/>
          <w:numId w:val="82"/>
        </w:numPr>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Times New Roman"/>
          <w:sz w:val="20"/>
          <w:szCs w:val="20"/>
        </w:rPr>
        <w:t>O</w:t>
      </w:r>
      <w:r w:rsidRPr="00CB6337">
        <w:rPr>
          <w:rFonts w:ascii="Times New Roman" w:hAnsi="Times New Roman" w:cs="Times New Roman"/>
          <w:sz w:val="20"/>
          <w:szCs w:val="20"/>
        </w:rPr>
        <w:t xml:space="preserve">n a fait remarquer que, puisque la police ne peut entrer sans mandat chez quelqu’un pour y chercher des cheveux, elle ne devrait pas être autorisée, dans le cours de son enquête, à prélever des cheveux d’une personne qu’elle vient d’arrêter.  </w:t>
      </w:r>
      <w:r w:rsidRPr="00CB6337">
        <w:rPr>
          <w:rFonts w:ascii="Times New Roman" w:hAnsi="Times New Roman" w:cs="Times New Roman"/>
          <w:b/>
          <w:sz w:val="20"/>
          <w:szCs w:val="20"/>
        </w:rPr>
        <w:t>On a conclu que, d’après les faits de cette affaire, la saisie des échantillons de cheveux n’était pas accessoire à l’arrestation</w:t>
      </w:r>
      <w:r w:rsidRPr="00CB6337">
        <w:rPr>
          <w:rFonts w:ascii="Times New Roman" w:hAnsi="Times New Roman" w:cs="Times New Roman"/>
          <w:sz w:val="20"/>
          <w:szCs w:val="20"/>
        </w:rPr>
        <w:t>.  Le juge Angers affirme, au nom de la cour, à la p. 379, que  [TRADUCTION] «le prélèvement de parties du corps d’une personne, effectué de force et en l’absence d’une loi l’autorisant, est une atteinte au droit à la sécurité de la personne et constitue une saisie abusive»</w:t>
      </w:r>
      <w:r>
        <w:rPr>
          <w:rFonts w:ascii="Times New Roman" w:hAnsi="Times New Roman" w:cs="Times New Roman"/>
          <w:sz w:val="20"/>
          <w:szCs w:val="20"/>
        </w:rPr>
        <w:t xml:space="preserve"> [41].</w:t>
      </w:r>
    </w:p>
    <w:p w14:paraId="62C7A73E" w14:textId="0A08763C" w:rsidR="00A66888" w:rsidRPr="00A66888" w:rsidRDefault="00A66888" w:rsidP="00305ED6">
      <w:pPr>
        <w:pStyle w:val="Paragraphedeliste"/>
        <w:widowControl w:val="0"/>
        <w:numPr>
          <w:ilvl w:val="0"/>
          <w:numId w:val="82"/>
        </w:numPr>
        <w:autoSpaceDE w:val="0"/>
        <w:autoSpaceDN w:val="0"/>
        <w:adjustRightInd w:val="0"/>
        <w:spacing w:after="300"/>
        <w:jc w:val="both"/>
        <w:rPr>
          <w:rFonts w:ascii="Times New Roman" w:hAnsi="Times New Roman" w:cs="Verdana"/>
          <w:bCs/>
          <w:color w:val="3E3E3E"/>
          <w:sz w:val="22"/>
          <w:szCs w:val="22"/>
        </w:rPr>
      </w:pPr>
      <w:r w:rsidRPr="00CB6337">
        <w:rPr>
          <w:rFonts w:ascii="Times New Roman" w:hAnsi="Times New Roman" w:cs="Times New Roman"/>
          <w:sz w:val="20"/>
          <w:szCs w:val="20"/>
        </w:rPr>
        <w:t>Le pouvoir de common law ne peut pas être étendu au point d’habiliter les policiers à saisir des échantillons de substances corporelles.  Ces échantillons ne risquent pas habituellement de disparaître.  En l’espèce, il n’y avait aucune chance que les empreintes dentaires de l’appelant ou le profil génétique de ses follicules pileux changent avec le</w:t>
      </w:r>
      <w:r>
        <w:rPr>
          <w:rFonts w:ascii="Times New Roman" w:hAnsi="Times New Roman" w:cs="Times New Roman"/>
          <w:sz w:val="20"/>
          <w:szCs w:val="20"/>
        </w:rPr>
        <w:t xml:space="preserve"> temps [...]</w:t>
      </w:r>
      <w:r w:rsidRPr="00CB6337">
        <w:rPr>
          <w:rFonts w:ascii="Times New Roman" w:hAnsi="Times New Roman" w:cs="Times New Roman"/>
          <w:sz w:val="20"/>
          <w:szCs w:val="20"/>
        </w:rPr>
        <w:t>Le pouvoir de common law de procéder à une fouille accessoire à une arrestation ne peut pas être large au point de viser la saisie d’échantillons de substances corporelles effectuée sans autorisation légale valide et malgré un refus de les fournir.  S’il est large à ce point, alors la règle de common law elle</w:t>
      </w:r>
      <w:r w:rsidRPr="00CB6337">
        <w:rPr>
          <w:rFonts w:ascii="PT Sans" w:hAnsi="PT Sans" w:cs="PT Sans"/>
          <w:sz w:val="20"/>
          <w:szCs w:val="20"/>
        </w:rPr>
        <w:t>‑</w:t>
      </w:r>
      <w:r w:rsidRPr="00CB6337">
        <w:rPr>
          <w:rFonts w:ascii="Times New Roman" w:hAnsi="Times New Roman" w:cs="Times New Roman"/>
          <w:sz w:val="20"/>
          <w:szCs w:val="20"/>
        </w:rPr>
        <w:t>même est abusive parce qu’elle est trop générale et ne pondère pas adéquatement les droits qui s’opposent</w:t>
      </w:r>
      <w:r>
        <w:rPr>
          <w:rFonts w:ascii="Times New Roman" w:hAnsi="Times New Roman" w:cs="Times New Roman"/>
          <w:sz w:val="20"/>
          <w:szCs w:val="20"/>
        </w:rPr>
        <w:t xml:space="preserve"> [49].</w:t>
      </w:r>
    </w:p>
    <w:p w14:paraId="01AC8709" w14:textId="5379C623" w:rsidR="00A66888" w:rsidRDefault="00A66888" w:rsidP="00A66888">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Il est possible d’effectuer une fouil</w:t>
      </w:r>
      <w:r w:rsidR="006D493E">
        <w:rPr>
          <w:rFonts w:ascii="Times New Roman" w:hAnsi="Times New Roman" w:cs="Verdana"/>
          <w:bCs/>
          <w:color w:val="3E3E3E"/>
          <w:sz w:val="22"/>
          <w:szCs w:val="22"/>
        </w:rPr>
        <w:t>le à nu par les constables (p.26</w:t>
      </w:r>
      <w:r>
        <w:rPr>
          <w:rFonts w:ascii="Times New Roman" w:hAnsi="Times New Roman" w:cs="Verdana"/>
          <w:bCs/>
          <w:color w:val="3E3E3E"/>
          <w:sz w:val="22"/>
          <w:szCs w:val="22"/>
        </w:rPr>
        <w:t>) :</w:t>
      </w:r>
    </w:p>
    <w:p w14:paraId="59B6AB33" w14:textId="4AAD9FD9" w:rsidR="00A66888" w:rsidRDefault="00A66888" w:rsidP="00A66888">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Golden 2001 :</w:t>
      </w:r>
    </w:p>
    <w:p w14:paraId="01DA2499" w14:textId="06843070" w:rsidR="00A66888" w:rsidRPr="00305ED6" w:rsidRDefault="00A66888"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b/>
          <w:sz w:val="20"/>
          <w:szCs w:val="20"/>
        </w:rPr>
        <w:t>L’appelant fait valoir que la définition suivante décrit correctement l’expression « fouille</w:t>
      </w:r>
      <w:r w:rsidRPr="00305ED6">
        <w:rPr>
          <w:rFonts w:ascii="Times New Roman" w:hAnsi="Times New Roman" w:cs="Times New Roman"/>
          <w:sz w:val="20"/>
          <w:szCs w:val="20"/>
        </w:rPr>
        <w:t xml:space="preserve"> à nu » : action d’enlever ou de déplacer en totalité ou en partie les vêtements d’une personne afin de permettre l’inspection visuelle de ses parties intimes, à savoir ses organes génitaux externes, ses fesses, ses seins (dans le cas d’une femme) ou ses sous</w:t>
      </w:r>
      <w:r w:rsidRPr="00305ED6">
        <w:rPr>
          <w:rFonts w:ascii="PT Sans" w:hAnsi="PT Sans" w:cs="PT Sans"/>
          <w:sz w:val="20"/>
          <w:szCs w:val="20"/>
        </w:rPr>
        <w:t>‑</w:t>
      </w:r>
      <w:r w:rsidRPr="00305ED6">
        <w:rPr>
          <w:rFonts w:ascii="Times New Roman" w:hAnsi="Times New Roman" w:cs="Times New Roman"/>
          <w:sz w:val="20"/>
          <w:szCs w:val="20"/>
        </w:rPr>
        <w:t>vêtements.  Cette définition reflète essentiellement la définition de la fouille à nu qui a été adoptée dans nombre de dispositions législatives et de manuels de politique au Canada et à l’étranger [47].</w:t>
      </w:r>
    </w:p>
    <w:p w14:paraId="31FD46FF" w14:textId="613AD576" w:rsidR="00A66888" w:rsidRPr="00305ED6" w:rsidRDefault="00A66888"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Pour qu’une fouille à nu puisse être justifiée comme accessoire à une arrestation, il faut nécessairement, bien sûr, que l’arrestation elle-même soit légale [91]</w:t>
      </w:r>
    </w:p>
    <w:p w14:paraId="043786CB" w14:textId="1EA453D3" w:rsidR="00A66888" w:rsidRPr="00305ED6" w:rsidRDefault="00A66888"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 xml:space="preserve">La deuxième exigence à respecter pour qu’une fouille à nu accessoire à une arrestation puisse être effectuée a trait au caractère </w:t>
      </w:r>
      <w:r w:rsidRPr="00305ED6">
        <w:rPr>
          <w:rFonts w:ascii="Times New Roman" w:hAnsi="Times New Roman" w:cs="Times New Roman"/>
          <w:sz w:val="20"/>
          <w:szCs w:val="20"/>
          <w:u w:val="single"/>
        </w:rPr>
        <w:t>accessoire</w:t>
      </w:r>
      <w:r w:rsidRPr="00305ED6">
        <w:rPr>
          <w:rFonts w:ascii="Times New Roman" w:hAnsi="Times New Roman" w:cs="Times New Roman"/>
          <w:sz w:val="20"/>
          <w:szCs w:val="20"/>
        </w:rPr>
        <w:t xml:space="preserve"> de la fouille par rapport à l’arrestation.  Cela signifie que la fouille doit avoir un lien avec les motifs de l’arrestation en soi.  Ainsi que l’a mentionné le juge en chef Lamer dans l’arrêt </w:t>
      </w:r>
      <w:r w:rsidRPr="00305ED6">
        <w:rPr>
          <w:rFonts w:ascii="Times New Roman" w:hAnsi="Times New Roman" w:cs="Times New Roman"/>
          <w:i/>
          <w:iCs/>
          <w:sz w:val="20"/>
          <w:szCs w:val="20"/>
        </w:rPr>
        <w:t>Caslake</w:t>
      </w:r>
      <w:r w:rsidRPr="00305ED6">
        <w:rPr>
          <w:rFonts w:ascii="Times New Roman" w:hAnsi="Times New Roman" w:cs="Times New Roman"/>
          <w:sz w:val="20"/>
          <w:szCs w:val="20"/>
        </w:rPr>
        <w:t>, précité, par. 17, la fouille « ne peut se justifier que si son but est lié à celui de l’arrestation [92]</w:t>
      </w:r>
    </w:p>
    <w:p w14:paraId="7A7F0260" w14:textId="33424206" w:rsidR="00305ED6" w:rsidRPr="00305ED6" w:rsidRDefault="00305ED6"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Le caractère raisonnable d’une fouille visant la preuve tient à la nécessité de préserver la preuve et d’empêcher la personne arrêtée de la faire disparaître.  Lorsque les agents qui procèdent à l’arrestation soupçonnent que des éléments de preuve peuvent avoir été cachés dans des parties du corps que seule une fouille à nu peut permettre d’examiner, ils doivent évaluer de façon raisonnable le risque de disparition de la preuve dans les circonstances. [93].</w:t>
      </w:r>
    </w:p>
    <w:p w14:paraId="35147EFD" w14:textId="56643404" w:rsidR="00305ED6" w:rsidRPr="00305ED6" w:rsidRDefault="00305ED6"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Outre la recherche d’éléments de preuve liés au motif de l’arrestation, la common law autorise aussi la police, lors d’une arrestation, à rechercher des armes afin d’assurer la sécurité de la police, celle de la personne détenue et celle d’autrui. Toutefois, une fouille sommaire ou par palpation sur les lieux de l’arrestation suffit généralement à déterminer si l’accusé a caché des armes sur lui.  Ce n’est que si la fouille sommaire révèle que la personne détenue cache peut-être sur elle une arme ou que les circonstances particulières de l’espèce soulèvent le risque qu’elle ait sur elle une arme cachée qu’une fouille à nu sera justifiée [94].</w:t>
      </w:r>
    </w:p>
    <w:p w14:paraId="0B261D54" w14:textId="3A0A1D68" w:rsidR="00305ED6" w:rsidRPr="00305ED6" w:rsidRDefault="00305ED6"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 xml:space="preserve">Le fait qu’une fouille à nu soit effectuée dans le cadre d’une politique systématique de la police et qu’elle soit pratiquée de façon raisonnable ne change rien à son caractère abusif au sens de l’art. 8 de la </w:t>
      </w:r>
      <w:r w:rsidRPr="00305ED6">
        <w:rPr>
          <w:rFonts w:ascii="Times New Roman" w:hAnsi="Times New Roman" w:cs="Times New Roman"/>
          <w:i/>
          <w:iCs/>
          <w:sz w:val="20"/>
          <w:szCs w:val="20"/>
        </w:rPr>
        <w:t>Charte</w:t>
      </w:r>
      <w:r w:rsidRPr="00305ED6">
        <w:rPr>
          <w:rFonts w:ascii="Times New Roman" w:hAnsi="Times New Roman" w:cs="Times New Roman"/>
          <w:sz w:val="20"/>
          <w:szCs w:val="20"/>
        </w:rPr>
        <w:t>.  Une fouille à nu sera toujours abusive si elle est effectuée de façon excessive ou afin d’humilier ou de punir la personne arrêtée.  Une fouille à nu « systématique » même effectuée de bonne foi et sans violence contreviendra elle aussi à l’art. 8 s’il n’existe aucune raison impérieuse d’y procéder dans les circonstances de l’arrestation [95].</w:t>
      </w:r>
    </w:p>
    <w:p w14:paraId="7B81AE33" w14:textId="7D582D6F" w:rsidR="00305ED6" w:rsidRPr="00305ED6" w:rsidRDefault="00305ED6"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sz w:val="20"/>
          <w:szCs w:val="20"/>
        </w:rPr>
        <w:t>Le fait que les agents de police aient des motifs raisonnables de procéder à une arrestation ne leur confère pas automatiquement le pouvoir de procéder à une fouille à nu, même lorsque cette fouille à nu est effectivement « accessoire à une arrestation légale » selon la définition énoncée plus tôt.  Il faut au contraire qu’il existe des motifs supplémentaires qui soient liés à l’objet de la fouille à nu [98].</w:t>
      </w:r>
    </w:p>
    <w:p w14:paraId="6F8B30B4" w14:textId="09897552" w:rsidR="00305ED6" w:rsidRPr="00305ED6" w:rsidRDefault="00305ED6" w:rsidP="00305ED6">
      <w:pPr>
        <w:pStyle w:val="Paragraphedeliste"/>
        <w:widowControl w:val="0"/>
        <w:numPr>
          <w:ilvl w:val="0"/>
          <w:numId w:val="83"/>
        </w:numPr>
        <w:autoSpaceDE w:val="0"/>
        <w:autoSpaceDN w:val="0"/>
        <w:adjustRightInd w:val="0"/>
        <w:spacing w:after="300"/>
        <w:jc w:val="both"/>
        <w:rPr>
          <w:rFonts w:ascii="Times New Roman" w:hAnsi="Times New Roman" w:cs="Verdana"/>
          <w:b/>
          <w:bCs/>
          <w:i/>
          <w:color w:val="3E3E3E"/>
          <w:sz w:val="20"/>
          <w:szCs w:val="20"/>
        </w:rPr>
      </w:pPr>
      <w:r w:rsidRPr="00305ED6">
        <w:rPr>
          <w:rFonts w:ascii="Times New Roman" w:hAnsi="Times New Roman" w:cs="Times New Roman"/>
          <w:b/>
          <w:sz w:val="20"/>
          <w:szCs w:val="20"/>
        </w:rPr>
        <w:t xml:space="preserve">Eu égard à l’atteinte grave à la vie privée et à la dignité de la personne qui découle inévitablement d’une fouille à nu, les fouilles de cette nature ne sont constitutionnelles en common law que lorsqu’elles sont effectuées accessoirement à une arrestation légale afin de découvrir des armes que la personne détenue a en sa possession ou des éléments de preuve liés au motif de l’arrestation.  La police doit aussi établir l’existence de motifs raisonnables qui justifient la fouille à nu en plus des motifs raisonnables qui justifient l’arrestation.  Une fois réunies ces conditions préalables à l’exécution d’une fouille à nu accessoire à une arrestation, il faut nécessairement s’assurer que la fouille à nu est effectuée d’une manière qui ne contrevient pas à l’art. 8 de la </w:t>
      </w:r>
      <w:r w:rsidRPr="00305ED6">
        <w:rPr>
          <w:rFonts w:ascii="Times New Roman" w:hAnsi="Times New Roman" w:cs="Times New Roman"/>
          <w:b/>
          <w:i/>
          <w:iCs/>
          <w:sz w:val="20"/>
          <w:szCs w:val="20"/>
        </w:rPr>
        <w:t>Charte</w:t>
      </w:r>
      <w:r w:rsidRPr="00305ED6">
        <w:rPr>
          <w:rFonts w:ascii="Times New Roman" w:hAnsi="Times New Roman" w:cs="Times New Roman"/>
          <w:b/>
          <w:sz w:val="20"/>
          <w:szCs w:val="20"/>
        </w:rPr>
        <w:t xml:space="preserve">. </w:t>
      </w:r>
      <w:r w:rsidRPr="00305ED6">
        <w:rPr>
          <w:rFonts w:ascii="Times New Roman" w:hAnsi="Times New Roman" w:cs="Times New Roman"/>
          <w:sz w:val="20"/>
          <w:szCs w:val="20"/>
        </w:rPr>
        <w:t>[99]</w:t>
      </w:r>
    </w:p>
    <w:p w14:paraId="796683E2" w14:textId="40E30488" w:rsidR="00305ED6" w:rsidRDefault="00305ED6" w:rsidP="00305ED6">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La CSC vient dire dans les paragraphes suivant qu’il peut être opportun, pour l’action policière de fouille a nu sur un suspect, de demander un mandat pour ladite action, afin de s’assurer de la légalité de la fouille à nu. Et qui plus est :</w:t>
      </w:r>
    </w:p>
    <w:p w14:paraId="10BDBAEC" w14:textId="468B5A9A" w:rsidR="00555F53" w:rsidRPr="00305ED6" w:rsidRDefault="00305ED6" w:rsidP="00305ED6">
      <w:pPr>
        <w:pStyle w:val="Paragraphedeliste"/>
        <w:widowControl w:val="0"/>
        <w:numPr>
          <w:ilvl w:val="0"/>
          <w:numId w:val="84"/>
        </w:numPr>
        <w:autoSpaceDE w:val="0"/>
        <w:autoSpaceDN w:val="0"/>
        <w:adjustRightInd w:val="0"/>
        <w:spacing w:after="300"/>
        <w:jc w:val="both"/>
        <w:rPr>
          <w:rFonts w:ascii="Times New Roman" w:hAnsi="Times New Roman" w:cs="Verdana"/>
          <w:bCs/>
          <w:color w:val="3E3E3E"/>
          <w:sz w:val="20"/>
          <w:szCs w:val="20"/>
        </w:rPr>
      </w:pPr>
      <w:r w:rsidRPr="00305ED6">
        <w:rPr>
          <w:rFonts w:ascii="Times New Roman" w:hAnsi="Times New Roman" w:cs="Times New Roman"/>
          <w:sz w:val="20"/>
          <w:szCs w:val="20"/>
        </w:rPr>
        <w:t>Les fouilles à nu ne devraient généralement être effectuées qu’au poste de police, sauf dans des situations d’urgence exigeant que le détenu soit soumis à une fouille avant son transport au poste de police.  De telles situations d’urgence ne peuvent être établies que dans les cas où la police a des motifs raisonnables de croire qu’il est nécessaire d’effectuer la fouille sur les lieux plutôt qu’au poste de police.  Les fouilles à nu sur les lieux ne peuvent être justifiées que lorsque sont établies la nécessité et l’urgence de trouver des armes ou des objets qui pourraient être utilisés pour menacer la sécurité de l’accusé, celle des agents procédant à l’arrestation ou celle d’autrui.  Les agents de police doivent aussi établir pourquoi il aurait été dangereux de reporter la fouille à nu jusqu’à l’arrivée au poste de police plutôt que d’y procéder sur les lieux.  Les fouilles à nu effectuées sur les lieux constituent une atteinte beaucoup plus grave à la vie privée et posent une plus grande menace pour l’intégrité physique de la personne détenue; voilà pourquoi les fouilles à nu effectuées sur les lieux ne peuvent être justifiées que dans des situations d’urgence [102].</w:t>
      </w:r>
    </w:p>
    <w:p w14:paraId="6B1FA10E" w14:textId="77777777" w:rsidR="00305ED6" w:rsidRPr="00305ED6" w:rsidRDefault="00305ED6" w:rsidP="00305ED6">
      <w:pPr>
        <w:pStyle w:val="Paragraphedeliste"/>
        <w:widowControl w:val="0"/>
        <w:autoSpaceDE w:val="0"/>
        <w:autoSpaceDN w:val="0"/>
        <w:adjustRightInd w:val="0"/>
        <w:spacing w:after="300"/>
        <w:jc w:val="both"/>
        <w:rPr>
          <w:rFonts w:ascii="Times New Roman" w:hAnsi="Times New Roman" w:cs="Verdana"/>
          <w:bCs/>
          <w:color w:val="3E3E3E"/>
          <w:sz w:val="20"/>
          <w:szCs w:val="20"/>
        </w:rPr>
      </w:pPr>
    </w:p>
    <w:p w14:paraId="7AA506DA" w14:textId="4FE09B49"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B. Au delà de la personne</w:t>
      </w:r>
      <w:r w:rsidR="006D493E">
        <w:rPr>
          <w:rFonts w:ascii="Times New Roman" w:hAnsi="Times New Roman" w:cs="Verdana"/>
          <w:b/>
          <w:bCs/>
          <w:color w:val="3E3E3E"/>
          <w:sz w:val="22"/>
          <w:szCs w:val="22"/>
        </w:rPr>
        <w:t xml:space="preserve"> (p.30</w:t>
      </w:r>
      <w:r w:rsidR="00305ED6">
        <w:rPr>
          <w:rFonts w:ascii="Times New Roman" w:hAnsi="Times New Roman" w:cs="Verdana"/>
          <w:b/>
          <w:bCs/>
          <w:color w:val="3E3E3E"/>
          <w:sz w:val="22"/>
          <w:szCs w:val="22"/>
        </w:rPr>
        <w:t>)</w:t>
      </w:r>
    </w:p>
    <w:p w14:paraId="1DA53085" w14:textId="5D8956D1" w:rsidR="00650646" w:rsidRPr="00650646" w:rsidRDefault="00650646"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La question du temps et la fouille accesoire :</w:t>
      </w:r>
    </w:p>
    <w:p w14:paraId="3772917E" w14:textId="630457F5" w:rsidR="00305ED6" w:rsidRDefault="00305ED6" w:rsidP="009F4734">
      <w:pPr>
        <w:widowControl w:val="0"/>
        <w:autoSpaceDE w:val="0"/>
        <w:autoSpaceDN w:val="0"/>
        <w:adjustRightInd w:val="0"/>
        <w:spacing w:after="300"/>
        <w:jc w:val="both"/>
        <w:rPr>
          <w:rFonts w:ascii="Times New Roman" w:hAnsi="Times New Roman" w:cs="Verdana"/>
          <w:bCs/>
          <w:i/>
          <w:color w:val="3E3E3E"/>
          <w:sz w:val="22"/>
          <w:szCs w:val="22"/>
        </w:rPr>
      </w:pPr>
      <w:r>
        <w:rPr>
          <w:rFonts w:ascii="Times New Roman" w:hAnsi="Times New Roman" w:cs="Verdana"/>
          <w:bCs/>
          <w:i/>
          <w:color w:val="3E3E3E"/>
          <w:sz w:val="22"/>
          <w:szCs w:val="22"/>
        </w:rPr>
        <w:t xml:space="preserve"> </w:t>
      </w:r>
      <w:r w:rsidRPr="00305ED6">
        <w:rPr>
          <w:rFonts w:ascii="Times New Roman" w:hAnsi="Times New Roman" w:cs="Verdana"/>
          <w:b/>
          <w:bCs/>
          <w:i/>
          <w:color w:val="3E3E3E"/>
          <w:sz w:val="22"/>
          <w:szCs w:val="22"/>
        </w:rPr>
        <w:t>R. c. Caslake 1998 </w:t>
      </w:r>
      <w:r>
        <w:rPr>
          <w:rFonts w:ascii="Times New Roman" w:hAnsi="Times New Roman" w:cs="Verdana"/>
          <w:bCs/>
          <w:i/>
          <w:color w:val="3E3E3E"/>
          <w:sz w:val="22"/>
          <w:szCs w:val="22"/>
        </w:rPr>
        <w:t>:</w:t>
      </w:r>
    </w:p>
    <w:p w14:paraId="38AF3FC6" w14:textId="0AE566CB" w:rsidR="00305ED6" w:rsidRDefault="00650646" w:rsidP="00650646">
      <w:pPr>
        <w:pStyle w:val="Paragraphedeliste"/>
        <w:numPr>
          <w:ilvl w:val="0"/>
          <w:numId w:val="84"/>
        </w:numPr>
        <w:jc w:val="both"/>
        <w:rPr>
          <w:rFonts w:ascii="Times New Roman" w:hAnsi="Times New Roman" w:cs="Times New Roman"/>
          <w:sz w:val="22"/>
          <w:szCs w:val="22"/>
        </w:rPr>
      </w:pPr>
      <w:r w:rsidRPr="00650646">
        <w:rPr>
          <w:rFonts w:ascii="Times New Roman" w:hAnsi="Times New Roman" w:cs="Times New Roman"/>
          <w:sz w:val="22"/>
          <w:szCs w:val="22"/>
        </w:rPr>
        <w:t>En règle générale, les fouilles qui sont vraiment accessoires à une arrestation seront habituellement effectuées dans un délai raisonnable après l’arrestation.  Un délai important ne signifie pas que la fouille est automatiquement illégale, mais il peut amener la cour à conclure que la fouille n’est pas suffisamment liée à l’arrestation.  Naturellement, la valeur de cette conclusion dépendra de la longueur du délai, et la conclusion pourra être réfutée au moyen d’une explicat</w:t>
      </w:r>
      <w:r>
        <w:rPr>
          <w:rFonts w:ascii="Times New Roman" w:hAnsi="Times New Roman" w:cs="Times New Roman"/>
          <w:sz w:val="22"/>
          <w:szCs w:val="22"/>
        </w:rPr>
        <w:t>ion raisonnable du délai écoulé [...]</w:t>
      </w:r>
      <w:r w:rsidRPr="007C3B8C">
        <w:rPr>
          <w:rFonts w:ascii="Times New Roman" w:hAnsi="Times New Roman" w:cs="Times New Roman"/>
          <w:sz w:val="22"/>
          <w:szCs w:val="22"/>
        </w:rPr>
        <w:t>Je souligne que le délai de six heures qui s’est écoulé en l’espèce avant que l’on procède à la fouille du véhicule ne pose aucun problème en soi</w:t>
      </w:r>
      <w:r>
        <w:rPr>
          <w:rFonts w:ascii="Times New Roman" w:hAnsi="Times New Roman" w:cs="Times New Roman"/>
          <w:sz w:val="22"/>
          <w:szCs w:val="22"/>
        </w:rPr>
        <w:t xml:space="preserve"> [24 et 28].</w:t>
      </w:r>
    </w:p>
    <w:p w14:paraId="5DB5ECCC" w14:textId="77777777" w:rsidR="00650646" w:rsidRPr="00650646" w:rsidRDefault="00650646" w:rsidP="00650646">
      <w:pPr>
        <w:pStyle w:val="Paragraphedeliste"/>
        <w:jc w:val="both"/>
        <w:rPr>
          <w:rFonts w:ascii="Times New Roman" w:hAnsi="Times New Roman" w:cs="Times New Roman"/>
          <w:sz w:val="22"/>
          <w:szCs w:val="22"/>
        </w:rPr>
      </w:pPr>
    </w:p>
    <w:p w14:paraId="2804CE4F" w14:textId="2C2FE852"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1. Fouille d'un local (les mandats Feeney)</w:t>
      </w:r>
      <w:r w:rsidR="006D493E">
        <w:rPr>
          <w:rFonts w:ascii="Times New Roman" w:hAnsi="Times New Roman" w:cs="Verdana"/>
          <w:b/>
          <w:bCs/>
          <w:color w:val="3E3E3E"/>
          <w:sz w:val="22"/>
          <w:szCs w:val="22"/>
        </w:rPr>
        <w:t xml:space="preserve"> (p.31</w:t>
      </w:r>
      <w:r w:rsidR="00650646">
        <w:rPr>
          <w:rFonts w:ascii="Times New Roman" w:hAnsi="Times New Roman" w:cs="Verdana"/>
          <w:b/>
          <w:bCs/>
          <w:color w:val="3E3E3E"/>
          <w:sz w:val="22"/>
          <w:szCs w:val="22"/>
        </w:rPr>
        <w:t>)</w:t>
      </w:r>
    </w:p>
    <w:p w14:paraId="08A52D79" w14:textId="214B4165" w:rsidR="00650646" w:rsidRDefault="00650646" w:rsidP="009F4734">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Bien sûr, l’arrêt feeney est pertinent en l’espèce, mais il y a aussi la codification du principe de feeney à l’article 529(1) C.cr. qui est important !</w:t>
      </w:r>
    </w:p>
    <w:p w14:paraId="5F18818D" w14:textId="05F223A6" w:rsidR="00650646" w:rsidRDefault="00650646" w:rsidP="009F4734">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v. Golub 1997 :</w:t>
      </w:r>
    </w:p>
    <w:p w14:paraId="354E3A5F" w14:textId="4C59CA0E" w:rsidR="00650646" w:rsidRPr="00650646" w:rsidRDefault="00650646" w:rsidP="00650646">
      <w:pPr>
        <w:pStyle w:val="Paragraphedeliste"/>
        <w:widowControl w:val="0"/>
        <w:numPr>
          <w:ilvl w:val="0"/>
          <w:numId w:val="84"/>
        </w:numPr>
        <w:autoSpaceDE w:val="0"/>
        <w:autoSpaceDN w:val="0"/>
        <w:adjustRightInd w:val="0"/>
        <w:spacing w:after="300"/>
        <w:jc w:val="both"/>
        <w:rPr>
          <w:rFonts w:ascii="Times New Roman" w:hAnsi="Times New Roman" w:cs="Verdana"/>
          <w:color w:val="3E3E3E"/>
          <w:sz w:val="22"/>
          <w:szCs w:val="22"/>
        </w:rPr>
      </w:pPr>
      <w:r w:rsidRPr="00650646">
        <w:rPr>
          <w:rFonts w:ascii="Times New Roman" w:hAnsi="Times New Roman" w:cs="Times New Roman"/>
          <w:sz w:val="22"/>
          <w:szCs w:val="22"/>
        </w:rPr>
        <w:t>In my opinion, searches of a home as an incident of an arrest, like entries of a home to effect an arrest, are now generally prohibited subject to exceptional circumstances where the law enforcement interest is so compelling that it overrides the individual's right to privacy within the home [41].</w:t>
      </w:r>
    </w:p>
    <w:p w14:paraId="0DB74EE1" w14:textId="1FDD0FE3" w:rsidR="00650646" w:rsidRPr="00650646" w:rsidRDefault="00650646" w:rsidP="00650646">
      <w:pPr>
        <w:pStyle w:val="Paragraphedeliste"/>
        <w:widowControl w:val="0"/>
        <w:numPr>
          <w:ilvl w:val="0"/>
          <w:numId w:val="84"/>
        </w:numPr>
        <w:autoSpaceDE w:val="0"/>
        <w:autoSpaceDN w:val="0"/>
        <w:adjustRightInd w:val="0"/>
        <w:spacing w:after="300"/>
        <w:jc w:val="both"/>
        <w:rPr>
          <w:rFonts w:ascii="Times New Roman" w:hAnsi="Times New Roman" w:cs="Verdana"/>
          <w:color w:val="3E3E3E"/>
          <w:sz w:val="22"/>
          <w:szCs w:val="22"/>
        </w:rPr>
      </w:pPr>
      <w:r w:rsidRPr="00650646">
        <w:rPr>
          <w:rFonts w:ascii="Times New Roman" w:hAnsi="Times New Roman" w:cs="Times New Roman"/>
          <w:sz w:val="20"/>
          <w:szCs w:val="20"/>
        </w:rPr>
        <w:t>I would hold that where immediate action is required to secure the safety of those at the scene of an arrest, a search conducted in a manner which is consistent with the preservation of the safety of those at the scene is justified. If, in order to secure the safety of those at the scene, entry into and search of a residence is necessary, I would hold that the risk of physical harm to those at the scene of the arrest constitutes exceptional circumstances justifying the warrantless entry and search of the residence. The search must be conducted for the purpose of protecting those at the scene and must be conducted in a reasonable manner which is consistent with that purpos [46].</w:t>
      </w:r>
    </w:p>
    <w:p w14:paraId="0ADB7325" w14:textId="324A014D" w:rsidR="00650646" w:rsidRDefault="00650646" w:rsidP="00650646">
      <w:pPr>
        <w:pStyle w:val="Paragraphedeliste"/>
        <w:numPr>
          <w:ilvl w:val="0"/>
          <w:numId w:val="84"/>
        </w:numPr>
        <w:jc w:val="both"/>
        <w:rPr>
          <w:rFonts w:ascii="Times New Roman" w:hAnsi="Times New Roman" w:cs="Times New Roman"/>
          <w:sz w:val="20"/>
          <w:szCs w:val="20"/>
        </w:rPr>
      </w:pPr>
      <w:r w:rsidRPr="00650646">
        <w:rPr>
          <w:rFonts w:ascii="Times New Roman" w:hAnsi="Times New Roman" w:cs="Times New Roman"/>
          <w:sz w:val="20"/>
          <w:szCs w:val="20"/>
        </w:rPr>
        <w:t>If the circumstances of an arrest give rise to a legitimate cause for concern with respect to the safety of those at the scene, reasonable steps to allay that concern may be taken. The nature of the apprehended risk, the potential consequences of not taking protective measures, the availability of alternative measures, and the likelihood of the contemplated danger actually existing, must all be considered. The officers making this assessment must, of course, do so on the spot with no time for careful reflection. In my opinion, a reasonable suspicion, based on the particular circumstances of the arrest, that someone is on the other side of a closed door with a loaded sub-machine gun, or that someone is lying injured on the other side of that door, creates a legitimate cause for concern justifying entry and search of the apartment for persons. [48].</w:t>
      </w:r>
    </w:p>
    <w:p w14:paraId="54FEEF60" w14:textId="77777777" w:rsidR="00650646" w:rsidRDefault="00650646" w:rsidP="00650646">
      <w:pPr>
        <w:jc w:val="both"/>
        <w:rPr>
          <w:rFonts w:ascii="Times New Roman" w:hAnsi="Times New Roman" w:cs="Times New Roman"/>
          <w:sz w:val="20"/>
          <w:szCs w:val="20"/>
        </w:rPr>
      </w:pPr>
    </w:p>
    <w:p w14:paraId="5F153341" w14:textId="36CB6CAC" w:rsidR="00650646" w:rsidRPr="00650646" w:rsidRDefault="00650646" w:rsidP="00650646">
      <w:pPr>
        <w:jc w:val="both"/>
        <w:rPr>
          <w:rFonts w:ascii="Times New Roman" w:hAnsi="Times New Roman" w:cs="Times New Roman"/>
          <w:sz w:val="22"/>
          <w:szCs w:val="22"/>
        </w:rPr>
      </w:pPr>
      <w:r>
        <w:rPr>
          <w:rFonts w:ascii="Times New Roman" w:hAnsi="Times New Roman" w:cs="Times New Roman"/>
          <w:sz w:val="22"/>
          <w:szCs w:val="22"/>
        </w:rPr>
        <w:t xml:space="preserve">Le professeur Stylios mentionne que les policiers peuvent fouiller accessoirement une maison qui appartient à l’individu lorsque ce dernier se fait arrêté à l’intérieur  celle-ci. Toutefois, l’action policière est encore très circonscrite. Pour ce qui un d’un mandat Feeney descerner pour un individu se situant dans une maison </w:t>
      </w:r>
      <w:r>
        <w:rPr>
          <w:rFonts w:ascii="Times New Roman" w:hAnsi="Times New Roman" w:cs="Times New Roman"/>
          <w:b/>
          <w:sz w:val="22"/>
          <w:szCs w:val="22"/>
        </w:rPr>
        <w:t>auquel</w:t>
      </w:r>
      <w:r>
        <w:rPr>
          <w:rFonts w:ascii="Times New Roman" w:hAnsi="Times New Roman" w:cs="Times New Roman"/>
          <w:sz w:val="22"/>
          <w:szCs w:val="22"/>
        </w:rPr>
        <w:t xml:space="preserve"> il n’est pas propriétaire, vu l’expectative de vie privée des occupants propriétaire, un mandat de FPS sera necessaire.</w:t>
      </w:r>
    </w:p>
    <w:p w14:paraId="3328762A" w14:textId="77777777" w:rsidR="00650646" w:rsidRDefault="00650646" w:rsidP="00650646">
      <w:pPr>
        <w:jc w:val="both"/>
        <w:rPr>
          <w:rFonts w:ascii="Times New Roman" w:hAnsi="Times New Roman" w:cs="Times New Roman"/>
          <w:b/>
          <w:sz w:val="20"/>
          <w:szCs w:val="20"/>
        </w:rPr>
      </w:pPr>
    </w:p>
    <w:p w14:paraId="359CA1FB" w14:textId="77777777" w:rsidR="00650646" w:rsidRPr="00650646" w:rsidRDefault="00650646" w:rsidP="00650646">
      <w:pPr>
        <w:jc w:val="both"/>
        <w:rPr>
          <w:rFonts w:ascii="Times New Roman" w:hAnsi="Times New Roman" w:cs="Times New Roman"/>
          <w:b/>
          <w:sz w:val="20"/>
          <w:szCs w:val="20"/>
        </w:rPr>
      </w:pPr>
    </w:p>
    <w:p w14:paraId="5B6B82F1" w14:textId="51B206F5"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2. Fouille d'une automobile</w:t>
      </w:r>
      <w:r w:rsidR="006D493E">
        <w:rPr>
          <w:rFonts w:ascii="Times New Roman" w:hAnsi="Times New Roman" w:cs="Verdana"/>
          <w:b/>
          <w:bCs/>
          <w:color w:val="3E3E3E"/>
          <w:sz w:val="22"/>
          <w:szCs w:val="22"/>
        </w:rPr>
        <w:t xml:space="preserve"> (p.32</w:t>
      </w:r>
      <w:r w:rsidR="00650646">
        <w:rPr>
          <w:rFonts w:ascii="Times New Roman" w:hAnsi="Times New Roman" w:cs="Verdana"/>
          <w:b/>
          <w:bCs/>
          <w:color w:val="3E3E3E"/>
          <w:sz w:val="22"/>
          <w:szCs w:val="22"/>
        </w:rPr>
        <w:t>)</w:t>
      </w:r>
    </w:p>
    <w:p w14:paraId="7B4CB9B8" w14:textId="75170D61" w:rsidR="00650646" w:rsidRDefault="00650646" w:rsidP="009F4734">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Caslake 1998 :</w:t>
      </w:r>
    </w:p>
    <w:p w14:paraId="10694059" w14:textId="11E24373" w:rsidR="00650646" w:rsidRDefault="00650646" w:rsidP="00650646">
      <w:pPr>
        <w:pStyle w:val="Paragraphedeliste"/>
        <w:numPr>
          <w:ilvl w:val="0"/>
          <w:numId w:val="85"/>
        </w:numPr>
        <w:jc w:val="both"/>
        <w:rPr>
          <w:rFonts w:ascii="Times New Roman" w:hAnsi="Times New Roman" w:cs="Times New Roman"/>
          <w:sz w:val="22"/>
          <w:szCs w:val="22"/>
        </w:rPr>
      </w:pPr>
      <w:r w:rsidRPr="00650646">
        <w:rPr>
          <w:rFonts w:ascii="Times New Roman" w:hAnsi="Times New Roman" w:cs="Times New Roman"/>
          <w:sz w:val="22"/>
          <w:szCs w:val="22"/>
        </w:rPr>
        <w:t>Le droit de fouiller une automobile accessoirement à une arrestation et l’étendue de la fouille effectuée dépendront d’un certain nombre de facteurs tels que le motif de l’arrestation, l’endroit où se trouve le véhicule à moteur par rapport au lieu de l’arrestation, et d’autres circonstances pertinentes.</w:t>
      </w:r>
      <w:r>
        <w:rPr>
          <w:rFonts w:ascii="Times New Roman" w:hAnsi="Times New Roman" w:cs="Times New Roman"/>
          <w:sz w:val="22"/>
          <w:szCs w:val="22"/>
        </w:rPr>
        <w:t xml:space="preserve"> [23]</w:t>
      </w:r>
    </w:p>
    <w:p w14:paraId="20986834" w14:textId="77777777" w:rsidR="00650646" w:rsidRDefault="00650646" w:rsidP="004177D8">
      <w:pPr>
        <w:jc w:val="both"/>
        <w:rPr>
          <w:rFonts w:ascii="Times New Roman" w:hAnsi="Times New Roman" w:cs="Times New Roman"/>
          <w:sz w:val="22"/>
          <w:szCs w:val="22"/>
        </w:rPr>
      </w:pPr>
    </w:p>
    <w:p w14:paraId="0C3677C8" w14:textId="213B1BFA" w:rsidR="004177D8" w:rsidRPr="004177D8" w:rsidRDefault="004177D8" w:rsidP="004177D8">
      <w:pPr>
        <w:jc w:val="both"/>
        <w:rPr>
          <w:rFonts w:ascii="Times New Roman" w:hAnsi="Times New Roman" w:cs="Times New Roman"/>
          <w:sz w:val="22"/>
          <w:szCs w:val="22"/>
        </w:rPr>
      </w:pPr>
      <w:r>
        <w:rPr>
          <w:rFonts w:ascii="Times New Roman" w:hAnsi="Times New Roman" w:cs="Times New Roman"/>
          <w:sz w:val="22"/>
          <w:szCs w:val="22"/>
        </w:rPr>
        <w:t>Voir aussi l’affaire R. v. Caron</w:t>
      </w:r>
      <w:r w:rsidR="006D493E">
        <w:rPr>
          <w:rFonts w:ascii="Times New Roman" w:hAnsi="Times New Roman" w:cs="Times New Roman"/>
          <w:sz w:val="22"/>
          <w:szCs w:val="22"/>
        </w:rPr>
        <w:t xml:space="preserve"> qui traite de la question (p.33</w:t>
      </w:r>
      <w:r>
        <w:rPr>
          <w:rFonts w:ascii="Times New Roman" w:hAnsi="Times New Roman" w:cs="Times New Roman"/>
          <w:sz w:val="22"/>
          <w:szCs w:val="22"/>
        </w:rPr>
        <w:t>).</w:t>
      </w:r>
    </w:p>
    <w:p w14:paraId="59B89F3D" w14:textId="77777777" w:rsidR="00555F53" w:rsidRPr="00555F53" w:rsidRDefault="00555F53" w:rsidP="009F4734">
      <w:pPr>
        <w:widowControl w:val="0"/>
        <w:autoSpaceDE w:val="0"/>
        <w:autoSpaceDN w:val="0"/>
        <w:adjustRightInd w:val="0"/>
        <w:spacing w:after="300"/>
        <w:jc w:val="both"/>
        <w:rPr>
          <w:rFonts w:ascii="Times New Roman" w:hAnsi="Times New Roman" w:cs="Verdana"/>
          <w:color w:val="3E3E3E"/>
          <w:sz w:val="22"/>
          <w:szCs w:val="22"/>
        </w:rPr>
      </w:pPr>
    </w:p>
    <w:p w14:paraId="468B3403" w14:textId="68A5C964"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§2. Fouilles (pour se protéger) lors d'une détention aux fins d'enquête</w:t>
      </w:r>
      <w:r w:rsidR="006D493E">
        <w:rPr>
          <w:rFonts w:ascii="Times New Roman" w:hAnsi="Times New Roman" w:cs="Verdana"/>
          <w:b/>
          <w:bCs/>
          <w:color w:val="3E3E3E"/>
          <w:sz w:val="22"/>
          <w:szCs w:val="22"/>
        </w:rPr>
        <w:t xml:space="preserve"> (p.34</w:t>
      </w:r>
      <w:r w:rsidR="004177D8">
        <w:rPr>
          <w:rFonts w:ascii="Times New Roman" w:hAnsi="Times New Roman" w:cs="Verdana"/>
          <w:b/>
          <w:bCs/>
          <w:color w:val="3E3E3E"/>
          <w:sz w:val="22"/>
          <w:szCs w:val="22"/>
        </w:rPr>
        <w:t>)</w:t>
      </w:r>
    </w:p>
    <w:p w14:paraId="2D5D7EB5" w14:textId="047BB7FC" w:rsidR="004177D8" w:rsidRDefault="004177D8" w:rsidP="009F4734">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Mann 2004 :</w:t>
      </w:r>
    </w:p>
    <w:p w14:paraId="194DFF23" w14:textId="5ABCB404" w:rsidR="004177D8" w:rsidRPr="004177D8" w:rsidRDefault="004177D8" w:rsidP="004177D8">
      <w:pPr>
        <w:pStyle w:val="Paragraphedeliste"/>
        <w:widowControl w:val="0"/>
        <w:numPr>
          <w:ilvl w:val="0"/>
          <w:numId w:val="85"/>
        </w:numPr>
        <w:autoSpaceDE w:val="0"/>
        <w:autoSpaceDN w:val="0"/>
        <w:adjustRightInd w:val="0"/>
        <w:spacing w:after="300"/>
        <w:jc w:val="both"/>
        <w:rPr>
          <w:rFonts w:ascii="Times New Roman" w:hAnsi="Times New Roman" w:cs="Verdana"/>
          <w:color w:val="3E3E3E"/>
          <w:sz w:val="22"/>
          <w:szCs w:val="22"/>
        </w:rPr>
      </w:pPr>
      <w:r w:rsidRPr="006B0C9E">
        <w:rPr>
          <w:rFonts w:ascii="Times New Roman" w:hAnsi="Times New Roman" w:cs="Times New Roman"/>
          <w:sz w:val="20"/>
          <w:szCs w:val="20"/>
        </w:rPr>
        <w:t>Le devoir général des policiers de protéger la vie peut, dans certaines circonstances, faire naître le pouvoir de procéder à une fouille par palpation accessoire à une détention aux fins d’enquête.  Un tel pouvoir de fouille n’existe pas de manière autonome; le policier doit croire, pour des motifs raisonnables, que sa propre sécurité ou celle d’autrui est menacée.  Je rejette la suggestion voulant que le pouvoir de détention aux fins d’enquête justifie une fouille accessoire en toutes circonstances </w:t>
      </w:r>
      <w:r>
        <w:rPr>
          <w:rFonts w:ascii="Times New Roman" w:hAnsi="Times New Roman" w:cs="Times New Roman"/>
          <w:sz w:val="20"/>
          <w:szCs w:val="20"/>
        </w:rPr>
        <w:t>[40]</w:t>
      </w:r>
    </w:p>
    <w:p w14:paraId="3DE6CFBF" w14:textId="06BF09FA" w:rsidR="004177D8" w:rsidRPr="004177D8" w:rsidRDefault="004177D8" w:rsidP="004177D8">
      <w:pPr>
        <w:pStyle w:val="Paragraphedeliste"/>
        <w:widowControl w:val="0"/>
        <w:numPr>
          <w:ilvl w:val="0"/>
          <w:numId w:val="85"/>
        </w:numPr>
        <w:autoSpaceDE w:val="0"/>
        <w:autoSpaceDN w:val="0"/>
        <w:adjustRightInd w:val="0"/>
        <w:spacing w:after="300"/>
        <w:jc w:val="both"/>
        <w:rPr>
          <w:rFonts w:ascii="Times New Roman" w:hAnsi="Times New Roman" w:cs="Verdana"/>
          <w:color w:val="3E3E3E"/>
          <w:sz w:val="22"/>
          <w:szCs w:val="22"/>
        </w:rPr>
      </w:pPr>
      <w:r w:rsidRPr="006B0C9E">
        <w:rPr>
          <w:rFonts w:ascii="Times New Roman" w:hAnsi="Times New Roman" w:cs="Times New Roman"/>
          <w:sz w:val="20"/>
          <w:szCs w:val="20"/>
        </w:rPr>
        <w:t>Comme l’a souligné la juge L’Heureux</w:t>
      </w:r>
      <w:r w:rsidRPr="006B0C9E">
        <w:rPr>
          <w:rFonts w:ascii="PT Sans" w:hAnsi="PT Sans" w:cs="PT Sans"/>
          <w:sz w:val="20"/>
          <w:szCs w:val="20"/>
        </w:rPr>
        <w:t>‑</w:t>
      </w:r>
      <w:r w:rsidRPr="006B0C9E">
        <w:rPr>
          <w:rFonts w:ascii="Times New Roman" w:hAnsi="Times New Roman" w:cs="Times New Roman"/>
          <w:sz w:val="20"/>
          <w:szCs w:val="20"/>
        </w:rPr>
        <w:t xml:space="preserve">Dubé à la p. 185 de l’arrêt </w:t>
      </w:r>
      <w:r w:rsidRPr="006B0C9E">
        <w:rPr>
          <w:rFonts w:ascii="Times New Roman" w:hAnsi="Times New Roman" w:cs="Times New Roman"/>
          <w:i/>
          <w:iCs/>
          <w:sz w:val="20"/>
          <w:szCs w:val="20"/>
        </w:rPr>
        <w:t>Cloutier</w:t>
      </w:r>
      <w:r w:rsidRPr="006B0C9E">
        <w:rPr>
          <w:rFonts w:ascii="Times New Roman" w:hAnsi="Times New Roman" w:cs="Times New Roman"/>
          <w:sz w:val="20"/>
          <w:szCs w:val="20"/>
        </w:rPr>
        <w:t>, précité, la fouille par palpation constitue un « mécanisme relativement peu intrusif » qui ne dure « que quelques secondes ».  Lorsqu’un policier a des motifs raisonnables de croire que sa sécurité est menacée, il peut soumettre le détenu à une fouille par palpation préventive.  La fouille doit être fondée sur des faits objectivement discernables afin d’éviter une « recherche à l’aveuglette » motivée par des facteurs discriminatoires et non pertinents</w:t>
      </w:r>
      <w:r>
        <w:rPr>
          <w:rFonts w:ascii="Times New Roman" w:hAnsi="Times New Roman" w:cs="Times New Roman"/>
          <w:sz w:val="20"/>
          <w:szCs w:val="20"/>
        </w:rPr>
        <w:t xml:space="preserve"> [43]</w:t>
      </w:r>
    </w:p>
    <w:p w14:paraId="1F792CF9" w14:textId="67E3111C" w:rsidR="004177D8" w:rsidRPr="004177D8" w:rsidRDefault="004177D8" w:rsidP="004177D8">
      <w:pPr>
        <w:pStyle w:val="Paragraphedeliste"/>
        <w:widowControl w:val="0"/>
        <w:numPr>
          <w:ilvl w:val="0"/>
          <w:numId w:val="85"/>
        </w:numPr>
        <w:autoSpaceDE w:val="0"/>
        <w:autoSpaceDN w:val="0"/>
        <w:adjustRightInd w:val="0"/>
        <w:spacing w:after="300"/>
        <w:jc w:val="both"/>
        <w:rPr>
          <w:rFonts w:ascii="Times New Roman" w:hAnsi="Times New Roman" w:cs="Verdana"/>
          <w:color w:val="3E3E3E"/>
          <w:sz w:val="22"/>
          <w:szCs w:val="22"/>
        </w:rPr>
      </w:pPr>
      <w:r w:rsidRPr="006B0C9E">
        <w:rPr>
          <w:rFonts w:ascii="Times New Roman" w:hAnsi="Times New Roman" w:cs="Times New Roman"/>
          <w:sz w:val="20"/>
          <w:szCs w:val="20"/>
        </w:rPr>
        <w:t xml:space="preserve">En résumé, comme il a été expliqué plus tôt, les policiers peuvent détenir une personne aux fins d’enquête s’ils ont des motifs raisonnables de soupçonner, à la lumière de toutes les circonstances, que cette personne est impliquée dans un crime donné et qu’il est nécessaire de la détenir.  </w:t>
      </w:r>
      <w:r w:rsidRPr="006B0C9E">
        <w:rPr>
          <w:rFonts w:ascii="Times New Roman" w:hAnsi="Times New Roman" w:cs="Times New Roman"/>
          <w:b/>
          <w:sz w:val="20"/>
          <w:szCs w:val="20"/>
        </w:rPr>
        <w:t>En outre, le policier qui possède des motifs raisonnables de croire que sa sécurité ou celle d’autrui est menacée peut soumettre la personne qu’il détient à une fouille par palpation préventive.  Tant la détention que la fouille par palpation doivent être effectuées de manière non abusive.  À cet égard, je souligne que les détentions effectuées aux fins d’enquête doivent être brèves et que les personnes détenues n’ont pas l’obligation de répondre aux questions du policier.  Il convient de distinguer les détentions aux fins d’enquête ainsi que le pouvoir de fouille préventive y afférent des arrestations et du pouvoir de fouille y afférent</w:t>
      </w:r>
      <w:r>
        <w:rPr>
          <w:rFonts w:ascii="Times New Roman" w:hAnsi="Times New Roman" w:cs="Times New Roman"/>
          <w:b/>
          <w:sz w:val="20"/>
          <w:szCs w:val="20"/>
        </w:rPr>
        <w:t xml:space="preserve"> [45].</w:t>
      </w:r>
    </w:p>
    <w:p w14:paraId="0D145962" w14:textId="5124966F" w:rsidR="004177D8" w:rsidRDefault="004177D8" w:rsidP="004177D8">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Clayton 2007 :</w:t>
      </w:r>
    </w:p>
    <w:p w14:paraId="03AC06FB" w14:textId="38480CE0" w:rsidR="004177D8" w:rsidRDefault="004177D8" w:rsidP="004177D8">
      <w:pPr>
        <w:pStyle w:val="Paragraphedeliste"/>
        <w:numPr>
          <w:ilvl w:val="0"/>
          <w:numId w:val="86"/>
        </w:numPr>
        <w:jc w:val="both"/>
        <w:rPr>
          <w:rFonts w:ascii="Times New Roman" w:hAnsi="Times New Roman" w:cs="Times New Roman"/>
          <w:sz w:val="20"/>
          <w:szCs w:val="20"/>
        </w:rPr>
      </w:pPr>
      <w:r w:rsidRPr="004177D8">
        <w:rPr>
          <w:rFonts w:ascii="Times New Roman" w:hAnsi="Times New Roman" w:cs="Times New Roman"/>
          <w:sz w:val="20"/>
          <w:szCs w:val="20"/>
        </w:rPr>
        <w:t>Vu l’ensemble des circonstances, la détention initiale constituait donc une mesure raisonnablement nécessaire eu égard à la gravité de l’infraction et au risque pour la sécurité des policiers et des citoyens inhérent à la présence d’armes prohibées dans un lieu public.  Aussi, le délai de réaction, la délimitation géographique de l’intervention et les moyens employés étaient adaptés à la situation alors connue des policiers.  En conséquence, l’interception initiale constituait un exercice justifiable des pouvoirs policiers liés à l’obligation d’enquêter relativement aux infractions signalées au 9</w:t>
      </w:r>
      <w:r w:rsidRPr="004177D8">
        <w:rPr>
          <w:rFonts w:ascii="PT Sans" w:hAnsi="PT Sans" w:cs="PT Sans"/>
          <w:sz w:val="20"/>
          <w:szCs w:val="20"/>
        </w:rPr>
        <w:t>‑</w:t>
      </w:r>
      <w:r w:rsidRPr="004177D8">
        <w:rPr>
          <w:rFonts w:ascii="Times New Roman" w:hAnsi="Times New Roman" w:cs="Times New Roman"/>
          <w:sz w:val="20"/>
          <w:szCs w:val="20"/>
        </w:rPr>
        <w:t>1</w:t>
      </w:r>
      <w:r w:rsidRPr="004177D8">
        <w:rPr>
          <w:rFonts w:ascii="PT Sans" w:hAnsi="PT Sans" w:cs="PT Sans"/>
          <w:sz w:val="20"/>
          <w:szCs w:val="20"/>
        </w:rPr>
        <w:t>‑</w:t>
      </w:r>
      <w:r w:rsidRPr="004177D8">
        <w:rPr>
          <w:rFonts w:ascii="Times New Roman" w:hAnsi="Times New Roman" w:cs="Times New Roman"/>
          <w:sz w:val="20"/>
          <w:szCs w:val="20"/>
        </w:rPr>
        <w:t xml:space="preserve">1, de sorte qu’elle n’équivalait pas à une détention arbitraire au sens de l’art. 9 de la </w:t>
      </w:r>
      <w:r w:rsidRPr="004177D8">
        <w:rPr>
          <w:rFonts w:ascii="Times New Roman" w:hAnsi="Times New Roman" w:cs="Times New Roman"/>
          <w:i/>
          <w:iCs/>
          <w:sz w:val="20"/>
          <w:szCs w:val="20"/>
        </w:rPr>
        <w:t>Charte</w:t>
      </w:r>
      <w:r w:rsidRPr="004177D8">
        <w:rPr>
          <w:rFonts w:ascii="Times New Roman" w:hAnsi="Times New Roman" w:cs="Times New Roman"/>
          <w:sz w:val="20"/>
          <w:szCs w:val="20"/>
        </w:rPr>
        <w:t>.</w:t>
      </w:r>
      <w:r>
        <w:rPr>
          <w:rFonts w:ascii="Times New Roman" w:hAnsi="Times New Roman" w:cs="Times New Roman"/>
          <w:sz w:val="20"/>
          <w:szCs w:val="20"/>
        </w:rPr>
        <w:t xml:space="preserve"> [41]</w:t>
      </w:r>
    </w:p>
    <w:p w14:paraId="2F24F7ED" w14:textId="77777777" w:rsidR="004177D8" w:rsidRDefault="004177D8" w:rsidP="004177D8">
      <w:pPr>
        <w:pStyle w:val="Paragraphedeliste"/>
        <w:jc w:val="both"/>
        <w:rPr>
          <w:rFonts w:ascii="Times New Roman" w:hAnsi="Times New Roman" w:cs="Times New Roman"/>
          <w:sz w:val="20"/>
          <w:szCs w:val="20"/>
        </w:rPr>
      </w:pPr>
    </w:p>
    <w:p w14:paraId="3F22B5AE" w14:textId="77777777" w:rsidR="004177D8" w:rsidRPr="004177D8" w:rsidRDefault="004177D8" w:rsidP="004177D8">
      <w:pPr>
        <w:pStyle w:val="Paragraphedeliste"/>
        <w:jc w:val="both"/>
        <w:rPr>
          <w:rFonts w:ascii="Times New Roman" w:hAnsi="Times New Roman" w:cs="Times New Roman"/>
          <w:sz w:val="20"/>
          <w:szCs w:val="20"/>
        </w:rPr>
      </w:pPr>
    </w:p>
    <w:p w14:paraId="65573679" w14:textId="52E6B09A" w:rsidR="009F4734" w:rsidRDefault="009F4734" w:rsidP="009F4734">
      <w:pPr>
        <w:widowControl w:val="0"/>
        <w:autoSpaceDE w:val="0"/>
        <w:autoSpaceDN w:val="0"/>
        <w:adjustRightInd w:val="0"/>
        <w:spacing w:after="300"/>
        <w:jc w:val="both"/>
        <w:rPr>
          <w:rFonts w:ascii="Times New Roman" w:hAnsi="Times New Roman" w:cs="Verdana"/>
          <w:b/>
          <w:bCs/>
          <w:color w:val="3E3E3E"/>
          <w:sz w:val="22"/>
          <w:szCs w:val="22"/>
        </w:rPr>
      </w:pPr>
      <w:r w:rsidRPr="00555F53">
        <w:rPr>
          <w:rFonts w:ascii="Times New Roman" w:hAnsi="Times New Roman" w:cs="Verdana"/>
          <w:b/>
          <w:bCs/>
          <w:color w:val="3E3E3E"/>
          <w:sz w:val="22"/>
          <w:szCs w:val="22"/>
        </w:rPr>
        <w:t>§3. utilisation de chiens renifleurs</w:t>
      </w:r>
      <w:r w:rsidR="006D493E">
        <w:rPr>
          <w:rFonts w:ascii="Times New Roman" w:hAnsi="Times New Roman" w:cs="Verdana"/>
          <w:b/>
          <w:bCs/>
          <w:color w:val="3E3E3E"/>
          <w:sz w:val="22"/>
          <w:szCs w:val="22"/>
        </w:rPr>
        <w:t xml:space="preserve"> (p.37</w:t>
      </w:r>
      <w:r w:rsidR="004177D8">
        <w:rPr>
          <w:rFonts w:ascii="Times New Roman" w:hAnsi="Times New Roman" w:cs="Verdana"/>
          <w:b/>
          <w:bCs/>
          <w:color w:val="3E3E3E"/>
          <w:sz w:val="22"/>
          <w:szCs w:val="22"/>
        </w:rPr>
        <w:t>)</w:t>
      </w:r>
    </w:p>
    <w:p w14:paraId="31A0B8EA" w14:textId="453B3768" w:rsidR="004177D8" w:rsidRDefault="004177D8" w:rsidP="009F4734">
      <w:pPr>
        <w:widowControl w:val="0"/>
        <w:autoSpaceDE w:val="0"/>
        <w:autoSpaceDN w:val="0"/>
        <w:adjustRightInd w:val="0"/>
        <w:spacing w:after="300"/>
        <w:jc w:val="both"/>
        <w:rPr>
          <w:rFonts w:ascii="Times New Roman" w:hAnsi="Times New Roman" w:cs="Verdana"/>
          <w:bCs/>
          <w:color w:val="3E3E3E"/>
          <w:sz w:val="22"/>
          <w:szCs w:val="22"/>
        </w:rPr>
      </w:pPr>
      <w:r>
        <w:rPr>
          <w:rFonts w:ascii="Times New Roman" w:hAnsi="Times New Roman" w:cs="Verdana"/>
          <w:bCs/>
          <w:color w:val="3E3E3E"/>
          <w:sz w:val="22"/>
          <w:szCs w:val="22"/>
        </w:rPr>
        <w:t>Une méthode très discutée selon le professeur Stylios et très très discutée par la doctrine</w:t>
      </w:r>
    </w:p>
    <w:p w14:paraId="0011C83B" w14:textId="473D69E4" w:rsidR="004177D8" w:rsidRDefault="004177D8" w:rsidP="009F4734">
      <w:pPr>
        <w:widowControl w:val="0"/>
        <w:autoSpaceDE w:val="0"/>
        <w:autoSpaceDN w:val="0"/>
        <w:adjustRightInd w:val="0"/>
        <w:spacing w:after="300"/>
        <w:jc w:val="both"/>
        <w:rPr>
          <w:rFonts w:ascii="Times New Roman" w:hAnsi="Times New Roman" w:cs="Verdana"/>
          <w:b/>
          <w:bCs/>
          <w:i/>
          <w:color w:val="3E3E3E"/>
          <w:sz w:val="22"/>
          <w:szCs w:val="22"/>
        </w:rPr>
      </w:pPr>
      <w:r>
        <w:rPr>
          <w:rFonts w:ascii="Times New Roman" w:hAnsi="Times New Roman" w:cs="Verdana"/>
          <w:b/>
          <w:bCs/>
          <w:i/>
          <w:color w:val="3E3E3E"/>
          <w:sz w:val="22"/>
          <w:szCs w:val="22"/>
        </w:rPr>
        <w:t>R. c. Kang-Brown 2008</w:t>
      </w:r>
    </w:p>
    <w:p w14:paraId="0BC95E90" w14:textId="39AE1AFF" w:rsidR="004177D8" w:rsidRPr="006F4BBC" w:rsidRDefault="006F4BBC" w:rsidP="004177D8">
      <w:pPr>
        <w:pStyle w:val="Paragraphedeliste"/>
        <w:widowControl w:val="0"/>
        <w:numPr>
          <w:ilvl w:val="0"/>
          <w:numId w:val="86"/>
        </w:numPr>
        <w:autoSpaceDE w:val="0"/>
        <w:autoSpaceDN w:val="0"/>
        <w:adjustRightInd w:val="0"/>
        <w:spacing w:after="300"/>
        <w:jc w:val="both"/>
        <w:rPr>
          <w:rFonts w:ascii="Times New Roman" w:hAnsi="Times New Roman" w:cs="Verdana"/>
          <w:color w:val="3E3E3E"/>
          <w:sz w:val="22"/>
          <w:szCs w:val="22"/>
        </w:rPr>
      </w:pPr>
      <w:r w:rsidRPr="00664EF2">
        <w:rPr>
          <w:rFonts w:ascii="Times New Roman" w:hAnsi="Times New Roman" w:cs="Times New Roman"/>
          <w:sz w:val="20"/>
          <w:szCs w:val="20"/>
        </w:rPr>
        <w:t>Il est incontesté que la fouille n’était pas expressément autorisée par la loi.  Pour déterminer si, dans l’accomplissement de leur devoir général d’effectuer des enquêtes criminelles, les policiers étaient autorisés par la common law à procéder à la fouille en question, il n’y a pas lieu d’assujettir l’exercice des pouvoirs policiers à la norme moins stricte des « soupçons raisonnables » puisque cela aurait pour effet de compromettre les importantes garanties que l’art. 8</w:t>
      </w:r>
      <w:r w:rsidRPr="00664EF2">
        <w:rPr>
          <w:rFonts w:ascii="Times New Roman" w:hAnsi="Times New Roman" w:cs="Times New Roman"/>
          <w:i/>
          <w:iCs/>
          <w:sz w:val="20"/>
          <w:szCs w:val="20"/>
        </w:rPr>
        <w:t xml:space="preserve"> </w:t>
      </w:r>
      <w:r w:rsidRPr="00664EF2">
        <w:rPr>
          <w:rFonts w:ascii="Times New Roman" w:hAnsi="Times New Roman" w:cs="Times New Roman"/>
          <w:sz w:val="20"/>
          <w:szCs w:val="20"/>
        </w:rPr>
        <w:t>offre contre les atteintes injustifiées de l’État.  La norme existante et bien établie des « motifs raisonnables et probables » doit être appliquée.  La fouille effectuée en l’espèce ne respectait pas cette norme</w:t>
      </w:r>
    </w:p>
    <w:p w14:paraId="2B8DBE07" w14:textId="77777777" w:rsidR="006F4BBC" w:rsidRPr="006F4BBC" w:rsidRDefault="006F4BBC" w:rsidP="006F4BBC">
      <w:pPr>
        <w:pStyle w:val="Paragraphedeliste"/>
        <w:numPr>
          <w:ilvl w:val="0"/>
          <w:numId w:val="86"/>
        </w:numPr>
        <w:jc w:val="both"/>
        <w:rPr>
          <w:rFonts w:ascii="Times New Roman" w:hAnsi="Times New Roman" w:cs="Times New Roman"/>
          <w:sz w:val="20"/>
          <w:szCs w:val="20"/>
        </w:rPr>
      </w:pPr>
      <w:r w:rsidRPr="006F4BBC">
        <w:rPr>
          <w:rFonts w:ascii="Times New Roman" w:hAnsi="Times New Roman" w:cs="Times New Roman"/>
          <w:sz w:val="20"/>
          <w:szCs w:val="20"/>
        </w:rPr>
        <w:t>L’intervention du chien renifleur en l’espèce constituait une fouille abusive étant donné que l’agent de la GRC n’était pas justifié d’avoir des soupçons raisonnables au moment où il a fait appel au chien. [26] [58] [97]</w:t>
      </w:r>
    </w:p>
    <w:p w14:paraId="665C8452" w14:textId="4E7B220E" w:rsidR="006F4BBC" w:rsidRPr="00D50D15" w:rsidRDefault="006F4BBC" w:rsidP="006F4BBC">
      <w:pPr>
        <w:pStyle w:val="Paragraphedeliste"/>
        <w:widowControl w:val="0"/>
        <w:numPr>
          <w:ilvl w:val="0"/>
          <w:numId w:val="86"/>
        </w:numPr>
        <w:autoSpaceDE w:val="0"/>
        <w:autoSpaceDN w:val="0"/>
        <w:adjustRightInd w:val="0"/>
        <w:spacing w:after="300"/>
        <w:jc w:val="both"/>
        <w:rPr>
          <w:rFonts w:ascii="Times New Roman" w:hAnsi="Times New Roman" w:cs="Verdana"/>
          <w:color w:val="3E3E3E"/>
          <w:sz w:val="22"/>
          <w:szCs w:val="22"/>
        </w:rPr>
      </w:pPr>
      <w:r w:rsidRPr="00664EF2">
        <w:rPr>
          <w:rFonts w:ascii="Times New Roman" w:hAnsi="Times New Roman" w:cs="Times New Roman"/>
          <w:sz w:val="20"/>
          <w:szCs w:val="20"/>
        </w:rPr>
        <w:t>La norme des « soupçons raisonnables » n’est pas une nouvelle norme juridique créée pour les besoins de la présente affaire.  Les « soupçons » sont une impression que l’individu ciblé se livre à une activité criminelle.  Les soupçons « raisonnables » sont plus que de simples soupçons, mais ils ne correspondent pas à une croyance fondée sur des motifs raisonnables et probables.  Étant donné que les fouilles à l’aide d’un chien renifleur ont lieu sans autorisation judiciaire préalable, l’examen après le fait que les tribunaux effectuent des motifs justifiant les prétendus « soupçons raisonnables » doit être rigoureux.  L’intervention des policiers en l’espèce était fondée sur des hypothèses.  [26] [75</w:t>
      </w:r>
      <w:r>
        <w:rPr>
          <w:rFonts w:ascii="Times New Roman" w:hAnsi="Times New Roman" w:cs="Times New Roman"/>
          <w:sz w:val="20"/>
          <w:szCs w:val="20"/>
        </w:rPr>
        <w:t>].</w:t>
      </w:r>
    </w:p>
    <w:p w14:paraId="27E525E5" w14:textId="1CEB8E9F" w:rsidR="00D50D15" w:rsidRPr="00D50D15" w:rsidRDefault="00D50D15" w:rsidP="006F4BBC">
      <w:pPr>
        <w:pStyle w:val="Paragraphedeliste"/>
        <w:widowControl w:val="0"/>
        <w:numPr>
          <w:ilvl w:val="0"/>
          <w:numId w:val="86"/>
        </w:numPr>
        <w:autoSpaceDE w:val="0"/>
        <w:autoSpaceDN w:val="0"/>
        <w:adjustRightInd w:val="0"/>
        <w:spacing w:after="300"/>
        <w:jc w:val="both"/>
        <w:rPr>
          <w:rFonts w:ascii="Times New Roman" w:hAnsi="Times New Roman" w:cs="Verdana"/>
          <w:color w:val="3E3E3E"/>
          <w:sz w:val="22"/>
          <w:szCs w:val="22"/>
        </w:rPr>
      </w:pPr>
      <w:r w:rsidRPr="00664EF2">
        <w:rPr>
          <w:rFonts w:ascii="Times New Roman" w:hAnsi="Times New Roman" w:cs="Times New Roman"/>
          <w:sz w:val="20"/>
          <w:szCs w:val="20"/>
        </w:rPr>
        <w:t>De toute façon, étant donné que le chien indique qu’il a détecté l’odeur d’un stupéfiant et non la présence d’une telle substance, l’arrestation de l’accusé était prématurée en l’espèce.  Les policiers auraient d’abord dû confirmer la présence d’un stupéfiant en fouillant manuellement le sac.  En raison de l’indication positive donnée par le chien et de la fiabilité qu’il a démontrée dans le passé, les agents de la GRC auraient pu, s’ils avaient eu des motifs raisonnables, procéder sur</w:t>
      </w:r>
      <w:r w:rsidRPr="00664EF2">
        <w:rPr>
          <w:rFonts w:ascii="PT Sans" w:hAnsi="PT Sans" w:cs="PT Sans"/>
          <w:sz w:val="20"/>
          <w:szCs w:val="20"/>
        </w:rPr>
        <w:t>‑</w:t>
      </w:r>
      <w:r w:rsidRPr="00664EF2">
        <w:rPr>
          <w:rFonts w:ascii="Times New Roman" w:hAnsi="Times New Roman" w:cs="Times New Roman"/>
          <w:sz w:val="20"/>
          <w:szCs w:val="20"/>
        </w:rPr>
        <w:t>le</w:t>
      </w:r>
      <w:r w:rsidRPr="00664EF2">
        <w:rPr>
          <w:rFonts w:ascii="PT Sans" w:hAnsi="PT Sans" w:cs="PT Sans"/>
          <w:sz w:val="20"/>
          <w:szCs w:val="20"/>
        </w:rPr>
        <w:t>‑</w:t>
      </w:r>
      <w:r w:rsidRPr="00664EF2">
        <w:rPr>
          <w:rFonts w:ascii="Times New Roman" w:hAnsi="Times New Roman" w:cs="Times New Roman"/>
          <w:sz w:val="20"/>
          <w:szCs w:val="20"/>
        </w:rPr>
        <w:t>champ à une telle fouille aux fins de vérification sans devoir préalablement obtenir une autorisation judiciaire.  [48] [99] [101]</w:t>
      </w:r>
    </w:p>
    <w:p w14:paraId="13CB27BB" w14:textId="0A8EF600" w:rsidR="00D50D15" w:rsidRDefault="00D50D15" w:rsidP="00D50D15">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Les avis sont partagés sur la question des chiens renifleurs. La CSC exhorte le gouvernement de créer des dispositions précises sur ce cas. À lire la dissidence de l’arrêt, on n’est certes pas près de résoudre la problématique d’ici peu.</w:t>
      </w:r>
    </w:p>
    <w:p w14:paraId="6D24A42E" w14:textId="0566E0AB" w:rsidR="00474729" w:rsidRDefault="00474729" w:rsidP="00D50D15">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Par contre, la Cour suprême du Canada s’est de nouveau penchée sur la question de l’utilisation de chiens renifleurs lors d’une FPS dans deux arrêts rendu consécutivement en 2013.</w:t>
      </w:r>
    </w:p>
    <w:p w14:paraId="515D6286" w14:textId="2512F671" w:rsidR="00474729" w:rsidRDefault="00474729" w:rsidP="00D50D15">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Mackenzie c. R [2013] CSC 50</w:t>
      </w:r>
    </w:p>
    <w:p w14:paraId="4B4805CA" w14:textId="70153E59" w:rsidR="00474729" w:rsidRDefault="00474729" w:rsidP="00474729">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Les faits en résumés :</w:t>
      </w:r>
    </w:p>
    <w:p w14:paraId="4A0B3B5D" w14:textId="77777777" w:rsidR="00474729" w:rsidRPr="00474729" w:rsidRDefault="00474729" w:rsidP="00474729">
      <w:pPr>
        <w:pStyle w:val="SCCNormalDoubleSpacing"/>
        <w:spacing w:after="480" w:line="276" w:lineRule="auto"/>
        <w:rPr>
          <w:sz w:val="20"/>
          <w:lang w:val="fr-CA"/>
        </w:rPr>
      </w:pPr>
      <w:r w:rsidRPr="00474729">
        <w:rPr>
          <w:rFonts w:cs="Verdana"/>
          <w:color w:val="3E3E3E"/>
          <w:sz w:val="20"/>
        </w:rPr>
        <w:t>«</w:t>
      </w:r>
      <w:r w:rsidRPr="00474729">
        <w:rPr>
          <w:sz w:val="20"/>
          <w:lang w:val="fr-CA"/>
        </w:rPr>
        <w:t xml:space="preserve">L’accusé a été inculpé de possession d’une substance réglementée en vue d’en faire le trafic. Il conteste la fouille de son véhicule effectuée par la police à l’aide d’un chien renifleur lors d’un contrôle routier.  Selon lui, les agents de police n’avaient pas de motifs raisonnables de le soupçonner d’une infraction liée à la drogue lorsqu’ils ont utilisé le chien.  D’après les policiers, vu la conduite imprévisible de l’accusé, sa nervosité extrême, la teinte rosâtre de ses yeux, son itinéraire et ses réponses contradictoires au sujet des dates de ses déplacements, la norme des soupçons raisonnables, à laquelle il faut satisfaire pour qu’une fouille effectuée à l’aide d’un chien renifleur soit valide, était respectée.  En affirmant que la fouille était inconstitutionnelle, l’accusé demande l’exclusion de la marihuana découverte dans le coffre de sa voiture.  Le juge de première instance a accepté les arguments de l’accusé, écarté la preuve et ordonné l’inscription d’un verdict d’acquittement.  La Cour d’appel a infirmé sa décision, estimant que l’ensemble de facteurs objectifs suffisait pour que soit respectée la norme des soupçons raisonnables. Elle a annulé l’acquittement et ordonné la tenue d’un procès.  </w:t>
      </w:r>
    </w:p>
    <w:p w14:paraId="2BF14A4F" w14:textId="62BC8546" w:rsidR="00474729" w:rsidRDefault="00474729" w:rsidP="00474729">
      <w:pPr>
        <w:pStyle w:val="SCCNormalDoubleSpacing"/>
        <w:spacing w:after="480" w:line="276" w:lineRule="auto"/>
        <w:rPr>
          <w:sz w:val="20"/>
          <w:lang w:val="fr-CA"/>
        </w:rPr>
      </w:pPr>
      <w:r w:rsidRPr="00474729">
        <w:rPr>
          <w:i/>
          <w:sz w:val="20"/>
          <w:lang w:val="fr-CA"/>
        </w:rPr>
        <w:tab/>
        <w:t xml:space="preserve">Arrêt </w:t>
      </w:r>
      <w:r w:rsidRPr="00474729">
        <w:rPr>
          <w:sz w:val="20"/>
          <w:lang w:val="fr-CA"/>
        </w:rPr>
        <w:t>(la juge en chef McLachlin et les juges LeBel, Fish et Cromwell sont dissidents) : Le pourvoi est rejeté.</w:t>
      </w:r>
      <w:r>
        <w:rPr>
          <w:sz w:val="20"/>
          <w:lang w:val="fr-CA"/>
        </w:rPr>
        <w:t>»</w:t>
      </w:r>
    </w:p>
    <w:p w14:paraId="7551C0B1" w14:textId="3F4B91D3" w:rsidR="00474729" w:rsidRDefault="00474729" w:rsidP="00DE34B8">
      <w:pPr>
        <w:pStyle w:val="SCCNormalDoubleSpacing"/>
        <w:numPr>
          <w:ilvl w:val="0"/>
          <w:numId w:val="157"/>
        </w:numPr>
        <w:spacing w:after="480" w:line="240" w:lineRule="auto"/>
        <w:ind w:left="714" w:hanging="357"/>
        <w:rPr>
          <w:sz w:val="20"/>
          <w:lang w:val="fr-CA"/>
        </w:rPr>
      </w:pPr>
      <w:r>
        <w:rPr>
          <w:sz w:val="20"/>
          <w:lang w:val="fr-CA"/>
        </w:rPr>
        <w:t>«</w:t>
      </w:r>
      <w:r w:rsidRPr="00474729">
        <w:rPr>
          <w:sz w:val="20"/>
          <w:lang w:val="fr-CA"/>
        </w:rPr>
        <w:t>Il convient d’examiner au cas par cas l’utilisation de chiens renifleurs comme technique d’enquête policière, en prenant en compte le contexte et en soupesant d’une part le droit à la vie privée, quel qu’il soit et, d’autre part l’intérêt opposé de l’État à faire appliquer la loi. »</w:t>
      </w:r>
      <w:r>
        <w:rPr>
          <w:sz w:val="20"/>
          <w:lang w:val="fr-CA"/>
        </w:rPr>
        <w:t xml:space="preserve"> (p.3)</w:t>
      </w:r>
    </w:p>
    <w:p w14:paraId="2590CE6A" w14:textId="69AC5BEB" w:rsidR="00474729" w:rsidRDefault="00474729" w:rsidP="00DE34B8">
      <w:pPr>
        <w:pStyle w:val="SCCNormalDoubleSpacing"/>
        <w:numPr>
          <w:ilvl w:val="0"/>
          <w:numId w:val="157"/>
        </w:numPr>
        <w:spacing w:after="480" w:line="276" w:lineRule="auto"/>
        <w:rPr>
          <w:sz w:val="20"/>
          <w:lang w:val="fr-CA"/>
        </w:rPr>
      </w:pPr>
      <w:r w:rsidRPr="00474729">
        <w:rPr>
          <w:sz w:val="20"/>
          <w:lang w:val="fr-CA"/>
        </w:rPr>
        <w:t>«La formation et l’expérience d’un agent de police peuvent jouer un rôle important lorsqu’il s’agit de déterminer si la norme des soupçons raisonnables a été respectée. »</w:t>
      </w:r>
      <w:r>
        <w:rPr>
          <w:sz w:val="20"/>
          <w:lang w:val="fr-CA"/>
        </w:rPr>
        <w:t xml:space="preserve"> (p.3)</w:t>
      </w:r>
    </w:p>
    <w:p w14:paraId="2D0FFC34" w14:textId="0D419442" w:rsidR="00474729" w:rsidRDefault="00474729" w:rsidP="00DE34B8">
      <w:pPr>
        <w:pStyle w:val="SCCNormalDoubleSpacing"/>
        <w:numPr>
          <w:ilvl w:val="0"/>
          <w:numId w:val="157"/>
        </w:numPr>
        <w:spacing w:after="480" w:line="276" w:lineRule="auto"/>
        <w:rPr>
          <w:sz w:val="20"/>
          <w:lang w:val="fr-CA"/>
        </w:rPr>
      </w:pPr>
      <w:r w:rsidRPr="00474729">
        <w:rPr>
          <w:sz w:val="20"/>
          <w:lang w:val="fr-CA"/>
        </w:rPr>
        <w:t>«Les soupçons raisonnables doivent être examinés à la lumière de l’ensemble des circonstances.  Il n’y a pas lieu d’écarter les facteurs disculpatoires, communs, neutres ou équivoques lors de l’examen de l’ensemble» (p.4)</w:t>
      </w:r>
    </w:p>
    <w:p w14:paraId="27E16E1C" w14:textId="5075E319" w:rsidR="00474729" w:rsidRDefault="00474729" w:rsidP="00DE34B8">
      <w:pPr>
        <w:pStyle w:val="SCCNormalDoubleSpacing"/>
        <w:numPr>
          <w:ilvl w:val="0"/>
          <w:numId w:val="157"/>
        </w:numPr>
        <w:spacing w:after="480" w:line="276" w:lineRule="auto"/>
        <w:rPr>
          <w:sz w:val="20"/>
          <w:lang w:val="fr-CA"/>
        </w:rPr>
      </w:pPr>
      <w:r w:rsidRPr="00474729">
        <w:rPr>
          <w:sz w:val="20"/>
          <w:lang w:val="fr-CA"/>
        </w:rPr>
        <w:t>«C’est une question de possibilités, non pas de probabilités.  Les faits indiquent</w:t>
      </w:r>
      <w:r w:rsidRPr="00474729">
        <w:rPr>
          <w:sz w:val="20"/>
          <w:lang w:val="fr-CA"/>
        </w:rPr>
        <w:noBreakHyphen/>
        <w:t xml:space="preserve">ils objectivement la </w:t>
      </w:r>
      <w:r w:rsidRPr="00474729">
        <w:rPr>
          <w:i/>
          <w:iCs/>
          <w:sz w:val="20"/>
          <w:lang w:val="fr-CA"/>
        </w:rPr>
        <w:t>possibilité</w:t>
      </w:r>
      <w:r w:rsidRPr="00474729">
        <w:rPr>
          <w:sz w:val="20"/>
          <w:lang w:val="fr-CA"/>
        </w:rPr>
        <w:t xml:space="preserve"> d’un comportement criminel compte tenu de l’ensemble des circonstances?  Dans l’affirmative, il est satisfait à l’élément objectif du critère.  Dans la négative, l’analyse prend fin» (p.4)</w:t>
      </w:r>
    </w:p>
    <w:p w14:paraId="55961D08" w14:textId="4A9D5863" w:rsidR="00474729" w:rsidRDefault="00474729" w:rsidP="00474729">
      <w:pPr>
        <w:pStyle w:val="SCCNormalDoubleSpacing"/>
        <w:spacing w:after="480" w:line="276" w:lineRule="auto"/>
        <w:rPr>
          <w:sz w:val="22"/>
          <w:szCs w:val="22"/>
          <w:lang w:val="fr-CA"/>
        </w:rPr>
      </w:pPr>
      <w:r>
        <w:rPr>
          <w:sz w:val="22"/>
          <w:szCs w:val="22"/>
          <w:lang w:val="fr-CA"/>
        </w:rPr>
        <w:t>Selon nous, la dissidence des juges Mclachlin, Lebel, Fish et Cromwell est plus conforme au droit, et respecte d’avantage le droit contre les fouilles abusives protégé par la Charte. Les juges dissidents l’expliquent ainsi :</w:t>
      </w:r>
    </w:p>
    <w:p w14:paraId="7E4F7DE3" w14:textId="478211D4" w:rsidR="00474729" w:rsidRDefault="00474729" w:rsidP="00DE34B8">
      <w:pPr>
        <w:pStyle w:val="SCCNormalDoubleSpacing"/>
        <w:numPr>
          <w:ilvl w:val="0"/>
          <w:numId w:val="158"/>
        </w:numPr>
        <w:spacing w:after="480" w:line="276" w:lineRule="auto"/>
        <w:rPr>
          <w:sz w:val="20"/>
          <w:lang w:val="fr-CA"/>
        </w:rPr>
      </w:pPr>
      <w:r w:rsidRPr="00474729">
        <w:rPr>
          <w:sz w:val="20"/>
          <w:lang w:val="fr-CA"/>
        </w:rPr>
        <w:t>«Les policiers ne peuvent pas se contenter de se fonder sur leur expérience pratique pour établir de larges catégories de comportements « suspects » susceptibles de s’appliquer à presque n’importe qui.  On risque ainsi de substituer à la norme souple des soupçons raisonnables celle des soupçons « généraux » rejetée auparavant.  Pour faire respecter et pour promouvoir le droit à la vie privée, les tribunaux ne doivent pas hésiter à demander des comptes aux policiers lorsqu’ils n’exercent pas correctement leur pouvoir et tirent des conclusions générales relatives à la criminalité sans soupçons précis et particuliers appréciables objectivement.  L’ensemble des faits justifiant les soupçons raisonnables doit reposer sur la preuve, être lié au suspect et pouvoir étayer une inférence logique quant à l’existence d’un comportement criminel (p.7)»</w:t>
      </w:r>
    </w:p>
    <w:p w14:paraId="63F2BA3F" w14:textId="20216D2F" w:rsidR="00474729" w:rsidRDefault="00DE34B8" w:rsidP="00DE34B8">
      <w:pPr>
        <w:pStyle w:val="SCCNormalDoubleSpacing"/>
        <w:numPr>
          <w:ilvl w:val="0"/>
          <w:numId w:val="158"/>
        </w:numPr>
        <w:spacing w:after="480" w:line="276" w:lineRule="auto"/>
        <w:rPr>
          <w:sz w:val="20"/>
          <w:lang w:val="fr-CA"/>
        </w:rPr>
      </w:pPr>
      <w:r w:rsidRPr="00DE34B8">
        <w:rPr>
          <w:sz w:val="20"/>
          <w:lang w:val="fr-CA"/>
        </w:rPr>
        <w:t>«L’existence des soupçons raisonnables doit être appréciée du point de vue d’une personne raisonnable mise à la place de l’enquêteur.  Toutefois, même en appréciant objectivement le point de vue du policier, le tribunal ne doit pas faire particulièrement preuve de déférence à l’égard du témoignage de ce dernier.  En accordant trop de crédit au témoignage d’un policier, le tribunal risque de compromettre par inadvertance l’élément objectif de la norme des soupçons raisonnables.  L’analyse objective des soupçons raisonnables est souvent subordonnée, en grande partie, aux observations personnelles du policier.  La crédibilité n’est donc pas seulement pertinente pour évaluer la croyance subjective du policier; elle a également une incidence sur le caractère raisonnable de ses soupçons. (p.7) »</w:t>
      </w:r>
    </w:p>
    <w:p w14:paraId="4E7905AF" w14:textId="09291400" w:rsidR="00BE3B90" w:rsidRDefault="00BE3B90" w:rsidP="00BE3B90">
      <w:pPr>
        <w:pStyle w:val="SCCNormalDoubleSpacing"/>
        <w:spacing w:after="480" w:line="276" w:lineRule="auto"/>
        <w:rPr>
          <w:sz w:val="22"/>
          <w:szCs w:val="22"/>
          <w:lang w:val="fr-CA"/>
        </w:rPr>
      </w:pPr>
      <w:r>
        <w:rPr>
          <w:sz w:val="22"/>
          <w:szCs w:val="22"/>
          <w:lang w:val="fr-CA"/>
        </w:rPr>
        <w:t>Voici les éléments pertinents à considérer lors de l’utilisation de chiens renifleurs selon le jugement majoritaire :</w:t>
      </w:r>
    </w:p>
    <w:p w14:paraId="3FFB6823" w14:textId="0E6C108A" w:rsidR="00882807" w:rsidRPr="00882807" w:rsidRDefault="00882807" w:rsidP="00882807">
      <w:pPr>
        <w:pStyle w:val="TitleTitre-AltT"/>
        <w:keepNext/>
        <w:tabs>
          <w:tab w:val="clear" w:pos="360"/>
          <w:tab w:val="left" w:pos="450"/>
        </w:tabs>
        <w:ind w:left="446" w:hanging="446"/>
        <w:rPr>
          <w:rFonts w:cs="Times New Roman"/>
          <w:i/>
          <w:iCs/>
          <w:sz w:val="22"/>
          <w:szCs w:val="22"/>
          <w:lang w:val="fr-CA"/>
        </w:rPr>
      </w:pPr>
      <w:r w:rsidRPr="00882807">
        <w:rPr>
          <w:rFonts w:cs="Times New Roman"/>
          <w:sz w:val="22"/>
          <w:szCs w:val="22"/>
          <w:lang w:val="fr-CA"/>
        </w:rPr>
        <w:t>C.</w:t>
      </w:r>
      <w:r w:rsidRPr="00882807">
        <w:rPr>
          <w:rFonts w:cs="Times New Roman"/>
          <w:sz w:val="22"/>
          <w:szCs w:val="22"/>
          <w:lang w:val="fr-CA"/>
        </w:rPr>
        <w:tab/>
      </w:r>
      <w:r w:rsidRPr="00882807">
        <w:rPr>
          <w:rFonts w:cs="Times New Roman"/>
          <w:i/>
          <w:iCs/>
          <w:sz w:val="22"/>
          <w:szCs w:val="22"/>
          <w:lang w:val="fr-CA"/>
        </w:rPr>
        <w:t>La fouille de la voiture de l’appelant effectuée à l’aide du chien renifleur</w:t>
      </w:r>
    </w:p>
    <w:p w14:paraId="0DC35636" w14:textId="38741A2F" w:rsidR="00882807" w:rsidRPr="00882807" w:rsidRDefault="00882807" w:rsidP="00882807">
      <w:pPr>
        <w:pStyle w:val="ParaNoNdepar-AltN"/>
        <w:numPr>
          <w:ilvl w:val="0"/>
          <w:numId w:val="159"/>
        </w:numPr>
        <w:spacing w:line="276" w:lineRule="auto"/>
        <w:rPr>
          <w:rFonts w:cs="Times New Roman"/>
          <w:sz w:val="20"/>
          <w:szCs w:val="20"/>
          <w:lang w:val="fr-CA"/>
        </w:rPr>
      </w:pPr>
      <w:r w:rsidRPr="00882807">
        <w:rPr>
          <w:rFonts w:cs="Times New Roman"/>
          <w:sz w:val="20"/>
          <w:szCs w:val="20"/>
          <w:lang w:val="fr-CA"/>
        </w:rPr>
        <w:t xml:space="preserve">[18] Après que l’appelant a confirmé avoir compris les motifs de sa détention et les droits que lui garantit la </w:t>
      </w:r>
      <w:r w:rsidRPr="00882807">
        <w:rPr>
          <w:rFonts w:cs="Times New Roman"/>
          <w:i/>
          <w:iCs/>
          <w:sz w:val="20"/>
          <w:szCs w:val="20"/>
          <w:lang w:val="fr-CA"/>
        </w:rPr>
        <w:t>Charte</w:t>
      </w:r>
      <w:r w:rsidRPr="00882807">
        <w:rPr>
          <w:rFonts w:cs="Times New Roman"/>
          <w:sz w:val="20"/>
          <w:szCs w:val="20"/>
          <w:lang w:val="fr-CA"/>
        </w:rPr>
        <w:t xml:space="preserve">, l’agent Sperlie lui a demandé s’il consentait à une fouille de sa voiture.  Ayant essuyé un refus, l’agent Sperlie a fait appel à son chien policier, Levi, un animal spécialement dressé pour la détection de drogue qui lui avait été confié en sa qualité d’agent de la circulation.  </w:t>
      </w:r>
    </w:p>
    <w:p w14:paraId="19CF1562" w14:textId="591D3EC9" w:rsidR="00882807" w:rsidRDefault="00882807" w:rsidP="00882807">
      <w:pPr>
        <w:pStyle w:val="ParaNoNdepar-AltN"/>
        <w:numPr>
          <w:ilvl w:val="0"/>
          <w:numId w:val="159"/>
        </w:numPr>
        <w:spacing w:line="276" w:lineRule="auto"/>
        <w:rPr>
          <w:rFonts w:cs="Times New Roman"/>
          <w:sz w:val="20"/>
          <w:szCs w:val="20"/>
          <w:lang w:val="fr-CA"/>
        </w:rPr>
      </w:pPr>
      <w:r w:rsidRPr="00882807">
        <w:rPr>
          <w:rFonts w:cs="Times New Roman"/>
          <w:sz w:val="20"/>
          <w:szCs w:val="20"/>
          <w:lang w:val="fr-CA"/>
        </w:rPr>
        <w:t xml:space="preserve">[19]Levi a effectué une fouille extérieure de la voiture et, par sa réaction, a indiqué la présence d’une odeur de drogue dans la zone du hayon.  Selon le témoignage de l’agent Sperlie, </w:t>
      </w:r>
      <w:r w:rsidRPr="00882807">
        <w:rPr>
          <w:rFonts w:cs="Times New Roman"/>
          <w:smallCaps/>
          <w:sz w:val="20"/>
          <w:szCs w:val="20"/>
          <w:lang w:val="fr-CA"/>
        </w:rPr>
        <w:t>[traduction]</w:t>
      </w:r>
      <w:r w:rsidRPr="00882807">
        <w:rPr>
          <w:rFonts w:cs="Times New Roman"/>
          <w:sz w:val="20"/>
          <w:szCs w:val="20"/>
          <w:lang w:val="fr-CA"/>
        </w:rPr>
        <w:t xml:space="preserve"> « l’attention [de Levi] s’est fixée sur l’arrière du véhicule, il est devenu fébrile, il remuait la queue » (D.A., vol. II, p. 21).  L’agent Sperlie a alors indiqué à l’agent Warner que la fouille « était positive et [lui a dit] de procéder à une arrestation pour infraction à la </w:t>
      </w:r>
      <w:r w:rsidRPr="00882807">
        <w:rPr>
          <w:rFonts w:cs="Times New Roman"/>
          <w:i/>
          <w:iCs/>
          <w:sz w:val="20"/>
          <w:szCs w:val="20"/>
          <w:lang w:val="fr-CA"/>
        </w:rPr>
        <w:t>LRCDAS</w:t>
      </w:r>
      <w:r w:rsidRPr="00882807">
        <w:rPr>
          <w:rFonts w:cs="Times New Roman"/>
          <w:sz w:val="20"/>
          <w:szCs w:val="20"/>
          <w:lang w:val="fr-CA"/>
        </w:rPr>
        <w:t xml:space="preserve"> » (D.A., vol. II, p. 22).  </w:t>
      </w:r>
    </w:p>
    <w:p w14:paraId="51FE8A52" w14:textId="1081BFCE" w:rsidR="00882807" w:rsidRPr="00FC4B6F" w:rsidRDefault="00FC4B6F" w:rsidP="00FC4B6F">
      <w:pPr>
        <w:pStyle w:val="ParaNoNdepar-AltN"/>
        <w:numPr>
          <w:ilvl w:val="0"/>
          <w:numId w:val="0"/>
        </w:numPr>
        <w:spacing w:line="276" w:lineRule="auto"/>
        <w:rPr>
          <w:rFonts w:cs="Times New Roman"/>
          <w:i/>
          <w:sz w:val="22"/>
          <w:szCs w:val="22"/>
          <w:lang w:val="fr-CA"/>
        </w:rPr>
      </w:pPr>
      <w:r w:rsidRPr="00FC4B6F">
        <w:rPr>
          <w:rFonts w:cs="Times New Roman"/>
          <w:sz w:val="22"/>
          <w:szCs w:val="22"/>
          <w:lang w:val="fr-CA"/>
        </w:rPr>
        <w:t xml:space="preserve">V. </w:t>
      </w:r>
      <w:r w:rsidRPr="00FC4B6F">
        <w:rPr>
          <w:rFonts w:cs="Times New Roman"/>
          <w:i/>
          <w:sz w:val="22"/>
          <w:szCs w:val="22"/>
          <w:lang w:val="fr-CA"/>
        </w:rPr>
        <w:t xml:space="preserve"> Analyse</w:t>
      </w:r>
    </w:p>
    <w:p w14:paraId="45D55F0D" w14:textId="77777777" w:rsidR="00FC4B6F" w:rsidRPr="00FC4B6F" w:rsidRDefault="00FC4B6F" w:rsidP="00FC4B6F">
      <w:pPr>
        <w:pStyle w:val="ParaNoNdepar-AltN"/>
        <w:numPr>
          <w:ilvl w:val="0"/>
          <w:numId w:val="161"/>
        </w:numPr>
        <w:rPr>
          <w:rFonts w:cs="Times New Roman"/>
          <w:sz w:val="20"/>
          <w:szCs w:val="20"/>
          <w:lang w:val="fr-CA"/>
        </w:rPr>
      </w:pPr>
      <w:r w:rsidRPr="00FC4B6F">
        <w:rPr>
          <w:sz w:val="20"/>
          <w:szCs w:val="20"/>
          <w:lang w:val="fr-CA"/>
        </w:rPr>
        <w:t xml:space="preserve">[31] </w:t>
      </w:r>
      <w:r w:rsidRPr="00FC4B6F">
        <w:rPr>
          <w:rFonts w:cs="Times New Roman"/>
          <w:sz w:val="20"/>
          <w:szCs w:val="20"/>
          <w:lang w:val="fr-CA"/>
        </w:rPr>
        <w:t xml:space="preserve">En l’espèce, le contexte relatif à la vie privée est analogue à ceux des </w:t>
      </w:r>
      <w:r w:rsidRPr="00FC4B6F">
        <w:rPr>
          <w:rFonts w:cs="Times New Roman"/>
          <w:b/>
          <w:sz w:val="20"/>
          <w:szCs w:val="20"/>
          <w:lang w:val="fr-CA"/>
        </w:rPr>
        <w:t xml:space="preserve">affaires </w:t>
      </w:r>
      <w:r w:rsidRPr="00FC4B6F">
        <w:rPr>
          <w:rFonts w:cs="Times New Roman"/>
          <w:b/>
          <w:i/>
          <w:iCs/>
          <w:sz w:val="20"/>
          <w:szCs w:val="20"/>
          <w:lang w:val="fr-CA"/>
        </w:rPr>
        <w:t>Kang</w:t>
      </w:r>
      <w:r w:rsidRPr="00FC4B6F">
        <w:rPr>
          <w:rFonts w:cs="Times New Roman"/>
          <w:b/>
          <w:i/>
          <w:iCs/>
          <w:sz w:val="20"/>
          <w:szCs w:val="20"/>
          <w:lang w:val="fr-CA"/>
        </w:rPr>
        <w:noBreakHyphen/>
        <w:t>Brown</w:t>
      </w:r>
      <w:r w:rsidRPr="00FC4B6F">
        <w:rPr>
          <w:rFonts w:cs="Times New Roman"/>
          <w:b/>
          <w:iCs/>
          <w:sz w:val="20"/>
          <w:szCs w:val="20"/>
          <w:lang w:val="fr-CA"/>
        </w:rPr>
        <w:t xml:space="preserve"> (une gare d’autocar)</w:t>
      </w:r>
      <w:r w:rsidRPr="00FC4B6F">
        <w:rPr>
          <w:rFonts w:cs="Times New Roman"/>
          <w:b/>
          <w:i/>
          <w:iCs/>
          <w:sz w:val="20"/>
          <w:szCs w:val="20"/>
          <w:lang w:val="fr-CA"/>
        </w:rPr>
        <w:t xml:space="preserve"> </w:t>
      </w:r>
      <w:r w:rsidRPr="00FC4B6F">
        <w:rPr>
          <w:rFonts w:cs="Times New Roman"/>
          <w:b/>
          <w:sz w:val="20"/>
          <w:szCs w:val="20"/>
          <w:lang w:val="fr-CA"/>
        </w:rPr>
        <w:t xml:space="preserve">et </w:t>
      </w:r>
      <w:r w:rsidRPr="00FC4B6F">
        <w:rPr>
          <w:rFonts w:cs="Times New Roman"/>
          <w:b/>
          <w:i/>
          <w:iCs/>
          <w:sz w:val="20"/>
          <w:szCs w:val="20"/>
          <w:lang w:val="fr-CA"/>
        </w:rPr>
        <w:t>A.M</w:t>
      </w:r>
      <w:r w:rsidRPr="00FC4B6F">
        <w:rPr>
          <w:rFonts w:cs="Times New Roman"/>
          <w:i/>
          <w:iCs/>
          <w:sz w:val="20"/>
          <w:szCs w:val="20"/>
          <w:lang w:val="fr-CA"/>
        </w:rPr>
        <w:t>.</w:t>
      </w:r>
      <w:r w:rsidRPr="00FC4B6F">
        <w:rPr>
          <w:rFonts w:cs="Times New Roman"/>
          <w:sz w:val="20"/>
          <w:szCs w:val="20"/>
          <w:lang w:val="fr-CA"/>
        </w:rPr>
        <w:t xml:space="preserve"> (une école).  Dans ces arrêts, la Cour conclut à la constitutionnalité de l’utilisation par la police d’un chien renifleur en cas de soupçons raisonnables.  Par conséquent, dans l’affaire qui nous occupe, je suis convaincu que les policiers étaient habilités suivant la même norme à faire appel à ce type de chien pour la prévention de la criminalité.</w:t>
      </w:r>
    </w:p>
    <w:p w14:paraId="07F0F30F" w14:textId="312B6EB3" w:rsidR="00BE3B90" w:rsidRDefault="00FC4B6F" w:rsidP="00BE3B90">
      <w:pPr>
        <w:pStyle w:val="SCCNormalDoubleSpacing"/>
        <w:numPr>
          <w:ilvl w:val="0"/>
          <w:numId w:val="159"/>
        </w:numPr>
        <w:spacing w:after="480" w:line="276" w:lineRule="auto"/>
        <w:rPr>
          <w:sz w:val="20"/>
          <w:lang w:val="fr-CA"/>
        </w:rPr>
      </w:pPr>
      <w:r w:rsidRPr="00FC4B6F">
        <w:rPr>
          <w:sz w:val="20"/>
          <w:lang w:val="fr-CA"/>
        </w:rPr>
        <w:t>[32]Nous continuons d’examiner l’utilisation de cette technique d’enquête policière au cas par cas, en prenant en compte le contexte et en soupesant d’une part le droit à la vie privée, quel qu’il soit et, d’autre part l’intérêt opposé de l’État à faire appliquer la loi</w:t>
      </w:r>
    </w:p>
    <w:p w14:paraId="06993D90" w14:textId="77777777" w:rsidR="00FC4B6F" w:rsidRDefault="00FC4B6F" w:rsidP="00FC4B6F">
      <w:pPr>
        <w:pStyle w:val="TitleTitre-AltT"/>
        <w:keepNext/>
        <w:tabs>
          <w:tab w:val="clear" w:pos="360"/>
          <w:tab w:val="left" w:pos="450"/>
        </w:tabs>
        <w:rPr>
          <w:rFonts w:cs="Times New Roman"/>
          <w:i/>
          <w:iCs/>
          <w:sz w:val="22"/>
          <w:szCs w:val="22"/>
          <w:lang w:val="fr-CA"/>
        </w:rPr>
      </w:pPr>
      <w:r w:rsidRPr="00FC4B6F">
        <w:rPr>
          <w:rFonts w:cs="Times New Roman"/>
          <w:sz w:val="22"/>
          <w:szCs w:val="22"/>
          <w:lang w:val="fr-CA"/>
        </w:rPr>
        <w:t>C.</w:t>
      </w:r>
      <w:r w:rsidRPr="00FC4B6F">
        <w:rPr>
          <w:rFonts w:cs="Times New Roman"/>
          <w:sz w:val="22"/>
          <w:szCs w:val="22"/>
          <w:lang w:val="fr-CA"/>
        </w:rPr>
        <w:tab/>
      </w:r>
      <w:r w:rsidRPr="00FC4B6F">
        <w:rPr>
          <w:rFonts w:cs="Times New Roman"/>
          <w:i/>
          <w:iCs/>
          <w:sz w:val="22"/>
          <w:szCs w:val="22"/>
          <w:lang w:val="fr-CA"/>
        </w:rPr>
        <w:t>Les policiers avaient</w:t>
      </w:r>
      <w:r w:rsidRPr="00FC4B6F">
        <w:rPr>
          <w:rFonts w:cs="Times New Roman"/>
          <w:i/>
          <w:iCs/>
          <w:sz w:val="22"/>
          <w:szCs w:val="22"/>
          <w:lang w:val="fr-CA"/>
        </w:rPr>
        <w:noBreakHyphen/>
        <w:t>ils des motifs raisonnables de soupçonner l’appelant d’une infraction liée à la drogue?</w:t>
      </w:r>
    </w:p>
    <w:p w14:paraId="133C0F46" w14:textId="77777777" w:rsidR="006942CA" w:rsidRDefault="00FC4B6F" w:rsidP="006942CA">
      <w:pPr>
        <w:pStyle w:val="TitleTitre-AltT"/>
        <w:keepNext/>
        <w:numPr>
          <w:ilvl w:val="0"/>
          <w:numId w:val="159"/>
        </w:numPr>
        <w:tabs>
          <w:tab w:val="clear" w:pos="360"/>
          <w:tab w:val="left" w:pos="450"/>
        </w:tabs>
        <w:rPr>
          <w:rFonts w:cs="Times New Roman"/>
          <w:sz w:val="20"/>
          <w:szCs w:val="20"/>
          <w:lang w:val="fr-CA"/>
        </w:rPr>
      </w:pPr>
      <w:r w:rsidRPr="00FC4B6F">
        <w:rPr>
          <w:rFonts w:cs="Times New Roman"/>
          <w:sz w:val="20"/>
          <w:szCs w:val="20"/>
        </w:rPr>
        <w:t xml:space="preserve">[41] </w:t>
      </w:r>
      <w:r w:rsidRPr="00FC4B6F">
        <w:rPr>
          <w:rFonts w:cs="Times New Roman"/>
          <w:sz w:val="20"/>
          <w:szCs w:val="20"/>
          <w:lang w:val="fr-CA"/>
        </w:rPr>
        <w:t xml:space="preserve">J’en viens au nœud de la présente affaire.  </w:t>
      </w:r>
      <w:r w:rsidRPr="00FC4B6F">
        <w:rPr>
          <w:rFonts w:cs="Times New Roman"/>
          <w:b/>
          <w:sz w:val="20"/>
          <w:szCs w:val="20"/>
          <w:lang w:val="fr-CA"/>
        </w:rPr>
        <w:t>Ce qui distingue les soupçons raisonnables des simples soupçons est le fait qu’« une croyance subjective sincère ne suffit pas </w:t>
      </w:r>
      <w:r w:rsidRPr="00FC4B6F">
        <w:rPr>
          <w:rFonts w:cs="Times New Roman"/>
          <w:sz w:val="20"/>
          <w:szCs w:val="20"/>
          <w:lang w:val="fr-CA"/>
        </w:rPr>
        <w:t>» à les justifier (</w:t>
      </w:r>
      <w:r w:rsidRPr="00FC4B6F">
        <w:rPr>
          <w:rFonts w:cs="Times New Roman"/>
          <w:i/>
          <w:iCs/>
          <w:sz w:val="20"/>
          <w:szCs w:val="20"/>
          <w:lang w:val="fr-CA"/>
        </w:rPr>
        <w:t>Kang</w:t>
      </w:r>
      <w:r w:rsidRPr="00FC4B6F">
        <w:rPr>
          <w:rFonts w:cs="Times New Roman"/>
          <w:i/>
          <w:iCs/>
          <w:sz w:val="20"/>
          <w:szCs w:val="20"/>
          <w:lang w:val="fr-CA"/>
        </w:rPr>
        <w:noBreakHyphen/>
        <w:t>Brown</w:t>
      </w:r>
      <w:r w:rsidRPr="00FC4B6F">
        <w:rPr>
          <w:rFonts w:cs="Times New Roman"/>
          <w:sz w:val="20"/>
          <w:szCs w:val="20"/>
          <w:lang w:val="fr-CA"/>
        </w:rPr>
        <w:t>, par. 75, le juge</w:t>
      </w:r>
      <w:r w:rsidRPr="00FC4B6F">
        <w:rPr>
          <w:rFonts w:cs="Times New Roman"/>
          <w:i/>
          <w:iCs/>
          <w:sz w:val="20"/>
          <w:szCs w:val="20"/>
          <w:lang w:val="fr-CA"/>
        </w:rPr>
        <w:t xml:space="preserve"> </w:t>
      </w:r>
      <w:r w:rsidRPr="00FC4B6F">
        <w:rPr>
          <w:rFonts w:cs="Times New Roman"/>
          <w:sz w:val="20"/>
          <w:szCs w:val="20"/>
          <w:lang w:val="fr-CA"/>
        </w:rPr>
        <w:t xml:space="preserve">Binnie, citant l’article de P. Sankoff et S. Perrault [...]).  Par ailleurs, comme le fait observer la juge Karakatsanis dans </w:t>
      </w:r>
      <w:r w:rsidRPr="00FC4B6F">
        <w:rPr>
          <w:rFonts w:cs="Times New Roman"/>
          <w:i/>
          <w:iCs/>
          <w:sz w:val="20"/>
          <w:szCs w:val="20"/>
          <w:lang w:val="fr-CA"/>
        </w:rPr>
        <w:t>Chehil</w:t>
      </w:r>
      <w:r w:rsidRPr="00FC4B6F">
        <w:rPr>
          <w:rFonts w:cs="Times New Roman"/>
          <w:sz w:val="20"/>
          <w:szCs w:val="20"/>
          <w:lang w:val="fr-CA"/>
        </w:rPr>
        <w:t xml:space="preserve">, </w:t>
      </w:r>
      <w:r w:rsidRPr="00FC4B6F">
        <w:rPr>
          <w:rFonts w:cs="Times New Roman"/>
          <w:b/>
          <w:sz w:val="20"/>
          <w:szCs w:val="20"/>
          <w:lang w:val="fr-CA"/>
        </w:rPr>
        <w:t>les soupçons raisonnables doivent reposer sur « des faits objectivement discernables,</w:t>
      </w:r>
      <w:r w:rsidRPr="00FC4B6F">
        <w:rPr>
          <w:rFonts w:cs="Times New Roman"/>
          <w:sz w:val="20"/>
          <w:szCs w:val="20"/>
          <w:lang w:val="fr-CA"/>
        </w:rPr>
        <w:t xml:space="preserve"> qui peuvent ensuite être soumis à l’examen judiciaire indépendant »</w:t>
      </w:r>
      <w:r>
        <w:rPr>
          <w:rFonts w:cs="Times New Roman"/>
          <w:sz w:val="20"/>
          <w:szCs w:val="20"/>
          <w:lang w:val="fr-CA"/>
        </w:rPr>
        <w:t xml:space="preserve"> (par. 26).</w:t>
      </w:r>
    </w:p>
    <w:p w14:paraId="4049082C" w14:textId="0222B7FE" w:rsidR="006942CA" w:rsidRPr="006942CA" w:rsidRDefault="006942CA" w:rsidP="006942CA">
      <w:pPr>
        <w:pStyle w:val="TitleTitre-AltT"/>
        <w:keepNext/>
        <w:numPr>
          <w:ilvl w:val="0"/>
          <w:numId w:val="159"/>
        </w:numPr>
        <w:tabs>
          <w:tab w:val="clear" w:pos="360"/>
          <w:tab w:val="left" w:pos="450"/>
        </w:tabs>
        <w:rPr>
          <w:rFonts w:cs="Times New Roman"/>
          <w:sz w:val="20"/>
          <w:szCs w:val="20"/>
          <w:lang w:val="fr-CA"/>
        </w:rPr>
      </w:pPr>
      <w:r w:rsidRPr="006942CA">
        <w:rPr>
          <w:rFonts w:cs="Times New Roman"/>
          <w:sz w:val="20"/>
          <w:szCs w:val="20"/>
          <w:lang w:val="fr-CA"/>
        </w:rPr>
        <w:t>[51] Autrement dit, en dernière analyse, malgré ses réserves, le juge n’a pas tiré de conclusion défavorable quant à la crédibilité.  Assurément, il ne nous appartient pas de le faire maintenant.  Au vu du dossier qui nous a été soumis et en l’absence d’une conclusion défavorable quant la crédibilité, nous devons supposer que le juge a tenu le témoignage de l’agent Sperlie pour crédible.</w:t>
      </w:r>
    </w:p>
    <w:p w14:paraId="40E33598" w14:textId="133138F6" w:rsidR="00FC4B6F" w:rsidRDefault="006942CA" w:rsidP="00FC4B6F">
      <w:pPr>
        <w:pStyle w:val="TitleTitre-AltT"/>
        <w:keepNext/>
        <w:numPr>
          <w:ilvl w:val="0"/>
          <w:numId w:val="159"/>
        </w:numPr>
        <w:tabs>
          <w:tab w:val="clear" w:pos="360"/>
          <w:tab w:val="left" w:pos="450"/>
        </w:tabs>
        <w:rPr>
          <w:rFonts w:cs="Times New Roman"/>
          <w:sz w:val="20"/>
          <w:szCs w:val="20"/>
          <w:lang w:val="fr-CA"/>
        </w:rPr>
      </w:pPr>
      <w:r w:rsidRPr="006942CA">
        <w:rPr>
          <w:rFonts w:cs="Times New Roman"/>
          <w:sz w:val="20"/>
          <w:szCs w:val="20"/>
          <w:lang w:val="fr-CA"/>
        </w:rPr>
        <w:t>[57]</w:t>
      </w:r>
      <w:r w:rsidR="00FC4B6F" w:rsidRPr="006942CA">
        <w:rPr>
          <w:rFonts w:cs="Times New Roman"/>
          <w:sz w:val="20"/>
          <w:szCs w:val="20"/>
          <w:lang w:val="fr-CA"/>
        </w:rPr>
        <w:t xml:space="preserve"> </w:t>
      </w:r>
      <w:r w:rsidRPr="006942CA">
        <w:rPr>
          <w:rFonts w:cs="Times New Roman"/>
          <w:sz w:val="20"/>
          <w:szCs w:val="20"/>
          <w:lang w:val="fr-CA"/>
        </w:rPr>
        <w:t xml:space="preserve">Aucune différence importante ne distingue l’arrêt </w:t>
      </w:r>
      <w:r w:rsidRPr="006942CA">
        <w:rPr>
          <w:rFonts w:cs="Times New Roman"/>
          <w:i/>
          <w:sz w:val="20"/>
          <w:szCs w:val="20"/>
          <w:lang w:val="fr-CA"/>
        </w:rPr>
        <w:t xml:space="preserve">Nolet </w:t>
      </w:r>
      <w:r w:rsidRPr="006942CA">
        <w:rPr>
          <w:rFonts w:cs="Times New Roman"/>
          <w:sz w:val="20"/>
          <w:szCs w:val="20"/>
          <w:lang w:val="fr-CA"/>
        </w:rPr>
        <w:t>de l’affaire qui nous occupe.  Les agents de police n’ont pas à être qualifiés en pharmacologie, en toxicologie ou en médecine pour témoigner au sujet des facteurs qui fournissent, selon leur formation et leur expérience, des motifs raisonnables de soupçonner qu’une personne a consommé de la drogue</w:t>
      </w:r>
      <w:r>
        <w:rPr>
          <w:rFonts w:cs="Times New Roman"/>
          <w:sz w:val="20"/>
          <w:szCs w:val="20"/>
          <w:lang w:val="fr-CA"/>
        </w:rPr>
        <w:t>.</w:t>
      </w:r>
    </w:p>
    <w:p w14:paraId="35EEA7D8" w14:textId="1FA9D3CD" w:rsidR="006942CA" w:rsidRPr="006942CA" w:rsidRDefault="006942CA" w:rsidP="006942CA">
      <w:pPr>
        <w:pStyle w:val="ParaNoNdepar-AltN"/>
        <w:numPr>
          <w:ilvl w:val="0"/>
          <w:numId w:val="159"/>
        </w:numPr>
        <w:spacing w:line="276" w:lineRule="auto"/>
        <w:rPr>
          <w:rFonts w:cs="Times New Roman"/>
          <w:sz w:val="20"/>
          <w:szCs w:val="20"/>
          <w:lang w:val="fr-CA"/>
        </w:rPr>
      </w:pPr>
      <w:r w:rsidRPr="006942CA">
        <w:rPr>
          <w:rFonts w:cs="Times New Roman"/>
          <w:sz w:val="20"/>
          <w:szCs w:val="20"/>
          <w:lang w:val="fr-CA"/>
        </w:rPr>
        <w:t>[63]</w:t>
      </w:r>
      <w:r w:rsidRPr="006942CA">
        <w:rPr>
          <w:rFonts w:cs="Times New Roman"/>
          <w:b/>
          <w:sz w:val="20"/>
          <w:szCs w:val="20"/>
          <w:lang w:val="fr-CA"/>
        </w:rPr>
        <w:t>Par conséquent, pour déterminer si l’existence de soupçons raisonnables a été prouvée, il faut procéder à l’analyse du caractère objectivement raisonnable du point de vue d’une personne raisonnable</w:t>
      </w:r>
      <w:r w:rsidRPr="006942CA">
        <w:rPr>
          <w:rFonts w:cs="Times New Roman"/>
          <w:sz w:val="20"/>
          <w:szCs w:val="20"/>
          <w:lang w:val="fr-CA"/>
        </w:rPr>
        <w:t xml:space="preserve"> </w:t>
      </w:r>
      <w:r w:rsidRPr="006942CA">
        <w:rPr>
          <w:rFonts w:cs="Times New Roman"/>
          <w:smallCaps/>
          <w:sz w:val="20"/>
          <w:szCs w:val="20"/>
          <w:lang w:val="fr-CA"/>
        </w:rPr>
        <w:t>[traduction]</w:t>
      </w:r>
      <w:r w:rsidRPr="006942CA">
        <w:rPr>
          <w:rFonts w:cs="Times New Roman"/>
          <w:sz w:val="20"/>
          <w:szCs w:val="20"/>
          <w:lang w:val="fr-CA"/>
        </w:rPr>
        <w:t xml:space="preserve"> « mise à la place de l’agent de police » (</w:t>
      </w:r>
      <w:r w:rsidRPr="006942CA">
        <w:rPr>
          <w:rFonts w:cs="Times New Roman"/>
          <w:i/>
          <w:iCs/>
          <w:sz w:val="20"/>
          <w:szCs w:val="20"/>
          <w:lang w:val="fr-CA"/>
        </w:rPr>
        <w:t>R. c. Tran</w:t>
      </w:r>
      <w:r w:rsidRPr="006942CA">
        <w:rPr>
          <w:rFonts w:cs="Times New Roman"/>
          <w:sz w:val="20"/>
          <w:szCs w:val="20"/>
          <w:lang w:val="fr-CA"/>
        </w:rPr>
        <w:t xml:space="preserve">, 2007 BCCA 491, 247 B.C.A.C. 109, par. 12; voir également </w:t>
      </w:r>
      <w:r w:rsidRPr="006942CA">
        <w:rPr>
          <w:rFonts w:cs="Times New Roman"/>
          <w:i/>
          <w:iCs/>
          <w:sz w:val="20"/>
          <w:szCs w:val="20"/>
          <w:lang w:val="fr-CA"/>
        </w:rPr>
        <w:t>R. c. Whyte</w:t>
      </w:r>
      <w:r w:rsidRPr="006942CA">
        <w:rPr>
          <w:rFonts w:cs="Times New Roman"/>
          <w:sz w:val="20"/>
          <w:szCs w:val="20"/>
          <w:lang w:val="fr-CA"/>
        </w:rPr>
        <w:t>, 2011 ONCA 24, 272 O.A.C. 317, au par. 31).</w:t>
      </w:r>
    </w:p>
    <w:p w14:paraId="71CD85CF" w14:textId="74934F81" w:rsidR="006942CA" w:rsidRPr="006942CA" w:rsidRDefault="006942CA" w:rsidP="006942CA">
      <w:pPr>
        <w:pStyle w:val="ParaNoNdepar-AltN"/>
        <w:numPr>
          <w:ilvl w:val="0"/>
          <w:numId w:val="159"/>
        </w:numPr>
        <w:spacing w:line="276" w:lineRule="auto"/>
        <w:rPr>
          <w:rFonts w:cs="Times New Roman"/>
          <w:sz w:val="20"/>
          <w:szCs w:val="20"/>
          <w:lang w:val="fr-CA"/>
        </w:rPr>
      </w:pPr>
      <w:r w:rsidRPr="006942CA">
        <w:rPr>
          <w:rFonts w:cs="Times New Roman"/>
          <w:sz w:val="20"/>
          <w:szCs w:val="20"/>
          <w:lang w:val="fr-CA"/>
        </w:rPr>
        <w:t>[65]En somme, s’il est essentiel de maintenir cette distinction entre l’intuition et les soupçons raisonnables pour empêcher les policiers d’agir de manière aveugle ou  discriminatoire, il est tout aussi essentiel de leur donner les coudées franches sans se montrer trop sceptiques à leur égard ou sans exiger que chacun de leurs gestes soit scruté à la loupe.</w:t>
      </w:r>
    </w:p>
    <w:p w14:paraId="68E3D3DC" w14:textId="77777777" w:rsidR="004F4C86" w:rsidRDefault="004F4C86" w:rsidP="004F4C86">
      <w:pPr>
        <w:pStyle w:val="ParaNoNdepar-AltN"/>
        <w:numPr>
          <w:ilvl w:val="0"/>
          <w:numId w:val="159"/>
        </w:numPr>
        <w:spacing w:line="276" w:lineRule="auto"/>
        <w:rPr>
          <w:rFonts w:cs="Times New Roman"/>
          <w:sz w:val="20"/>
          <w:szCs w:val="20"/>
          <w:lang w:val="fr-CA"/>
        </w:rPr>
      </w:pPr>
      <w:r w:rsidRPr="004F4C86">
        <w:rPr>
          <w:rFonts w:cs="Times New Roman"/>
          <w:sz w:val="20"/>
          <w:szCs w:val="20"/>
          <w:lang w:val="fr-CA"/>
        </w:rPr>
        <w:t>[73]L’examen de la question de savoir si un ensemble particulier de faits donne lieu à des soupçons raisonnables ne saurait se muer en un exercice scientifique ou métaphysique.  Le bon sens, la flexibilité et l’expérience pratique quotidienne sont les mots d’ordre qui doivent guider cette analyse qui s’effectue du point de vue d’une personne raisonnable munie des connaissances, de la formation et de l’expérience de l’enquêteur.</w:t>
      </w:r>
    </w:p>
    <w:p w14:paraId="050DFC63" w14:textId="074384D4" w:rsidR="004F4C86" w:rsidRPr="004F4C86" w:rsidRDefault="004F4C86" w:rsidP="004F4C86">
      <w:pPr>
        <w:pStyle w:val="ParaNoNdepar-AltN"/>
        <w:numPr>
          <w:ilvl w:val="0"/>
          <w:numId w:val="159"/>
        </w:numPr>
        <w:spacing w:line="276" w:lineRule="auto"/>
        <w:rPr>
          <w:rFonts w:cs="Times New Roman"/>
          <w:sz w:val="20"/>
          <w:szCs w:val="20"/>
          <w:lang w:val="fr-CA"/>
        </w:rPr>
      </w:pPr>
      <w:r w:rsidRPr="004F4C86">
        <w:rPr>
          <w:sz w:val="20"/>
          <w:szCs w:val="20"/>
        </w:rPr>
        <w:t xml:space="preserve">[74] </w:t>
      </w:r>
      <w:r w:rsidRPr="004F4C86">
        <w:rPr>
          <w:rFonts w:cs="Times New Roman"/>
          <w:sz w:val="20"/>
          <w:szCs w:val="20"/>
          <w:lang w:val="fr-CA"/>
        </w:rPr>
        <w:t>Incidemment, il existe plusieurs façons de décrire une même notion.  Les soupçons raisonnables signifient des « motifs raisonnables de soupçonner » par opposition aux « motifs raisonnables de croire » (</w:t>
      </w:r>
      <w:r w:rsidRPr="004F4C86">
        <w:rPr>
          <w:rFonts w:cs="Times New Roman"/>
          <w:i/>
          <w:iCs/>
          <w:sz w:val="20"/>
          <w:szCs w:val="20"/>
          <w:lang w:val="fr-CA"/>
        </w:rPr>
        <w:t>Kang</w:t>
      </w:r>
      <w:r w:rsidRPr="004F4C86">
        <w:rPr>
          <w:rFonts w:cs="Times New Roman"/>
          <w:i/>
          <w:iCs/>
          <w:sz w:val="20"/>
          <w:szCs w:val="20"/>
          <w:lang w:val="fr-CA"/>
        </w:rPr>
        <w:noBreakHyphen/>
        <w:t>Brown</w:t>
      </w:r>
      <w:r w:rsidRPr="004F4C86">
        <w:rPr>
          <w:rFonts w:cs="Times New Roman"/>
          <w:sz w:val="20"/>
          <w:szCs w:val="20"/>
          <w:lang w:val="fr-CA"/>
        </w:rPr>
        <w:t>, par. 21 et 25, le juge Binnie, et par. 164, la juge</w:t>
      </w:r>
      <w:r w:rsidRPr="004F4C86">
        <w:rPr>
          <w:rFonts w:cs="Times New Roman"/>
          <w:i/>
          <w:iCs/>
          <w:sz w:val="20"/>
          <w:szCs w:val="20"/>
          <w:lang w:val="fr-CA"/>
        </w:rPr>
        <w:t xml:space="preserve"> </w:t>
      </w:r>
      <w:r w:rsidRPr="004F4C86">
        <w:rPr>
          <w:rFonts w:cs="Times New Roman"/>
          <w:sz w:val="20"/>
          <w:szCs w:val="20"/>
          <w:lang w:val="fr-CA"/>
        </w:rPr>
        <w:t xml:space="preserve">Deschamps).  Dans le contexte des soupçons raisonnables, par « motifs raisonnables » on entend des motifs raisonnables de croire qu’une personne </w:t>
      </w:r>
      <w:r w:rsidRPr="004F4C86">
        <w:rPr>
          <w:rFonts w:cs="Times New Roman"/>
          <w:i/>
          <w:iCs/>
          <w:sz w:val="20"/>
          <w:szCs w:val="20"/>
          <w:lang w:val="fr-CA"/>
        </w:rPr>
        <w:t xml:space="preserve">pourrait </w:t>
      </w:r>
      <w:r w:rsidRPr="004F4C86">
        <w:rPr>
          <w:rFonts w:cs="Times New Roman"/>
          <w:sz w:val="20"/>
          <w:szCs w:val="20"/>
          <w:lang w:val="fr-CA"/>
        </w:rPr>
        <w:t>être impliquée dans une infraction donnée, et non qu’elle l’</w:t>
      </w:r>
      <w:r w:rsidRPr="004F4C86">
        <w:rPr>
          <w:rFonts w:cs="Times New Roman"/>
          <w:i/>
          <w:iCs/>
          <w:sz w:val="20"/>
          <w:szCs w:val="20"/>
          <w:lang w:val="fr-CA"/>
        </w:rPr>
        <w:t>est</w:t>
      </w:r>
      <w:r w:rsidRPr="004F4C86">
        <w:rPr>
          <w:rFonts w:cs="Times New Roman"/>
          <w:sz w:val="20"/>
          <w:szCs w:val="20"/>
          <w:lang w:val="fr-CA"/>
        </w:rPr>
        <w:t xml:space="preserve">.  Comme le fait observer la juge Karakatsanis dans </w:t>
      </w:r>
      <w:r w:rsidRPr="004F4C86">
        <w:rPr>
          <w:rFonts w:cs="Times New Roman"/>
          <w:i/>
          <w:iCs/>
          <w:sz w:val="20"/>
          <w:szCs w:val="20"/>
          <w:lang w:val="fr-CA"/>
        </w:rPr>
        <w:t>Chehil</w:t>
      </w:r>
      <w:r w:rsidRPr="004F4C86">
        <w:rPr>
          <w:rFonts w:cs="Times New Roman"/>
          <w:sz w:val="20"/>
          <w:szCs w:val="20"/>
          <w:lang w:val="fr-CA"/>
        </w:rPr>
        <w:t>, en définitive, même si les deux notions doivent se fonder sur des faits objectifs qui résistent à un examen indépendant, « les premiers constituent une norme moins rigoureuse, puisqu’ils évoquent la possibilité — plutôt que la probabilité — raisonnable d’un crime » (par. 27).</w:t>
      </w:r>
    </w:p>
    <w:p w14:paraId="708E600D" w14:textId="77777777" w:rsidR="004F4C86" w:rsidRPr="004F4C86" w:rsidRDefault="004F4C86" w:rsidP="004F4C86">
      <w:pPr>
        <w:pStyle w:val="ParaNoNdepar-AltN"/>
        <w:numPr>
          <w:ilvl w:val="0"/>
          <w:numId w:val="159"/>
        </w:numPr>
        <w:spacing w:line="276" w:lineRule="auto"/>
        <w:rPr>
          <w:sz w:val="20"/>
          <w:szCs w:val="20"/>
          <w:lang w:val="fr-CA"/>
        </w:rPr>
      </w:pPr>
      <w:r w:rsidRPr="004F4C86">
        <w:rPr>
          <w:sz w:val="20"/>
          <w:szCs w:val="20"/>
        </w:rPr>
        <w:t xml:space="preserve">[86] </w:t>
      </w:r>
      <w:r w:rsidRPr="004F4C86">
        <w:rPr>
          <w:sz w:val="20"/>
          <w:szCs w:val="20"/>
          <w:lang w:val="fr-CA"/>
        </w:rPr>
        <w:t xml:space="preserve">Nous acceptons cette incidence sur la vie privée, car nous l’estimons raisonnable, notamment parce que </w:t>
      </w:r>
      <w:r w:rsidRPr="004F4C86">
        <w:rPr>
          <w:rFonts w:cs="Times New Roman"/>
          <w:sz w:val="20"/>
          <w:szCs w:val="20"/>
          <w:lang w:val="fr-CA"/>
        </w:rPr>
        <w:t xml:space="preserve">la fouille bien effectuée à l’aide d’un chien renifleur a un caractère </w:t>
      </w:r>
      <w:r w:rsidRPr="004F4C86">
        <w:rPr>
          <w:sz w:val="20"/>
          <w:szCs w:val="20"/>
          <w:lang w:val="fr-CA"/>
        </w:rPr>
        <w:t>« peu envahissant, étroitement ciblé et hautement fiable » (</w:t>
      </w:r>
      <w:r w:rsidRPr="004F4C86">
        <w:rPr>
          <w:i/>
          <w:sz w:val="20"/>
          <w:szCs w:val="20"/>
          <w:lang w:val="fr-CA"/>
        </w:rPr>
        <w:t>Chehil</w:t>
      </w:r>
      <w:r w:rsidRPr="004F4C86">
        <w:rPr>
          <w:sz w:val="20"/>
          <w:szCs w:val="20"/>
          <w:lang w:val="fr-CA"/>
        </w:rPr>
        <w:t>, par. 28).  Bref, nous avons jugé acceptable le compromis entre le droit à la vie privée et la sécurité.</w:t>
      </w:r>
    </w:p>
    <w:p w14:paraId="73620A47" w14:textId="528294CF" w:rsidR="006942CA" w:rsidRDefault="004F4C86" w:rsidP="004F4C86">
      <w:pPr>
        <w:rPr>
          <w:sz w:val="22"/>
          <w:szCs w:val="22"/>
        </w:rPr>
      </w:pPr>
      <w:r>
        <w:rPr>
          <w:sz w:val="22"/>
          <w:szCs w:val="22"/>
        </w:rPr>
        <w:t xml:space="preserve">Cette décision se fonde sur les principes énoncés dans l’affaire </w:t>
      </w:r>
      <w:r>
        <w:rPr>
          <w:b/>
          <w:sz w:val="22"/>
          <w:szCs w:val="22"/>
        </w:rPr>
        <w:t>Chehil 2013 CSC 49</w:t>
      </w:r>
      <w:r>
        <w:rPr>
          <w:sz w:val="22"/>
          <w:szCs w:val="22"/>
        </w:rPr>
        <w:t xml:space="preserve"> rendus avant ladite décision. Voici les enseignements que l’on peut tirer de l’affaire </w:t>
      </w:r>
      <w:r>
        <w:rPr>
          <w:b/>
          <w:sz w:val="22"/>
          <w:szCs w:val="22"/>
        </w:rPr>
        <w:t>Chehil</w:t>
      </w:r>
      <w:r>
        <w:rPr>
          <w:sz w:val="22"/>
          <w:szCs w:val="22"/>
        </w:rPr>
        <w:t xml:space="preserve"> concernant l’utilisation de chiens renifleurs.</w:t>
      </w:r>
    </w:p>
    <w:p w14:paraId="2A75273D" w14:textId="77777777" w:rsidR="000B6C51" w:rsidRDefault="000B6C51" w:rsidP="004F4C86">
      <w:pPr>
        <w:rPr>
          <w:sz w:val="22"/>
          <w:szCs w:val="22"/>
        </w:rPr>
      </w:pPr>
    </w:p>
    <w:p w14:paraId="4938A0D7" w14:textId="6696CA89" w:rsidR="004F4C86" w:rsidRDefault="004F4C86" w:rsidP="004F4C86">
      <w:pPr>
        <w:rPr>
          <w:b/>
          <w:i/>
          <w:sz w:val="22"/>
          <w:szCs w:val="22"/>
        </w:rPr>
      </w:pPr>
      <w:r>
        <w:rPr>
          <w:b/>
          <w:i/>
          <w:sz w:val="22"/>
          <w:szCs w:val="22"/>
        </w:rPr>
        <w:t>Chehill c. R [2013] CSC 49</w:t>
      </w:r>
    </w:p>
    <w:p w14:paraId="554B5993" w14:textId="1821F7A0" w:rsidR="00296226" w:rsidRPr="00296226" w:rsidRDefault="000B6C51" w:rsidP="00296226">
      <w:pPr>
        <w:pStyle w:val="SCCNormalDoubleSpacing"/>
        <w:spacing w:after="480" w:line="276" w:lineRule="auto"/>
        <w:rPr>
          <w:sz w:val="20"/>
          <w:lang w:val="fr-CA"/>
        </w:rPr>
      </w:pPr>
      <w:r>
        <w:rPr>
          <w:sz w:val="22"/>
          <w:szCs w:val="22"/>
        </w:rPr>
        <w:t xml:space="preserve">Voici les faits en résumés : </w:t>
      </w:r>
      <w:r w:rsidRPr="00296226">
        <w:rPr>
          <w:sz w:val="20"/>
        </w:rPr>
        <w:t>«</w:t>
      </w:r>
      <w:r w:rsidR="00296226" w:rsidRPr="00296226">
        <w:rPr>
          <w:sz w:val="20"/>
          <w:lang w:val="fr-CA"/>
        </w:rPr>
        <w:t xml:space="preserve">La police a analysé le manifeste des passagers d’un vol de nuit entre Vancouver et Halifax.  Les agents soupçonnaient l’accusé de trafiquer de la drogue en raison de certains indices : l’accusé avait acheté un billet aller simple, il avait été l’un des derniers passagers à acheter son billet; il voyageait seul, il avait payé comptant pour sa place et avait enregistré un seul bagage.  Les agents ont soumis le bagage enregistré de l’accusé à un contrôle par un chien détecteur de drogue.  L’animal ayant indiqué qu’il avait détecté une odeur de drogue, l’accusé a été arrêté pour possession d’un stupéfiant. La fouille de la valise a révélé trois kilogrammes de cocaïne.  Le juge du procès a statué que les agents n’avaient pas de soupçons raisonnables au moment d’utiliser le chien renifleur et, en outre, que le rendement de l’animal sur le terrain n’était pas suffisamment fiable pour que la fouille ne soit pas jugée abusive.  Le juge du procès a écarté la preuve en application du par. 24(2) de la </w:t>
      </w:r>
      <w:r w:rsidR="00296226" w:rsidRPr="00296226">
        <w:rPr>
          <w:i/>
          <w:sz w:val="20"/>
          <w:lang w:val="fr-CA"/>
        </w:rPr>
        <w:t>Charte canadienne des droits et libertés</w:t>
      </w:r>
      <w:r w:rsidR="00296226" w:rsidRPr="00296226">
        <w:rPr>
          <w:sz w:val="20"/>
          <w:lang w:val="fr-CA"/>
        </w:rPr>
        <w:t xml:space="preserve">.  La cour d’appel a accueilli l’appel, concluant que la fouille n’était pas abusive et que l’arrestation de l’accusé était justifiée.  Elle a ordonné la tenue d’un nouveau procès. </w:t>
      </w:r>
      <w:r w:rsidR="00296226" w:rsidRPr="00296226">
        <w:rPr>
          <w:i/>
          <w:sz w:val="20"/>
          <w:lang w:val="fr-CA"/>
        </w:rPr>
        <w:t>Arrêt</w:t>
      </w:r>
      <w:r w:rsidR="00296226" w:rsidRPr="00296226">
        <w:rPr>
          <w:sz w:val="20"/>
          <w:lang w:val="fr-CA"/>
        </w:rPr>
        <w:t> : Le pourvoi est rejeté.»</w:t>
      </w:r>
    </w:p>
    <w:p w14:paraId="76383D5B" w14:textId="40628F67" w:rsidR="004F4C86" w:rsidRPr="00933435" w:rsidRDefault="00933435" w:rsidP="00933435">
      <w:pPr>
        <w:pStyle w:val="Paragraphedeliste"/>
        <w:numPr>
          <w:ilvl w:val="0"/>
          <w:numId w:val="162"/>
        </w:numPr>
        <w:jc w:val="both"/>
        <w:rPr>
          <w:sz w:val="20"/>
          <w:szCs w:val="20"/>
        </w:rPr>
      </w:pPr>
      <w:r w:rsidRPr="00933435">
        <w:rPr>
          <w:sz w:val="20"/>
          <w:szCs w:val="20"/>
          <w:lang w:val="fr-CA"/>
        </w:rPr>
        <w:t xml:space="preserve">[1] Dans les arrêts </w:t>
      </w:r>
      <w:r w:rsidRPr="00933435">
        <w:rPr>
          <w:i/>
          <w:sz w:val="20"/>
          <w:szCs w:val="20"/>
          <w:lang w:val="fr-CA"/>
        </w:rPr>
        <w:t>R. c. Kang</w:t>
      </w:r>
      <w:r w:rsidRPr="00933435">
        <w:rPr>
          <w:i/>
          <w:sz w:val="20"/>
          <w:szCs w:val="20"/>
          <w:lang w:val="fr-CA"/>
        </w:rPr>
        <w:noBreakHyphen/>
        <w:t>Brown</w:t>
      </w:r>
      <w:r w:rsidRPr="00933435">
        <w:rPr>
          <w:sz w:val="20"/>
          <w:szCs w:val="20"/>
          <w:lang w:val="fr-CA"/>
        </w:rPr>
        <w:t xml:space="preserve">, 2008 CSC 18, [2008] 1 R.C.S. 456, et </w:t>
      </w:r>
      <w:r w:rsidRPr="00933435">
        <w:rPr>
          <w:i/>
          <w:sz w:val="20"/>
          <w:szCs w:val="20"/>
          <w:lang w:val="fr-CA"/>
        </w:rPr>
        <w:t>R. c. A.M.</w:t>
      </w:r>
      <w:r w:rsidRPr="00933435">
        <w:rPr>
          <w:sz w:val="20"/>
          <w:szCs w:val="20"/>
          <w:lang w:val="fr-CA"/>
        </w:rPr>
        <w:t>, 2008 CSC 19, [2008] 1 R.C.S. 569, la Cour met en balance les droits à la vie privée des voyageurs et l’intérêt du public à l’arrestation de ceux qui se livrent au transport et au trafic de la drogue.  Elle conclut que l’utilisation adéquate d’un chien détecteur de drogue constitue une fouille autorisée par la loi et que pareille fouille, si elle est effectuée en application de la norme moins stricte des « soupçons raisonnables », n’est pas abusive.  Parce qu’elle porte une atteinte minime, vise un objectif bien circonscrit et peut se révéler d’une grande fiabilité, la fouille effectuée à l’aide d’un chien renifleur ne nécessite pas d’autorisation judiciaire préalable</w:t>
      </w:r>
    </w:p>
    <w:p w14:paraId="20243896" w14:textId="05EA2D04" w:rsidR="00933435" w:rsidRPr="00933435" w:rsidRDefault="00933435" w:rsidP="00933435">
      <w:pPr>
        <w:pStyle w:val="Paragraphedeliste"/>
        <w:numPr>
          <w:ilvl w:val="0"/>
          <w:numId w:val="162"/>
        </w:numPr>
        <w:jc w:val="both"/>
        <w:rPr>
          <w:sz w:val="20"/>
          <w:szCs w:val="20"/>
        </w:rPr>
      </w:pPr>
      <w:r w:rsidRPr="00933435">
        <w:rPr>
          <w:sz w:val="20"/>
          <w:szCs w:val="20"/>
          <w:lang w:val="fr-CA"/>
        </w:rPr>
        <w:t>[3]À mon avis, il n’est pas nécessaire de modifier la norme des soupçons raisonnables.  Il s’agit d’une norme solide, qui appelle la prise en compte de l’ensemble des circonstances, en fonction de faits objectivement vérifiables, et dont l’application est assujettie à un examen rigoureux et indépendant par les tribunaux</w:t>
      </w:r>
      <w:r>
        <w:rPr>
          <w:sz w:val="20"/>
          <w:szCs w:val="20"/>
          <w:lang w:val="fr-CA"/>
        </w:rPr>
        <w:t>.</w:t>
      </w:r>
    </w:p>
    <w:p w14:paraId="16744790" w14:textId="60235EC2" w:rsidR="00933435" w:rsidRPr="00933435" w:rsidRDefault="00933435" w:rsidP="00933435">
      <w:pPr>
        <w:pStyle w:val="Paragraphedeliste"/>
        <w:numPr>
          <w:ilvl w:val="0"/>
          <w:numId w:val="162"/>
        </w:numPr>
        <w:jc w:val="both"/>
        <w:rPr>
          <w:sz w:val="20"/>
          <w:szCs w:val="20"/>
        </w:rPr>
      </w:pPr>
      <w:r w:rsidRPr="00933435">
        <w:rPr>
          <w:sz w:val="20"/>
          <w:szCs w:val="20"/>
          <w:lang w:val="fr-CA"/>
        </w:rPr>
        <w:t xml:space="preserve">[6]La norme des soupçons raisonnables oblige à apprécier l’ensemble des circonstances </w:t>
      </w:r>
      <w:r w:rsidRPr="00933435">
        <w:rPr>
          <w:i/>
          <w:sz w:val="20"/>
          <w:szCs w:val="20"/>
          <w:lang w:val="fr-CA"/>
        </w:rPr>
        <w:t xml:space="preserve">— </w:t>
      </w:r>
      <w:r w:rsidRPr="00933435">
        <w:rPr>
          <w:sz w:val="20"/>
          <w:szCs w:val="20"/>
          <w:lang w:val="fr-CA"/>
        </w:rPr>
        <w:t xml:space="preserve">inculpatoires et disculpatoires — pour déterminer s’il existe des motifs objectivement discernables de soupçonner qu’une personne se livre à une activité criminelle.  Elle n’oblige pas la police à faire enquête pour écarter des circonstances disculpatoires.  </w:t>
      </w:r>
    </w:p>
    <w:p w14:paraId="6F89AD37" w14:textId="77777777" w:rsidR="00933435" w:rsidRPr="00933435" w:rsidRDefault="00933435" w:rsidP="00933435">
      <w:pPr>
        <w:pStyle w:val="TitleTitre-AltT"/>
        <w:keepNext/>
        <w:tabs>
          <w:tab w:val="clear" w:pos="360"/>
          <w:tab w:val="left" w:pos="540"/>
        </w:tabs>
        <w:ind w:left="0" w:firstLine="0"/>
        <w:rPr>
          <w:i/>
          <w:sz w:val="22"/>
          <w:szCs w:val="22"/>
          <w:lang w:val="fr-CA"/>
        </w:rPr>
      </w:pPr>
      <w:r w:rsidRPr="00933435">
        <w:rPr>
          <w:sz w:val="22"/>
          <w:szCs w:val="22"/>
          <w:lang w:val="fr-CA"/>
        </w:rPr>
        <w:t>A.</w:t>
      </w:r>
      <w:r w:rsidRPr="00933435">
        <w:rPr>
          <w:sz w:val="22"/>
          <w:szCs w:val="22"/>
          <w:lang w:val="fr-CA"/>
        </w:rPr>
        <w:tab/>
      </w:r>
      <w:r w:rsidRPr="00933435">
        <w:rPr>
          <w:i/>
          <w:sz w:val="22"/>
          <w:szCs w:val="22"/>
          <w:lang w:val="fr-CA"/>
        </w:rPr>
        <w:t>Principes généraux</w:t>
      </w:r>
    </w:p>
    <w:p w14:paraId="0FC6FC96" w14:textId="2932038B" w:rsidR="00933435" w:rsidRPr="00933435" w:rsidRDefault="00933435" w:rsidP="00933435">
      <w:pPr>
        <w:pStyle w:val="Paragraphedeliste"/>
        <w:numPr>
          <w:ilvl w:val="0"/>
          <w:numId w:val="163"/>
        </w:numPr>
        <w:rPr>
          <w:sz w:val="20"/>
          <w:szCs w:val="20"/>
        </w:rPr>
      </w:pPr>
      <w:r w:rsidRPr="00933435">
        <w:rPr>
          <w:sz w:val="20"/>
          <w:szCs w:val="20"/>
          <w:lang w:val="fr-CA"/>
        </w:rPr>
        <w:t xml:space="preserve">[19]L’utilisation d’un chien détecteur de drogue (spécialement dressé pour la détection olfactive de certaines substances illicites) constitue une fouille qui ne nécessite aucune autorisation judiciaire préalable.  Toutefois, pour qu’une telle fouille soit conforme à la </w:t>
      </w:r>
      <w:r w:rsidRPr="00933435">
        <w:rPr>
          <w:i/>
          <w:sz w:val="20"/>
          <w:szCs w:val="20"/>
          <w:lang w:val="fr-CA"/>
        </w:rPr>
        <w:t>Charte</w:t>
      </w:r>
      <w:r w:rsidRPr="00933435">
        <w:rPr>
          <w:sz w:val="20"/>
          <w:szCs w:val="20"/>
          <w:lang w:val="fr-CA"/>
        </w:rPr>
        <w:t xml:space="preserve">, elle doit satisfaire aux critères applicables aux fouilles sans autorisation énoncés dans l’arrêt </w:t>
      </w:r>
      <w:r w:rsidRPr="00933435">
        <w:rPr>
          <w:i/>
          <w:sz w:val="20"/>
          <w:szCs w:val="20"/>
          <w:lang w:val="fr-CA"/>
        </w:rPr>
        <w:t>R. c. Collins</w:t>
      </w:r>
      <w:r w:rsidRPr="00933435">
        <w:rPr>
          <w:sz w:val="20"/>
          <w:szCs w:val="20"/>
          <w:lang w:val="fr-CA"/>
        </w:rPr>
        <w:t>, [1987] 1 R.C.S. 265.  Ainsi, le recours à un chien renifleur doit être autorisé par une loi qui n’a elle</w:t>
      </w:r>
      <w:r w:rsidRPr="00933435">
        <w:rPr>
          <w:sz w:val="20"/>
          <w:szCs w:val="20"/>
          <w:lang w:val="fr-CA"/>
        </w:rPr>
        <w:noBreakHyphen/>
        <w:t xml:space="preserve">même rien d’abusif (en l’espèce, la common law), et la fouille ne doit pas être effectuée d’une manière abusive.  Dans l’arrêt </w:t>
      </w:r>
      <w:r w:rsidRPr="00933435">
        <w:rPr>
          <w:i/>
          <w:sz w:val="20"/>
          <w:szCs w:val="20"/>
          <w:lang w:val="fr-CA"/>
        </w:rPr>
        <w:t>Kang</w:t>
      </w:r>
      <w:r w:rsidRPr="00933435">
        <w:rPr>
          <w:i/>
          <w:sz w:val="20"/>
          <w:szCs w:val="20"/>
          <w:lang w:val="fr-CA"/>
        </w:rPr>
        <w:noBreakHyphen/>
        <w:t>Brown</w:t>
      </w:r>
      <w:r w:rsidRPr="00933435">
        <w:rPr>
          <w:sz w:val="20"/>
          <w:szCs w:val="20"/>
          <w:lang w:val="fr-CA"/>
        </w:rPr>
        <w:t xml:space="preserve">, les juges majoritaires de la Cour concluent que la décision d’utiliser un chien renifleur satisfait aux critères établis dans l’arrêt </w:t>
      </w:r>
      <w:r w:rsidRPr="00933435">
        <w:rPr>
          <w:i/>
          <w:sz w:val="20"/>
          <w:szCs w:val="20"/>
          <w:lang w:val="fr-CA"/>
        </w:rPr>
        <w:t>Collins</w:t>
      </w:r>
      <w:r w:rsidRPr="00933435">
        <w:rPr>
          <w:sz w:val="20"/>
          <w:szCs w:val="20"/>
          <w:lang w:val="fr-CA"/>
        </w:rPr>
        <w:t xml:space="preserve"> dans le cas où les policiers ont des soupçons raisonnables, fondés sur des faits objectivement discernables, que des éléments de preuve établissant la perpétration d’une infraction seront découverts</w:t>
      </w:r>
      <w:r>
        <w:rPr>
          <w:sz w:val="20"/>
          <w:szCs w:val="20"/>
          <w:lang w:val="fr-CA"/>
        </w:rPr>
        <w:t>.</w:t>
      </w:r>
    </w:p>
    <w:p w14:paraId="2A5C122D" w14:textId="77777777" w:rsidR="00933435" w:rsidRDefault="00933435" w:rsidP="00933435">
      <w:pPr>
        <w:rPr>
          <w:sz w:val="20"/>
          <w:szCs w:val="20"/>
        </w:rPr>
      </w:pPr>
    </w:p>
    <w:p w14:paraId="3A91A986" w14:textId="5965228E" w:rsidR="00933435" w:rsidRDefault="00933435" w:rsidP="00933435">
      <w:pPr>
        <w:rPr>
          <w:i/>
          <w:sz w:val="22"/>
          <w:szCs w:val="22"/>
        </w:rPr>
      </w:pPr>
      <w:r>
        <w:rPr>
          <w:sz w:val="22"/>
          <w:szCs w:val="22"/>
        </w:rPr>
        <w:t xml:space="preserve">(1) </w:t>
      </w:r>
      <w:r>
        <w:rPr>
          <w:i/>
          <w:sz w:val="22"/>
          <w:szCs w:val="22"/>
        </w:rPr>
        <w:t>La nature des soupçons raisonnables</w:t>
      </w:r>
    </w:p>
    <w:p w14:paraId="17EB96B4" w14:textId="086B67F7" w:rsidR="00933435" w:rsidRPr="00933435" w:rsidRDefault="00933435" w:rsidP="00933435">
      <w:pPr>
        <w:pStyle w:val="Paragraphedeliste"/>
        <w:numPr>
          <w:ilvl w:val="0"/>
          <w:numId w:val="163"/>
        </w:numPr>
        <w:rPr>
          <w:i/>
          <w:sz w:val="20"/>
          <w:szCs w:val="20"/>
        </w:rPr>
      </w:pPr>
      <w:r w:rsidRPr="00933435">
        <w:rPr>
          <w:sz w:val="20"/>
          <w:szCs w:val="20"/>
          <w:lang w:val="fr-CA"/>
        </w:rPr>
        <w:t>[24] Dans le cas de la fouille effectuée à l’aide d’un chien renifleur, la norme des soupçons raisonnables témoigne, en partie, de l’atteinte minime que porte ce genre de fouille.  La fouille matérielle des bagages accessoire à l’arrestation, plus envahissante, est subordonnée à la norme plus rigoureuse des motifs raisonnables et probables, car l’arrestation doit être justifiée (</w:t>
      </w:r>
      <w:r w:rsidRPr="00933435">
        <w:rPr>
          <w:i/>
          <w:sz w:val="20"/>
          <w:szCs w:val="20"/>
          <w:lang w:val="fr-CA"/>
        </w:rPr>
        <w:t>R. c. Caslake</w:t>
      </w:r>
      <w:r w:rsidRPr="00933435">
        <w:rPr>
          <w:sz w:val="20"/>
          <w:szCs w:val="20"/>
          <w:lang w:val="fr-CA"/>
        </w:rPr>
        <w:t xml:space="preserve">, [1998] 1 R.C.S. 51).  </w:t>
      </w:r>
    </w:p>
    <w:p w14:paraId="3C863582" w14:textId="77777777" w:rsidR="00336EB4" w:rsidRPr="00336EB4" w:rsidRDefault="00933435" w:rsidP="00336EB4">
      <w:pPr>
        <w:pStyle w:val="Paragraphedeliste"/>
        <w:numPr>
          <w:ilvl w:val="0"/>
          <w:numId w:val="163"/>
        </w:numPr>
        <w:rPr>
          <w:i/>
          <w:sz w:val="20"/>
          <w:szCs w:val="20"/>
        </w:rPr>
      </w:pPr>
      <w:r w:rsidRPr="00933435">
        <w:rPr>
          <w:sz w:val="20"/>
          <w:szCs w:val="20"/>
          <w:lang w:val="fr-CA"/>
        </w:rPr>
        <w:t>[27] Ainsi, bien que les motifs raisonnables de soupçonner, d’une part, et les motifs raisonnables et probables de croire, d’autre part, soient semblables en ce sens qu’ils doivent, dans les deux cas, être fondés sur des faits objectifs, les premiers constituent une norme moins rigoureuse, puisqu’ils évoquent la possibilité — plutôt que la probabilité — raisonnable d’un crime</w:t>
      </w:r>
      <w:r w:rsidR="00A42DE9">
        <w:rPr>
          <w:sz w:val="20"/>
          <w:szCs w:val="20"/>
          <w:lang w:val="fr-CA"/>
        </w:rPr>
        <w:t>.</w:t>
      </w:r>
    </w:p>
    <w:p w14:paraId="1BC1CCE4" w14:textId="77777777" w:rsidR="00336EB4" w:rsidRPr="00336EB4" w:rsidRDefault="00336EB4" w:rsidP="00336EB4">
      <w:pPr>
        <w:pStyle w:val="Paragraphedeliste"/>
        <w:numPr>
          <w:ilvl w:val="0"/>
          <w:numId w:val="163"/>
        </w:numPr>
        <w:rPr>
          <w:i/>
          <w:sz w:val="20"/>
          <w:szCs w:val="20"/>
        </w:rPr>
      </w:pPr>
      <w:r w:rsidRPr="00336EB4">
        <w:rPr>
          <w:sz w:val="20"/>
          <w:szCs w:val="20"/>
          <w:lang w:val="fr-CA"/>
        </w:rPr>
        <w:t xml:space="preserve">[28]Toutefois, les soupçons des policiers ne doivent pas être à ce point vagues qu’ils se réduisent à des soupçons généraux, décrits par le juge Bastarache, au par. 151 de l’arrêt </w:t>
      </w:r>
      <w:r w:rsidRPr="00336EB4">
        <w:rPr>
          <w:i/>
          <w:sz w:val="20"/>
          <w:szCs w:val="20"/>
          <w:lang w:val="fr-CA"/>
        </w:rPr>
        <w:t>A.M.</w:t>
      </w:r>
      <w:r w:rsidRPr="00336EB4">
        <w:rPr>
          <w:sz w:val="20"/>
          <w:szCs w:val="20"/>
          <w:lang w:val="fr-CA"/>
        </w:rPr>
        <w:t>, comme des soupçons « non pas au sujet d’une personne bien précise mais plutôt au sujet d’un lieu ou d’une activité en particulier ».</w:t>
      </w:r>
    </w:p>
    <w:p w14:paraId="63339E85" w14:textId="052B593E" w:rsidR="00336EB4" w:rsidRPr="00336EB4" w:rsidRDefault="00336EB4" w:rsidP="00336EB4">
      <w:pPr>
        <w:pStyle w:val="Paragraphedeliste"/>
        <w:numPr>
          <w:ilvl w:val="0"/>
          <w:numId w:val="163"/>
        </w:numPr>
        <w:rPr>
          <w:i/>
          <w:sz w:val="20"/>
          <w:szCs w:val="20"/>
        </w:rPr>
      </w:pPr>
      <w:r w:rsidRPr="00336EB4">
        <w:rPr>
          <w:sz w:val="20"/>
          <w:szCs w:val="20"/>
          <w:lang w:val="fr-CA"/>
        </w:rPr>
        <w:t xml:space="preserve">[37]En somme, la décision de la police, fondée sur l’existence de soupçons raisonnables, d’utiliser un chien spécialement dressé pour la détection de stupéfiants doit reposer sur des facteurs suggérant une infraction relative à la drogue.  La norme des soupçons raisonnables n’exige toutefois pas que les policiers indiquent le crime précis en voie de perpétration ou identifient la substance illicite recherchée.  Il suffit que leurs soupçons raisonnables portent sur la possession, le trafic ou la production de drogue ou d’articles interdits liés à la drogue.  </w:t>
      </w:r>
    </w:p>
    <w:p w14:paraId="33C0CC8F" w14:textId="77777777" w:rsidR="00336EB4" w:rsidRDefault="00336EB4" w:rsidP="00336EB4">
      <w:pPr>
        <w:rPr>
          <w:i/>
          <w:sz w:val="20"/>
          <w:szCs w:val="20"/>
        </w:rPr>
      </w:pPr>
    </w:p>
    <w:p w14:paraId="0F76DDCC" w14:textId="2EC3E019" w:rsidR="00336EB4" w:rsidRDefault="00336EB4" w:rsidP="00336EB4">
      <w:pPr>
        <w:rPr>
          <w:i/>
          <w:sz w:val="22"/>
          <w:szCs w:val="22"/>
        </w:rPr>
      </w:pPr>
      <w:r>
        <w:rPr>
          <w:i/>
          <w:sz w:val="22"/>
          <w:szCs w:val="22"/>
        </w:rPr>
        <w:t>(2) Le profilage et les soupçons raisonnables</w:t>
      </w:r>
    </w:p>
    <w:p w14:paraId="26A611CB" w14:textId="4C055B35" w:rsidR="00336EB4" w:rsidRDefault="00336EB4" w:rsidP="00336EB4">
      <w:pPr>
        <w:pStyle w:val="ParaNoNdepar-AltN"/>
        <w:numPr>
          <w:ilvl w:val="0"/>
          <w:numId w:val="164"/>
        </w:numPr>
        <w:spacing w:line="276" w:lineRule="auto"/>
        <w:rPr>
          <w:rFonts w:asciiTheme="minorHAnsi" w:hAnsiTheme="minorHAnsi"/>
          <w:sz w:val="20"/>
          <w:szCs w:val="20"/>
          <w:lang w:val="fr-CA"/>
        </w:rPr>
      </w:pPr>
      <w:r w:rsidRPr="00336EB4">
        <w:rPr>
          <w:rFonts w:asciiTheme="minorHAnsi" w:hAnsiTheme="minorHAnsi"/>
          <w:sz w:val="20"/>
          <w:szCs w:val="20"/>
          <w:lang w:val="fr-CA"/>
        </w:rPr>
        <w:t>[39]À mon avis, rien ne sert de parler de profilage comme source de soupçons raisonnables.  Le terme lui</w:t>
      </w:r>
      <w:r w:rsidRPr="00336EB4">
        <w:rPr>
          <w:rFonts w:asciiTheme="minorHAnsi" w:hAnsiTheme="minorHAnsi"/>
          <w:sz w:val="20"/>
          <w:szCs w:val="20"/>
          <w:lang w:val="fr-CA"/>
        </w:rPr>
        <w:noBreakHyphen/>
        <w:t>même évoque une évaluation fondée sur des stéréotypes et des facteurs discriminatoires qui n’ont pas leur place dans l’analyse servant à déterminer s’il existe des soupçons raisonnables.  Cette analyse doit plutôt demeurer axée sur la question fondamentale, à savoir l’ensemble des circonstances — y compris les caractéristiques propres au suspect, les facteurs contextuels et l’infraction soupçonnée — suffit</w:t>
      </w:r>
      <w:r w:rsidRPr="00336EB4">
        <w:rPr>
          <w:rFonts w:asciiTheme="minorHAnsi" w:hAnsiTheme="minorHAnsi"/>
          <w:sz w:val="20"/>
          <w:szCs w:val="20"/>
          <w:lang w:val="fr-CA"/>
        </w:rPr>
        <w:noBreakHyphen/>
        <w:t>il pour que le seuil des soupçons raisonnables soit atteint?</w:t>
      </w:r>
    </w:p>
    <w:p w14:paraId="79DFA70F" w14:textId="1AA9DD85" w:rsidR="00336EB4" w:rsidRPr="00336EB4" w:rsidRDefault="00336EB4" w:rsidP="00336EB4">
      <w:pPr>
        <w:pStyle w:val="ParaNoNdepar-AltN"/>
        <w:numPr>
          <w:ilvl w:val="0"/>
          <w:numId w:val="0"/>
        </w:numPr>
        <w:spacing w:line="276" w:lineRule="auto"/>
        <w:rPr>
          <w:rFonts w:asciiTheme="minorHAnsi" w:hAnsiTheme="minorHAnsi"/>
          <w:i/>
          <w:sz w:val="22"/>
          <w:szCs w:val="22"/>
          <w:lang w:val="fr-CA"/>
        </w:rPr>
      </w:pPr>
      <w:r>
        <w:rPr>
          <w:rFonts w:asciiTheme="minorHAnsi" w:hAnsiTheme="minorHAnsi"/>
          <w:i/>
          <w:sz w:val="22"/>
          <w:szCs w:val="22"/>
          <w:lang w:val="fr-CA"/>
        </w:rPr>
        <w:t>(3) La nature de l’examen par les tribunaux</w:t>
      </w:r>
    </w:p>
    <w:p w14:paraId="0CC02DE4" w14:textId="01E215DA" w:rsidR="00336EB4" w:rsidRPr="00336EB4" w:rsidRDefault="00336EB4" w:rsidP="00336EB4">
      <w:pPr>
        <w:pStyle w:val="ParaNoNdepar-AltN"/>
        <w:numPr>
          <w:ilvl w:val="0"/>
          <w:numId w:val="164"/>
        </w:numPr>
        <w:spacing w:line="276" w:lineRule="auto"/>
        <w:rPr>
          <w:sz w:val="20"/>
          <w:szCs w:val="20"/>
          <w:lang w:val="fr-CA"/>
        </w:rPr>
      </w:pPr>
      <w:r w:rsidRPr="00336EB4">
        <w:rPr>
          <w:sz w:val="20"/>
          <w:szCs w:val="20"/>
          <w:lang w:val="fr-CA"/>
        </w:rPr>
        <w:t xml:space="preserve">[45] L’exigence de soupçons raisonnables fondés sur des faits objectivement discernables permet un examen judiciaire ultérieur et protège contre l’action arbitraire de l’État.  Selon le cadre établi dans l’arrêt </w:t>
      </w:r>
      <w:r w:rsidRPr="00336EB4">
        <w:rPr>
          <w:i/>
          <w:sz w:val="20"/>
          <w:szCs w:val="20"/>
          <w:lang w:val="fr-CA"/>
        </w:rPr>
        <w:t>Collins</w:t>
      </w:r>
      <w:r w:rsidRPr="00336EB4">
        <w:rPr>
          <w:sz w:val="20"/>
          <w:szCs w:val="20"/>
          <w:lang w:val="fr-CA"/>
        </w:rPr>
        <w:t xml:space="preserve">, le ministère public a le fardeau de prouver que les faits objectifs font naître des soupçons raisonnables, de sorte qu’une personne raisonnable à la place du policier aurait soupçonné raisonnablement la tenue d’une activité criminelle.  </w:t>
      </w:r>
      <w:r>
        <w:rPr>
          <w:sz w:val="20"/>
          <w:szCs w:val="20"/>
          <w:lang w:val="fr-CA"/>
        </w:rPr>
        <w:t xml:space="preserve">[...] </w:t>
      </w:r>
      <w:r w:rsidRPr="00336EB4">
        <w:rPr>
          <w:sz w:val="20"/>
          <w:szCs w:val="20"/>
          <w:lang w:val="fr-CA"/>
        </w:rPr>
        <w:t>L’ensemble de faits sur lequel s’appuient les policiers doit donc reposer sur la preuve, être lié au suspect et pouvoir étayer une inférence logique quant à l’existence d’un comportement criminel.  Si le lien entre l’ensemble et la criminalité ne peut être établi au moyen d’une inférence logique, le ministère public doit présenter une preuve — empirique, statistique ou tirée de la formation et de l’expérience de l’enquêteur — visant à l’établir.</w:t>
      </w:r>
    </w:p>
    <w:p w14:paraId="5E278FC8" w14:textId="3F3CA4EE" w:rsidR="00336EB4" w:rsidRPr="00336EB4" w:rsidRDefault="00336EB4" w:rsidP="00336EB4">
      <w:pPr>
        <w:pStyle w:val="Paragraphedeliste"/>
        <w:numPr>
          <w:ilvl w:val="0"/>
          <w:numId w:val="164"/>
        </w:numPr>
        <w:rPr>
          <w:sz w:val="20"/>
          <w:szCs w:val="20"/>
        </w:rPr>
      </w:pPr>
      <w:r w:rsidRPr="00336EB4">
        <w:rPr>
          <w:sz w:val="20"/>
          <w:szCs w:val="20"/>
          <w:lang w:val="fr-CA"/>
        </w:rPr>
        <w:t xml:space="preserve">[54]La fiabilité du chien importe également pour savoir si l’indication qu’il a donnée fournit les motifs raisonnables et probables nécessaires à la prise d’autres mesures policières.  Le tribunal siégeant en révision procédera à cette appréciation en s’appuyant sur le résultat de la fouille effectuée à l’aide du chien renifleur et sur la preuve relative à la fiabilité de ce dernier.  Si la fouille est effectuée en toute légalité, l’agent a déjà des motifs raisonnables de soupçonner une conduite criminelle, compte tenu de l’ensemble des circonstances préalables à la fouille.  La cour doit prendre en considération ces éléments pour déterminer si, à la lumière de </w:t>
      </w:r>
      <w:r w:rsidRPr="00336EB4">
        <w:rPr>
          <w:i/>
          <w:sz w:val="20"/>
          <w:szCs w:val="20"/>
          <w:lang w:val="fr-CA"/>
        </w:rPr>
        <w:t>l’ensemble</w:t>
      </w:r>
      <w:r w:rsidRPr="00336EB4">
        <w:rPr>
          <w:sz w:val="20"/>
          <w:szCs w:val="20"/>
          <w:lang w:val="fr-CA"/>
        </w:rPr>
        <w:t xml:space="preserve"> des circonstances, le seuil des motifs raisonnables et probables est atteint.  </w:t>
      </w:r>
    </w:p>
    <w:p w14:paraId="10CA7FD6" w14:textId="77777777" w:rsidR="00933435" w:rsidRPr="00933435" w:rsidRDefault="00933435" w:rsidP="00933435">
      <w:pPr>
        <w:jc w:val="both"/>
        <w:rPr>
          <w:sz w:val="22"/>
          <w:szCs w:val="22"/>
        </w:rPr>
      </w:pPr>
    </w:p>
    <w:p w14:paraId="2F03783B" w14:textId="6385B71F" w:rsidR="00D50D15" w:rsidRPr="00096759" w:rsidRDefault="00336EB4" w:rsidP="00D50D15">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Times New Roman"/>
          <w:sz w:val="22"/>
          <w:szCs w:val="22"/>
          <w:lang w:val="fr-CA"/>
        </w:rPr>
        <w:t>Après toute cette saga judiciaire, on peut en déduire que (1) l’utilisation d’un chien renifleur</w:t>
      </w:r>
      <w:r w:rsidR="00096759">
        <w:rPr>
          <w:rFonts w:ascii="Times New Roman" w:hAnsi="Times New Roman" w:cs="Times New Roman"/>
          <w:sz w:val="22"/>
          <w:szCs w:val="22"/>
          <w:lang w:val="fr-CA"/>
        </w:rPr>
        <w:t>, en vertu de la common law,</w:t>
      </w:r>
      <w:r>
        <w:rPr>
          <w:rFonts w:ascii="Times New Roman" w:hAnsi="Times New Roman" w:cs="Times New Roman"/>
          <w:sz w:val="22"/>
          <w:szCs w:val="22"/>
          <w:lang w:val="fr-CA"/>
        </w:rPr>
        <w:t xml:space="preserve"> lorsque le policier</w:t>
      </w:r>
      <w:r w:rsidR="00096759">
        <w:rPr>
          <w:rFonts w:ascii="Times New Roman" w:hAnsi="Times New Roman" w:cs="Times New Roman"/>
          <w:sz w:val="22"/>
          <w:szCs w:val="22"/>
          <w:lang w:val="fr-CA"/>
        </w:rPr>
        <w:t xml:space="preserve"> a des motifs raisonnable de suspecter qu’un crime lié au stupéfiant est commis est justifié et conforme au droit contre les fouilles abusives, car elle porte, l’utilisation de ce type d’enquête, une atteinte raisonnable au droit à la vie privée (Affaire </w:t>
      </w:r>
      <w:r w:rsidR="00096759">
        <w:rPr>
          <w:rFonts w:ascii="Times New Roman" w:hAnsi="Times New Roman" w:cs="Times New Roman"/>
          <w:i/>
          <w:sz w:val="22"/>
          <w:szCs w:val="22"/>
          <w:lang w:val="fr-CA"/>
        </w:rPr>
        <w:t>Hunter)</w:t>
      </w:r>
      <w:r w:rsidR="00096759">
        <w:rPr>
          <w:rFonts w:ascii="Times New Roman" w:hAnsi="Times New Roman" w:cs="Times New Roman"/>
          <w:sz w:val="22"/>
          <w:szCs w:val="22"/>
          <w:lang w:val="fr-CA"/>
        </w:rPr>
        <w:t>. (2) L’utilisation de chiens renifleurs doit reposer sur des motifs de suspecter. (3) Ces motifs s’apprécie de manière objective, en tenant compte de l’ensemble des circonstances et de l’expérience du constable en la matière. (4) Ces motifs doivent pouvoir être apprécier de manière objective lors d’une révision judiciaire pour conclure ou non au respect des droits garanties par la Charte canadienne.</w:t>
      </w:r>
      <w:bookmarkStart w:id="1" w:name="_GoBack"/>
      <w:bookmarkEnd w:id="1"/>
    </w:p>
    <w:p w14:paraId="6F75B93B" w14:textId="03E93486" w:rsidR="009F4734" w:rsidRDefault="009F4734" w:rsidP="00555F53">
      <w:pPr>
        <w:widowControl w:val="0"/>
        <w:autoSpaceDE w:val="0"/>
        <w:autoSpaceDN w:val="0"/>
        <w:adjustRightInd w:val="0"/>
        <w:spacing w:after="300"/>
        <w:rPr>
          <w:rFonts w:ascii="Times New Roman" w:hAnsi="Times New Roman" w:cs="Verdana"/>
          <w:b/>
          <w:bCs/>
          <w:color w:val="3E3E3E"/>
          <w:sz w:val="22"/>
          <w:szCs w:val="22"/>
        </w:rPr>
      </w:pPr>
      <w:r w:rsidRPr="00555F53">
        <w:rPr>
          <w:rFonts w:ascii="Times New Roman" w:hAnsi="Times New Roman" w:cs="Verdana"/>
          <w:b/>
          <w:bCs/>
          <w:color w:val="3E3E3E"/>
          <w:sz w:val="22"/>
          <w:szCs w:val="22"/>
        </w:rPr>
        <w:t>§4. Fouilles incidentes à un appel 911 déconnecté</w:t>
      </w:r>
      <w:r w:rsidR="006D493E">
        <w:rPr>
          <w:rFonts w:ascii="Times New Roman" w:hAnsi="Times New Roman" w:cs="Verdana"/>
          <w:b/>
          <w:bCs/>
          <w:color w:val="3E3E3E"/>
          <w:sz w:val="22"/>
          <w:szCs w:val="22"/>
        </w:rPr>
        <w:t xml:space="preserve"> (p.41</w:t>
      </w:r>
      <w:r w:rsidR="00D50D15">
        <w:rPr>
          <w:rFonts w:ascii="Times New Roman" w:hAnsi="Times New Roman" w:cs="Verdana"/>
          <w:b/>
          <w:bCs/>
          <w:color w:val="3E3E3E"/>
          <w:sz w:val="22"/>
          <w:szCs w:val="22"/>
        </w:rPr>
        <w:t>)</w:t>
      </w:r>
    </w:p>
    <w:p w14:paraId="29801693" w14:textId="27E3DE65" w:rsidR="00D50D15" w:rsidRDefault="00D50D15" w:rsidP="00555F53">
      <w:pPr>
        <w:widowControl w:val="0"/>
        <w:autoSpaceDE w:val="0"/>
        <w:autoSpaceDN w:val="0"/>
        <w:adjustRightInd w:val="0"/>
        <w:spacing w:after="300"/>
        <w:rPr>
          <w:rFonts w:ascii="Times New Roman" w:hAnsi="Times New Roman" w:cs="Times New Roman"/>
          <w:i/>
          <w:color w:val="3E3E3E"/>
          <w:sz w:val="22"/>
          <w:szCs w:val="22"/>
        </w:rPr>
      </w:pPr>
      <w:r w:rsidRPr="00D50D15">
        <w:rPr>
          <w:rFonts w:ascii="Times New Roman" w:hAnsi="Times New Roman" w:cs="Times New Roman"/>
          <w:b/>
          <w:i/>
          <w:color w:val="3E3E3E"/>
          <w:sz w:val="22"/>
          <w:szCs w:val="22"/>
        </w:rPr>
        <w:t xml:space="preserve"> R. c. Godoy 1999 </w:t>
      </w:r>
      <w:r>
        <w:rPr>
          <w:rFonts w:ascii="Times New Roman" w:hAnsi="Times New Roman" w:cs="Times New Roman"/>
          <w:i/>
          <w:color w:val="3E3E3E"/>
          <w:sz w:val="22"/>
          <w:szCs w:val="22"/>
        </w:rPr>
        <w:t>:</w:t>
      </w:r>
    </w:p>
    <w:p w14:paraId="6BD78096" w14:textId="66D2A979" w:rsidR="00D50D15" w:rsidRPr="00D50D15" w:rsidRDefault="00D50D15" w:rsidP="00D50D15">
      <w:pPr>
        <w:pStyle w:val="Paragraphedeliste"/>
        <w:widowControl w:val="0"/>
        <w:numPr>
          <w:ilvl w:val="0"/>
          <w:numId w:val="87"/>
        </w:numPr>
        <w:autoSpaceDE w:val="0"/>
        <w:autoSpaceDN w:val="0"/>
        <w:adjustRightInd w:val="0"/>
        <w:spacing w:after="300"/>
        <w:rPr>
          <w:rFonts w:ascii="Times New Roman" w:hAnsi="Times New Roman" w:cs="Times New Roman"/>
          <w:color w:val="3E3E3E"/>
          <w:sz w:val="22"/>
          <w:szCs w:val="22"/>
        </w:rPr>
      </w:pPr>
      <w:r w:rsidRPr="00681E11">
        <w:rPr>
          <w:rFonts w:ascii="Times New Roman" w:hAnsi="Times New Roman" w:cs="Times New Roman"/>
          <w:sz w:val="20"/>
          <w:szCs w:val="20"/>
        </w:rPr>
        <w:t xml:space="preserve">L’ordre public exige manifestement que les agents de police soient investis </w:t>
      </w:r>
      <w:r w:rsidRPr="00681E11">
        <w:rPr>
          <w:rFonts w:ascii="Times New Roman" w:hAnsi="Times New Roman" w:cs="Times New Roman"/>
          <w:i/>
          <w:iCs/>
          <w:sz w:val="20"/>
          <w:szCs w:val="20"/>
        </w:rPr>
        <w:t xml:space="preserve">ab initio </w:t>
      </w:r>
      <w:r w:rsidRPr="00681E11">
        <w:rPr>
          <w:rFonts w:ascii="Times New Roman" w:hAnsi="Times New Roman" w:cs="Times New Roman"/>
          <w:sz w:val="20"/>
          <w:szCs w:val="20"/>
        </w:rPr>
        <w:t>du pouvoir d’enquêter sur les appels au 911, mais la question de savoir s’ils peuvent entrer dans les maisons d’habitation dans le cadre d’une telle enquête doit être tranchée selon les circonstances de chaque affaire.  Si la conduite policière constitue de prime abord une atteinte à la liberté personnelle ou à la propriété, comme en l’espèce, le tribunal doit trancher deux questions:  Premièrement, la conduite entre</w:t>
      </w:r>
      <w:r w:rsidRPr="00681E11">
        <w:rPr>
          <w:rFonts w:ascii="PT Sans" w:hAnsi="PT Sans" w:cs="PT Sans"/>
          <w:sz w:val="20"/>
          <w:szCs w:val="20"/>
        </w:rPr>
        <w:t>‑</w:t>
      </w:r>
      <w:r w:rsidRPr="00681E11">
        <w:rPr>
          <w:rFonts w:ascii="Times New Roman" w:hAnsi="Times New Roman" w:cs="Times New Roman"/>
          <w:sz w:val="20"/>
          <w:szCs w:val="20"/>
        </w:rPr>
        <w:t>t</w:t>
      </w:r>
      <w:r w:rsidRPr="00681E11">
        <w:rPr>
          <w:rFonts w:ascii="PT Sans" w:hAnsi="PT Sans" w:cs="PT Sans"/>
          <w:sz w:val="20"/>
          <w:szCs w:val="20"/>
        </w:rPr>
        <w:t>‑</w:t>
      </w:r>
      <w:r w:rsidRPr="00681E11">
        <w:rPr>
          <w:rFonts w:ascii="Times New Roman" w:hAnsi="Times New Roman" w:cs="Times New Roman"/>
          <w:sz w:val="20"/>
          <w:szCs w:val="20"/>
        </w:rPr>
        <w:t>elle dans le cadre général d’un devoir imposé par une loi ou reconnu par la common law?  Deuxièmement, la conduite, bien que dans le cadre général d’un tel devoir, comporte</w:t>
      </w:r>
      <w:r w:rsidRPr="00681E11">
        <w:rPr>
          <w:rFonts w:ascii="PT Sans" w:hAnsi="PT Sans" w:cs="PT Sans"/>
          <w:sz w:val="20"/>
          <w:szCs w:val="20"/>
        </w:rPr>
        <w:t>‑</w:t>
      </w:r>
      <w:r w:rsidRPr="00681E11">
        <w:rPr>
          <w:rFonts w:ascii="Times New Roman" w:hAnsi="Times New Roman" w:cs="Times New Roman"/>
          <w:sz w:val="20"/>
          <w:szCs w:val="20"/>
        </w:rPr>
        <w:t>t</w:t>
      </w:r>
      <w:r w:rsidRPr="00681E11">
        <w:rPr>
          <w:rFonts w:ascii="PT Sans" w:hAnsi="PT Sans" w:cs="PT Sans"/>
          <w:sz w:val="20"/>
          <w:szCs w:val="20"/>
        </w:rPr>
        <w:t>‑</w:t>
      </w:r>
      <w:r w:rsidRPr="00681E11">
        <w:rPr>
          <w:rFonts w:ascii="Times New Roman" w:hAnsi="Times New Roman" w:cs="Times New Roman"/>
          <w:sz w:val="20"/>
          <w:szCs w:val="20"/>
        </w:rPr>
        <w:t xml:space="preserve">elle un exercice injustifiable des pouvoirs découlant de ce devoir?  Les devoirs incombant aux agents de police en common law (prévus au par. 42(3) de la </w:t>
      </w:r>
      <w:r w:rsidRPr="00681E11">
        <w:rPr>
          <w:rFonts w:ascii="Times New Roman" w:hAnsi="Times New Roman" w:cs="Times New Roman"/>
          <w:i/>
          <w:iCs/>
          <w:sz w:val="20"/>
          <w:szCs w:val="20"/>
        </w:rPr>
        <w:t xml:space="preserve">Loi sur les services policiers </w:t>
      </w:r>
      <w:r w:rsidRPr="00681E11">
        <w:rPr>
          <w:rFonts w:ascii="Times New Roman" w:hAnsi="Times New Roman" w:cs="Times New Roman"/>
          <w:sz w:val="20"/>
          <w:szCs w:val="20"/>
        </w:rPr>
        <w:t>de l’Ontario) comprennent la protection de la vie des personnes.  Le devoir qu’ont les agents de police de protéger la vie joue chaque fois que l’on peut déduire que la personne qui a composé le 911 est en difficulté ou peut l’être, y compris les cas où la communication est coupée avant que la nature de l’urgence puisse être déterminée.  L’importance du devoir qu’ont les agents de police de protéger la vie justifie qu’ils entrent par la force dans une maison afin de s’assurer de la santé et de la sécurité de la personne qui a composé le 911.  Bien que chacun ait droit au respect de la vie privée dans l’intimité de son foyer tenu pour inviolable, l’intérêt que présente pour le public le maintien d’un système d’intervention d’urgence efficace est évident et suffisamment important pour que puisse être commise une atteinte au droit à la vie privée de l’occupant.  Cependant, l’atteinte doit se limiter à la protection de la vie et de la sécurité; les agents de police ne sont pas autorisés en plus à fouiller les lieux ni à s’immiscer autrement dans la vie privée ou la propriété de l’occupant</w:t>
      </w:r>
      <w:r>
        <w:rPr>
          <w:rFonts w:ascii="Times New Roman" w:hAnsi="Times New Roman" w:cs="Times New Roman"/>
          <w:sz w:val="20"/>
          <w:szCs w:val="20"/>
        </w:rPr>
        <w:t>.</w:t>
      </w:r>
    </w:p>
    <w:p w14:paraId="0B08AC9D" w14:textId="66FFA68F" w:rsidR="00D50D15" w:rsidRPr="00D50D15" w:rsidRDefault="00D50D15" w:rsidP="00D50D15">
      <w:pPr>
        <w:pStyle w:val="Paragraphedeliste"/>
        <w:widowControl w:val="0"/>
        <w:numPr>
          <w:ilvl w:val="0"/>
          <w:numId w:val="87"/>
        </w:numPr>
        <w:autoSpaceDE w:val="0"/>
        <w:autoSpaceDN w:val="0"/>
        <w:adjustRightInd w:val="0"/>
        <w:spacing w:after="300"/>
        <w:rPr>
          <w:rFonts w:ascii="Times New Roman" w:hAnsi="Times New Roman" w:cs="Times New Roman"/>
          <w:color w:val="3E3E3E"/>
          <w:sz w:val="22"/>
          <w:szCs w:val="22"/>
        </w:rPr>
      </w:pPr>
      <w:r w:rsidRPr="00681E11">
        <w:rPr>
          <w:rFonts w:ascii="Times New Roman" w:hAnsi="Times New Roman" w:cs="Times New Roman"/>
          <w:sz w:val="20"/>
          <w:szCs w:val="20"/>
        </w:rPr>
        <w:t>Les agents de police avaient le devoir de vérifier les raisons de l’appel au 911 et ils étaient autorisés, en raison des pouvoirs qui leur sont conférés en common law pour s’acquitter de ce devoir, à entrer dans l’appartement pour s’assurer qu’il ne s’agissait pas d’un cas d’urgence.  Le fait que l’accusé ait tenté de fermer la porte au nez des agents de police renforce également la légitimité de leur réaction, qui a été d’entrer par la force</w:t>
      </w:r>
      <w:r>
        <w:rPr>
          <w:rFonts w:ascii="Times New Roman" w:hAnsi="Times New Roman" w:cs="Times New Roman"/>
          <w:sz w:val="20"/>
          <w:szCs w:val="20"/>
        </w:rPr>
        <w:t>.</w:t>
      </w:r>
    </w:p>
    <w:p w14:paraId="3257A271" w14:textId="46BCD448" w:rsidR="00D50D15" w:rsidRPr="00E85FEE" w:rsidRDefault="00D50D15" w:rsidP="00D50D15">
      <w:pPr>
        <w:pStyle w:val="Paragraphedeliste"/>
        <w:widowControl w:val="0"/>
        <w:numPr>
          <w:ilvl w:val="0"/>
          <w:numId w:val="87"/>
        </w:numPr>
        <w:autoSpaceDE w:val="0"/>
        <w:autoSpaceDN w:val="0"/>
        <w:adjustRightInd w:val="0"/>
        <w:spacing w:after="300"/>
        <w:rPr>
          <w:rFonts w:ascii="Times New Roman" w:hAnsi="Times New Roman" w:cs="Times New Roman"/>
          <w:color w:val="3E3E3E"/>
          <w:sz w:val="22"/>
          <w:szCs w:val="22"/>
        </w:rPr>
      </w:pPr>
      <w:r w:rsidRPr="00681E11">
        <w:rPr>
          <w:rFonts w:ascii="Times New Roman" w:hAnsi="Times New Roman" w:cs="Times New Roman"/>
          <w:sz w:val="20"/>
          <w:szCs w:val="20"/>
        </w:rPr>
        <w:t>Par conséquent, j’estime que l’importance du devoir qu’ont les agents de police de protéger la vie justifie qu’ils entrent par la force dans une maison afin de s’assurer de la santé et de la sécurité de la personne qui a composé le 911.  L’intérêt que présente pour le public le maintien d’un système d’intervention d’urgence efficace est évident et est suffisamment important pour que puisse être commise une atteinte au droit à la vie privée de l’occupant.  Cependant, j’insiste sur le fait que l’atteinte doit se limiter à la protection de la vie et de la sécurité.  Les agents de police ont le pouvoir d’enquêter sur les appels au 911 et notamment d’en trouver l’auteur pour déterminer les raisons de l’appel et apporter l’aide nécessaire.  L’autorisation donnée aux agents de police de se trouver dans une propriété privée pour répondre à un appel au 911 s’arrête là</w:t>
      </w:r>
      <w:r>
        <w:rPr>
          <w:rFonts w:ascii="Times New Roman" w:hAnsi="Times New Roman" w:cs="Times New Roman"/>
          <w:sz w:val="20"/>
          <w:szCs w:val="20"/>
        </w:rPr>
        <w:t xml:space="preserve"> [22].</w:t>
      </w:r>
    </w:p>
    <w:p w14:paraId="5515FE22"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64DD08B8"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0EA4585C"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51DE68E9"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5C6B81EB"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2363F4F5"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4CB913A6" w14:textId="77777777" w:rsidR="00E85FEE" w:rsidRDefault="00E85FEE" w:rsidP="00E85FEE">
      <w:pPr>
        <w:widowControl w:val="0"/>
        <w:autoSpaceDE w:val="0"/>
        <w:autoSpaceDN w:val="0"/>
        <w:adjustRightInd w:val="0"/>
        <w:spacing w:after="300"/>
        <w:rPr>
          <w:rFonts w:ascii="Times New Roman" w:hAnsi="Times New Roman" w:cs="Times New Roman"/>
          <w:color w:val="3E3E3E"/>
          <w:sz w:val="22"/>
          <w:szCs w:val="22"/>
        </w:rPr>
      </w:pPr>
    </w:p>
    <w:p w14:paraId="46278A67" w14:textId="77777777" w:rsidR="00E85FEE" w:rsidRDefault="00E85FEE" w:rsidP="00E85FEE">
      <w:pPr>
        <w:pStyle w:val="En-tte"/>
      </w:pPr>
      <w:r w:rsidRPr="002F41AA">
        <w:rPr>
          <w:rFonts w:ascii="Verdana" w:hAnsi="Verdana"/>
          <w:noProof/>
          <w:sz w:val="16"/>
        </w:rPr>
        <w:drawing>
          <wp:inline distT="0" distB="0" distL="0" distR="0" wp14:anchorId="3C3DE031" wp14:editId="2CCE802F">
            <wp:extent cx="1113790" cy="488950"/>
            <wp:effectExtent l="19050" t="0" r="0" b="0"/>
            <wp:docPr id="2" name="Image 2" descr="FS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_rgb"/>
                    <pic:cNvPicPr>
                      <a:picLocks noChangeAspect="1" noChangeArrowheads="1"/>
                    </pic:cNvPicPr>
                  </pic:nvPicPr>
                  <pic:blipFill>
                    <a:blip r:embed="rId26" cstate="print"/>
                    <a:srcRect b="28169"/>
                    <a:stretch>
                      <a:fillRect/>
                    </a:stretch>
                  </pic:blipFill>
                  <pic:spPr bwMode="auto">
                    <a:xfrm>
                      <a:off x="0" y="0"/>
                      <a:ext cx="1113790" cy="488950"/>
                    </a:xfrm>
                    <a:prstGeom prst="rect">
                      <a:avLst/>
                    </a:prstGeom>
                    <a:noFill/>
                    <a:ln w="9525">
                      <a:noFill/>
                      <a:miter lim="800000"/>
                      <a:headEnd/>
                      <a:tailEnd/>
                    </a:ln>
                  </pic:spPr>
                </pic:pic>
              </a:graphicData>
            </a:graphic>
          </wp:inline>
        </w:drawing>
      </w:r>
      <w:r>
        <w:tab/>
      </w:r>
      <w:r>
        <w:tab/>
      </w:r>
      <w:r w:rsidRPr="006224FA">
        <w:rPr>
          <w:b/>
        </w:rPr>
        <w:t>Hiver 201</w:t>
      </w:r>
      <w:r>
        <w:rPr>
          <w:b/>
        </w:rPr>
        <w:t>3</w:t>
      </w:r>
    </w:p>
    <w:p w14:paraId="75F57691" w14:textId="77777777" w:rsidR="00E85FEE" w:rsidRPr="00742F9A" w:rsidRDefault="00E85FEE" w:rsidP="00E85FEE">
      <w:pPr>
        <w:pStyle w:val="En-tte"/>
        <w:rPr>
          <w:rFonts w:ascii="Copperplate" w:hAnsi="Copperplate" w:cs="Copperplate"/>
          <w:b/>
        </w:rPr>
      </w:pPr>
      <w:r w:rsidRPr="00742F9A">
        <w:rPr>
          <w:rFonts w:ascii="Copperplate" w:hAnsi="Copperplate" w:cs="Copperplate"/>
          <w:b/>
        </w:rPr>
        <w:t>Faculté de droit</w:t>
      </w:r>
    </w:p>
    <w:p w14:paraId="64D2A11E" w14:textId="77777777" w:rsidR="00E85FEE" w:rsidRDefault="00E85FEE" w:rsidP="00E85FEE">
      <w:pPr>
        <w:pStyle w:val="En-tte"/>
      </w:pPr>
    </w:p>
    <w:p w14:paraId="7F7BF341" w14:textId="77777777" w:rsidR="00E85FEE" w:rsidRDefault="00E85FEE" w:rsidP="00E85FEE">
      <w:pPr>
        <w:pStyle w:val="En-tte"/>
      </w:pPr>
      <w:r>
        <w:t>DRT 2500 –A : Procédure pénale</w:t>
      </w:r>
      <w:r>
        <w:tab/>
      </w:r>
      <w:r>
        <w:tab/>
        <w:t>Prof. : Alexandre Stylios</w:t>
      </w:r>
    </w:p>
    <w:p w14:paraId="51301260" w14:textId="77777777" w:rsidR="00E85FEE" w:rsidRDefault="00E85FEE" w:rsidP="00E85FEE">
      <w:pPr>
        <w:pStyle w:val="En-tte"/>
      </w:pPr>
    </w:p>
    <w:p w14:paraId="7B698921" w14:textId="77777777" w:rsidR="00E85FEE" w:rsidRDefault="00E85FEE" w:rsidP="00E85FEE">
      <w:pPr>
        <w:pBdr>
          <w:top w:val="single" w:sz="4" w:space="1" w:color="auto" w:shadow="1"/>
          <w:left w:val="single" w:sz="4" w:space="4" w:color="auto" w:shadow="1"/>
          <w:bottom w:val="single" w:sz="4" w:space="1" w:color="auto" w:shadow="1"/>
          <w:right w:val="single" w:sz="4" w:space="4" w:color="auto" w:shadow="1"/>
        </w:pBdr>
        <w:shd w:val="clear" w:color="auto" w:fill="CCCCCC"/>
        <w:jc w:val="center"/>
        <w:rPr>
          <w:b/>
        </w:rPr>
      </w:pPr>
    </w:p>
    <w:p w14:paraId="1ABE9E3E" w14:textId="77777777" w:rsidR="00E85FEE" w:rsidRDefault="00E85FEE" w:rsidP="00E85FEE">
      <w:pPr>
        <w:pBdr>
          <w:top w:val="single" w:sz="4" w:space="1" w:color="auto" w:shadow="1"/>
          <w:left w:val="single" w:sz="4" w:space="4" w:color="auto" w:shadow="1"/>
          <w:bottom w:val="single" w:sz="4" w:space="1" w:color="auto" w:shadow="1"/>
          <w:right w:val="single" w:sz="4" w:space="4" w:color="auto" w:shadow="1"/>
        </w:pBdr>
        <w:shd w:val="clear" w:color="auto" w:fill="CCCCCC"/>
        <w:jc w:val="center"/>
        <w:rPr>
          <w:b/>
        </w:rPr>
      </w:pPr>
      <w:r>
        <w:rPr>
          <w:b/>
        </w:rPr>
        <w:t xml:space="preserve">Cours #7 </w:t>
      </w:r>
    </w:p>
    <w:p w14:paraId="1DC96FB1" w14:textId="77777777" w:rsidR="00E85FEE" w:rsidRPr="00DF4B69" w:rsidRDefault="00E85FEE" w:rsidP="00E85FEE">
      <w:pPr>
        <w:pBdr>
          <w:top w:val="single" w:sz="4" w:space="1" w:color="auto" w:shadow="1"/>
          <w:left w:val="single" w:sz="4" w:space="4" w:color="auto" w:shadow="1"/>
          <w:bottom w:val="single" w:sz="4" w:space="1" w:color="auto" w:shadow="1"/>
          <w:right w:val="single" w:sz="4" w:space="4" w:color="auto" w:shadow="1"/>
        </w:pBdr>
        <w:shd w:val="clear" w:color="auto" w:fill="CCCCCC"/>
        <w:rPr>
          <w:b/>
        </w:rPr>
      </w:pPr>
    </w:p>
    <w:p w14:paraId="53CE917F" w14:textId="77777777" w:rsidR="00E85FEE" w:rsidRDefault="00E85FEE" w:rsidP="00E85FEE"/>
    <w:p w14:paraId="36B097D1" w14:textId="77777777" w:rsidR="00E85FEE" w:rsidRDefault="00E85FEE" w:rsidP="00E85FEE">
      <w:pPr>
        <w:jc w:val="center"/>
      </w:pPr>
    </w:p>
    <w:p w14:paraId="2FBD0F3C" w14:textId="77777777" w:rsidR="00E85FEE" w:rsidRPr="006262C0" w:rsidRDefault="00E85FEE" w:rsidP="00E85FEE">
      <w:pPr>
        <w:jc w:val="center"/>
        <w:rPr>
          <w:b/>
        </w:rPr>
      </w:pPr>
      <w:r w:rsidRPr="006262C0">
        <w:rPr>
          <w:b/>
        </w:rPr>
        <w:t>PARTIE II – Les procédures avant le procès</w:t>
      </w:r>
    </w:p>
    <w:p w14:paraId="02FE3044" w14:textId="77777777" w:rsidR="00E85FEE" w:rsidRDefault="00E85FEE" w:rsidP="00E85FEE">
      <w:pPr>
        <w:jc w:val="both"/>
      </w:pPr>
    </w:p>
    <w:p w14:paraId="2EDED86A" w14:textId="04A41ED1" w:rsidR="00E85FEE" w:rsidRPr="00E85FEE" w:rsidRDefault="00E85FEE" w:rsidP="00E85FEE">
      <w:pPr>
        <w:jc w:val="both"/>
        <w:rPr>
          <w:rFonts w:ascii="Times New Roman" w:hAnsi="Times New Roman"/>
          <w:b/>
          <w:sz w:val="22"/>
          <w:szCs w:val="22"/>
        </w:rPr>
      </w:pPr>
      <w:r w:rsidRPr="00E85FEE">
        <w:rPr>
          <w:rFonts w:ascii="Times New Roman" w:hAnsi="Times New Roman"/>
          <w:b/>
          <w:sz w:val="22"/>
          <w:szCs w:val="22"/>
        </w:rPr>
        <w:t>Chapitre I. De suspect à accusé (ou défendeur) : l’entrée dans la phase judiciaire (p.1)</w:t>
      </w:r>
    </w:p>
    <w:p w14:paraId="11805E08" w14:textId="0F291B66" w:rsidR="00E85FEE" w:rsidRDefault="00E85FEE" w:rsidP="00E85FEE">
      <w:pPr>
        <w:jc w:val="both"/>
        <w:rPr>
          <w:rFonts w:ascii="Times New Roman" w:hAnsi="Times New Roman"/>
          <w:sz w:val="22"/>
          <w:szCs w:val="22"/>
        </w:rPr>
      </w:pPr>
      <w:r>
        <w:rPr>
          <w:rFonts w:ascii="Times New Roman" w:hAnsi="Times New Roman"/>
          <w:sz w:val="22"/>
          <w:szCs w:val="22"/>
        </w:rPr>
        <w:t>Il faut se rappeler la Loi sur le système de justice pénale pour les adolescents</w:t>
      </w:r>
    </w:p>
    <w:p w14:paraId="368E60EC" w14:textId="20348AE5" w:rsidR="00E85FEE" w:rsidRPr="00E85FEE" w:rsidRDefault="00E85FEE" w:rsidP="00E85FEE">
      <w:pPr>
        <w:pStyle w:val="Paragraphedeliste"/>
        <w:numPr>
          <w:ilvl w:val="0"/>
          <w:numId w:val="88"/>
        </w:numPr>
        <w:jc w:val="both"/>
        <w:rPr>
          <w:rFonts w:ascii="Times New Roman" w:hAnsi="Times New Roman"/>
          <w:sz w:val="22"/>
          <w:szCs w:val="22"/>
        </w:rPr>
      </w:pPr>
      <w:r>
        <w:rPr>
          <w:rFonts w:ascii="Times New Roman" w:hAnsi="Times New Roman"/>
          <w:sz w:val="22"/>
          <w:szCs w:val="22"/>
        </w:rPr>
        <w:t>Particulièrement l’article 28.</w:t>
      </w:r>
    </w:p>
    <w:p w14:paraId="17040D56" w14:textId="77777777" w:rsidR="00E85FEE" w:rsidRPr="00021137" w:rsidRDefault="00E85FEE" w:rsidP="00E85FEE">
      <w:pPr>
        <w:jc w:val="both"/>
        <w:rPr>
          <w:sz w:val="20"/>
          <w:szCs w:val="20"/>
        </w:rPr>
      </w:pPr>
    </w:p>
    <w:p w14:paraId="3B64CDCE"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Section 1. La dénonciation :</w:t>
      </w:r>
    </w:p>
    <w:p w14:paraId="4B391FA9" w14:textId="05515B92" w:rsidR="00863A35"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85FEE">
        <w:rPr>
          <w:rFonts w:ascii="Times New Roman" w:hAnsi="Times New Roman" w:cs="Verdana"/>
          <w:color w:val="3E3E3E"/>
          <w:sz w:val="22"/>
          <w:szCs w:val="22"/>
        </w:rPr>
        <w:t> </w:t>
      </w:r>
      <w:r>
        <w:rPr>
          <w:rFonts w:ascii="Times New Roman" w:hAnsi="Times New Roman" w:cs="Verdana"/>
          <w:color w:val="3E3E3E"/>
          <w:sz w:val="22"/>
          <w:szCs w:val="22"/>
        </w:rPr>
        <w:t>La formule 2 est exposé</w:t>
      </w:r>
      <w:r w:rsidR="00C10D9F">
        <w:rPr>
          <w:rFonts w:ascii="Times New Roman" w:hAnsi="Times New Roman" w:cs="Verdana"/>
          <w:color w:val="3E3E3E"/>
          <w:sz w:val="22"/>
          <w:szCs w:val="22"/>
        </w:rPr>
        <w:t>e</w:t>
      </w:r>
      <w:r>
        <w:rPr>
          <w:rFonts w:ascii="Times New Roman" w:hAnsi="Times New Roman" w:cs="Verdana"/>
          <w:color w:val="3E3E3E"/>
          <w:sz w:val="22"/>
          <w:szCs w:val="22"/>
        </w:rPr>
        <w:t xml:space="preserve"> dans les notes de cours</w:t>
      </w:r>
      <w:r w:rsidR="00C10D9F">
        <w:rPr>
          <w:rFonts w:ascii="Times New Roman" w:hAnsi="Times New Roman" w:cs="Verdana"/>
          <w:color w:val="3E3E3E"/>
          <w:sz w:val="22"/>
          <w:szCs w:val="22"/>
        </w:rPr>
        <w:t>.</w:t>
      </w:r>
      <w:r w:rsidR="00863A35">
        <w:rPr>
          <w:rFonts w:ascii="Times New Roman" w:hAnsi="Times New Roman" w:cs="Verdana"/>
          <w:color w:val="3E3E3E"/>
          <w:sz w:val="22"/>
          <w:szCs w:val="22"/>
        </w:rPr>
        <w:t xml:space="preserve"> Art. 504. Et sur la question de savoir quand est-ce qu’il y a inculpation, voir l’affaire </w:t>
      </w:r>
      <w:r w:rsidR="00863A35">
        <w:rPr>
          <w:rFonts w:ascii="Times New Roman" w:hAnsi="Times New Roman" w:cs="Verdana"/>
          <w:b/>
          <w:color w:val="3E3E3E"/>
          <w:sz w:val="22"/>
          <w:szCs w:val="22"/>
        </w:rPr>
        <w:t>R. c. Kalanj 1989 (p.2) :</w:t>
      </w:r>
    </w:p>
    <w:p w14:paraId="1D32AC5C" w14:textId="36C9E1BE" w:rsidR="00863A35" w:rsidRPr="00F551D3" w:rsidRDefault="00F551D3" w:rsidP="00863A35">
      <w:pPr>
        <w:pStyle w:val="Paragraphedeliste"/>
        <w:widowControl w:val="0"/>
        <w:numPr>
          <w:ilvl w:val="0"/>
          <w:numId w:val="88"/>
        </w:numPr>
        <w:autoSpaceDE w:val="0"/>
        <w:autoSpaceDN w:val="0"/>
        <w:adjustRightInd w:val="0"/>
        <w:spacing w:after="300"/>
        <w:jc w:val="both"/>
        <w:rPr>
          <w:rFonts w:ascii="Times New Roman" w:hAnsi="Times New Roman" w:cs="Verdana"/>
          <w:b/>
          <w:color w:val="3E3E3E"/>
          <w:sz w:val="22"/>
          <w:szCs w:val="22"/>
        </w:rPr>
      </w:pPr>
      <w:r w:rsidRPr="00021137">
        <w:rPr>
          <w:sz w:val="20"/>
          <w:szCs w:val="20"/>
        </w:rPr>
        <w:t>J'examinerai maintenant la question principale soulevée dans ces pourvois.  L'alinéa 11</w:t>
      </w:r>
      <w:r w:rsidRPr="00021137">
        <w:rPr>
          <w:i/>
          <w:iCs/>
          <w:sz w:val="20"/>
          <w:szCs w:val="20"/>
        </w:rPr>
        <w:t>b</w:t>
      </w:r>
      <w:r w:rsidRPr="00021137">
        <w:rPr>
          <w:sz w:val="20"/>
          <w:szCs w:val="20"/>
        </w:rPr>
        <w:t>) de la</w:t>
      </w:r>
      <w:r w:rsidRPr="00021137">
        <w:rPr>
          <w:i/>
          <w:iCs/>
          <w:sz w:val="20"/>
          <w:szCs w:val="20"/>
        </w:rPr>
        <w:t xml:space="preserve"> Charte</w:t>
      </w:r>
      <w:r w:rsidRPr="00021137">
        <w:rPr>
          <w:sz w:val="20"/>
          <w:szCs w:val="20"/>
        </w:rPr>
        <w:t xml:space="preserve"> prévoit que "Tout inculpé a le droit . . . d'être jugé dans un délai raisonnable".  Il faut noter que l'article ne parle que d'un inculpé.  La question qui se pose alors est la suivante:  Quand une personne est</w:t>
      </w:r>
      <w:r w:rsidRPr="00021137">
        <w:rPr>
          <w:rFonts w:ascii="American Typewriter" w:hAnsi="American Typewriter" w:cs="American Typewriter"/>
          <w:sz w:val="20"/>
          <w:szCs w:val="20"/>
        </w:rPr>
        <w:t>‑</w:t>
      </w:r>
      <w:r w:rsidRPr="00021137">
        <w:rPr>
          <w:sz w:val="20"/>
          <w:szCs w:val="20"/>
        </w:rPr>
        <w:t>elle "inculpée" au sens de l'al. 11</w:t>
      </w:r>
      <w:r w:rsidRPr="00021137">
        <w:rPr>
          <w:i/>
          <w:iCs/>
          <w:sz w:val="20"/>
          <w:szCs w:val="20"/>
        </w:rPr>
        <w:t>b</w:t>
      </w:r>
      <w:r w:rsidRPr="00021137">
        <w:rPr>
          <w:sz w:val="20"/>
          <w:szCs w:val="20"/>
        </w:rPr>
        <w:t>)</w:t>
      </w:r>
    </w:p>
    <w:p w14:paraId="30BAAEB4" w14:textId="00AC31D9" w:rsidR="00F551D3" w:rsidRPr="00F551D3" w:rsidRDefault="00F551D3" w:rsidP="00863A35">
      <w:pPr>
        <w:pStyle w:val="Paragraphedeliste"/>
        <w:widowControl w:val="0"/>
        <w:numPr>
          <w:ilvl w:val="0"/>
          <w:numId w:val="88"/>
        </w:numPr>
        <w:autoSpaceDE w:val="0"/>
        <w:autoSpaceDN w:val="0"/>
        <w:adjustRightInd w:val="0"/>
        <w:spacing w:after="300"/>
        <w:jc w:val="both"/>
        <w:rPr>
          <w:rFonts w:ascii="Times New Roman" w:hAnsi="Times New Roman" w:cs="Verdana"/>
          <w:b/>
          <w:color w:val="3E3E3E"/>
          <w:sz w:val="22"/>
          <w:szCs w:val="22"/>
        </w:rPr>
      </w:pPr>
      <w:r w:rsidRPr="00021137">
        <w:rPr>
          <w:sz w:val="20"/>
          <w:szCs w:val="20"/>
        </w:rPr>
        <w:t>Je conclurais donc qu'une personne est "inculpée" au sens de l'art. 11 de la</w:t>
      </w:r>
      <w:r w:rsidRPr="00021137">
        <w:rPr>
          <w:i/>
          <w:iCs/>
          <w:sz w:val="20"/>
          <w:szCs w:val="20"/>
        </w:rPr>
        <w:t xml:space="preserve"> Charte</w:t>
      </w:r>
      <w:r w:rsidRPr="00021137">
        <w:rPr>
          <w:sz w:val="20"/>
          <w:szCs w:val="20"/>
        </w:rPr>
        <w:t xml:space="preserve"> quand une dénonciation relative à l'infraction qu'on lui reproche est déposée ou quand un acte d'accusation est présenté directement sans dénonciation.  Il s'ensuivrait donc que le délai qu'il faut calculer pour savoir si une personne a été jugée dans un délai raisonnable conformément à l'al. 11</w:t>
      </w:r>
      <w:r w:rsidRPr="00021137">
        <w:rPr>
          <w:i/>
          <w:iCs/>
          <w:sz w:val="20"/>
          <w:szCs w:val="20"/>
        </w:rPr>
        <w:t>b</w:t>
      </w:r>
      <w:r w:rsidRPr="00021137">
        <w:rPr>
          <w:sz w:val="20"/>
          <w:szCs w:val="20"/>
        </w:rPr>
        <w:t>) court à partir de la dénonciation ou de l'acte d'accusation, quand il n'y a pas de dénonciation, et s'étend jusqu'à la fin du procès: voir</w:t>
      </w:r>
      <w:r w:rsidRPr="00021137">
        <w:rPr>
          <w:i/>
          <w:iCs/>
          <w:sz w:val="20"/>
          <w:szCs w:val="20"/>
        </w:rPr>
        <w:t xml:space="preserve"> R. c. Rahey</w:t>
      </w:r>
      <w:r>
        <w:rPr>
          <w:i/>
          <w:iCs/>
          <w:sz w:val="20"/>
          <w:szCs w:val="20"/>
        </w:rPr>
        <w:t>.</w:t>
      </w:r>
    </w:p>
    <w:p w14:paraId="113A3266" w14:textId="7B3FD753" w:rsidR="00F551D3" w:rsidRDefault="00F551D3" w:rsidP="00F551D3">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Voir également l’arrêt Argentine c. Mellino (p.3) ou le juge affirme :</w:t>
      </w:r>
    </w:p>
    <w:p w14:paraId="5B3494A5" w14:textId="697CD2F3" w:rsidR="00F551D3" w:rsidRPr="00F551D3" w:rsidRDefault="00F551D3" w:rsidP="00F551D3">
      <w:pPr>
        <w:pStyle w:val="Paragraphedeliste"/>
        <w:widowControl w:val="0"/>
        <w:numPr>
          <w:ilvl w:val="0"/>
          <w:numId w:val="89"/>
        </w:numPr>
        <w:autoSpaceDE w:val="0"/>
        <w:autoSpaceDN w:val="0"/>
        <w:adjustRightInd w:val="0"/>
        <w:spacing w:after="300"/>
        <w:jc w:val="both"/>
        <w:rPr>
          <w:rFonts w:ascii="Times New Roman" w:hAnsi="Times New Roman" w:cs="Verdana"/>
          <w:color w:val="3E3E3E"/>
          <w:sz w:val="22"/>
          <w:szCs w:val="22"/>
        </w:rPr>
      </w:pPr>
      <w:r w:rsidRPr="00021137">
        <w:rPr>
          <w:sz w:val="20"/>
          <w:szCs w:val="20"/>
        </w:rPr>
        <w:t>Il ouvre un droit à un recours fondé sur la</w:t>
      </w:r>
      <w:r w:rsidRPr="00021137">
        <w:rPr>
          <w:i/>
          <w:iCs/>
          <w:sz w:val="20"/>
          <w:szCs w:val="20"/>
        </w:rPr>
        <w:t xml:space="preserve"> Charte</w:t>
      </w:r>
      <w:r w:rsidRPr="00021137">
        <w:rPr>
          <w:sz w:val="20"/>
          <w:szCs w:val="20"/>
        </w:rPr>
        <w:t xml:space="preserve"> pour les retards </w:t>
      </w:r>
      <w:r w:rsidRPr="00021137">
        <w:rPr>
          <w:sz w:val="20"/>
          <w:szCs w:val="20"/>
          <w:u w:val="single"/>
        </w:rPr>
        <w:t>qui se produisent après que des poursuites ont été engagées</w:t>
      </w:r>
      <w:r>
        <w:rPr>
          <w:sz w:val="20"/>
          <w:szCs w:val="20"/>
          <w:u w:val="single"/>
        </w:rPr>
        <w:t>.</w:t>
      </w:r>
    </w:p>
    <w:p w14:paraId="3D279C0B" w14:textId="77777777" w:rsidR="00F551D3" w:rsidRDefault="00F551D3" w:rsidP="00F551D3">
      <w:pPr>
        <w:pStyle w:val="Paragraphedeliste"/>
        <w:numPr>
          <w:ilvl w:val="0"/>
          <w:numId w:val="89"/>
        </w:numPr>
        <w:jc w:val="both"/>
        <w:rPr>
          <w:sz w:val="20"/>
          <w:szCs w:val="20"/>
        </w:rPr>
      </w:pPr>
      <w:r w:rsidRPr="00F551D3">
        <w:rPr>
          <w:sz w:val="20"/>
          <w:szCs w:val="20"/>
        </w:rPr>
        <w:t>Le délai antérieur à la dénonciation ne compte pas.</w:t>
      </w:r>
    </w:p>
    <w:p w14:paraId="316B7401" w14:textId="0F6E9820" w:rsidR="00F551D3" w:rsidRDefault="00F551D3" w:rsidP="00F551D3">
      <w:pPr>
        <w:pStyle w:val="Paragraphedeliste"/>
        <w:numPr>
          <w:ilvl w:val="0"/>
          <w:numId w:val="89"/>
        </w:numPr>
        <w:jc w:val="both"/>
        <w:rPr>
          <w:sz w:val="20"/>
          <w:szCs w:val="20"/>
        </w:rPr>
      </w:pPr>
      <w:r w:rsidRPr="00021137">
        <w:rPr>
          <w:sz w:val="20"/>
          <w:szCs w:val="20"/>
        </w:rPr>
        <w:t>compte jusqu'à un certain point du délai antérieur à l'accusation en raison du préjudice qui pourrait en résulter.  J'estime cependant que les cas exceptionnels devraient être réglés en recourant aux règles de droit générales et, si nécessaire, aux autres dispositions de la</w:t>
      </w:r>
      <w:r w:rsidRPr="00021137">
        <w:rPr>
          <w:i/>
          <w:iCs/>
          <w:sz w:val="20"/>
          <w:szCs w:val="20"/>
        </w:rPr>
        <w:t xml:space="preserve"> Charte</w:t>
      </w:r>
      <w:r w:rsidRPr="00021137">
        <w:rPr>
          <w:sz w:val="20"/>
          <w:szCs w:val="20"/>
        </w:rPr>
        <w:t>.  Cette approche tiendrait compte des inquiétudes suscitées par la possibilité de délais antérieurs à l'accusation et y répondrait.  Les retards qui surviennent avant le dépôt de l'accusation ne sont pas inattaquables en droit, même sans invoquer l'al. 11</w:t>
      </w:r>
      <w:r w:rsidRPr="00021137">
        <w:rPr>
          <w:i/>
          <w:iCs/>
          <w:sz w:val="20"/>
          <w:szCs w:val="20"/>
        </w:rPr>
        <w:t>b</w:t>
      </w:r>
      <w:r w:rsidRPr="00021137">
        <w:rPr>
          <w:sz w:val="20"/>
          <w:szCs w:val="20"/>
        </w:rPr>
        <w:t>).  Le</w:t>
      </w:r>
      <w:r w:rsidRPr="00021137">
        <w:rPr>
          <w:i/>
          <w:iCs/>
          <w:sz w:val="20"/>
          <w:szCs w:val="20"/>
        </w:rPr>
        <w:t xml:space="preserve"> </w:t>
      </w:r>
      <w:hyperlink r:id="rId27" w:history="1">
        <w:r w:rsidRPr="00021137">
          <w:rPr>
            <w:rStyle w:val="Lienhypertexte"/>
            <w:i/>
            <w:iCs/>
            <w:sz w:val="20"/>
            <w:szCs w:val="20"/>
          </w:rPr>
          <w:t>Code criminel</w:t>
        </w:r>
      </w:hyperlink>
      <w:r w:rsidRPr="00021137">
        <w:rPr>
          <w:sz w:val="20"/>
          <w:szCs w:val="20"/>
        </w:rPr>
        <w:t xml:space="preserve"> lui</w:t>
      </w:r>
      <w:r w:rsidRPr="00021137">
        <w:rPr>
          <w:rFonts w:ascii="American Typewriter" w:hAnsi="American Typewriter" w:cs="American Typewriter"/>
          <w:sz w:val="20"/>
          <w:szCs w:val="20"/>
        </w:rPr>
        <w:t>‑</w:t>
      </w:r>
      <w:r w:rsidRPr="00021137">
        <w:rPr>
          <w:sz w:val="20"/>
          <w:szCs w:val="20"/>
        </w:rPr>
        <w:t>même protège, aux par. 577(3) et 737(1), le droit de présenter une défense pleine et entière si jamais le délai antérieur à l'accusation porte atteinte à ce droit.  L'article 455.1 prescrit le dépôt rapide d'une dénonciation lorsqu'une citation à comparaître a été délivrée ou qu'un prévenu a été mis en liberté en vertu de l'art. 452 ou 453.  De même, on pourrait invoquer la théorie de l'abus de procédure sans compter que, dès 1844, la</w:t>
      </w:r>
      <w:r w:rsidRPr="00021137">
        <w:rPr>
          <w:i/>
          <w:iCs/>
          <w:sz w:val="20"/>
          <w:szCs w:val="20"/>
        </w:rPr>
        <w:t xml:space="preserve"> common law</w:t>
      </w:r>
      <w:r w:rsidRPr="00021137">
        <w:rPr>
          <w:sz w:val="20"/>
          <w:szCs w:val="20"/>
        </w:rPr>
        <w:t xml:space="preserve"> a démontré qu'elle pouvait faire face aux délais antérieurs à la dénonciation</w:t>
      </w:r>
      <w:r>
        <w:rPr>
          <w:sz w:val="20"/>
          <w:szCs w:val="20"/>
        </w:rPr>
        <w:t>.</w:t>
      </w:r>
    </w:p>
    <w:p w14:paraId="7B29D8C9" w14:textId="77777777" w:rsidR="00F551D3" w:rsidRDefault="00F551D3" w:rsidP="00F551D3">
      <w:pPr>
        <w:jc w:val="both"/>
        <w:rPr>
          <w:sz w:val="20"/>
          <w:szCs w:val="20"/>
        </w:rPr>
      </w:pPr>
    </w:p>
    <w:p w14:paraId="127A6193" w14:textId="07977F7A" w:rsidR="00F551D3" w:rsidRPr="00F551D3" w:rsidRDefault="00F551D3" w:rsidP="00F551D3">
      <w:pPr>
        <w:jc w:val="both"/>
        <w:rPr>
          <w:rFonts w:ascii="Times New Roman" w:hAnsi="Times New Roman" w:cs="Times New Roman"/>
          <w:sz w:val="22"/>
          <w:szCs w:val="22"/>
        </w:rPr>
      </w:pPr>
      <w:r>
        <w:rPr>
          <w:rFonts w:ascii="Times New Roman" w:hAnsi="Times New Roman" w:cs="Times New Roman"/>
          <w:sz w:val="22"/>
          <w:szCs w:val="22"/>
        </w:rPr>
        <w:t>Il y a aussi la possibilité d’obtenir une dénonciation par le biais d’un fax ou du courriel électronique. Voir art. 508.1 C.cr.</w:t>
      </w:r>
    </w:p>
    <w:p w14:paraId="5A745D2E" w14:textId="15B74635" w:rsidR="00F551D3" w:rsidRPr="00F551D3" w:rsidRDefault="00F551D3" w:rsidP="00F551D3">
      <w:pPr>
        <w:pStyle w:val="Paragraphedeliste"/>
        <w:jc w:val="both"/>
        <w:rPr>
          <w:sz w:val="20"/>
          <w:szCs w:val="20"/>
        </w:rPr>
      </w:pPr>
    </w:p>
    <w:p w14:paraId="05FA53D9" w14:textId="77777777" w:rsidR="00C10D9F" w:rsidRPr="00E85FEE" w:rsidRDefault="00C10D9F" w:rsidP="00E85FEE">
      <w:pPr>
        <w:widowControl w:val="0"/>
        <w:autoSpaceDE w:val="0"/>
        <w:autoSpaceDN w:val="0"/>
        <w:adjustRightInd w:val="0"/>
        <w:spacing w:after="300"/>
        <w:jc w:val="both"/>
        <w:rPr>
          <w:rFonts w:ascii="Times New Roman" w:hAnsi="Times New Roman" w:cs="Verdana"/>
          <w:color w:val="3E3E3E"/>
          <w:sz w:val="22"/>
          <w:szCs w:val="22"/>
        </w:rPr>
      </w:pPr>
    </w:p>
    <w:p w14:paraId="7591E5A4" w14:textId="2BA4490D" w:rsidR="00E85FEE"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F551D3">
        <w:rPr>
          <w:rFonts w:ascii="Times New Roman" w:hAnsi="Times New Roman" w:cs="Verdana"/>
          <w:b/>
          <w:color w:val="3E3E3E"/>
          <w:sz w:val="22"/>
          <w:szCs w:val="22"/>
        </w:rPr>
        <w:t>Section 2. Confirmation ou annulation des décisions de la police concernant les procédures de comparution ou de remise en liberté</w:t>
      </w:r>
      <w:r w:rsidR="00F551D3">
        <w:rPr>
          <w:rFonts w:ascii="Times New Roman" w:hAnsi="Times New Roman" w:cs="Verdana"/>
          <w:b/>
          <w:color w:val="3E3E3E"/>
          <w:sz w:val="22"/>
          <w:szCs w:val="22"/>
        </w:rPr>
        <w:t xml:space="preserve"> (p.4)</w:t>
      </w:r>
    </w:p>
    <w:p w14:paraId="1FD4393B" w14:textId="5EC8675B" w:rsidR="00F551D3" w:rsidRDefault="00F551D3"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Rappel concernant l’arrestation sans mandat de 495(2)C.cr., dont une obligation de remettre en liberté, sauf exception, découle de l’article 497(1) et (1.1) C.cr.</w:t>
      </w:r>
    </w:p>
    <w:p w14:paraId="4931EE9A" w14:textId="461D81F8" w:rsidR="00F551D3" w:rsidRDefault="00F551D3"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Il y a toujours la possibilité qu’un fonctionnaire nous mettre en liberté, en vertu de l’article 498C.cr.</w:t>
      </w:r>
    </w:p>
    <w:p w14:paraId="7C158F6D" w14:textId="52C3E5D6" w:rsidR="00F551D3" w:rsidRDefault="00F551D3" w:rsidP="00E85FEE">
      <w:pPr>
        <w:widowControl w:val="0"/>
        <w:autoSpaceDE w:val="0"/>
        <w:autoSpaceDN w:val="0"/>
        <w:adjustRightInd w:val="0"/>
        <w:spacing w:after="300"/>
        <w:jc w:val="both"/>
        <w:rPr>
          <w:rFonts w:ascii="Times New Roman" w:hAnsi="Times New Roman" w:cs="Times New Roman"/>
          <w:sz w:val="22"/>
          <w:szCs w:val="22"/>
        </w:rPr>
      </w:pPr>
      <w:r w:rsidRPr="00F551D3">
        <w:rPr>
          <w:rFonts w:ascii="Times New Roman" w:hAnsi="Times New Roman" w:cs="Times New Roman"/>
          <w:sz w:val="22"/>
          <w:szCs w:val="22"/>
        </w:rPr>
        <w:t>Il existe des procédés sécuritaires pour faire comparaitre une personne en cours, moins coercitives que l’arrestation et que la mise sous garde</w:t>
      </w:r>
      <w:r>
        <w:rPr>
          <w:rFonts w:ascii="Times New Roman" w:hAnsi="Times New Roman" w:cs="Times New Roman"/>
          <w:sz w:val="22"/>
          <w:szCs w:val="22"/>
        </w:rPr>
        <w:t xml:space="preserve">. Pour ces </w:t>
      </w:r>
      <w:r w:rsidR="00BF5E74">
        <w:rPr>
          <w:rFonts w:ascii="Times New Roman" w:hAnsi="Times New Roman" w:cs="Times New Roman"/>
          <w:sz w:val="22"/>
          <w:szCs w:val="22"/>
        </w:rPr>
        <w:t>procédés, voir les articles</w:t>
      </w:r>
    </w:p>
    <w:p w14:paraId="15DFFABE" w14:textId="77777777" w:rsidR="00BF5E74" w:rsidRDefault="00BF5E74" w:rsidP="00BF5E74">
      <w:pPr>
        <w:pStyle w:val="Paragraphedeliste"/>
        <w:widowControl w:val="0"/>
        <w:numPr>
          <w:ilvl w:val="0"/>
          <w:numId w:val="90"/>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493</w:t>
      </w:r>
    </w:p>
    <w:p w14:paraId="015EBEED" w14:textId="77777777" w:rsidR="00BF5E74" w:rsidRPr="00BF5E74" w:rsidRDefault="00BF5E74" w:rsidP="00BF5E74">
      <w:pPr>
        <w:pStyle w:val="Paragraphedeliste"/>
        <w:widowControl w:val="0"/>
        <w:numPr>
          <w:ilvl w:val="0"/>
          <w:numId w:val="90"/>
        </w:numPr>
        <w:autoSpaceDE w:val="0"/>
        <w:autoSpaceDN w:val="0"/>
        <w:adjustRightInd w:val="0"/>
        <w:spacing w:after="300"/>
        <w:jc w:val="both"/>
        <w:rPr>
          <w:rFonts w:ascii="Times New Roman" w:hAnsi="Times New Roman" w:cs="Times New Roman"/>
          <w:color w:val="3E3E3E"/>
          <w:sz w:val="22"/>
          <w:szCs w:val="22"/>
        </w:rPr>
      </w:pPr>
      <w:r w:rsidRPr="00BF5E74">
        <w:rPr>
          <w:sz w:val="20"/>
          <w:szCs w:val="20"/>
        </w:rPr>
        <w:t>Art. 496 C.cr voir Formule 9 (Délivrance d’une citation à comparaître par un agent de la paix)</w:t>
      </w:r>
    </w:p>
    <w:p w14:paraId="0323AC15" w14:textId="77777777" w:rsidR="00BF5E74" w:rsidRPr="00BF5E74" w:rsidRDefault="00BF5E74" w:rsidP="00BF5E74">
      <w:pPr>
        <w:pStyle w:val="Paragraphedeliste"/>
        <w:widowControl w:val="0"/>
        <w:numPr>
          <w:ilvl w:val="0"/>
          <w:numId w:val="90"/>
        </w:numPr>
        <w:autoSpaceDE w:val="0"/>
        <w:autoSpaceDN w:val="0"/>
        <w:adjustRightInd w:val="0"/>
        <w:spacing w:after="300"/>
        <w:jc w:val="both"/>
        <w:rPr>
          <w:rFonts w:ascii="Times New Roman" w:hAnsi="Times New Roman" w:cs="Times New Roman"/>
          <w:color w:val="3E3E3E"/>
          <w:sz w:val="22"/>
          <w:szCs w:val="22"/>
        </w:rPr>
      </w:pPr>
      <w:r w:rsidRPr="00BF5E74">
        <w:rPr>
          <w:sz w:val="20"/>
          <w:szCs w:val="20"/>
        </w:rPr>
        <w:t>Art. 497 C. cr et, 498(1)(b), 498(1.1), voir Formule 10 (promesse de comparaître)</w:t>
      </w:r>
    </w:p>
    <w:p w14:paraId="700E2642" w14:textId="0A8D6046" w:rsidR="00BF5E74" w:rsidRPr="00BF5E74" w:rsidRDefault="00BF5E74" w:rsidP="00BF5E74">
      <w:pPr>
        <w:pStyle w:val="Paragraphedeliste"/>
        <w:widowControl w:val="0"/>
        <w:numPr>
          <w:ilvl w:val="0"/>
          <w:numId w:val="90"/>
        </w:numPr>
        <w:autoSpaceDE w:val="0"/>
        <w:autoSpaceDN w:val="0"/>
        <w:adjustRightInd w:val="0"/>
        <w:spacing w:after="300"/>
        <w:jc w:val="both"/>
        <w:rPr>
          <w:rFonts w:ascii="Times New Roman" w:hAnsi="Times New Roman" w:cs="Times New Roman"/>
          <w:color w:val="3E3E3E"/>
          <w:sz w:val="22"/>
          <w:szCs w:val="22"/>
        </w:rPr>
      </w:pPr>
      <w:r w:rsidRPr="00BF5E74">
        <w:rPr>
          <w:sz w:val="20"/>
          <w:szCs w:val="20"/>
        </w:rPr>
        <w:t>Art. 498(1)c), 498(1.1), Formule 11 (Engagement contracté devant un fonctionnaire responsable ou un autre agent de la paix)</w:t>
      </w:r>
    </w:p>
    <w:p w14:paraId="41D5F76E" w14:textId="2BC206C7" w:rsidR="00BF5E74" w:rsidRPr="00BF5E74" w:rsidRDefault="00BF5E74" w:rsidP="00BF5E74">
      <w:pPr>
        <w:pStyle w:val="Paragraphedeliste"/>
        <w:widowControl w:val="0"/>
        <w:numPr>
          <w:ilvl w:val="0"/>
          <w:numId w:val="90"/>
        </w:numPr>
        <w:autoSpaceDE w:val="0"/>
        <w:autoSpaceDN w:val="0"/>
        <w:adjustRightInd w:val="0"/>
        <w:spacing w:after="300"/>
        <w:jc w:val="both"/>
        <w:rPr>
          <w:rFonts w:ascii="Times New Roman" w:hAnsi="Times New Roman" w:cs="Times New Roman"/>
          <w:color w:val="3E3E3E"/>
          <w:sz w:val="22"/>
          <w:szCs w:val="22"/>
        </w:rPr>
      </w:pPr>
      <w:r w:rsidRPr="00021137">
        <w:rPr>
          <w:sz w:val="20"/>
          <w:szCs w:val="20"/>
        </w:rPr>
        <w:t>Article 503(2.1) C.cr. Voir formules 11.1 et 12 (Promesse remise à un agent de la paix ou à un fonctionnaire responsable)</w:t>
      </w:r>
    </w:p>
    <w:p w14:paraId="4D8AC7B3" w14:textId="3219E141" w:rsidR="00BF5E74" w:rsidRDefault="00BF5E74" w:rsidP="00BF5E74">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Il y a la possibilité d’une libération conditionnelle prévue à l’article 503 (2) C.cr. sauf exception pour les crimes graves (522C.cr.).</w:t>
      </w:r>
    </w:p>
    <w:p w14:paraId="7923B8CA" w14:textId="14F9F611" w:rsidR="00E85FEE" w:rsidRDefault="00BF5E74" w:rsidP="00E85FEE">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Toute l’action policière précitée doit être suivie d’une </w:t>
      </w:r>
      <w:r>
        <w:rPr>
          <w:rFonts w:ascii="Times New Roman" w:hAnsi="Times New Roman" w:cs="Times New Roman"/>
          <w:b/>
          <w:color w:val="3E3E3E"/>
          <w:sz w:val="22"/>
          <w:szCs w:val="22"/>
        </w:rPr>
        <w:t>dénonciation, et ce, dans un certain délai</w:t>
      </w:r>
      <w:r>
        <w:rPr>
          <w:rFonts w:ascii="Times New Roman" w:hAnsi="Times New Roman" w:cs="Times New Roman"/>
          <w:color w:val="3E3E3E"/>
          <w:sz w:val="22"/>
          <w:szCs w:val="22"/>
        </w:rPr>
        <w:t xml:space="preserve"> comme le mentionne l’article 505 C.cr ; 508(1) (p.6)</w:t>
      </w:r>
    </w:p>
    <w:p w14:paraId="5461A6DE" w14:textId="77777777" w:rsidR="00BF5E74" w:rsidRPr="00BF5E74" w:rsidRDefault="00BF5E74" w:rsidP="00E85FEE">
      <w:pPr>
        <w:widowControl w:val="0"/>
        <w:autoSpaceDE w:val="0"/>
        <w:autoSpaceDN w:val="0"/>
        <w:adjustRightInd w:val="0"/>
        <w:spacing w:after="300"/>
        <w:jc w:val="both"/>
        <w:rPr>
          <w:rFonts w:ascii="Times New Roman" w:hAnsi="Times New Roman" w:cs="Times New Roman"/>
          <w:color w:val="3E3E3E"/>
          <w:sz w:val="22"/>
          <w:szCs w:val="22"/>
        </w:rPr>
      </w:pPr>
    </w:p>
    <w:p w14:paraId="6A751318" w14:textId="2FA57F75" w:rsidR="00E85FEE" w:rsidRPr="00BF5E74"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BF5E74">
        <w:rPr>
          <w:rFonts w:ascii="Times New Roman" w:hAnsi="Times New Roman" w:cs="Verdana"/>
          <w:b/>
          <w:color w:val="3E3E3E"/>
          <w:sz w:val="22"/>
          <w:szCs w:val="22"/>
        </w:rPr>
        <w:t>Section 3. L’émission d’un mandat ou d’une sommation</w:t>
      </w:r>
      <w:r w:rsidR="00BF5E74" w:rsidRPr="00BF5E74">
        <w:rPr>
          <w:rFonts w:ascii="Times New Roman" w:hAnsi="Times New Roman" w:cs="Verdana"/>
          <w:b/>
          <w:color w:val="3E3E3E"/>
          <w:sz w:val="22"/>
          <w:szCs w:val="22"/>
        </w:rPr>
        <w:t xml:space="preserve"> (p.6)</w:t>
      </w:r>
    </w:p>
    <w:p w14:paraId="3FE0D704" w14:textId="4F5DBE69" w:rsidR="00BF5E74" w:rsidRDefault="00BF5E74"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Un petit rappel :</w:t>
      </w:r>
    </w:p>
    <w:p w14:paraId="5A5E92FE" w14:textId="064B808D" w:rsidR="00BF5E74" w:rsidRPr="00BF5E74" w:rsidRDefault="00BF5E74" w:rsidP="00BF5E74">
      <w:pPr>
        <w:pStyle w:val="Paragraphedeliste"/>
        <w:widowControl w:val="0"/>
        <w:numPr>
          <w:ilvl w:val="0"/>
          <w:numId w:val="91"/>
        </w:numPr>
        <w:autoSpaceDE w:val="0"/>
        <w:autoSpaceDN w:val="0"/>
        <w:adjustRightInd w:val="0"/>
        <w:spacing w:after="300"/>
        <w:jc w:val="both"/>
        <w:rPr>
          <w:rFonts w:ascii="Times New Roman" w:hAnsi="Times New Roman" w:cs="Verdana"/>
          <w:color w:val="3E3E3E"/>
          <w:sz w:val="22"/>
          <w:szCs w:val="22"/>
        </w:rPr>
      </w:pPr>
      <w:r>
        <w:rPr>
          <w:sz w:val="20"/>
          <w:szCs w:val="20"/>
        </w:rPr>
        <w:t xml:space="preserve">(1) </w:t>
      </w:r>
      <w:r w:rsidRPr="00021137">
        <w:rPr>
          <w:sz w:val="20"/>
          <w:szCs w:val="20"/>
        </w:rPr>
        <w:t>La police peut décider de ne pas procéder à une arrestation ou encore arrêter la personne suspectée d’avoir commis une infraction et la relâcher mais qu’elle a l’intention d’inculper : elle doit pour ce faire obtenir une sommation de comparaître devant un juge</w:t>
      </w:r>
      <w:r>
        <w:rPr>
          <w:sz w:val="20"/>
          <w:szCs w:val="20"/>
        </w:rPr>
        <w:t>. Voir article 498(1) (a) et 498(1.1) C.cr.</w:t>
      </w:r>
    </w:p>
    <w:p w14:paraId="47DE2DFE" w14:textId="466FF7D7" w:rsidR="00BF5E74" w:rsidRPr="00BF5E74" w:rsidRDefault="00BF5E74" w:rsidP="00E85FEE">
      <w:pPr>
        <w:pStyle w:val="Paragraphedeliste"/>
        <w:widowControl w:val="0"/>
        <w:numPr>
          <w:ilvl w:val="0"/>
          <w:numId w:val="91"/>
        </w:numPr>
        <w:autoSpaceDE w:val="0"/>
        <w:autoSpaceDN w:val="0"/>
        <w:adjustRightInd w:val="0"/>
        <w:spacing w:after="300"/>
        <w:jc w:val="both"/>
        <w:rPr>
          <w:rFonts w:ascii="Times New Roman" w:hAnsi="Times New Roman" w:cs="Verdana"/>
          <w:color w:val="3E3E3E"/>
          <w:sz w:val="22"/>
          <w:szCs w:val="22"/>
        </w:rPr>
      </w:pPr>
      <w:r>
        <w:rPr>
          <w:sz w:val="20"/>
          <w:szCs w:val="20"/>
        </w:rPr>
        <w:t xml:space="preserve">(2) </w:t>
      </w:r>
      <w:r w:rsidRPr="00021137">
        <w:rPr>
          <w:sz w:val="20"/>
          <w:szCs w:val="20"/>
        </w:rPr>
        <w:t>La police peut aussi procéder à une arrestation et obtenir à cette fin un mandat (art. 508(1)(b)(ii) et 512(1)(a). Si un mandat d’arrestation a été émis tout officier de police peut procéder à l’arrestation, même s’il n’a pas connaissance des circonstances de l’infraction (art. 495(1)(c) C. cr.</w:t>
      </w:r>
      <w:r>
        <w:rPr>
          <w:sz w:val="20"/>
          <w:szCs w:val="20"/>
        </w:rPr>
        <w:t>.</w:t>
      </w:r>
    </w:p>
    <w:p w14:paraId="150B7CD4"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§1. Les étapes :</w:t>
      </w:r>
    </w:p>
    <w:p w14:paraId="74C08D08" w14:textId="1E1B425C"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BF5E74">
        <w:rPr>
          <w:rFonts w:ascii="Times New Roman" w:hAnsi="Times New Roman" w:cs="Verdana"/>
          <w:color w:val="3E3E3E"/>
          <w:sz w:val="22"/>
          <w:szCs w:val="22"/>
        </w:rPr>
        <w:t>On suit la procédure établie à l’article 507 (1) (a) C.cr. Le dénonciateur et les témoins prêtent serment en vertu de l’article 507(3) C.cr. Par la suite, le juge confirmera la dénonciation ou l’annulera pour émettre une sommation (art. 509C.cr.) ou un mandat d’arrestation (art. 511). Comment le juge opère-t-il son choix ? Par le biais de l’article 507(4) C.cr. Et concernant ledit article 507(4) voici R. c. Morales (p.7) qui en traite :</w:t>
      </w:r>
    </w:p>
    <w:p w14:paraId="16CD7E8B" w14:textId="6988CBF8" w:rsidR="00BF5E74" w:rsidRDefault="00BF5E74" w:rsidP="00BF5E74">
      <w:pPr>
        <w:pStyle w:val="Paragraphedeliste"/>
        <w:numPr>
          <w:ilvl w:val="0"/>
          <w:numId w:val="92"/>
        </w:numPr>
        <w:jc w:val="both"/>
        <w:rPr>
          <w:sz w:val="20"/>
          <w:szCs w:val="20"/>
        </w:rPr>
      </w:pPr>
      <w:r w:rsidRPr="00BF5E74">
        <w:rPr>
          <w:sz w:val="20"/>
          <w:szCs w:val="20"/>
        </w:rPr>
        <w:t xml:space="preserve">Mais dans le contexte de l’article de l’article 507, la Cour divisionnaire de l’Ontario a précisé en 1996 (i) que cette disposition était constitutionnelle et (ii) son sens : cette expression veut dire que l’on veut s’assurer que le prévenu comparaîtra et qu’il ne commettra pas d’infraction dans l’intervalle (Budreo . c R. [1996] O.J. No.3, 104 C.C.C (3d) 245). Tout autre signification n’est pas pertinente, en particulier celle concernant l’intérêt de préserver la preuve, puisqu’il existe déjà des articles prévoyant cette situation (art. 495(2)(d)(ii), 497(1)(f)(ii), 498(1)(ii)). </w:t>
      </w:r>
    </w:p>
    <w:p w14:paraId="4005E566" w14:textId="77777777" w:rsidR="00BF5E74" w:rsidRPr="00BF5E74" w:rsidRDefault="00BF5E74" w:rsidP="00BF5E74">
      <w:pPr>
        <w:jc w:val="both"/>
        <w:rPr>
          <w:sz w:val="20"/>
          <w:szCs w:val="20"/>
        </w:rPr>
      </w:pPr>
    </w:p>
    <w:p w14:paraId="19EF58B4" w14:textId="1DFE4D7D" w:rsidR="00E85FEE" w:rsidRPr="00E85FEE" w:rsidRDefault="00BF5E74"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Si l’accusé a omis de se présenter à sa comparution pour enregistrer un plaidoyer, on peut délivrer un mandat d’arrestation pour le forcer à comparaitre en vertu de l’article 502 C.cr et 512(2) (a), (b) C.cr. On délivre un mandat lorsqu’aussi, l’individu, cherche à se soustraire à la sommation. On le fait en vertu de 512(2) (c) C.cr.</w:t>
      </w:r>
      <w:r w:rsidR="00E85FEE" w:rsidRPr="00E85FEE">
        <w:rPr>
          <w:rFonts w:ascii="Times New Roman" w:hAnsi="Times New Roman" w:cs="Verdana"/>
          <w:color w:val="3E3E3E"/>
          <w:sz w:val="22"/>
          <w:szCs w:val="22"/>
        </w:rPr>
        <w:t> </w:t>
      </w:r>
    </w:p>
    <w:p w14:paraId="1947F92E" w14:textId="2F2E1C9D" w:rsidR="00E85FEE" w:rsidRPr="00EE6141"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E6141">
        <w:rPr>
          <w:rFonts w:ascii="Times New Roman" w:hAnsi="Times New Roman" w:cs="Verdana"/>
          <w:b/>
          <w:color w:val="3E3E3E"/>
          <w:sz w:val="22"/>
          <w:szCs w:val="22"/>
        </w:rPr>
        <w:t>§2. La forme, contenu, signification de la sommation et exécution du mandat</w:t>
      </w:r>
      <w:r w:rsidR="00EE6141">
        <w:rPr>
          <w:rFonts w:ascii="Times New Roman" w:hAnsi="Times New Roman" w:cs="Verdana"/>
          <w:b/>
          <w:color w:val="3E3E3E"/>
          <w:sz w:val="22"/>
          <w:szCs w:val="22"/>
        </w:rPr>
        <w:t xml:space="preserve"> (p.8)</w:t>
      </w:r>
      <w:r w:rsidR="00EE6141">
        <w:rPr>
          <w:rFonts w:ascii="Times New Roman" w:hAnsi="Times New Roman" w:cs="Verdana"/>
          <w:color w:val="3E3E3E"/>
          <w:sz w:val="22"/>
          <w:szCs w:val="22"/>
        </w:rPr>
        <w:t>.</w:t>
      </w:r>
    </w:p>
    <w:p w14:paraId="1E10F0FD" w14:textId="5266FED1" w:rsidR="00E85FEE" w:rsidRPr="00EE6141"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E6141">
        <w:rPr>
          <w:rFonts w:ascii="Times New Roman" w:hAnsi="Times New Roman" w:cs="Verdana"/>
          <w:b/>
          <w:color w:val="3E3E3E"/>
          <w:sz w:val="22"/>
          <w:szCs w:val="22"/>
        </w:rPr>
        <w:t>A. La sommation</w:t>
      </w:r>
    </w:p>
    <w:p w14:paraId="0AF9EA29" w14:textId="30BB2F32"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 Forme de la sommation</w:t>
      </w:r>
    </w:p>
    <w:p w14:paraId="3098EEFA" w14:textId="57404226" w:rsidR="00E85FEE" w:rsidRP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Le juge délivre la sommation suivant la formule 6 en lien avec les articles 493, 508, 512 C.cr</w:t>
      </w:r>
    </w:p>
    <w:p w14:paraId="7614BC9E" w14:textId="64F3771B" w:rsidR="00E85FEE" w:rsidRPr="00EE6141" w:rsidRDefault="00E85FEE" w:rsidP="00EE6141">
      <w:pPr>
        <w:pStyle w:val="Paragraphedeliste"/>
        <w:widowControl w:val="0"/>
        <w:numPr>
          <w:ilvl w:val="0"/>
          <w:numId w:val="93"/>
        </w:numPr>
        <w:autoSpaceDE w:val="0"/>
        <w:autoSpaceDN w:val="0"/>
        <w:adjustRightInd w:val="0"/>
        <w:spacing w:after="300"/>
        <w:jc w:val="both"/>
        <w:rPr>
          <w:rFonts w:ascii="Times New Roman" w:hAnsi="Times New Roman" w:cs="Verdana"/>
          <w:color w:val="3E3E3E"/>
          <w:sz w:val="22"/>
          <w:szCs w:val="22"/>
        </w:rPr>
      </w:pPr>
      <w:r w:rsidRPr="00EE6141">
        <w:rPr>
          <w:rFonts w:ascii="Times New Roman" w:hAnsi="Times New Roman" w:cs="Verdana"/>
          <w:color w:val="3E3E3E"/>
          <w:sz w:val="22"/>
          <w:szCs w:val="22"/>
        </w:rPr>
        <w:t>Contenu de la sommation</w:t>
      </w:r>
    </w:p>
    <w:p w14:paraId="1494E466" w14:textId="7388A22B" w:rsidR="00E85FEE" w:rsidRP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Article 509(1) C.cr</w:t>
      </w:r>
    </w:p>
    <w:p w14:paraId="2F0ADF38" w14:textId="0AF4F7B1"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 Signification de la sommation</w:t>
      </w:r>
    </w:p>
    <w:p w14:paraId="4F2229BB" w14:textId="5BC2527E" w:rsid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Article 509(2) C.cr.</w:t>
      </w:r>
      <w:r w:rsidR="00E85FEE" w:rsidRPr="00E85FEE">
        <w:rPr>
          <w:rFonts w:ascii="Times New Roman" w:hAnsi="Times New Roman" w:cs="Verdana"/>
          <w:color w:val="3E3E3E"/>
          <w:sz w:val="22"/>
          <w:szCs w:val="22"/>
        </w:rPr>
        <w:t> </w:t>
      </w:r>
    </w:p>
    <w:p w14:paraId="2339A0DF" w14:textId="77777777" w:rsidR="00EE6141" w:rsidRP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p>
    <w:p w14:paraId="7AD2F5FF" w14:textId="5B44ACCF" w:rsidR="00E85FEE"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E6141">
        <w:rPr>
          <w:rFonts w:ascii="Times New Roman" w:hAnsi="Times New Roman" w:cs="Verdana"/>
          <w:b/>
          <w:color w:val="3E3E3E"/>
          <w:sz w:val="22"/>
          <w:szCs w:val="22"/>
        </w:rPr>
        <w:t>B. Le mandat</w:t>
      </w:r>
    </w:p>
    <w:p w14:paraId="523DAD99" w14:textId="686F9F00" w:rsidR="00EE6141"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b/>
          <w:color w:val="3E3E3E"/>
          <w:sz w:val="22"/>
          <w:szCs w:val="22"/>
        </w:rPr>
        <w:t xml:space="preserve">            -</w:t>
      </w:r>
      <w:r>
        <w:rPr>
          <w:rFonts w:ascii="Times New Roman" w:hAnsi="Times New Roman" w:cs="Verdana"/>
          <w:color w:val="3E3E3E"/>
          <w:sz w:val="22"/>
          <w:szCs w:val="22"/>
        </w:rPr>
        <w:t>Forme du mandat</w:t>
      </w:r>
    </w:p>
    <w:p w14:paraId="6BBDB903" w14:textId="1D33A708" w:rsidR="00EE6141" w:rsidRPr="00EE6141"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Le juge délivre le mandat selon la formule 7 en lien avec les articles 475, 493, 597, 800 et 803 C.cr</w:t>
      </w:r>
    </w:p>
    <w:p w14:paraId="0A342A0E" w14:textId="0996DC33"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 Contenu du mandat</w:t>
      </w:r>
    </w:p>
    <w:p w14:paraId="0E3E1CA7" w14:textId="2AF6ADD0"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EE6141">
        <w:rPr>
          <w:rFonts w:ascii="Times New Roman" w:hAnsi="Times New Roman" w:cs="Verdana"/>
          <w:color w:val="3E3E3E"/>
          <w:sz w:val="22"/>
          <w:szCs w:val="22"/>
        </w:rPr>
        <w:t>Article 511(1) et (3) C.cr.</w:t>
      </w:r>
    </w:p>
    <w:p w14:paraId="7FDDE3AB" w14:textId="039BDDD0"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 Exécution du mandat</w:t>
      </w:r>
    </w:p>
    <w:p w14:paraId="7E740F61" w14:textId="5476DF60"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EE6141">
        <w:rPr>
          <w:rFonts w:ascii="Times New Roman" w:hAnsi="Times New Roman" w:cs="Verdana"/>
          <w:color w:val="3E3E3E"/>
          <w:sz w:val="22"/>
          <w:szCs w:val="22"/>
        </w:rPr>
        <w:t>Article 511(2) et (4) C.cr.</w:t>
      </w:r>
    </w:p>
    <w:p w14:paraId="457EEA9C" w14:textId="489ECDEC"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 Exception : mise en liberté possible</w:t>
      </w:r>
    </w:p>
    <w:p w14:paraId="6F644568" w14:textId="017D8F12" w:rsidR="00EE6141" w:rsidRP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Article 507(6) C.cr. On vise notamment les infractions autres que celles sous 469C.cr. Cependant, c’est le policier qui a la garde de la personne arrêté qui décidera de sa remise en liberté et de ses modalités. À ce propos, voir l’article 499C.cr. (p.12).</w:t>
      </w:r>
    </w:p>
    <w:p w14:paraId="2EC39C7E" w14:textId="477BE56E"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p>
    <w:p w14:paraId="21574B71" w14:textId="77777777" w:rsidR="00E85FEE" w:rsidRPr="00EE6141"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E6141">
        <w:rPr>
          <w:rFonts w:ascii="Times New Roman" w:hAnsi="Times New Roman" w:cs="Verdana"/>
          <w:b/>
          <w:color w:val="3E3E3E"/>
          <w:sz w:val="22"/>
          <w:szCs w:val="22"/>
        </w:rPr>
        <w:t>Section 4. Poursuite privée (ou la plainte privée)</w:t>
      </w:r>
    </w:p>
    <w:p w14:paraId="72AB4940" w14:textId="033E1069"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EE6141">
        <w:rPr>
          <w:rFonts w:ascii="Times New Roman" w:hAnsi="Times New Roman" w:cs="Verdana"/>
          <w:color w:val="3E3E3E"/>
          <w:sz w:val="22"/>
          <w:szCs w:val="22"/>
        </w:rPr>
        <w:t>Rappel de l’article 504C.cr. concernant l’arrestation citoyenne en cas d’</w:t>
      </w:r>
      <w:r w:rsidR="00EE6141">
        <w:rPr>
          <w:rFonts w:ascii="Times New Roman" w:hAnsi="Times New Roman" w:cs="Verdana"/>
          <w:b/>
          <w:color w:val="3E3E3E"/>
          <w:sz w:val="22"/>
          <w:szCs w:val="22"/>
        </w:rPr>
        <w:t>acte criminel</w:t>
      </w:r>
      <w:r w:rsidR="00EE6141">
        <w:rPr>
          <w:rFonts w:ascii="Times New Roman" w:hAnsi="Times New Roman" w:cs="Verdana"/>
          <w:color w:val="3E3E3E"/>
          <w:sz w:val="22"/>
          <w:szCs w:val="22"/>
        </w:rPr>
        <w:t xml:space="preserve"> et 507.1C.cr </w:t>
      </w:r>
    </w:p>
    <w:p w14:paraId="7F0847A2" w14:textId="77777777" w:rsidR="00EE6141" w:rsidRPr="00E85FEE" w:rsidRDefault="00EE6141" w:rsidP="00E85FEE">
      <w:pPr>
        <w:widowControl w:val="0"/>
        <w:autoSpaceDE w:val="0"/>
        <w:autoSpaceDN w:val="0"/>
        <w:adjustRightInd w:val="0"/>
        <w:spacing w:after="300"/>
        <w:jc w:val="both"/>
        <w:rPr>
          <w:rFonts w:ascii="Times New Roman" w:hAnsi="Times New Roman" w:cs="Verdana"/>
          <w:color w:val="3E3E3E"/>
          <w:sz w:val="22"/>
          <w:szCs w:val="22"/>
        </w:rPr>
      </w:pPr>
    </w:p>
    <w:p w14:paraId="30261D6D" w14:textId="54563D04" w:rsidR="00E85FEE" w:rsidRPr="00EE6141"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E6141">
        <w:rPr>
          <w:rFonts w:ascii="Times New Roman" w:hAnsi="Times New Roman" w:cs="Verdana"/>
          <w:b/>
          <w:color w:val="3E3E3E"/>
          <w:sz w:val="22"/>
          <w:szCs w:val="22"/>
        </w:rPr>
        <w:t>Section 5. La comparution de la personne arrêtée dans les 24 heures (de son arrestation)</w:t>
      </w:r>
      <w:r w:rsidR="00EE6141">
        <w:rPr>
          <w:rFonts w:ascii="Times New Roman" w:hAnsi="Times New Roman" w:cs="Verdana"/>
          <w:b/>
          <w:color w:val="3E3E3E"/>
          <w:sz w:val="22"/>
          <w:szCs w:val="22"/>
        </w:rPr>
        <w:t xml:space="preserve"> (p.14)</w:t>
      </w:r>
    </w:p>
    <w:p w14:paraId="4143BE22" w14:textId="56B7194B"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EE6141">
        <w:rPr>
          <w:rFonts w:ascii="Times New Roman" w:hAnsi="Times New Roman" w:cs="Verdana"/>
          <w:color w:val="3E3E3E"/>
          <w:sz w:val="22"/>
          <w:szCs w:val="22"/>
        </w:rPr>
        <w:t>Article 503(1)(a) C.cr. et le délai de 24 heures</w:t>
      </w:r>
    </w:p>
    <w:p w14:paraId="0B6FAFC7" w14:textId="70C855C8" w:rsidR="00EE6141" w:rsidRDefault="00EE6141" w:rsidP="00E85FEE">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Storrey 1990 :</w:t>
      </w:r>
    </w:p>
    <w:p w14:paraId="508FD0DE" w14:textId="5974C188" w:rsidR="00EE6141" w:rsidRPr="003F4221" w:rsidRDefault="003F4221" w:rsidP="00EE6141">
      <w:pPr>
        <w:pStyle w:val="Paragraphedeliste"/>
        <w:widowControl w:val="0"/>
        <w:numPr>
          <w:ilvl w:val="0"/>
          <w:numId w:val="92"/>
        </w:numPr>
        <w:autoSpaceDE w:val="0"/>
        <w:autoSpaceDN w:val="0"/>
        <w:adjustRightInd w:val="0"/>
        <w:spacing w:after="300"/>
        <w:jc w:val="both"/>
        <w:rPr>
          <w:rFonts w:ascii="Times New Roman" w:hAnsi="Times New Roman" w:cs="Verdana"/>
          <w:color w:val="3E3E3E"/>
          <w:sz w:val="22"/>
          <w:szCs w:val="22"/>
        </w:rPr>
      </w:pPr>
      <w:r w:rsidRPr="00021137">
        <w:rPr>
          <w:sz w:val="20"/>
          <w:szCs w:val="20"/>
        </w:rPr>
        <w:t>La détention de l'appelant pendant 18 heures avant que l'accusation ne soit portée, principalement pour permettre à la police de poursuivre son enquête, n'était pas arbitraire.  La séance d'identification représentait la méthode d'identification la plus juste et la seule pratique.  Comme l'appelant a été arrêté le soir, il était peu probable que les victimes, qui habitaient à l'extérieur du ressort, puissent être trouvées et conduites à la séance d'identification avant le lendemain matin.  L'appelant a été conduit devant un juge de paix et inculpé immédiatement après la séance d'identification.  Dans ces circonstances, le retard n'était pas injustifié et ne violait ni le par. 454(1) du</w:t>
      </w:r>
      <w:r w:rsidRPr="00021137">
        <w:rPr>
          <w:i/>
          <w:iCs/>
          <w:sz w:val="20"/>
          <w:szCs w:val="20"/>
        </w:rPr>
        <w:t xml:space="preserve"> Code</w:t>
      </w:r>
      <w:r w:rsidRPr="00021137">
        <w:rPr>
          <w:sz w:val="20"/>
          <w:szCs w:val="20"/>
        </w:rPr>
        <w:t xml:space="preserve"> ni l'art. 9 de la</w:t>
      </w:r>
      <w:r w:rsidRPr="00021137">
        <w:rPr>
          <w:i/>
          <w:iCs/>
          <w:sz w:val="20"/>
          <w:szCs w:val="20"/>
        </w:rPr>
        <w:t xml:space="preserve"> Charte</w:t>
      </w:r>
    </w:p>
    <w:p w14:paraId="6F3173D1" w14:textId="4F535EFB" w:rsidR="003F4221" w:rsidRDefault="003F4221" w:rsidP="003F4221">
      <w:pPr>
        <w:widowControl w:val="0"/>
        <w:autoSpaceDE w:val="0"/>
        <w:autoSpaceDN w:val="0"/>
        <w:adjustRightInd w:val="0"/>
        <w:spacing w:after="300"/>
        <w:jc w:val="both"/>
        <w:rPr>
          <w:rFonts w:ascii="Times New Roman" w:hAnsi="Times New Roman" w:cs="Verdana"/>
          <w:b/>
          <w:i/>
          <w:color w:val="3E3E3E"/>
          <w:sz w:val="22"/>
          <w:szCs w:val="22"/>
        </w:rPr>
      </w:pPr>
      <w:r>
        <w:rPr>
          <w:rFonts w:ascii="Times New Roman" w:hAnsi="Times New Roman" w:cs="Verdana"/>
          <w:b/>
          <w:i/>
          <w:color w:val="3E3E3E"/>
          <w:sz w:val="22"/>
          <w:szCs w:val="22"/>
        </w:rPr>
        <w:t>R. c. Grant 2009 :</w:t>
      </w:r>
    </w:p>
    <w:p w14:paraId="5AEF4AA2" w14:textId="6E4765DB" w:rsidR="003F4221" w:rsidRPr="003F4221" w:rsidRDefault="003F4221" w:rsidP="003F4221">
      <w:pPr>
        <w:pStyle w:val="Paragraphedeliste"/>
        <w:widowControl w:val="0"/>
        <w:numPr>
          <w:ilvl w:val="0"/>
          <w:numId w:val="92"/>
        </w:numPr>
        <w:autoSpaceDE w:val="0"/>
        <w:autoSpaceDN w:val="0"/>
        <w:adjustRightInd w:val="0"/>
        <w:spacing w:after="300"/>
        <w:jc w:val="both"/>
        <w:rPr>
          <w:rFonts w:ascii="Times New Roman" w:hAnsi="Times New Roman" w:cs="Verdana"/>
          <w:b/>
          <w:i/>
          <w:color w:val="3E3E3E"/>
          <w:sz w:val="22"/>
          <w:szCs w:val="22"/>
        </w:rPr>
      </w:pPr>
      <w:r w:rsidRPr="00021137">
        <w:rPr>
          <w:sz w:val="20"/>
          <w:szCs w:val="20"/>
        </w:rPr>
        <w:t>[54] La garantie contre la détention arbitraire énoncée à l’art. 9 est une manifestation du principe général, énoncé à l’art. 7, selon lequel il ne peut être porté atteinte à la liberté qu’en conformité avec les principes de justice fondamentale.  Comme notre Cour l’a indiqué : « Cette garantie exprime une des normes les plus fondamentales de la primauté du droit.  L’État ne peut pas détenir une personne arbitrairement.  Une personne ne peut être mise en détention qu’en conformité avec le droit »  (</w:t>
      </w:r>
      <w:r w:rsidRPr="00021137">
        <w:rPr>
          <w:i/>
          <w:iCs/>
          <w:sz w:val="20"/>
          <w:szCs w:val="20"/>
        </w:rPr>
        <w:t>Charkaoui c. Canada (Citoyenneté et Immigration)</w:t>
      </w:r>
      <w:r w:rsidRPr="00021137">
        <w:rPr>
          <w:sz w:val="20"/>
          <w:szCs w:val="20"/>
        </w:rPr>
        <w:t xml:space="preserve">, </w:t>
      </w:r>
      <w:hyperlink r:id="rId28" w:history="1">
        <w:r w:rsidRPr="00021137">
          <w:rPr>
            <w:rStyle w:val="Lienhypertexte"/>
            <w:sz w:val="20"/>
            <w:szCs w:val="20"/>
          </w:rPr>
          <w:t>2007 CSC 9 (CanLII)</w:t>
        </w:r>
      </w:hyperlink>
      <w:r w:rsidRPr="00021137">
        <w:rPr>
          <w:sz w:val="20"/>
          <w:szCs w:val="20"/>
        </w:rPr>
        <w:t>, 2007 CSC 9, [2007] 1 R.C.S. 350, par. 88).  L’article 9 a pour objet de protéger la liberté individuelle contre l’ingérence injustifiée de l’État.  Une détention autorisée par la loi n’est pas arbitraire au sens de l’art. 9 (</w:t>
      </w:r>
      <w:r w:rsidRPr="00021137">
        <w:rPr>
          <w:i/>
          <w:iCs/>
          <w:sz w:val="20"/>
          <w:szCs w:val="20"/>
        </w:rPr>
        <w:t>Mann</w:t>
      </w:r>
      <w:r w:rsidRPr="00021137">
        <w:rPr>
          <w:sz w:val="20"/>
          <w:szCs w:val="20"/>
        </w:rPr>
        <w:t>, par. 20) à moins que la loi elle</w:t>
      </w:r>
      <w:r w:rsidRPr="00021137">
        <w:rPr>
          <w:rFonts w:ascii="American Typewriter" w:hAnsi="American Typewriter" w:cs="American Typewriter"/>
          <w:sz w:val="20"/>
          <w:szCs w:val="20"/>
        </w:rPr>
        <w:t>‑</w:t>
      </w:r>
      <w:r w:rsidRPr="00021137">
        <w:rPr>
          <w:sz w:val="20"/>
          <w:szCs w:val="20"/>
        </w:rPr>
        <w:t xml:space="preserve">même ne le soit.  À l’inverse, </w:t>
      </w:r>
      <w:r w:rsidRPr="00021137">
        <w:rPr>
          <w:b/>
          <w:sz w:val="20"/>
          <w:szCs w:val="20"/>
        </w:rPr>
        <w:t>la détention qui n’est pas légalement autorisée est arbitraire et elle viole l’art. 9</w:t>
      </w:r>
      <w:r w:rsidRPr="00021137">
        <w:rPr>
          <w:sz w:val="20"/>
          <w:szCs w:val="20"/>
        </w:rPr>
        <w:t>.</w:t>
      </w:r>
    </w:p>
    <w:p w14:paraId="441B6C0F" w14:textId="77777777" w:rsidR="003F4221" w:rsidRPr="003F4221" w:rsidRDefault="003F4221" w:rsidP="003F4221">
      <w:pPr>
        <w:pStyle w:val="Paragraphedeliste"/>
        <w:widowControl w:val="0"/>
        <w:autoSpaceDE w:val="0"/>
        <w:autoSpaceDN w:val="0"/>
        <w:adjustRightInd w:val="0"/>
        <w:spacing w:after="300"/>
        <w:jc w:val="both"/>
        <w:rPr>
          <w:rFonts w:ascii="Times New Roman" w:hAnsi="Times New Roman" w:cs="Verdana"/>
          <w:b/>
          <w:i/>
          <w:color w:val="3E3E3E"/>
          <w:sz w:val="22"/>
          <w:szCs w:val="22"/>
        </w:rPr>
      </w:pPr>
    </w:p>
    <w:p w14:paraId="5EE1E887" w14:textId="2A7DBD49" w:rsidR="00E85FEE" w:rsidRPr="003F4221"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3F4221">
        <w:rPr>
          <w:rFonts w:ascii="Times New Roman" w:hAnsi="Times New Roman" w:cs="Verdana"/>
          <w:b/>
          <w:color w:val="3E3E3E"/>
          <w:sz w:val="22"/>
          <w:szCs w:val="22"/>
        </w:rPr>
        <w:t>Chapitre II. La mise en liberté provisoire par voie judiciaire</w:t>
      </w:r>
      <w:r w:rsidR="004475EC">
        <w:rPr>
          <w:rFonts w:ascii="Times New Roman" w:hAnsi="Times New Roman" w:cs="Verdana"/>
          <w:b/>
          <w:color w:val="3E3E3E"/>
          <w:sz w:val="22"/>
          <w:szCs w:val="22"/>
        </w:rPr>
        <w:t xml:space="preserve"> (p.15)</w:t>
      </w:r>
    </w:p>
    <w:p w14:paraId="1BA27C81" w14:textId="2A8275B2" w:rsidR="00E85FEE" w:rsidRDefault="00E85FEE" w:rsidP="00E85FEE">
      <w:pPr>
        <w:widowControl w:val="0"/>
        <w:autoSpaceDE w:val="0"/>
        <w:autoSpaceDN w:val="0"/>
        <w:adjustRightInd w:val="0"/>
        <w:spacing w:after="300"/>
        <w:jc w:val="both"/>
        <w:rPr>
          <w:rFonts w:ascii="Times New Roman" w:hAnsi="Times New Roman" w:cs="Verdana"/>
          <w:b/>
          <w:i/>
          <w:color w:val="3E3E3E"/>
          <w:sz w:val="22"/>
          <w:szCs w:val="22"/>
        </w:rPr>
      </w:pPr>
      <w:r w:rsidRPr="00E85FEE">
        <w:rPr>
          <w:rFonts w:ascii="Times New Roman" w:hAnsi="Times New Roman" w:cs="Verdana"/>
          <w:color w:val="3E3E3E"/>
          <w:sz w:val="22"/>
          <w:szCs w:val="22"/>
        </w:rPr>
        <w:t> </w:t>
      </w:r>
      <w:r w:rsidR="004475EC">
        <w:rPr>
          <w:rFonts w:ascii="Times New Roman" w:hAnsi="Times New Roman" w:cs="Verdana"/>
          <w:b/>
          <w:i/>
          <w:color w:val="3E3E3E"/>
          <w:sz w:val="22"/>
          <w:szCs w:val="22"/>
        </w:rPr>
        <w:t>R. c. Wust 2000 :</w:t>
      </w:r>
    </w:p>
    <w:p w14:paraId="3D97A90F" w14:textId="77777777" w:rsidR="004475EC" w:rsidRDefault="004475EC" w:rsidP="004475EC">
      <w:pPr>
        <w:pStyle w:val="Paragraphedeliste"/>
        <w:numPr>
          <w:ilvl w:val="0"/>
          <w:numId w:val="92"/>
        </w:numPr>
        <w:jc w:val="both"/>
        <w:rPr>
          <w:sz w:val="20"/>
          <w:szCs w:val="20"/>
        </w:rPr>
      </w:pPr>
      <w:r w:rsidRPr="004475EC">
        <w:rPr>
          <w:sz w:val="20"/>
          <w:szCs w:val="20"/>
        </w:rPr>
        <w:t>je préfère utiliser l’expression «détention présentencielle», car il s’agit de celle qui désigne le plus fidèlement la période qu’un contrevenant a pu passer sous garde avant le prononcé de sa peine.</w:t>
      </w:r>
    </w:p>
    <w:p w14:paraId="32B0BD23" w14:textId="7E3D6EB3" w:rsidR="004475EC" w:rsidRPr="004475EC" w:rsidRDefault="004475EC" w:rsidP="004475EC">
      <w:pPr>
        <w:pStyle w:val="Paragraphedeliste"/>
        <w:numPr>
          <w:ilvl w:val="0"/>
          <w:numId w:val="92"/>
        </w:numPr>
        <w:jc w:val="both"/>
        <w:rPr>
          <w:sz w:val="20"/>
          <w:szCs w:val="20"/>
        </w:rPr>
      </w:pPr>
      <w:r w:rsidRPr="004475EC">
        <w:rPr>
          <w:sz w:val="20"/>
          <w:szCs w:val="20"/>
        </w:rPr>
        <w:t>Ainsi, l’al. 11</w:t>
      </w:r>
      <w:r w:rsidRPr="004475EC">
        <w:rPr>
          <w:i/>
          <w:iCs/>
          <w:sz w:val="20"/>
          <w:szCs w:val="20"/>
        </w:rPr>
        <w:t>d</w:t>
      </w:r>
      <w:r w:rsidRPr="004475EC">
        <w:rPr>
          <w:sz w:val="20"/>
          <w:szCs w:val="20"/>
        </w:rPr>
        <w:t xml:space="preserve">) a pour effet de créer une règle de procédure et de preuve applicable </w:t>
      </w:r>
      <w:r w:rsidRPr="004475EC">
        <w:rPr>
          <w:sz w:val="20"/>
          <w:szCs w:val="20"/>
          <w:u w:val="single"/>
        </w:rPr>
        <w:t>au procès</w:t>
      </w:r>
      <w:r w:rsidRPr="004475EC">
        <w:rPr>
          <w:sz w:val="20"/>
          <w:szCs w:val="20"/>
        </w:rPr>
        <w:t>:  le ministère public doit prouver la culpabilité hors de tout doute raisonnable.  Cette règle de procédure et de preuve n’est pas applicable à l’étape de la mise en liberté sous caution, étape du processus pénal à laquelle la culpabilité ou l’innocence du prévenu n’est pas déterminée et où aucune peine n’est imposée.  Par conséquent, l’al. 515(6)</w:t>
      </w:r>
      <w:r w:rsidRPr="004475EC">
        <w:rPr>
          <w:i/>
          <w:iCs/>
          <w:sz w:val="20"/>
          <w:szCs w:val="20"/>
        </w:rPr>
        <w:t>d</w:t>
      </w:r>
      <w:r w:rsidRPr="004475EC">
        <w:rPr>
          <w:sz w:val="20"/>
          <w:szCs w:val="20"/>
        </w:rPr>
        <w:t>) ne porte pas atteinte à l’al. 11</w:t>
      </w:r>
      <w:r w:rsidRPr="004475EC">
        <w:rPr>
          <w:i/>
          <w:iCs/>
          <w:sz w:val="20"/>
          <w:szCs w:val="20"/>
        </w:rPr>
        <w:t>d</w:t>
      </w:r>
      <w:r w:rsidRPr="004475EC">
        <w:rPr>
          <w:sz w:val="20"/>
          <w:szCs w:val="20"/>
        </w:rPr>
        <w:t>).  [Je souligne.]</w:t>
      </w:r>
    </w:p>
    <w:p w14:paraId="4154B651" w14:textId="77777777" w:rsidR="004475EC" w:rsidRPr="00021137" w:rsidRDefault="004475EC" w:rsidP="004475EC">
      <w:pPr>
        <w:ind w:left="567"/>
        <w:jc w:val="both"/>
        <w:rPr>
          <w:sz w:val="20"/>
          <w:szCs w:val="20"/>
        </w:rPr>
      </w:pPr>
      <w:r w:rsidRPr="00021137">
        <w:rPr>
          <w:sz w:val="20"/>
          <w:szCs w:val="20"/>
        </w:rPr>
        <w:t> </w:t>
      </w:r>
    </w:p>
    <w:p w14:paraId="6C594DDD" w14:textId="77777777" w:rsidR="004475EC" w:rsidRPr="004475EC" w:rsidRDefault="004475EC" w:rsidP="004475EC">
      <w:pPr>
        <w:pStyle w:val="Paragraphedeliste"/>
        <w:numPr>
          <w:ilvl w:val="0"/>
          <w:numId w:val="92"/>
        </w:numPr>
        <w:jc w:val="both"/>
        <w:rPr>
          <w:sz w:val="20"/>
          <w:szCs w:val="20"/>
        </w:rPr>
      </w:pPr>
      <w:r w:rsidRPr="004475EC">
        <w:rPr>
          <w:sz w:val="20"/>
          <w:szCs w:val="20"/>
        </w:rPr>
        <w:t>Eu égard à ce contexte plus global, on ne saurait conclure que le juge en chef Lamer affirmait que la détention présentencielle ne peut jamais être considérée comme une peine, ni qu’une telle détention ne peut rétroactivement être considérée comme faisant partie de celle</w:t>
      </w:r>
      <w:r w:rsidRPr="004475EC">
        <w:rPr>
          <w:rFonts w:ascii="American Typewriter" w:hAnsi="American Typewriter" w:cs="American Typewriter"/>
          <w:sz w:val="20"/>
          <w:szCs w:val="20"/>
        </w:rPr>
        <w:t>‑</w:t>
      </w:r>
      <w:r w:rsidRPr="004475EC">
        <w:rPr>
          <w:sz w:val="20"/>
          <w:szCs w:val="20"/>
        </w:rPr>
        <w:t>ci, comme le prévoit le par. 719(3).</w:t>
      </w:r>
    </w:p>
    <w:p w14:paraId="69EA01BB" w14:textId="31D74FD1" w:rsidR="004475EC" w:rsidRDefault="004475EC" w:rsidP="004475EC">
      <w:pPr>
        <w:pStyle w:val="Paragraphedeliste"/>
        <w:numPr>
          <w:ilvl w:val="0"/>
          <w:numId w:val="92"/>
        </w:numPr>
        <w:jc w:val="both"/>
        <w:rPr>
          <w:sz w:val="20"/>
          <w:szCs w:val="20"/>
        </w:rPr>
      </w:pPr>
      <w:r w:rsidRPr="00021137">
        <w:rPr>
          <w:sz w:val="20"/>
          <w:szCs w:val="20"/>
        </w:rPr>
        <w:t xml:space="preserve">Si notre Cour jugeait que le pouvoir discrétionnaire de prendre en compte la période de détention présentencielle conféré par le par. 719(3) </w:t>
      </w:r>
      <w:r w:rsidRPr="00021137">
        <w:rPr>
          <w:sz w:val="20"/>
          <w:szCs w:val="20"/>
          <w:u w:val="single"/>
        </w:rPr>
        <w:t>ne</w:t>
      </w:r>
      <w:r w:rsidRPr="00021137">
        <w:rPr>
          <w:sz w:val="20"/>
          <w:szCs w:val="20"/>
        </w:rPr>
        <w:t xml:space="preserve"> s’applique </w:t>
      </w:r>
      <w:r w:rsidRPr="00021137">
        <w:rPr>
          <w:sz w:val="20"/>
          <w:szCs w:val="20"/>
          <w:u w:val="single"/>
        </w:rPr>
        <w:t>pas</w:t>
      </w:r>
      <w:r w:rsidRPr="00021137">
        <w:rPr>
          <w:sz w:val="20"/>
          <w:szCs w:val="20"/>
        </w:rPr>
        <w:t xml:space="preserve"> à la peine minimale obligatoire prévue à l’al. 344</w:t>
      </w:r>
      <w:r w:rsidRPr="00021137">
        <w:rPr>
          <w:i/>
          <w:iCs/>
          <w:sz w:val="20"/>
          <w:szCs w:val="20"/>
        </w:rPr>
        <w:t>a</w:t>
      </w:r>
      <w:r w:rsidRPr="00021137">
        <w:rPr>
          <w:sz w:val="20"/>
          <w:szCs w:val="20"/>
        </w:rPr>
        <w:t>), des peines injustes ne manqueraient certainement pas d’en résulter</w:t>
      </w:r>
      <w:r>
        <w:rPr>
          <w:sz w:val="20"/>
          <w:szCs w:val="20"/>
        </w:rPr>
        <w:t>.</w:t>
      </w:r>
    </w:p>
    <w:p w14:paraId="2C1DD2ED" w14:textId="77777777" w:rsidR="004475EC" w:rsidRDefault="004475EC" w:rsidP="004475EC">
      <w:pPr>
        <w:jc w:val="both"/>
        <w:rPr>
          <w:sz w:val="20"/>
          <w:szCs w:val="20"/>
        </w:rPr>
      </w:pPr>
    </w:p>
    <w:p w14:paraId="114F44C4" w14:textId="12D91860" w:rsidR="004475EC" w:rsidRDefault="004475EC" w:rsidP="004475EC">
      <w:pPr>
        <w:jc w:val="both"/>
        <w:rPr>
          <w:b/>
          <w:i/>
          <w:sz w:val="20"/>
          <w:szCs w:val="20"/>
        </w:rPr>
      </w:pPr>
      <w:r>
        <w:rPr>
          <w:b/>
          <w:i/>
          <w:sz w:val="20"/>
          <w:szCs w:val="20"/>
        </w:rPr>
        <w:t>Toronto Star Newsparper 2010 :</w:t>
      </w:r>
    </w:p>
    <w:p w14:paraId="2D88CD14" w14:textId="7292CD64" w:rsidR="004475EC" w:rsidRPr="004475EC" w:rsidRDefault="004475EC" w:rsidP="004475EC">
      <w:pPr>
        <w:pStyle w:val="Paragraphedeliste"/>
        <w:numPr>
          <w:ilvl w:val="0"/>
          <w:numId w:val="94"/>
        </w:numPr>
        <w:jc w:val="both"/>
        <w:rPr>
          <w:b/>
          <w:i/>
          <w:sz w:val="20"/>
          <w:szCs w:val="20"/>
        </w:rPr>
      </w:pPr>
      <w:r w:rsidRPr="00021137">
        <w:rPr>
          <w:sz w:val="20"/>
          <w:szCs w:val="20"/>
        </w:rPr>
        <w:t>[9]     La mise en liberté sous caution a été instaurée par le droit anglais ancien, non pas comme moyen de favoriser le droit à la liberté de l’accusé, mais en raison des conditions déplorables de détention : certains détenus mouraient en attendant leur procès.  Afin d’éviter de tels dénouements tragiques, les accusés qui n’étaient pas susceptibles de ne pas comparaître au procès étaient libérés sous caution.  Des facteurs comme la gravité de l’infraction, la probabilité de la culpabilité et le statut de l’accusé étaient considérés comme des indices de probabilité de la présence de l’accusé à son procès.  Au Canada, la probabilité de la présence au procès était aussi, à l’origine, la considération première.  Cependant, d’autres facteurs ont également vu le jour, comme la nécessité de protéger le public des récidivistes.  Le processus de mise en liberté sous caution est demeuré très informel et discrétionnaire jusqu’au milieu du XX</w:t>
      </w:r>
      <w:r w:rsidRPr="00021137">
        <w:rPr>
          <w:sz w:val="20"/>
          <w:szCs w:val="20"/>
          <w:vertAlign w:val="superscript"/>
        </w:rPr>
        <w:t>e</w:t>
      </w:r>
      <w:r w:rsidRPr="00021137">
        <w:rPr>
          <w:sz w:val="20"/>
          <w:szCs w:val="20"/>
        </w:rPr>
        <w:t xml:space="preserve"> siècle (G. T. Trotter, </w:t>
      </w:r>
      <w:r w:rsidRPr="00021137">
        <w:rPr>
          <w:i/>
          <w:iCs/>
          <w:sz w:val="20"/>
          <w:szCs w:val="20"/>
        </w:rPr>
        <w:t>The Law of Bail in Canada</w:t>
      </w:r>
      <w:r w:rsidRPr="00021137">
        <w:rPr>
          <w:sz w:val="20"/>
          <w:szCs w:val="20"/>
        </w:rPr>
        <w:t xml:space="preserve"> (2</w:t>
      </w:r>
      <w:r w:rsidRPr="00021137">
        <w:rPr>
          <w:sz w:val="20"/>
          <w:szCs w:val="20"/>
          <w:vertAlign w:val="superscript"/>
        </w:rPr>
        <w:t>e</w:t>
      </w:r>
      <w:r w:rsidRPr="00021137">
        <w:rPr>
          <w:sz w:val="20"/>
          <w:szCs w:val="20"/>
        </w:rPr>
        <w:t xml:space="preserve"> éd. 1999), p. 3</w:t>
      </w:r>
      <w:r w:rsidRPr="00021137">
        <w:rPr>
          <w:rFonts w:ascii="American Typewriter" w:hAnsi="American Typewriter" w:cs="American Typewriter"/>
          <w:sz w:val="20"/>
          <w:szCs w:val="20"/>
        </w:rPr>
        <w:t>‑</w:t>
      </w:r>
      <w:r w:rsidRPr="00021137">
        <w:rPr>
          <w:sz w:val="20"/>
          <w:szCs w:val="20"/>
        </w:rPr>
        <w:t>9</w:t>
      </w:r>
    </w:p>
    <w:p w14:paraId="04DE7323" w14:textId="77777777" w:rsidR="004475EC" w:rsidRDefault="004475EC" w:rsidP="004475EC">
      <w:pPr>
        <w:jc w:val="both"/>
        <w:rPr>
          <w:i/>
          <w:sz w:val="20"/>
          <w:szCs w:val="20"/>
        </w:rPr>
      </w:pPr>
    </w:p>
    <w:p w14:paraId="28CA8A54" w14:textId="306E6C50" w:rsidR="004475EC" w:rsidRPr="004475EC" w:rsidRDefault="004475EC" w:rsidP="004475EC">
      <w:pPr>
        <w:jc w:val="both"/>
        <w:rPr>
          <w:rFonts w:ascii="Times New Roman" w:hAnsi="Times New Roman" w:cs="Times New Roman"/>
          <w:i/>
          <w:sz w:val="22"/>
          <w:szCs w:val="22"/>
        </w:rPr>
      </w:pPr>
      <w:r>
        <w:rPr>
          <w:rFonts w:ascii="Times New Roman" w:hAnsi="Times New Roman" w:cs="Times New Roman"/>
          <w:i/>
          <w:sz w:val="22"/>
          <w:szCs w:val="22"/>
        </w:rPr>
        <w:t>Voir aussi l’article 139 (1) (a) (b) C.cr. concernant l’entrave à la justice.</w:t>
      </w:r>
    </w:p>
    <w:p w14:paraId="438F2533"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p>
    <w:p w14:paraId="6592E22D" w14:textId="77777777" w:rsidR="00E85FEE" w:rsidRPr="004475EC"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4475EC">
        <w:rPr>
          <w:rFonts w:ascii="Times New Roman" w:hAnsi="Times New Roman" w:cs="Verdana"/>
          <w:b/>
          <w:color w:val="3E3E3E"/>
          <w:sz w:val="22"/>
          <w:szCs w:val="22"/>
        </w:rPr>
        <w:t>Section 1. Le cadre législatif de la mise en liberté provisoire par voie judiciaire</w:t>
      </w:r>
    </w:p>
    <w:p w14:paraId="4EFBD195" w14:textId="0C8D2475"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4475EC">
        <w:rPr>
          <w:rFonts w:ascii="Times New Roman" w:hAnsi="Times New Roman" w:cs="Verdana"/>
          <w:color w:val="3E3E3E"/>
          <w:sz w:val="22"/>
          <w:szCs w:val="22"/>
        </w:rPr>
        <w:t>Article 515(1) C.cr. ; 515(11) ; 522(1) C.cr.</w:t>
      </w:r>
    </w:p>
    <w:p w14:paraId="0B1034C1" w14:textId="5CB3FD96"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§1. Le rôle des juges de paix</w:t>
      </w:r>
    </w:p>
    <w:p w14:paraId="07C47B80"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§2. La mise en liberté de principe et l’approche graduée</w:t>
      </w:r>
    </w:p>
    <w:p w14:paraId="6BFC73D8" w14:textId="77777777" w:rsidR="004475EC" w:rsidRPr="004475EC" w:rsidRDefault="00E85FEE" w:rsidP="004475EC">
      <w:pPr>
        <w:jc w:val="both"/>
        <w:rPr>
          <w:rFonts w:ascii="Times New Roman" w:hAnsi="Times New Roman" w:cs="Times New Roman"/>
          <w:sz w:val="20"/>
          <w:szCs w:val="20"/>
        </w:rPr>
      </w:pPr>
      <w:r w:rsidRPr="00E85FEE">
        <w:rPr>
          <w:rFonts w:ascii="Times New Roman" w:hAnsi="Times New Roman" w:cs="Verdana"/>
          <w:color w:val="3E3E3E"/>
          <w:sz w:val="22"/>
          <w:szCs w:val="22"/>
        </w:rPr>
        <w:t> </w:t>
      </w:r>
      <w:r w:rsidR="004475EC" w:rsidRPr="004475EC">
        <w:rPr>
          <w:rFonts w:ascii="Times New Roman" w:hAnsi="Times New Roman" w:cs="Times New Roman"/>
          <w:sz w:val="20"/>
          <w:szCs w:val="20"/>
        </w:rPr>
        <w:t>- mise en liberté sans condition : art. 515(1) C. cr.</w:t>
      </w:r>
    </w:p>
    <w:p w14:paraId="4EF5242C" w14:textId="77777777" w:rsidR="004475EC" w:rsidRPr="004475EC" w:rsidRDefault="004475EC" w:rsidP="004475EC">
      <w:pPr>
        <w:jc w:val="both"/>
        <w:rPr>
          <w:rFonts w:ascii="Times New Roman" w:hAnsi="Times New Roman" w:cs="Times New Roman"/>
          <w:sz w:val="20"/>
          <w:szCs w:val="20"/>
        </w:rPr>
      </w:pPr>
    </w:p>
    <w:p w14:paraId="2D798BD2" w14:textId="77777777" w:rsidR="004475EC" w:rsidRPr="004475EC" w:rsidRDefault="004475EC" w:rsidP="004475EC">
      <w:pPr>
        <w:jc w:val="both"/>
        <w:rPr>
          <w:rFonts w:ascii="Times New Roman" w:hAnsi="Times New Roman" w:cs="Times New Roman"/>
          <w:sz w:val="20"/>
          <w:szCs w:val="20"/>
        </w:rPr>
      </w:pPr>
      <w:r w:rsidRPr="004475EC">
        <w:rPr>
          <w:rFonts w:ascii="Times New Roman" w:hAnsi="Times New Roman" w:cs="Times New Roman"/>
          <w:sz w:val="20"/>
          <w:szCs w:val="20"/>
        </w:rPr>
        <w:t>- mise en liberté avec condition (une promesse assortie de condition) : art. 515 (2) (a) C. cr.</w:t>
      </w:r>
    </w:p>
    <w:p w14:paraId="2AF5B6FB" w14:textId="77777777" w:rsidR="004475EC" w:rsidRPr="004475EC" w:rsidRDefault="004475EC" w:rsidP="004475EC">
      <w:pPr>
        <w:ind w:left="567"/>
        <w:jc w:val="both"/>
        <w:rPr>
          <w:rFonts w:ascii="Times New Roman" w:hAnsi="Times New Roman" w:cs="Times New Roman"/>
          <w:sz w:val="20"/>
          <w:szCs w:val="20"/>
        </w:rPr>
      </w:pPr>
      <w:r w:rsidRPr="004475EC">
        <w:rPr>
          <w:rFonts w:ascii="Times New Roman" w:hAnsi="Times New Roman" w:cs="Times New Roman"/>
          <w:sz w:val="20"/>
          <w:szCs w:val="20"/>
        </w:rPr>
        <w:t>2) Lorsque le juge de paix ne rend pas une ordonnance en vertu du paragraphe (1), il ordonne, à moins que le poursuivant ne fasse valoir des motifs justifiant la détention du prévenu sous garde, que le prévenu soit mis en liberté pourvu que, selon le cas :</w:t>
      </w:r>
    </w:p>
    <w:p w14:paraId="2F797DCC" w14:textId="77777777" w:rsidR="004475EC" w:rsidRPr="004475EC" w:rsidRDefault="004475EC" w:rsidP="004475EC">
      <w:pPr>
        <w:ind w:left="567"/>
        <w:jc w:val="both"/>
        <w:rPr>
          <w:rFonts w:ascii="Times New Roman" w:hAnsi="Times New Roman" w:cs="Times New Roman"/>
          <w:sz w:val="20"/>
          <w:szCs w:val="20"/>
        </w:rPr>
      </w:pPr>
      <w:r w:rsidRPr="004475EC">
        <w:rPr>
          <w:rFonts w:ascii="Times New Roman" w:hAnsi="Times New Roman" w:cs="Times New Roman"/>
          <w:i/>
          <w:iCs/>
          <w:sz w:val="20"/>
          <w:szCs w:val="20"/>
        </w:rPr>
        <w:tab/>
      </w:r>
      <w:r w:rsidRPr="004475EC">
        <w:rPr>
          <w:rFonts w:ascii="Times New Roman" w:hAnsi="Times New Roman" w:cs="Times New Roman"/>
          <w:i/>
          <w:iCs/>
          <w:sz w:val="20"/>
          <w:szCs w:val="20"/>
        </w:rPr>
        <w:tab/>
        <w:t>a</w:t>
      </w:r>
      <w:r w:rsidRPr="004475EC">
        <w:rPr>
          <w:rFonts w:ascii="Times New Roman" w:hAnsi="Times New Roman" w:cs="Times New Roman"/>
          <w:sz w:val="20"/>
          <w:szCs w:val="20"/>
        </w:rPr>
        <w:t>) il remette une promesse assortie des conditions que le juge de paix fixe;</w:t>
      </w:r>
    </w:p>
    <w:p w14:paraId="5D82B5DC" w14:textId="77777777" w:rsidR="004475EC" w:rsidRPr="004475EC" w:rsidRDefault="004475EC" w:rsidP="004475EC">
      <w:pPr>
        <w:jc w:val="both"/>
        <w:rPr>
          <w:rFonts w:ascii="Times New Roman" w:hAnsi="Times New Roman" w:cs="Times New Roman"/>
          <w:sz w:val="20"/>
          <w:szCs w:val="20"/>
        </w:rPr>
      </w:pPr>
    </w:p>
    <w:p w14:paraId="7A879634" w14:textId="77777777" w:rsidR="004475EC" w:rsidRPr="004475EC" w:rsidRDefault="004475EC" w:rsidP="004475EC">
      <w:pPr>
        <w:jc w:val="both"/>
        <w:rPr>
          <w:rFonts w:ascii="Times New Roman" w:hAnsi="Times New Roman" w:cs="Times New Roman"/>
          <w:sz w:val="20"/>
          <w:szCs w:val="20"/>
        </w:rPr>
      </w:pPr>
      <w:r w:rsidRPr="004475EC">
        <w:rPr>
          <w:rFonts w:ascii="Times New Roman" w:hAnsi="Times New Roman" w:cs="Times New Roman"/>
          <w:sz w:val="20"/>
          <w:szCs w:val="20"/>
        </w:rPr>
        <w:t>- mise en liberté sans caution mais sous engagement : art. 515 (2) (b) C. cr.</w:t>
      </w:r>
    </w:p>
    <w:p w14:paraId="3E9A4E90" w14:textId="77777777" w:rsidR="004475EC" w:rsidRPr="004475EC" w:rsidRDefault="004475EC" w:rsidP="004475EC">
      <w:pPr>
        <w:ind w:left="1418"/>
        <w:jc w:val="both"/>
        <w:rPr>
          <w:rFonts w:ascii="Times New Roman" w:hAnsi="Times New Roman" w:cs="Times New Roman"/>
          <w:sz w:val="20"/>
          <w:szCs w:val="20"/>
        </w:rPr>
      </w:pPr>
      <w:r w:rsidRPr="004475EC">
        <w:rPr>
          <w:rFonts w:ascii="Times New Roman" w:hAnsi="Times New Roman" w:cs="Times New Roman"/>
          <w:i/>
          <w:iCs/>
          <w:sz w:val="20"/>
          <w:szCs w:val="20"/>
        </w:rPr>
        <w:t>b</w:t>
      </w:r>
      <w:r w:rsidRPr="004475EC">
        <w:rPr>
          <w:rFonts w:ascii="Times New Roman" w:hAnsi="Times New Roman" w:cs="Times New Roman"/>
          <w:sz w:val="20"/>
          <w:szCs w:val="20"/>
        </w:rPr>
        <w:t>) il contracte sans caution, devant le juge de paix, un engagement au montant et sous les conditions fixés par celui-ci, mais sans dépôt d’argent ni d’autre valeur;</w:t>
      </w:r>
    </w:p>
    <w:p w14:paraId="40C4C5F3" w14:textId="77777777" w:rsidR="004475EC" w:rsidRPr="004475EC" w:rsidRDefault="004475EC" w:rsidP="004475EC">
      <w:pPr>
        <w:jc w:val="both"/>
        <w:rPr>
          <w:rFonts w:ascii="Times New Roman" w:hAnsi="Times New Roman" w:cs="Times New Roman"/>
          <w:iCs/>
          <w:sz w:val="20"/>
          <w:szCs w:val="20"/>
        </w:rPr>
      </w:pPr>
    </w:p>
    <w:p w14:paraId="57EADABC" w14:textId="77777777" w:rsidR="004475EC" w:rsidRPr="004475EC" w:rsidRDefault="004475EC" w:rsidP="004475EC">
      <w:pPr>
        <w:jc w:val="both"/>
        <w:rPr>
          <w:rFonts w:ascii="Times New Roman" w:hAnsi="Times New Roman" w:cs="Times New Roman"/>
          <w:iCs/>
          <w:sz w:val="20"/>
          <w:szCs w:val="20"/>
        </w:rPr>
      </w:pPr>
      <w:r w:rsidRPr="004475EC">
        <w:rPr>
          <w:rFonts w:ascii="Times New Roman" w:hAnsi="Times New Roman" w:cs="Times New Roman"/>
          <w:iCs/>
          <w:sz w:val="20"/>
          <w:szCs w:val="20"/>
        </w:rPr>
        <w:t>- mise en liberté avec caution et engagement : art. 515 (2) (c) C. cr.</w:t>
      </w:r>
    </w:p>
    <w:p w14:paraId="67D647DE" w14:textId="77777777" w:rsidR="004475EC" w:rsidRPr="004475EC" w:rsidRDefault="004475EC" w:rsidP="004475EC">
      <w:pPr>
        <w:ind w:left="1418"/>
        <w:jc w:val="both"/>
        <w:rPr>
          <w:rFonts w:ascii="Times New Roman" w:hAnsi="Times New Roman" w:cs="Times New Roman"/>
          <w:sz w:val="20"/>
          <w:szCs w:val="20"/>
        </w:rPr>
      </w:pPr>
      <w:r w:rsidRPr="004475EC">
        <w:rPr>
          <w:rFonts w:ascii="Times New Roman" w:hAnsi="Times New Roman" w:cs="Times New Roman"/>
          <w:i/>
          <w:iCs/>
          <w:sz w:val="20"/>
          <w:szCs w:val="20"/>
        </w:rPr>
        <w:t>c</w:t>
      </w:r>
      <w:r w:rsidRPr="004475EC">
        <w:rPr>
          <w:rFonts w:ascii="Times New Roman" w:hAnsi="Times New Roman" w:cs="Times New Roman"/>
          <w:sz w:val="20"/>
          <w:szCs w:val="20"/>
        </w:rPr>
        <w:t>) il contracte avec caution, devant le juge de paix, un engagement au montant et sous les conditions fixés par celui-ci, mais sans dépôt d’argent ni d’autre valeur;</w:t>
      </w:r>
    </w:p>
    <w:p w14:paraId="22900D3B" w14:textId="77777777" w:rsidR="004475EC" w:rsidRPr="004475EC" w:rsidRDefault="004475EC" w:rsidP="004475EC">
      <w:pPr>
        <w:jc w:val="both"/>
        <w:rPr>
          <w:rFonts w:ascii="Times New Roman" w:hAnsi="Times New Roman" w:cs="Times New Roman"/>
          <w:sz w:val="20"/>
          <w:szCs w:val="20"/>
        </w:rPr>
      </w:pPr>
    </w:p>
    <w:p w14:paraId="0B585466" w14:textId="77777777" w:rsidR="004475EC" w:rsidRPr="004475EC" w:rsidRDefault="004475EC" w:rsidP="004475EC">
      <w:pPr>
        <w:jc w:val="both"/>
        <w:rPr>
          <w:rFonts w:ascii="Times New Roman" w:hAnsi="Times New Roman" w:cs="Times New Roman"/>
          <w:sz w:val="20"/>
          <w:szCs w:val="20"/>
        </w:rPr>
      </w:pPr>
      <w:r w:rsidRPr="004475EC">
        <w:rPr>
          <w:rFonts w:ascii="Times New Roman" w:hAnsi="Times New Roman" w:cs="Times New Roman"/>
          <w:sz w:val="20"/>
          <w:szCs w:val="20"/>
        </w:rPr>
        <w:t>- avec le consentement du poursuivant, un engagement, sans caution, dont le montant et les conditions sont fixées par le juge de paix mais avec dépôt d’argent : art. 515 (2) (d)</w:t>
      </w:r>
    </w:p>
    <w:p w14:paraId="56AA76DD" w14:textId="77777777" w:rsidR="004475EC" w:rsidRPr="004475EC" w:rsidRDefault="004475EC" w:rsidP="004475EC">
      <w:pPr>
        <w:ind w:left="1418"/>
        <w:jc w:val="both"/>
        <w:rPr>
          <w:rFonts w:ascii="Times New Roman" w:hAnsi="Times New Roman" w:cs="Times New Roman"/>
          <w:sz w:val="20"/>
          <w:szCs w:val="20"/>
        </w:rPr>
      </w:pPr>
      <w:r w:rsidRPr="004475EC">
        <w:rPr>
          <w:rFonts w:ascii="Times New Roman" w:hAnsi="Times New Roman" w:cs="Times New Roman"/>
          <w:i/>
          <w:iCs/>
          <w:sz w:val="20"/>
          <w:szCs w:val="20"/>
        </w:rPr>
        <w:t>d</w:t>
      </w:r>
      <w:r w:rsidRPr="004475EC">
        <w:rPr>
          <w:rFonts w:ascii="Times New Roman" w:hAnsi="Times New Roman" w:cs="Times New Roman"/>
          <w:sz w:val="20"/>
          <w:szCs w:val="20"/>
        </w:rPr>
        <w:t>) avec le consentement du poursuivant, il contracte sans caution, devant le juge de paix, un engagement au montant et sous les conditions fixés par celui-ci et dépose la somme d’argent ou les valeurs que ce dernier prescrit;</w:t>
      </w:r>
    </w:p>
    <w:p w14:paraId="649EE3C2" w14:textId="77777777" w:rsidR="004475EC" w:rsidRPr="004475EC" w:rsidRDefault="004475EC" w:rsidP="004475EC">
      <w:pPr>
        <w:jc w:val="both"/>
        <w:rPr>
          <w:rFonts w:ascii="Times New Roman" w:hAnsi="Times New Roman" w:cs="Times New Roman"/>
          <w:sz w:val="20"/>
          <w:szCs w:val="20"/>
        </w:rPr>
      </w:pPr>
    </w:p>
    <w:p w14:paraId="3E9483C3" w14:textId="77777777" w:rsidR="004475EC" w:rsidRPr="004475EC" w:rsidRDefault="004475EC" w:rsidP="004475EC">
      <w:pPr>
        <w:numPr>
          <w:ilvl w:val="0"/>
          <w:numId w:val="95"/>
        </w:numPr>
        <w:ind w:left="0" w:firstLine="0"/>
        <w:jc w:val="both"/>
        <w:rPr>
          <w:rFonts w:ascii="Times New Roman" w:hAnsi="Times New Roman" w:cs="Times New Roman"/>
          <w:sz w:val="20"/>
          <w:szCs w:val="20"/>
        </w:rPr>
      </w:pPr>
      <w:r w:rsidRPr="004475EC">
        <w:rPr>
          <w:rFonts w:ascii="Times New Roman" w:hAnsi="Times New Roman" w:cs="Times New Roman"/>
          <w:sz w:val="20"/>
          <w:szCs w:val="20"/>
        </w:rPr>
        <w:t>- si le prévenu ne réside pas ordinairement dans la province où il est sous garde ou dans un rayon de 200 kilomètres du lieu où il est sous garde, un engagement, avec ou sans caution, dont le montant et les conditions sont fixés par le juge de paix mais avec un dépôt d’argent déterminé par celui-ci : art. 515 (2) (e)</w:t>
      </w:r>
    </w:p>
    <w:p w14:paraId="628F9419" w14:textId="77777777" w:rsidR="004475EC" w:rsidRPr="004475EC" w:rsidRDefault="004475EC" w:rsidP="004475EC">
      <w:pPr>
        <w:ind w:left="1418"/>
        <w:jc w:val="both"/>
        <w:rPr>
          <w:rFonts w:ascii="Times New Roman" w:hAnsi="Times New Roman" w:cs="Times New Roman"/>
          <w:sz w:val="20"/>
          <w:szCs w:val="20"/>
        </w:rPr>
      </w:pPr>
      <w:r w:rsidRPr="004475EC">
        <w:rPr>
          <w:rFonts w:ascii="Times New Roman" w:hAnsi="Times New Roman" w:cs="Times New Roman"/>
          <w:i/>
          <w:iCs/>
          <w:sz w:val="20"/>
          <w:szCs w:val="20"/>
        </w:rPr>
        <w:t>e</w:t>
      </w:r>
      <w:r w:rsidRPr="004475EC">
        <w:rPr>
          <w:rFonts w:ascii="Times New Roman" w:hAnsi="Times New Roman" w:cs="Times New Roman"/>
          <w:sz w:val="20"/>
          <w:szCs w:val="20"/>
        </w:rPr>
        <w:t>) si le prévenu ne réside pas ordinairement dans la province où il est sous garde ou dans un rayon de deux cents kilomètres du lieu où il est sous garde, il contracte, avec ou sans caution, devant le juge de paix un engagement au montant et sous les conditions fixés par celui-ci et dépose la somme d’argent ou les valeurs que ce dernier prescrit.</w:t>
      </w:r>
    </w:p>
    <w:p w14:paraId="39316F21" w14:textId="77777777" w:rsidR="004475EC" w:rsidRPr="00021137" w:rsidRDefault="004475EC" w:rsidP="004475EC">
      <w:pPr>
        <w:jc w:val="both"/>
        <w:rPr>
          <w:sz w:val="20"/>
          <w:szCs w:val="20"/>
        </w:rPr>
      </w:pPr>
    </w:p>
    <w:p w14:paraId="38811BFB" w14:textId="0EB775B9" w:rsidR="004475EC" w:rsidRPr="00021137" w:rsidRDefault="004475EC" w:rsidP="004475EC">
      <w:pPr>
        <w:jc w:val="both"/>
        <w:rPr>
          <w:sz w:val="20"/>
          <w:szCs w:val="20"/>
        </w:rPr>
      </w:pPr>
      <w:r>
        <w:rPr>
          <w:sz w:val="20"/>
          <w:szCs w:val="20"/>
        </w:rPr>
        <w:t>Attention à l’a</w:t>
      </w:r>
      <w:r w:rsidRPr="00021137">
        <w:rPr>
          <w:sz w:val="20"/>
          <w:szCs w:val="20"/>
        </w:rPr>
        <w:t>rt. 515 (3) C. cr.</w:t>
      </w:r>
    </w:p>
    <w:p w14:paraId="17C2977F"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p>
    <w:p w14:paraId="1F3AAD3E" w14:textId="42F3E820" w:rsidR="00E85FEE" w:rsidRPr="004475EC"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E85FEE">
        <w:rPr>
          <w:rFonts w:ascii="Times New Roman" w:hAnsi="Times New Roman" w:cs="Verdana"/>
          <w:color w:val="3E3E3E"/>
          <w:sz w:val="22"/>
          <w:szCs w:val="22"/>
        </w:rPr>
        <w:t>§</w:t>
      </w:r>
      <w:r w:rsidRPr="004475EC">
        <w:rPr>
          <w:rFonts w:ascii="Times New Roman" w:hAnsi="Times New Roman" w:cs="Verdana"/>
          <w:b/>
          <w:color w:val="3E3E3E"/>
          <w:sz w:val="22"/>
          <w:szCs w:val="22"/>
        </w:rPr>
        <w:t>3. Les conditions rattachables à une promesse ou un engagement</w:t>
      </w:r>
      <w:r w:rsidR="004475EC" w:rsidRPr="004475EC">
        <w:rPr>
          <w:rFonts w:ascii="Times New Roman" w:hAnsi="Times New Roman" w:cs="Verdana"/>
          <w:b/>
          <w:color w:val="3E3E3E"/>
          <w:sz w:val="22"/>
          <w:szCs w:val="22"/>
        </w:rPr>
        <w:t xml:space="preserve"> (p.19)</w:t>
      </w:r>
    </w:p>
    <w:p w14:paraId="2914EFA7" w14:textId="598D6A11" w:rsidR="00E85FEE" w:rsidRPr="00E85FEE" w:rsidRDefault="004475EC"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Article 515(4)C.cr. ; 515(4.1)C.cr. ou encore 515(4.2)C.cr.</w:t>
      </w:r>
    </w:p>
    <w:p w14:paraId="233AA220" w14:textId="77777777" w:rsidR="00E85FEE" w:rsidRPr="004475EC"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4475EC">
        <w:rPr>
          <w:rFonts w:ascii="Times New Roman" w:hAnsi="Times New Roman" w:cs="Verdana"/>
          <w:b/>
          <w:color w:val="3E3E3E"/>
          <w:sz w:val="22"/>
          <w:szCs w:val="22"/>
        </w:rPr>
        <w:t>§4. La caution</w:t>
      </w:r>
    </w:p>
    <w:p w14:paraId="1B6A71E8" w14:textId="0A64A179"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4475EC">
        <w:rPr>
          <w:rFonts w:ascii="Times New Roman" w:hAnsi="Times New Roman" w:cs="Verdana"/>
          <w:color w:val="3E3E3E"/>
          <w:sz w:val="22"/>
          <w:szCs w:val="22"/>
        </w:rPr>
        <w:t>Conformément à la formule 32 en lien avec les article 493, 550, 679, 706, 810, 810.1 et 817C.cr. et c’est le juge de paix qui nomme les cautions selon l’article 515(2.1)C.cr.</w:t>
      </w:r>
    </w:p>
    <w:p w14:paraId="5DA0814F" w14:textId="1EC23BFC"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A) Responsabilités de la caution</w:t>
      </w:r>
      <w:r w:rsidR="004475EC">
        <w:rPr>
          <w:rFonts w:ascii="Times New Roman" w:hAnsi="Times New Roman" w:cs="Verdana"/>
          <w:color w:val="3E3E3E"/>
          <w:sz w:val="22"/>
          <w:szCs w:val="22"/>
        </w:rPr>
        <w:t> :</w:t>
      </w:r>
    </w:p>
    <w:p w14:paraId="718D9E18" w14:textId="2AC98629" w:rsidR="00E85FEE" w:rsidRPr="00E85FEE" w:rsidRDefault="004475EC"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Article 764C.cr.</w:t>
      </w:r>
    </w:p>
    <w:p w14:paraId="60F6FC39"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B) La caution peut obtenir sa libération ou sa substitution :</w:t>
      </w:r>
    </w:p>
    <w:p w14:paraId="7E36FA22" w14:textId="05A4B540"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4475EC">
        <w:rPr>
          <w:rFonts w:ascii="Times New Roman" w:hAnsi="Times New Roman" w:cs="Verdana"/>
          <w:color w:val="3E3E3E"/>
          <w:sz w:val="22"/>
          <w:szCs w:val="22"/>
        </w:rPr>
        <w:t>Article 766</w:t>
      </w:r>
      <w:r w:rsidR="00102A46">
        <w:rPr>
          <w:rFonts w:ascii="Times New Roman" w:hAnsi="Times New Roman" w:cs="Verdana"/>
          <w:color w:val="3E3E3E"/>
          <w:sz w:val="22"/>
          <w:szCs w:val="22"/>
        </w:rPr>
        <w:t>C.cr. et voir aussi 767C.cr ; 767.1C.cr.</w:t>
      </w:r>
    </w:p>
    <w:p w14:paraId="1E26EBFB" w14:textId="3F55C154"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C) Mise en œuvre de la caution</w:t>
      </w:r>
      <w:r w:rsidR="00102A46">
        <w:rPr>
          <w:rFonts w:ascii="Times New Roman" w:hAnsi="Times New Roman" w:cs="Verdana"/>
          <w:color w:val="3E3E3E"/>
          <w:sz w:val="22"/>
          <w:szCs w:val="22"/>
        </w:rPr>
        <w:t xml:space="preserve"> (p.24)</w:t>
      </w:r>
    </w:p>
    <w:p w14:paraId="32BF2808" w14:textId="7484A2BA"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102A46">
        <w:rPr>
          <w:rFonts w:ascii="Times New Roman" w:hAnsi="Times New Roman" w:cs="Verdana"/>
          <w:color w:val="3E3E3E"/>
          <w:sz w:val="22"/>
          <w:szCs w:val="22"/>
        </w:rPr>
        <w:t>Article 770C.cr. ; 771 C.cr ; 773C.cr.</w:t>
      </w:r>
    </w:p>
    <w:p w14:paraId="1F63A88B" w14:textId="77777777" w:rsidR="00102A46" w:rsidRPr="00E85FEE" w:rsidRDefault="00102A46" w:rsidP="00E85FEE">
      <w:pPr>
        <w:widowControl w:val="0"/>
        <w:autoSpaceDE w:val="0"/>
        <w:autoSpaceDN w:val="0"/>
        <w:adjustRightInd w:val="0"/>
        <w:spacing w:after="300"/>
        <w:jc w:val="both"/>
        <w:rPr>
          <w:rFonts w:ascii="Times New Roman" w:hAnsi="Times New Roman" w:cs="Verdana"/>
          <w:color w:val="3E3E3E"/>
          <w:sz w:val="22"/>
          <w:szCs w:val="22"/>
        </w:rPr>
      </w:pPr>
    </w:p>
    <w:p w14:paraId="6A6F8801" w14:textId="77777777" w:rsidR="00E85FEE" w:rsidRPr="00102A46"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102A46">
        <w:rPr>
          <w:rFonts w:ascii="Times New Roman" w:hAnsi="Times New Roman" w:cs="Verdana"/>
          <w:b/>
          <w:color w:val="3E3E3E"/>
          <w:sz w:val="22"/>
          <w:szCs w:val="22"/>
        </w:rPr>
        <w:t>§5. Ajournement et délai d’audience</w:t>
      </w:r>
    </w:p>
    <w:p w14:paraId="53C18B0B" w14:textId="00C2545B"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102A46">
        <w:rPr>
          <w:rFonts w:ascii="Times New Roman" w:hAnsi="Times New Roman" w:cs="Verdana"/>
          <w:color w:val="3E3E3E"/>
          <w:sz w:val="22"/>
          <w:szCs w:val="22"/>
        </w:rPr>
        <w:t>516(1) C.cr. et aussi 516(2)C.cr.</w:t>
      </w:r>
    </w:p>
    <w:p w14:paraId="4300086D" w14:textId="77777777" w:rsidR="00E85FEE" w:rsidRPr="00102A46" w:rsidRDefault="00E85FEE" w:rsidP="00E85FEE">
      <w:pPr>
        <w:widowControl w:val="0"/>
        <w:autoSpaceDE w:val="0"/>
        <w:autoSpaceDN w:val="0"/>
        <w:adjustRightInd w:val="0"/>
        <w:spacing w:after="300"/>
        <w:jc w:val="both"/>
        <w:rPr>
          <w:rFonts w:ascii="Times New Roman" w:hAnsi="Times New Roman" w:cs="Verdana"/>
          <w:b/>
          <w:color w:val="3E3E3E"/>
          <w:sz w:val="22"/>
          <w:szCs w:val="22"/>
        </w:rPr>
      </w:pPr>
      <w:r w:rsidRPr="00102A46">
        <w:rPr>
          <w:rFonts w:ascii="Times New Roman" w:hAnsi="Times New Roman" w:cs="Verdana"/>
          <w:b/>
          <w:color w:val="3E3E3E"/>
          <w:sz w:val="22"/>
          <w:szCs w:val="22"/>
        </w:rPr>
        <w:t>§6. Renversement du fardeau (art. 515(6) C. cr.)</w:t>
      </w:r>
    </w:p>
    <w:p w14:paraId="735018DC" w14:textId="2E711FAA" w:rsidR="00E85FEE" w:rsidRDefault="00102A46" w:rsidP="00E85FEE">
      <w:pPr>
        <w:widowControl w:val="0"/>
        <w:autoSpaceDE w:val="0"/>
        <w:autoSpaceDN w:val="0"/>
        <w:adjustRightInd w:val="0"/>
        <w:spacing w:after="300"/>
        <w:jc w:val="both"/>
        <w:rPr>
          <w:i/>
          <w:sz w:val="20"/>
          <w:szCs w:val="20"/>
        </w:rPr>
      </w:pPr>
      <w:r w:rsidRPr="00102A46">
        <w:rPr>
          <w:i/>
          <w:sz w:val="20"/>
          <w:szCs w:val="20"/>
        </w:rPr>
        <w:t>Malgré toute autre disposition du présent article, le juge de paix ordonne la détention sous garde du prévenu jusqu’à ce qu’il soit traité selon la loi — à moins que celui-ci, ayant eu la possibilité de le faire, ne fasse valoir l’absence de fondement de la mesure — dans le cas où il est inculpé </w:t>
      </w:r>
    </w:p>
    <w:p w14:paraId="44D8782D" w14:textId="408CD065" w:rsidR="00102A46" w:rsidRDefault="00102A46" w:rsidP="00E85FEE">
      <w:pPr>
        <w:widowControl w:val="0"/>
        <w:autoSpaceDE w:val="0"/>
        <w:autoSpaceDN w:val="0"/>
        <w:adjustRightInd w:val="0"/>
        <w:spacing w:after="300"/>
        <w:jc w:val="both"/>
        <w:rPr>
          <w:rFonts w:ascii="Times New Roman" w:hAnsi="Times New Roman" w:cs="Times New Roman"/>
          <w:b/>
          <w:i/>
          <w:sz w:val="22"/>
          <w:szCs w:val="22"/>
        </w:rPr>
      </w:pPr>
      <w:r>
        <w:rPr>
          <w:rFonts w:ascii="Times New Roman" w:hAnsi="Times New Roman" w:cs="Times New Roman"/>
          <w:b/>
          <w:i/>
          <w:sz w:val="22"/>
          <w:szCs w:val="22"/>
        </w:rPr>
        <w:t>R. c. Pearson :</w:t>
      </w:r>
    </w:p>
    <w:p w14:paraId="75238243" w14:textId="4879A8D0" w:rsidR="00102A46" w:rsidRPr="00102A46" w:rsidRDefault="00102A46" w:rsidP="00102A46">
      <w:pPr>
        <w:pStyle w:val="Paragraphedeliste"/>
        <w:widowControl w:val="0"/>
        <w:numPr>
          <w:ilvl w:val="0"/>
          <w:numId w:val="94"/>
        </w:numPr>
        <w:autoSpaceDE w:val="0"/>
        <w:autoSpaceDN w:val="0"/>
        <w:adjustRightInd w:val="0"/>
        <w:spacing w:after="300"/>
        <w:jc w:val="both"/>
        <w:rPr>
          <w:rFonts w:ascii="Times New Roman" w:hAnsi="Times New Roman" w:cs="Times New Roman"/>
          <w:color w:val="3E3E3E"/>
          <w:sz w:val="22"/>
          <w:szCs w:val="22"/>
        </w:rPr>
      </w:pPr>
      <w:r w:rsidRPr="00021137">
        <w:rPr>
          <w:i/>
          <w:iCs/>
          <w:sz w:val="20"/>
          <w:szCs w:val="20"/>
        </w:rPr>
        <w:t>Le</w:t>
      </w:r>
      <w:r w:rsidRPr="00021137">
        <w:rPr>
          <w:sz w:val="20"/>
          <w:szCs w:val="20"/>
        </w:rPr>
        <w:t xml:space="preserve"> juge en chef Lamer et les juges Sopinka et Iacobucci:  L'alinéa 515(6)</w:t>
      </w:r>
      <w:r w:rsidRPr="00021137">
        <w:rPr>
          <w:i/>
          <w:iCs/>
          <w:sz w:val="20"/>
          <w:szCs w:val="20"/>
        </w:rPr>
        <w:t>d</w:t>
      </w:r>
      <w:r w:rsidRPr="00021137">
        <w:rPr>
          <w:sz w:val="20"/>
          <w:szCs w:val="20"/>
        </w:rPr>
        <w:t>) ne va pas à l'encontre des art. 7 et 9 et des al. 11</w:t>
      </w:r>
      <w:r w:rsidRPr="00021137">
        <w:rPr>
          <w:i/>
          <w:iCs/>
          <w:sz w:val="20"/>
          <w:szCs w:val="20"/>
        </w:rPr>
        <w:t>d</w:t>
      </w:r>
      <w:r w:rsidRPr="00021137">
        <w:rPr>
          <w:sz w:val="20"/>
          <w:szCs w:val="20"/>
        </w:rPr>
        <w:t>) et 11</w:t>
      </w:r>
      <w:r w:rsidRPr="00021137">
        <w:rPr>
          <w:i/>
          <w:iCs/>
          <w:sz w:val="20"/>
          <w:szCs w:val="20"/>
        </w:rPr>
        <w:t>e</w:t>
      </w:r>
      <w:r w:rsidRPr="00021137">
        <w:rPr>
          <w:sz w:val="20"/>
          <w:szCs w:val="20"/>
        </w:rPr>
        <w:t xml:space="preserve">) de la </w:t>
      </w:r>
      <w:r w:rsidRPr="00021137">
        <w:rPr>
          <w:i/>
          <w:iCs/>
          <w:sz w:val="20"/>
          <w:szCs w:val="20"/>
        </w:rPr>
        <w:t>Charte</w:t>
      </w:r>
      <w:r w:rsidRPr="00021137">
        <w:rPr>
          <w:sz w:val="20"/>
          <w:szCs w:val="20"/>
        </w:rPr>
        <w:t xml:space="preserve"> dans la mesure où il oblige le prévenu à faire valoir l'absence de fondement de sa détention</w:t>
      </w:r>
    </w:p>
    <w:p w14:paraId="5D4DD8F8" w14:textId="77777777" w:rsidR="00102A46" w:rsidRPr="00102A46" w:rsidRDefault="00102A46" w:rsidP="00102A46">
      <w:pPr>
        <w:pStyle w:val="Paragraphedeliste"/>
        <w:numPr>
          <w:ilvl w:val="0"/>
          <w:numId w:val="94"/>
        </w:numPr>
        <w:jc w:val="both"/>
        <w:rPr>
          <w:sz w:val="20"/>
          <w:szCs w:val="20"/>
        </w:rPr>
      </w:pPr>
      <w:r w:rsidRPr="00102A46">
        <w:rPr>
          <w:sz w:val="20"/>
          <w:szCs w:val="20"/>
        </w:rPr>
        <w:t>L'alinéa 11</w:t>
      </w:r>
      <w:r w:rsidRPr="00102A46">
        <w:rPr>
          <w:i/>
          <w:iCs/>
          <w:sz w:val="20"/>
          <w:szCs w:val="20"/>
        </w:rPr>
        <w:t>e</w:t>
      </w:r>
      <w:r w:rsidRPr="00102A46">
        <w:rPr>
          <w:sz w:val="20"/>
          <w:szCs w:val="20"/>
        </w:rPr>
        <w:t>) crée un droit général qui garantit tant le droit d'obtenir une mise en liberté que le droit de voir cette mise en liberté assortie de conditions raisonnables.  Le sens de «mise en liberté assortie d'un cautionnement» doit s'étendre à toutes les formes de mise en liberté provisoire.  Bien que l'al. 515(6)</w:t>
      </w:r>
      <w:r w:rsidRPr="00102A46">
        <w:rPr>
          <w:i/>
          <w:iCs/>
          <w:sz w:val="20"/>
          <w:szCs w:val="20"/>
        </w:rPr>
        <w:t>d</w:t>
      </w:r>
      <w:r w:rsidRPr="00102A46">
        <w:rPr>
          <w:sz w:val="20"/>
          <w:szCs w:val="20"/>
        </w:rPr>
        <w:t>) oblige le prévenu à faire valoir l'absence de fondement de sa détention, le privant ainsi du droit fondamental garanti à l'al. 11</w:t>
      </w:r>
      <w:r w:rsidRPr="00102A46">
        <w:rPr>
          <w:i/>
          <w:iCs/>
          <w:sz w:val="20"/>
          <w:szCs w:val="20"/>
        </w:rPr>
        <w:t>e</w:t>
      </w:r>
      <w:r w:rsidRPr="00102A46">
        <w:rPr>
          <w:sz w:val="20"/>
          <w:szCs w:val="20"/>
        </w:rPr>
        <w:t>) de se voir mis en liberté sous caution sauf si le poursuivant fait valoir que la détention avant le procès est justifiée, il offre une «juste cause» de refuser la mise en liberté sous caution dans certaines circonstances et ne constitue donc pas une violation de l'al. 11</w:t>
      </w:r>
      <w:r w:rsidRPr="00102A46">
        <w:rPr>
          <w:i/>
          <w:iCs/>
          <w:sz w:val="20"/>
          <w:szCs w:val="20"/>
        </w:rPr>
        <w:t>e</w:t>
      </w:r>
      <w:r w:rsidRPr="00102A46">
        <w:rPr>
          <w:sz w:val="20"/>
          <w:szCs w:val="20"/>
        </w:rPr>
        <w:t>).  Premièrement, la mise en liberté sous caution ne doit être refusée que dans certains cas bien précis.  Deuxièmement, le refus doit s'imposer pour favoriser le bon fonctionnement du système de mise en liberté sous caution et on ne doit pas y recourir à des fins extérieures à ce système.  L'alinéa 515(6)</w:t>
      </w:r>
      <w:r w:rsidRPr="00102A46">
        <w:rPr>
          <w:i/>
          <w:iCs/>
          <w:sz w:val="20"/>
          <w:szCs w:val="20"/>
        </w:rPr>
        <w:t>d</w:t>
      </w:r>
      <w:r w:rsidRPr="00102A46">
        <w:rPr>
          <w:sz w:val="20"/>
          <w:szCs w:val="20"/>
        </w:rPr>
        <w:t>) ne vise qu'un très petit nombre d'infractions qui se rapportent toutes à la distribution de stupéfiants et il ne prive d'une mise en liberté sous caution que les prévenus inculpés de telles infractions qui ne peuvent pas faire valoir l'absence de fondement de la détention eu égard aux motifs spécifiés aux al. 515(10)</w:t>
      </w:r>
      <w:r w:rsidRPr="00102A46">
        <w:rPr>
          <w:i/>
          <w:iCs/>
          <w:sz w:val="20"/>
          <w:szCs w:val="20"/>
        </w:rPr>
        <w:t>a</w:t>
      </w:r>
      <w:r w:rsidRPr="00102A46">
        <w:rPr>
          <w:sz w:val="20"/>
          <w:szCs w:val="20"/>
        </w:rPr>
        <w:t xml:space="preserve">) et </w:t>
      </w:r>
      <w:r w:rsidRPr="00102A46">
        <w:rPr>
          <w:i/>
          <w:iCs/>
          <w:sz w:val="20"/>
          <w:szCs w:val="20"/>
        </w:rPr>
        <w:t>b</w:t>
      </w:r>
      <w:r w:rsidRPr="00102A46">
        <w:rPr>
          <w:sz w:val="20"/>
          <w:szCs w:val="20"/>
        </w:rPr>
        <w:t xml:space="preserve">) du </w:t>
      </w:r>
      <w:r w:rsidRPr="00102A46">
        <w:rPr>
          <w:i/>
          <w:iCs/>
          <w:sz w:val="20"/>
          <w:szCs w:val="20"/>
        </w:rPr>
        <w:t>Code</w:t>
      </w:r>
      <w:r w:rsidRPr="00102A46">
        <w:rPr>
          <w:sz w:val="20"/>
          <w:szCs w:val="20"/>
        </w:rPr>
        <w:t>.  Les règles spéciales de mise en liberté sous caution énoncées à l'al. 515(6)</w:t>
      </w:r>
      <w:r w:rsidRPr="00102A46">
        <w:rPr>
          <w:i/>
          <w:iCs/>
          <w:sz w:val="20"/>
          <w:szCs w:val="20"/>
        </w:rPr>
        <w:t>d</w:t>
      </w:r>
      <w:r w:rsidRPr="00102A46">
        <w:rPr>
          <w:sz w:val="20"/>
          <w:szCs w:val="20"/>
        </w:rPr>
        <w:t>) ne font qu'établir un système efficace au regard d'infractions déterminées pour lesquelles le système normal de mise en liberté sous caution permettrait la poursuite d'une activité criminelle et un risque intolérable que le prévenu s'esquive.  En raison de leurs particularités exceptionnelles, les infractions qui font l'objet de l'al. 515(6)</w:t>
      </w:r>
      <w:r w:rsidRPr="00102A46">
        <w:rPr>
          <w:i/>
          <w:iCs/>
          <w:sz w:val="20"/>
          <w:szCs w:val="20"/>
        </w:rPr>
        <w:t>d</w:t>
      </w:r>
      <w:r w:rsidRPr="00102A46">
        <w:rPr>
          <w:sz w:val="20"/>
          <w:szCs w:val="20"/>
        </w:rPr>
        <w:t>) sont généralement perpétrées dans un contexte très différent de celui de la plupart des autres crimes.  Le trafic des stupéfiants est une activité systématique, pratiquée d'ordinaire dans un cadre commercial très sophistiqué et lucratif, ce qui pousse fortement le contrevenant à poursuivre son activité criminelle même après son arrestation et sa mise en liberté sous caution.  Il y également le danger marqué que le prévenu se soustraie à la justice.  Les importateurs et les trafiquants de drogue ont accès à des sommes considérables et à des organisations sophistiquées qui peuvent les aider à fuir la justice.  Les règles spéciales en matière de mise en liberté sous caution créées par l'al. 515(6)</w:t>
      </w:r>
      <w:r w:rsidRPr="00102A46">
        <w:rPr>
          <w:i/>
          <w:iCs/>
          <w:sz w:val="20"/>
          <w:szCs w:val="20"/>
        </w:rPr>
        <w:t>d</w:t>
      </w:r>
      <w:r w:rsidRPr="00102A46">
        <w:rPr>
          <w:sz w:val="20"/>
          <w:szCs w:val="20"/>
        </w:rPr>
        <w:t>) luttent contre les problèmes de récidive et de fuite avant le procès en obligeant le prévenu à montrer qu'ils ne se produiront pas.  La portée de ces règles est donc soigneusement conçue pour mettre en place un système efficace de mise en liberté sous caution.  L'alinéa 515(6)</w:t>
      </w:r>
      <w:r w:rsidRPr="00102A46">
        <w:rPr>
          <w:i/>
          <w:iCs/>
          <w:sz w:val="20"/>
          <w:szCs w:val="20"/>
        </w:rPr>
        <w:t>d</w:t>
      </w:r>
      <w:r w:rsidRPr="00102A46">
        <w:rPr>
          <w:sz w:val="20"/>
          <w:szCs w:val="20"/>
        </w:rPr>
        <w:t>) vise aussi les trafiquants «à la petite semaine», mais ceux</w:t>
      </w:r>
      <w:r w:rsidRPr="00102A46">
        <w:rPr>
          <w:rFonts w:ascii="American Typewriter" w:hAnsi="American Typewriter" w:cs="American Typewriter"/>
          <w:sz w:val="20"/>
          <w:szCs w:val="20"/>
        </w:rPr>
        <w:t>‑</w:t>
      </w:r>
      <w:r w:rsidRPr="00102A46">
        <w:rPr>
          <w:sz w:val="20"/>
          <w:szCs w:val="20"/>
        </w:rPr>
        <w:t>ci n'auront normalement aucune difficulté à faire valoir le bien</w:t>
      </w:r>
      <w:r w:rsidRPr="00102A46">
        <w:rPr>
          <w:rFonts w:ascii="American Typewriter" w:hAnsi="American Typewriter" w:cs="American Typewriter"/>
          <w:sz w:val="20"/>
          <w:szCs w:val="20"/>
        </w:rPr>
        <w:t>‑</w:t>
      </w:r>
      <w:r w:rsidRPr="00102A46">
        <w:rPr>
          <w:sz w:val="20"/>
          <w:szCs w:val="20"/>
        </w:rPr>
        <w:t>fondé de leur mise en liberté sous caution.  L'alinéa 515(6)</w:t>
      </w:r>
      <w:r w:rsidRPr="00102A46">
        <w:rPr>
          <w:i/>
          <w:iCs/>
          <w:sz w:val="20"/>
          <w:szCs w:val="20"/>
        </w:rPr>
        <w:t>d</w:t>
      </w:r>
      <w:r w:rsidRPr="00102A46">
        <w:rPr>
          <w:sz w:val="20"/>
          <w:szCs w:val="20"/>
        </w:rPr>
        <w:t>) autorise un traitement différent selon la gravité de l'infraction.  Par surcroît, le fardeau qu'il impose est raisonnable, en ce sens qu'il oblige le prévenu à fournir des renseignements qu'il est le plus apte à fournir.</w:t>
      </w:r>
    </w:p>
    <w:p w14:paraId="7E4E200E" w14:textId="77777777" w:rsidR="00102A46" w:rsidRPr="00102A46" w:rsidRDefault="00102A46" w:rsidP="00102A46">
      <w:pPr>
        <w:widowControl w:val="0"/>
        <w:autoSpaceDE w:val="0"/>
        <w:autoSpaceDN w:val="0"/>
        <w:adjustRightInd w:val="0"/>
        <w:spacing w:after="300"/>
        <w:ind w:left="360"/>
        <w:jc w:val="both"/>
        <w:rPr>
          <w:rFonts w:ascii="Times New Roman" w:hAnsi="Times New Roman" w:cs="Times New Roman"/>
          <w:color w:val="3E3E3E"/>
          <w:sz w:val="22"/>
          <w:szCs w:val="22"/>
        </w:rPr>
      </w:pPr>
    </w:p>
    <w:p w14:paraId="62D692E6" w14:textId="77777777" w:rsidR="00E85FEE" w:rsidRP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102A46">
        <w:rPr>
          <w:rFonts w:ascii="Times New Roman" w:hAnsi="Times New Roman" w:cs="Verdana"/>
          <w:b/>
          <w:color w:val="3E3E3E"/>
          <w:sz w:val="22"/>
          <w:szCs w:val="22"/>
        </w:rPr>
        <w:t>§7. Les infractions de l’article 469 C. cr. </w:t>
      </w:r>
      <w:r w:rsidRPr="00E85FEE">
        <w:rPr>
          <w:rFonts w:ascii="Times New Roman" w:hAnsi="Times New Roman" w:cs="Verdana"/>
          <w:color w:val="3E3E3E"/>
          <w:sz w:val="22"/>
          <w:szCs w:val="22"/>
        </w:rPr>
        <w:t>:</w:t>
      </w:r>
    </w:p>
    <w:p w14:paraId="5CCE7FCF" w14:textId="0F29578E" w:rsidR="00E85FEE" w:rsidRDefault="00E85FEE" w:rsidP="00E85FEE">
      <w:pPr>
        <w:widowControl w:val="0"/>
        <w:autoSpaceDE w:val="0"/>
        <w:autoSpaceDN w:val="0"/>
        <w:adjustRightInd w:val="0"/>
        <w:spacing w:after="300"/>
        <w:jc w:val="both"/>
        <w:rPr>
          <w:rFonts w:ascii="Times New Roman" w:hAnsi="Times New Roman" w:cs="Verdana"/>
          <w:color w:val="3E3E3E"/>
          <w:sz w:val="22"/>
          <w:szCs w:val="22"/>
        </w:rPr>
      </w:pPr>
      <w:r w:rsidRPr="00E85FEE">
        <w:rPr>
          <w:rFonts w:ascii="Times New Roman" w:hAnsi="Times New Roman" w:cs="Verdana"/>
          <w:color w:val="3E3E3E"/>
          <w:sz w:val="22"/>
          <w:szCs w:val="22"/>
        </w:rPr>
        <w:t> </w:t>
      </w:r>
      <w:r w:rsidR="00102A46">
        <w:rPr>
          <w:rFonts w:ascii="Times New Roman" w:hAnsi="Times New Roman" w:cs="Verdana"/>
          <w:color w:val="3E3E3E"/>
          <w:sz w:val="22"/>
          <w:szCs w:val="22"/>
        </w:rPr>
        <w:t>Article 515(11)C.cr.</w:t>
      </w:r>
    </w:p>
    <w:p w14:paraId="247DF4E9" w14:textId="3775272C" w:rsidR="00102A46" w:rsidRPr="00E85FEE" w:rsidRDefault="00102A46" w:rsidP="00E85FEE">
      <w:pPr>
        <w:widowControl w:val="0"/>
        <w:autoSpaceDE w:val="0"/>
        <w:autoSpaceDN w:val="0"/>
        <w:adjustRightInd w:val="0"/>
        <w:spacing w:after="300"/>
        <w:jc w:val="both"/>
        <w:rPr>
          <w:rFonts w:ascii="Times New Roman" w:hAnsi="Times New Roman" w:cs="Verdana"/>
          <w:color w:val="3E3E3E"/>
          <w:sz w:val="22"/>
          <w:szCs w:val="22"/>
        </w:rPr>
      </w:pPr>
      <w:r>
        <w:rPr>
          <w:rFonts w:ascii="Times New Roman" w:hAnsi="Times New Roman" w:cs="Verdana"/>
          <w:color w:val="3E3E3E"/>
          <w:sz w:val="22"/>
          <w:szCs w:val="22"/>
        </w:rPr>
        <w:t>On peut aussi imposer des contraintes supplémentaires selon article 515(12) ; 522C.cr.</w:t>
      </w:r>
    </w:p>
    <w:p w14:paraId="42C0DAFA" w14:textId="790A0482" w:rsidR="00E85FEE" w:rsidRDefault="00E85FEE" w:rsidP="00E85FEE">
      <w:pPr>
        <w:widowControl w:val="0"/>
        <w:autoSpaceDE w:val="0"/>
        <w:autoSpaceDN w:val="0"/>
        <w:adjustRightInd w:val="0"/>
        <w:spacing w:after="300"/>
        <w:rPr>
          <w:rFonts w:ascii="Times New Roman" w:hAnsi="Times New Roman" w:cs="Verdana"/>
          <w:b/>
          <w:color w:val="3E3E3E"/>
          <w:sz w:val="22"/>
          <w:szCs w:val="22"/>
        </w:rPr>
      </w:pPr>
      <w:r w:rsidRPr="00102A46">
        <w:rPr>
          <w:rFonts w:ascii="Times New Roman" w:hAnsi="Times New Roman" w:cs="Verdana"/>
          <w:b/>
          <w:color w:val="3E3E3E"/>
          <w:sz w:val="22"/>
          <w:szCs w:val="22"/>
        </w:rPr>
        <w:t>§8. Les critères régissant la libération sous caution:</w:t>
      </w:r>
    </w:p>
    <w:p w14:paraId="246C855F" w14:textId="724564CD" w:rsidR="00102A46" w:rsidRDefault="00102A46" w:rsidP="00E85FEE">
      <w:pPr>
        <w:widowControl w:val="0"/>
        <w:autoSpaceDE w:val="0"/>
        <w:autoSpaceDN w:val="0"/>
        <w:adjustRightInd w:val="0"/>
        <w:spacing w:after="300"/>
        <w:rPr>
          <w:rFonts w:ascii="Times New Roman" w:hAnsi="Times New Roman" w:cs="Verdana"/>
          <w:color w:val="3E3E3E"/>
          <w:sz w:val="22"/>
          <w:szCs w:val="22"/>
        </w:rPr>
      </w:pPr>
      <w:r>
        <w:rPr>
          <w:rFonts w:ascii="Times New Roman" w:hAnsi="Times New Roman" w:cs="Verdana"/>
          <w:color w:val="3E3E3E"/>
          <w:sz w:val="22"/>
          <w:szCs w:val="22"/>
        </w:rPr>
        <w:t>Article 515(10)C.cr.</w:t>
      </w:r>
    </w:p>
    <w:p w14:paraId="1C04DDC9" w14:textId="77777777" w:rsidR="00083B0E" w:rsidRDefault="00083B0E" w:rsidP="00E85FEE">
      <w:pPr>
        <w:widowControl w:val="0"/>
        <w:autoSpaceDE w:val="0"/>
        <w:autoSpaceDN w:val="0"/>
        <w:adjustRightInd w:val="0"/>
        <w:spacing w:after="300"/>
        <w:rPr>
          <w:rFonts w:ascii="Times New Roman" w:hAnsi="Times New Roman" w:cs="Verdana"/>
          <w:color w:val="3E3E3E"/>
          <w:sz w:val="22"/>
          <w:szCs w:val="22"/>
        </w:rPr>
      </w:pPr>
    </w:p>
    <w:p w14:paraId="01BD2338" w14:textId="77777777" w:rsidR="00083B0E" w:rsidRDefault="00083B0E" w:rsidP="00E85FEE">
      <w:pPr>
        <w:widowControl w:val="0"/>
        <w:autoSpaceDE w:val="0"/>
        <w:autoSpaceDN w:val="0"/>
        <w:adjustRightInd w:val="0"/>
        <w:spacing w:after="300"/>
        <w:rPr>
          <w:rFonts w:ascii="Times New Roman" w:hAnsi="Times New Roman" w:cs="Verdana"/>
          <w:color w:val="3E3E3E"/>
          <w:sz w:val="22"/>
          <w:szCs w:val="22"/>
        </w:rPr>
      </w:pPr>
    </w:p>
    <w:p w14:paraId="4FFCBB7D" w14:textId="0DBB58F9" w:rsidR="00083B0E" w:rsidRDefault="00083B0E" w:rsidP="00083B0E">
      <w:pPr>
        <w:widowControl w:val="0"/>
        <w:autoSpaceDE w:val="0"/>
        <w:autoSpaceDN w:val="0"/>
        <w:adjustRightInd w:val="0"/>
        <w:spacing w:after="300"/>
        <w:jc w:val="center"/>
        <w:rPr>
          <w:rFonts w:ascii="Times New Roman" w:hAnsi="Times New Roman" w:cs="Verdana"/>
          <w:b/>
          <w:color w:val="3E3E3E"/>
          <w:sz w:val="22"/>
          <w:szCs w:val="22"/>
        </w:rPr>
      </w:pPr>
      <w:r>
        <w:rPr>
          <w:rFonts w:ascii="Times New Roman" w:hAnsi="Times New Roman" w:cs="Verdana"/>
          <w:b/>
          <w:color w:val="3E3E3E"/>
          <w:sz w:val="22"/>
          <w:szCs w:val="22"/>
        </w:rPr>
        <w:t>COURS 8- LA COMMUNICATION DE LA PREUVE</w:t>
      </w:r>
    </w:p>
    <w:p w14:paraId="2DED7B7F" w14:textId="311FDF55" w:rsidR="007916A0" w:rsidRDefault="007916A0" w:rsidP="007916A0">
      <w:pPr>
        <w:widowControl w:val="0"/>
        <w:autoSpaceDE w:val="0"/>
        <w:autoSpaceDN w:val="0"/>
        <w:adjustRightInd w:val="0"/>
        <w:spacing w:after="300"/>
        <w:jc w:val="both"/>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Chapitre III. La communication de la preuve</w:t>
      </w:r>
      <w:r>
        <w:rPr>
          <w:rFonts w:ascii="Times New Roman" w:hAnsi="Times New Roman" w:cs="Times New Roman"/>
          <w:b/>
          <w:color w:val="3E3E3E"/>
          <w:sz w:val="22"/>
          <w:szCs w:val="22"/>
        </w:rPr>
        <w:t xml:space="preserve"> (p.1)</w:t>
      </w:r>
    </w:p>
    <w:p w14:paraId="126ABAB1" w14:textId="77777777" w:rsidR="007916A0" w:rsidRPr="00C81AAC" w:rsidRDefault="007916A0" w:rsidP="007916A0">
      <w:pPr>
        <w:jc w:val="both"/>
        <w:rPr>
          <w:rFonts w:ascii="Times New Roman" w:hAnsi="Times New Roman" w:cs="Times New Roman"/>
          <w:sz w:val="22"/>
          <w:szCs w:val="22"/>
        </w:rPr>
      </w:pPr>
      <w:r w:rsidRPr="00C81AAC">
        <w:rPr>
          <w:rFonts w:ascii="Times New Roman" w:hAnsi="Times New Roman" w:cs="Times New Roman"/>
          <w:sz w:val="22"/>
          <w:szCs w:val="22"/>
        </w:rPr>
        <w:t>En matière pénale, cette obligation de divulguer est bien plus lourde pour la Couronne que pour la défense. Cette obligation constitue l’un des fondements de la procédure contradictoire, élément de la procédure accusatoire.</w:t>
      </w:r>
    </w:p>
    <w:p w14:paraId="2388E554" w14:textId="77777777" w:rsidR="007916A0" w:rsidRPr="00C81AAC" w:rsidRDefault="007916A0" w:rsidP="007916A0">
      <w:pPr>
        <w:jc w:val="both"/>
        <w:rPr>
          <w:rFonts w:ascii="Times New Roman" w:hAnsi="Times New Roman" w:cs="Times New Roman"/>
          <w:sz w:val="22"/>
          <w:szCs w:val="22"/>
        </w:rPr>
      </w:pPr>
    </w:p>
    <w:p w14:paraId="55D296DD" w14:textId="77777777" w:rsidR="007916A0" w:rsidRPr="00C81AAC" w:rsidRDefault="007916A0" w:rsidP="007916A0">
      <w:pPr>
        <w:jc w:val="both"/>
        <w:rPr>
          <w:rFonts w:ascii="Times New Roman" w:hAnsi="Times New Roman" w:cs="Times New Roman"/>
          <w:sz w:val="22"/>
          <w:szCs w:val="22"/>
        </w:rPr>
      </w:pPr>
      <w:r w:rsidRPr="00C81AAC">
        <w:rPr>
          <w:rFonts w:ascii="Times New Roman" w:hAnsi="Times New Roman" w:cs="Times New Roman"/>
          <w:sz w:val="22"/>
          <w:szCs w:val="22"/>
        </w:rPr>
        <w:t>Nous allons voir successivement trois règles concernant la divulgation ;</w:t>
      </w:r>
    </w:p>
    <w:p w14:paraId="0AF283D7" w14:textId="77777777" w:rsidR="007916A0" w:rsidRPr="00C81AAC" w:rsidRDefault="007916A0" w:rsidP="007916A0">
      <w:pPr>
        <w:pStyle w:val="Paragraphedeliste"/>
        <w:numPr>
          <w:ilvl w:val="0"/>
          <w:numId w:val="97"/>
        </w:numPr>
        <w:jc w:val="both"/>
        <w:rPr>
          <w:rFonts w:ascii="Times New Roman" w:hAnsi="Times New Roman" w:cs="Times New Roman"/>
          <w:sz w:val="22"/>
          <w:szCs w:val="22"/>
        </w:rPr>
      </w:pPr>
      <w:r w:rsidRPr="00C81AAC">
        <w:rPr>
          <w:rFonts w:ascii="Times New Roman" w:hAnsi="Times New Roman" w:cs="Times New Roman"/>
          <w:sz w:val="22"/>
          <w:szCs w:val="22"/>
        </w:rPr>
        <w:t>L’obligation de divulgation pesant sur la Couronne qu’on appelle aussi la « communication de la preuve par la partie principale » (first party disclosure) ;</w:t>
      </w:r>
    </w:p>
    <w:p w14:paraId="14B883A2" w14:textId="77777777" w:rsidR="007916A0" w:rsidRPr="00C81AAC" w:rsidRDefault="007916A0" w:rsidP="007916A0">
      <w:pPr>
        <w:pStyle w:val="Paragraphedeliste"/>
        <w:numPr>
          <w:ilvl w:val="0"/>
          <w:numId w:val="97"/>
        </w:numPr>
        <w:jc w:val="both"/>
        <w:rPr>
          <w:rFonts w:ascii="Times New Roman" w:hAnsi="Times New Roman" w:cs="Times New Roman"/>
          <w:sz w:val="22"/>
          <w:szCs w:val="22"/>
        </w:rPr>
      </w:pPr>
      <w:r w:rsidRPr="00C81AAC">
        <w:rPr>
          <w:rFonts w:ascii="Times New Roman" w:hAnsi="Times New Roman" w:cs="Times New Roman"/>
          <w:sz w:val="22"/>
          <w:szCs w:val="22"/>
        </w:rPr>
        <w:t>L’obligation de divulgation pesant sur la défense</w:t>
      </w:r>
    </w:p>
    <w:p w14:paraId="0FC07F23" w14:textId="059E9DFE" w:rsidR="007916A0" w:rsidRPr="007916A0" w:rsidRDefault="007916A0" w:rsidP="007916A0">
      <w:pPr>
        <w:widowControl w:val="0"/>
        <w:autoSpaceDE w:val="0"/>
        <w:autoSpaceDN w:val="0"/>
        <w:adjustRightInd w:val="0"/>
        <w:spacing w:after="300"/>
        <w:jc w:val="both"/>
        <w:rPr>
          <w:rFonts w:ascii="Times New Roman" w:hAnsi="Times New Roman" w:cs="Times New Roman"/>
          <w:color w:val="3E3E3E"/>
          <w:sz w:val="22"/>
          <w:szCs w:val="22"/>
        </w:rPr>
      </w:pPr>
      <w:r w:rsidRPr="00C81AAC">
        <w:rPr>
          <w:rFonts w:ascii="Times New Roman" w:hAnsi="Times New Roman" w:cs="Times New Roman"/>
          <w:sz w:val="22"/>
          <w:szCs w:val="22"/>
        </w:rPr>
        <w:t>Les règles statutaires et de common law portant sur le régime de la divulgation de documents entre les mains de tiers à la Cour et à la défense</w:t>
      </w:r>
    </w:p>
    <w:p w14:paraId="0AA78E95"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59159CA1"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Section I. La communication de la preuve par la Couronne</w:t>
      </w:r>
    </w:p>
    <w:p w14:paraId="2D26B6AA"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413A59FF" w14:textId="396CA482"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§1. Avant la Charte</w:t>
      </w:r>
      <w:r>
        <w:rPr>
          <w:rFonts w:ascii="Times New Roman" w:hAnsi="Times New Roman" w:cs="Times New Roman"/>
          <w:b/>
          <w:color w:val="3E3E3E"/>
          <w:sz w:val="22"/>
          <w:szCs w:val="22"/>
        </w:rPr>
        <w:t> :</w:t>
      </w:r>
    </w:p>
    <w:p w14:paraId="17EFEDA4" w14:textId="77777777" w:rsidR="007916A0" w:rsidRDefault="007916A0" w:rsidP="007916A0">
      <w:pPr>
        <w:widowControl w:val="0"/>
        <w:autoSpaceDE w:val="0"/>
        <w:autoSpaceDN w:val="0"/>
        <w:adjustRightInd w:val="0"/>
        <w:rPr>
          <w:rFonts w:ascii="Times New Roman" w:hAnsi="Times New Roman" w:cs="Times New Roman"/>
          <w:color w:val="3E3E3E"/>
          <w:sz w:val="22"/>
          <w:szCs w:val="22"/>
        </w:rPr>
      </w:pPr>
    </w:p>
    <w:p w14:paraId="6A7C5AF5" w14:textId="6A36E28B" w:rsidR="007916A0" w:rsidRDefault="007916A0" w:rsidP="007916A0">
      <w:pPr>
        <w:widowControl w:val="0"/>
        <w:autoSpaceDE w:val="0"/>
        <w:autoSpaceDN w:val="0"/>
        <w:adjustRightInd w:val="0"/>
        <w:rPr>
          <w:rFonts w:ascii="Times New Roman" w:hAnsi="Times New Roman" w:cs="Times New Roman"/>
          <w:color w:val="3E3E3E"/>
          <w:sz w:val="22"/>
          <w:szCs w:val="22"/>
        </w:rPr>
      </w:pPr>
      <w:r>
        <w:rPr>
          <w:rFonts w:ascii="Times New Roman" w:hAnsi="Times New Roman" w:cs="Times New Roman"/>
          <w:color w:val="3E3E3E"/>
          <w:sz w:val="22"/>
          <w:szCs w:val="22"/>
        </w:rPr>
        <w:t xml:space="preserve">Il est de nature constante que même avant la Charte, le rôle du procureur ne devait pas être partisan. Voir l’affaire </w:t>
      </w:r>
      <w:r>
        <w:rPr>
          <w:rFonts w:ascii="Times New Roman" w:hAnsi="Times New Roman" w:cs="Times New Roman"/>
          <w:b/>
          <w:color w:val="3E3E3E"/>
          <w:sz w:val="22"/>
          <w:szCs w:val="22"/>
        </w:rPr>
        <w:t>Boucher v. The Queen</w:t>
      </w:r>
      <w:r>
        <w:rPr>
          <w:rFonts w:ascii="Times New Roman" w:hAnsi="Times New Roman" w:cs="Times New Roman"/>
          <w:color w:val="3E3E3E"/>
          <w:sz w:val="22"/>
          <w:szCs w:val="22"/>
        </w:rPr>
        <w:t xml:space="preserve"> sur cette question.</w:t>
      </w:r>
    </w:p>
    <w:p w14:paraId="20E682B9" w14:textId="77777777" w:rsidR="007916A0" w:rsidRDefault="007916A0" w:rsidP="007916A0">
      <w:pPr>
        <w:widowControl w:val="0"/>
        <w:autoSpaceDE w:val="0"/>
        <w:autoSpaceDN w:val="0"/>
        <w:adjustRightInd w:val="0"/>
        <w:rPr>
          <w:rFonts w:ascii="Times New Roman" w:hAnsi="Times New Roman" w:cs="Times New Roman"/>
          <w:color w:val="3E3E3E"/>
          <w:sz w:val="22"/>
          <w:szCs w:val="22"/>
        </w:rPr>
      </w:pPr>
    </w:p>
    <w:p w14:paraId="42A5B5A9" w14:textId="4B9B53B1" w:rsidR="007916A0" w:rsidRDefault="007916A0" w:rsidP="007916A0">
      <w:pPr>
        <w:widowControl w:val="0"/>
        <w:autoSpaceDE w:val="0"/>
        <w:autoSpaceDN w:val="0"/>
        <w:adjustRightInd w:val="0"/>
        <w:rPr>
          <w:rFonts w:ascii="Times New Roman" w:hAnsi="Times New Roman" w:cs="Times New Roman"/>
          <w:color w:val="3E3E3E"/>
          <w:sz w:val="22"/>
          <w:szCs w:val="22"/>
        </w:rPr>
      </w:pPr>
      <w:r>
        <w:rPr>
          <w:rFonts w:ascii="Times New Roman" w:hAnsi="Times New Roman" w:cs="Times New Roman"/>
          <w:color w:val="3E3E3E"/>
          <w:sz w:val="22"/>
          <w:szCs w:val="22"/>
        </w:rPr>
        <w:t xml:space="preserve">De plus, il s’agit même d’une obligation professionnelle ou éthique. Le procureur doit communiquer les preuves de tout fait matériel dont il a connaissance, qu’elle soit favorable ou non à l’accusé. L’article </w:t>
      </w:r>
      <w:r>
        <w:rPr>
          <w:rFonts w:ascii="Times New Roman" w:hAnsi="Times New Roman" w:cs="Times New Roman"/>
          <w:b/>
          <w:color w:val="3E3E3E"/>
          <w:sz w:val="22"/>
          <w:szCs w:val="22"/>
        </w:rPr>
        <w:t>603 C.cr.</w:t>
      </w:r>
      <w:r>
        <w:rPr>
          <w:rFonts w:ascii="Times New Roman" w:hAnsi="Times New Roman" w:cs="Times New Roman"/>
          <w:color w:val="3E3E3E"/>
          <w:sz w:val="22"/>
          <w:szCs w:val="22"/>
        </w:rPr>
        <w:t xml:space="preserve"> en témoigne.</w:t>
      </w:r>
    </w:p>
    <w:p w14:paraId="4631A961" w14:textId="7A4C70AD" w:rsidR="007916A0" w:rsidRPr="007916A0" w:rsidRDefault="007916A0" w:rsidP="007916A0">
      <w:pPr>
        <w:pStyle w:val="Paragraphedeliste"/>
        <w:widowControl w:val="0"/>
        <w:numPr>
          <w:ilvl w:val="0"/>
          <w:numId w:val="98"/>
        </w:numPr>
        <w:autoSpaceDE w:val="0"/>
        <w:autoSpaceDN w:val="0"/>
        <w:adjustRightInd w:val="0"/>
        <w:rPr>
          <w:rFonts w:ascii="Times New Roman" w:hAnsi="Times New Roman" w:cs="Times New Roman"/>
          <w:color w:val="3E3E3E"/>
          <w:sz w:val="22"/>
          <w:szCs w:val="22"/>
        </w:rPr>
      </w:pPr>
      <w:r w:rsidRPr="00C81AAC">
        <w:rPr>
          <w:rFonts w:ascii="Times New Roman" w:hAnsi="Times New Roman" w:cs="Times New Roman"/>
          <w:sz w:val="22"/>
          <w:szCs w:val="22"/>
        </w:rPr>
        <w:t>On peut noter dans cet article que l’accusé doit avoir été renvoyé pour subir son procès. Il n’y a donc pas d’obligation de lui fournir les preuves lors de l’enquête préliminaire</w:t>
      </w:r>
      <w:r>
        <w:rPr>
          <w:rFonts w:ascii="Times New Roman" w:hAnsi="Times New Roman" w:cs="Times New Roman"/>
          <w:sz w:val="22"/>
          <w:szCs w:val="22"/>
        </w:rPr>
        <w:t>.</w:t>
      </w:r>
    </w:p>
    <w:p w14:paraId="618B83DF" w14:textId="77777777" w:rsidR="007916A0" w:rsidRDefault="007916A0" w:rsidP="007916A0">
      <w:pPr>
        <w:widowControl w:val="0"/>
        <w:autoSpaceDE w:val="0"/>
        <w:autoSpaceDN w:val="0"/>
        <w:adjustRightInd w:val="0"/>
        <w:rPr>
          <w:rFonts w:ascii="Times New Roman" w:hAnsi="Times New Roman" w:cs="Times New Roman"/>
          <w:color w:val="3E3E3E"/>
          <w:sz w:val="22"/>
          <w:szCs w:val="22"/>
        </w:rPr>
      </w:pPr>
    </w:p>
    <w:p w14:paraId="52FAFD86" w14:textId="6460C3EE" w:rsidR="007916A0" w:rsidRDefault="007916A0" w:rsidP="007916A0">
      <w:pPr>
        <w:widowControl w:val="0"/>
        <w:autoSpaceDE w:val="0"/>
        <w:autoSpaceDN w:val="0"/>
        <w:adjustRightInd w:val="0"/>
        <w:rPr>
          <w:rFonts w:ascii="Times New Roman" w:hAnsi="Times New Roman" w:cs="Times New Roman"/>
          <w:b/>
          <w:i/>
          <w:color w:val="3E3E3E"/>
          <w:sz w:val="22"/>
          <w:szCs w:val="22"/>
        </w:rPr>
      </w:pPr>
      <w:r>
        <w:rPr>
          <w:rFonts w:ascii="Times New Roman" w:hAnsi="Times New Roman" w:cs="Times New Roman"/>
          <w:b/>
          <w:i/>
          <w:color w:val="3E3E3E"/>
          <w:sz w:val="22"/>
          <w:szCs w:val="22"/>
        </w:rPr>
        <w:t>R. c. Hynes 2001</w:t>
      </w:r>
      <w:r w:rsidR="00022AB8">
        <w:rPr>
          <w:rFonts w:ascii="Times New Roman" w:hAnsi="Times New Roman" w:cs="Times New Roman"/>
          <w:b/>
          <w:i/>
          <w:color w:val="3E3E3E"/>
          <w:sz w:val="22"/>
          <w:szCs w:val="22"/>
        </w:rPr>
        <w:t xml:space="preserve"> (p.2) :</w:t>
      </w:r>
    </w:p>
    <w:p w14:paraId="66D5443E" w14:textId="77777777" w:rsidR="00022AB8" w:rsidRPr="00C81AAC" w:rsidRDefault="00022AB8" w:rsidP="00022AB8">
      <w:pPr>
        <w:jc w:val="both"/>
        <w:rPr>
          <w:rFonts w:ascii="Times New Roman" w:hAnsi="Times New Roman" w:cs="Times New Roman"/>
          <w:sz w:val="22"/>
          <w:szCs w:val="22"/>
        </w:rPr>
      </w:pPr>
    </w:p>
    <w:p w14:paraId="6F496364" w14:textId="3C15B369" w:rsidR="00022AB8" w:rsidRPr="00022AB8" w:rsidRDefault="00022AB8" w:rsidP="00022AB8">
      <w:pPr>
        <w:pStyle w:val="Paragraphedeliste"/>
        <w:widowControl w:val="0"/>
        <w:numPr>
          <w:ilvl w:val="0"/>
          <w:numId w:val="98"/>
        </w:numPr>
        <w:autoSpaceDE w:val="0"/>
        <w:autoSpaceDN w:val="0"/>
        <w:adjustRightInd w:val="0"/>
        <w:rPr>
          <w:rFonts w:ascii="Times New Roman" w:hAnsi="Times New Roman" w:cs="Times New Roman"/>
          <w:b/>
          <w:i/>
          <w:color w:val="3E3E3E"/>
          <w:sz w:val="20"/>
          <w:szCs w:val="20"/>
        </w:rPr>
      </w:pPr>
      <w:r w:rsidRPr="00022AB8">
        <w:rPr>
          <w:rFonts w:ascii="Times New Roman" w:hAnsi="Times New Roman" w:cs="Times New Roman"/>
          <w:sz w:val="20"/>
          <w:szCs w:val="20"/>
        </w:rPr>
        <w:t>Toutefois, l’enquête préliminaire n’est pas un procès et cette différence se reflète dans sa procédure et les pouvoirs du juge qui la préside.  Aspect important, ce dernier n’a pas le pouvoir d’accorder des réparations.  Il ne peut pas, par exemple, ordonner au ministère public de donner des précisions à la défense ou de lui communiquer des éléments de preuve, arrêter les procédures pour cause d’abus, contraindre la production de dossiers détenus par des tiers, ni écarter le privilège relatif aux indicateurs de police en invoquant l’exception concernant la démonstration de l’innocence de l’accusé [33].</w:t>
      </w:r>
    </w:p>
    <w:p w14:paraId="2790883B" w14:textId="77777777" w:rsidR="00022AB8" w:rsidRPr="00022AB8" w:rsidRDefault="00022AB8" w:rsidP="00022AB8">
      <w:pPr>
        <w:pStyle w:val="Paragraphedeliste"/>
        <w:widowControl w:val="0"/>
        <w:autoSpaceDE w:val="0"/>
        <w:autoSpaceDN w:val="0"/>
        <w:adjustRightInd w:val="0"/>
        <w:rPr>
          <w:rFonts w:ascii="Times New Roman" w:hAnsi="Times New Roman" w:cs="Times New Roman"/>
          <w:b/>
          <w:i/>
          <w:color w:val="3E3E3E"/>
          <w:sz w:val="22"/>
          <w:szCs w:val="22"/>
        </w:rPr>
      </w:pPr>
    </w:p>
    <w:p w14:paraId="769B54FD"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40186772" w14:textId="77777777"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§2. Depuis la Charte : R. c. Stinchcombe</w:t>
      </w:r>
    </w:p>
    <w:p w14:paraId="39F73212" w14:textId="77777777" w:rsidR="00022AB8" w:rsidRPr="00C81AAC" w:rsidRDefault="00022AB8" w:rsidP="00022AB8">
      <w:pPr>
        <w:jc w:val="both"/>
        <w:rPr>
          <w:rFonts w:ascii="Times New Roman" w:hAnsi="Times New Roman" w:cs="Times New Roman"/>
          <w:sz w:val="22"/>
          <w:szCs w:val="22"/>
        </w:rPr>
      </w:pPr>
      <w:r w:rsidRPr="00C81AAC">
        <w:rPr>
          <w:rFonts w:ascii="Times New Roman" w:hAnsi="Times New Roman" w:cs="Times New Roman"/>
          <w:sz w:val="22"/>
          <w:szCs w:val="22"/>
        </w:rPr>
        <w:t xml:space="preserve">Dans cette affaire, La Cour suprême a décidé, qu'en matière d'actes criminels, la communication de la preuve est une composante essentielle du droit à une défense pleine et entière, "un des piliers de la justice criminelle" et une partie intégrante des principes de justice fondamentale enchâssés à l'article 7 de la Charte. </w:t>
      </w:r>
    </w:p>
    <w:p w14:paraId="5B48B660" w14:textId="77777777" w:rsidR="00022AB8" w:rsidRPr="00C81AAC" w:rsidRDefault="00022AB8" w:rsidP="00022AB8">
      <w:pPr>
        <w:jc w:val="both"/>
        <w:rPr>
          <w:rFonts w:ascii="Times New Roman" w:hAnsi="Times New Roman" w:cs="Times New Roman"/>
          <w:sz w:val="22"/>
          <w:szCs w:val="22"/>
        </w:rPr>
      </w:pPr>
    </w:p>
    <w:p w14:paraId="0A27F539" w14:textId="4B07937F" w:rsidR="00022AB8" w:rsidRDefault="00022AB8" w:rsidP="00022AB8">
      <w:pPr>
        <w:widowControl w:val="0"/>
        <w:autoSpaceDE w:val="0"/>
        <w:autoSpaceDN w:val="0"/>
        <w:adjustRightInd w:val="0"/>
        <w:rPr>
          <w:rFonts w:ascii="Times New Roman" w:hAnsi="Times New Roman" w:cs="Times New Roman"/>
          <w:sz w:val="22"/>
          <w:szCs w:val="22"/>
        </w:rPr>
      </w:pPr>
      <w:r w:rsidRPr="00C81AAC">
        <w:rPr>
          <w:rFonts w:ascii="Times New Roman" w:hAnsi="Times New Roman" w:cs="Times New Roman"/>
          <w:sz w:val="22"/>
          <w:szCs w:val="22"/>
        </w:rPr>
        <w:t>Aujourd’hui, l’obligation de divulgation n’est plus seulement laissée à la discrétion (en fait une obligation éthique) de la Couronne, elle aussi un droit constitutionnel protégé par l’article 24 de la Charte</w:t>
      </w:r>
      <w:r>
        <w:rPr>
          <w:rFonts w:ascii="Times New Roman" w:hAnsi="Times New Roman" w:cs="Times New Roman"/>
          <w:sz w:val="22"/>
          <w:szCs w:val="22"/>
        </w:rPr>
        <w:t>.</w:t>
      </w:r>
    </w:p>
    <w:p w14:paraId="27F05C09" w14:textId="77777777" w:rsidR="00022AB8" w:rsidRDefault="00022AB8" w:rsidP="00022AB8">
      <w:pPr>
        <w:widowControl w:val="0"/>
        <w:autoSpaceDE w:val="0"/>
        <w:autoSpaceDN w:val="0"/>
        <w:adjustRightInd w:val="0"/>
        <w:rPr>
          <w:rFonts w:ascii="Times New Roman" w:hAnsi="Times New Roman" w:cs="Times New Roman"/>
          <w:sz w:val="22"/>
          <w:szCs w:val="22"/>
        </w:rPr>
      </w:pPr>
    </w:p>
    <w:p w14:paraId="7CB23AE3" w14:textId="3680A7DE" w:rsidR="00022AB8" w:rsidRDefault="00022AB8" w:rsidP="00022AB8">
      <w:pPr>
        <w:widowControl w:val="0"/>
        <w:autoSpaceDE w:val="0"/>
        <w:autoSpaceDN w:val="0"/>
        <w:adjustRightInd w:val="0"/>
        <w:rPr>
          <w:rFonts w:ascii="Times New Roman" w:hAnsi="Times New Roman" w:cs="Times New Roman"/>
          <w:b/>
          <w:i/>
          <w:sz w:val="22"/>
          <w:szCs w:val="22"/>
        </w:rPr>
      </w:pPr>
      <w:r>
        <w:rPr>
          <w:rFonts w:ascii="Times New Roman" w:hAnsi="Times New Roman" w:cs="Times New Roman"/>
          <w:b/>
          <w:i/>
          <w:sz w:val="22"/>
          <w:szCs w:val="22"/>
        </w:rPr>
        <w:t>R. c. Stinchcombe 1991 (p.3) :</w:t>
      </w:r>
    </w:p>
    <w:p w14:paraId="00B4D21C" w14:textId="74179EB1" w:rsidR="00022AB8" w:rsidRPr="00022AB8" w:rsidRDefault="00022AB8" w:rsidP="00022AB8">
      <w:pPr>
        <w:pStyle w:val="Paragraphedeliste"/>
        <w:widowControl w:val="0"/>
        <w:numPr>
          <w:ilvl w:val="0"/>
          <w:numId w:val="98"/>
        </w:numPr>
        <w:autoSpaceDE w:val="0"/>
        <w:autoSpaceDN w:val="0"/>
        <w:adjustRightInd w:val="0"/>
        <w:rPr>
          <w:rFonts w:ascii="Times New Roman" w:hAnsi="Times New Roman" w:cs="Times New Roman"/>
          <w:color w:val="3E3E3E"/>
          <w:sz w:val="22"/>
          <w:szCs w:val="22"/>
        </w:rPr>
      </w:pPr>
      <w:r w:rsidRPr="0001536E">
        <w:rPr>
          <w:rFonts w:ascii="Times New Roman" w:hAnsi="Times New Roman" w:cs="Times New Roman"/>
          <w:sz w:val="20"/>
          <w:szCs w:val="20"/>
        </w:rPr>
        <w:t>Le ministère public est tenu en droit de divulguer à la défense tous les renseignements pertinents.  Les fruits de l'enquête qui se trouvent en sa possession n'appartiennent pas au ministère public pour qu'il s'en serve afin d'obtenir une déclaration de culpabilité, mais sont plutôt la propriété du public qui doit être utilisée de manière à s'assurer que justice soit rendue</w:t>
      </w:r>
      <w:r>
        <w:rPr>
          <w:rFonts w:ascii="Times New Roman" w:hAnsi="Times New Roman" w:cs="Times New Roman"/>
          <w:sz w:val="20"/>
          <w:szCs w:val="20"/>
        </w:rPr>
        <w:t>.</w:t>
      </w:r>
    </w:p>
    <w:p w14:paraId="38D23A69" w14:textId="41A34A1F" w:rsidR="00022AB8" w:rsidRPr="00022AB8" w:rsidRDefault="00022AB8" w:rsidP="00022AB8">
      <w:pPr>
        <w:pStyle w:val="Paragraphedeliste"/>
        <w:widowControl w:val="0"/>
        <w:numPr>
          <w:ilvl w:val="0"/>
          <w:numId w:val="98"/>
        </w:numPr>
        <w:autoSpaceDE w:val="0"/>
        <w:autoSpaceDN w:val="0"/>
        <w:adjustRightInd w:val="0"/>
        <w:rPr>
          <w:rFonts w:ascii="Times New Roman" w:hAnsi="Times New Roman" w:cs="Times New Roman"/>
          <w:color w:val="3E3E3E"/>
          <w:sz w:val="22"/>
          <w:szCs w:val="22"/>
        </w:rPr>
      </w:pPr>
      <w:r w:rsidRPr="0001536E">
        <w:rPr>
          <w:rFonts w:ascii="Times New Roman" w:hAnsi="Times New Roman" w:cs="Times New Roman"/>
          <w:sz w:val="20"/>
          <w:szCs w:val="20"/>
        </w:rPr>
        <w:t>Le refus absolu de divulguer des renseignements pertinents pour la défense ne peut se justifier que par l'existence d'un droit au secret qui soustrait ces renseignements à la divulgation.  Ce droit au secret peut toutefois faire l'objet d'un examen pour le motif qu'il ne constitue pas une restriction raisonnable du droit de présenter une défense pleine et entière dans un cas particulier.</w:t>
      </w:r>
    </w:p>
    <w:p w14:paraId="3FBFCB71" w14:textId="7A6E3B49" w:rsidR="00022AB8" w:rsidRPr="00022AB8" w:rsidRDefault="00022AB8" w:rsidP="00022AB8">
      <w:pPr>
        <w:pStyle w:val="Paragraphedeliste"/>
        <w:widowControl w:val="0"/>
        <w:numPr>
          <w:ilvl w:val="0"/>
          <w:numId w:val="98"/>
        </w:numPr>
        <w:autoSpaceDE w:val="0"/>
        <w:autoSpaceDN w:val="0"/>
        <w:adjustRightInd w:val="0"/>
        <w:rPr>
          <w:rFonts w:ascii="Times New Roman" w:hAnsi="Times New Roman" w:cs="Times New Roman"/>
          <w:color w:val="3E3E3E"/>
          <w:sz w:val="22"/>
          <w:szCs w:val="22"/>
        </w:rPr>
      </w:pPr>
      <w:r w:rsidRPr="0001536E">
        <w:rPr>
          <w:rFonts w:ascii="Times New Roman" w:hAnsi="Times New Roman" w:cs="Times New Roman"/>
          <w:sz w:val="20"/>
          <w:szCs w:val="20"/>
        </w:rPr>
        <w:t>Quand l'avocat de l'accusé prend connaissance d'une omission du ministère public de respecter son obligation de divulguer, celui-ci doit, dès que possible, signaler cette omission au juge du procès.  Cela permettra au juge du procès de remédier, autant que faire se peut, à tout préjudice causé à l'accusé et d'éviter ainsi un nouveau procès</w:t>
      </w:r>
      <w:r>
        <w:rPr>
          <w:rFonts w:ascii="Times New Roman" w:hAnsi="Times New Roman" w:cs="Times New Roman"/>
          <w:sz w:val="20"/>
          <w:szCs w:val="20"/>
        </w:rPr>
        <w:t>.</w:t>
      </w:r>
    </w:p>
    <w:p w14:paraId="0F7B4476" w14:textId="5F34A613" w:rsidR="00022AB8" w:rsidRPr="00022AB8" w:rsidRDefault="00022AB8" w:rsidP="00022AB8">
      <w:pPr>
        <w:pStyle w:val="Paragraphedeliste"/>
        <w:widowControl w:val="0"/>
        <w:numPr>
          <w:ilvl w:val="0"/>
          <w:numId w:val="98"/>
        </w:numPr>
        <w:autoSpaceDE w:val="0"/>
        <w:autoSpaceDN w:val="0"/>
        <w:adjustRightInd w:val="0"/>
        <w:rPr>
          <w:rFonts w:ascii="Times New Roman" w:hAnsi="Times New Roman" w:cs="Times New Roman"/>
          <w:color w:val="3E3E3E"/>
          <w:sz w:val="22"/>
          <w:szCs w:val="22"/>
        </w:rPr>
      </w:pPr>
      <w:r w:rsidRPr="0001536E">
        <w:rPr>
          <w:rFonts w:ascii="Times New Roman" w:hAnsi="Times New Roman" w:cs="Times New Roman"/>
          <w:sz w:val="20"/>
          <w:szCs w:val="20"/>
        </w:rPr>
        <w:t>Sous réserve de l'exercice du pouvoir discrétionnaire du ministère public, tous les renseignements pertinents doivent être divulgués, aussi bien ceux que le ministère public entend produire en preuve que ceux qu'il n'a pas l'intention de produire, peu importe qu'ils constituent une preuve inculpatoire ou bien disculpatoire.  Toute déclaration obtenue de personnes qui ont fourni des renseignements pertinents aux autorités devrait être produite, même si le ministère public n'a pas l'intention de citer ces personnes comme témoins à charge</w:t>
      </w:r>
      <w:r>
        <w:rPr>
          <w:rFonts w:ascii="Times New Roman" w:hAnsi="Times New Roman" w:cs="Times New Roman"/>
          <w:sz w:val="20"/>
          <w:szCs w:val="20"/>
        </w:rPr>
        <w:t>.</w:t>
      </w:r>
    </w:p>
    <w:p w14:paraId="03454BDF"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147C5A1E" w14:textId="41211D2C"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A.    Ce qui doit être communiqué</w:t>
      </w:r>
      <w:r w:rsidR="00022AB8">
        <w:rPr>
          <w:rFonts w:ascii="Times New Roman" w:hAnsi="Times New Roman" w:cs="Times New Roman"/>
          <w:b/>
          <w:color w:val="3E3E3E"/>
          <w:sz w:val="22"/>
          <w:szCs w:val="22"/>
        </w:rPr>
        <w:t xml:space="preserve"> (p.4)</w:t>
      </w:r>
    </w:p>
    <w:p w14:paraId="01D41B1F" w14:textId="71E8AE9A" w:rsidR="00022AB8" w:rsidRDefault="00022AB8" w:rsidP="007916A0">
      <w:pPr>
        <w:widowControl w:val="0"/>
        <w:autoSpaceDE w:val="0"/>
        <w:autoSpaceDN w:val="0"/>
        <w:adjustRightInd w:val="0"/>
        <w:rPr>
          <w:rFonts w:ascii="Times New Roman" w:hAnsi="Times New Roman" w:cs="Times New Roman"/>
          <w:color w:val="3E3E3E"/>
          <w:sz w:val="22"/>
          <w:szCs w:val="22"/>
        </w:rPr>
      </w:pPr>
      <w:r>
        <w:rPr>
          <w:rFonts w:ascii="Times New Roman" w:hAnsi="Times New Roman" w:cs="Times New Roman"/>
          <w:color w:val="3E3E3E"/>
          <w:sz w:val="22"/>
          <w:szCs w:val="22"/>
        </w:rPr>
        <w:t>La CSC dans l</w:t>
      </w:r>
      <w:r w:rsidR="00D80682">
        <w:rPr>
          <w:rFonts w:ascii="Times New Roman" w:hAnsi="Times New Roman" w:cs="Times New Roman"/>
          <w:color w:val="3E3E3E"/>
          <w:sz w:val="22"/>
          <w:szCs w:val="22"/>
        </w:rPr>
        <w:t xml:space="preserve">es </w:t>
      </w:r>
      <w:r>
        <w:rPr>
          <w:rFonts w:ascii="Times New Roman" w:hAnsi="Times New Roman" w:cs="Times New Roman"/>
          <w:color w:val="3E3E3E"/>
          <w:sz w:val="22"/>
          <w:szCs w:val="22"/>
        </w:rPr>
        <w:t>affaire</w:t>
      </w:r>
      <w:r w:rsidR="00D80682">
        <w:rPr>
          <w:rFonts w:ascii="Times New Roman" w:hAnsi="Times New Roman" w:cs="Times New Roman"/>
          <w:color w:val="3E3E3E"/>
          <w:sz w:val="22"/>
          <w:szCs w:val="22"/>
        </w:rPr>
        <w:t>s</w:t>
      </w:r>
      <w:r>
        <w:rPr>
          <w:rFonts w:ascii="Times New Roman" w:hAnsi="Times New Roman" w:cs="Times New Roman"/>
          <w:color w:val="3E3E3E"/>
          <w:sz w:val="22"/>
          <w:szCs w:val="22"/>
        </w:rPr>
        <w:t xml:space="preserve"> </w:t>
      </w:r>
      <w:r>
        <w:rPr>
          <w:rFonts w:ascii="Times New Roman" w:hAnsi="Times New Roman" w:cs="Times New Roman"/>
          <w:b/>
          <w:i/>
          <w:color w:val="3E3E3E"/>
          <w:sz w:val="22"/>
          <w:szCs w:val="22"/>
        </w:rPr>
        <w:t>R. c. Tailefer ; R. c. Duguay</w:t>
      </w:r>
      <w:r w:rsidR="00D80682">
        <w:rPr>
          <w:rFonts w:ascii="Times New Roman" w:hAnsi="Times New Roman" w:cs="Times New Roman"/>
          <w:i/>
          <w:color w:val="3E3E3E"/>
          <w:sz w:val="22"/>
          <w:szCs w:val="22"/>
        </w:rPr>
        <w:t xml:space="preserve"> </w:t>
      </w:r>
      <w:r w:rsidR="00D80682">
        <w:rPr>
          <w:rFonts w:ascii="Times New Roman" w:hAnsi="Times New Roman" w:cs="Times New Roman"/>
          <w:color w:val="3E3E3E"/>
          <w:sz w:val="22"/>
          <w:szCs w:val="22"/>
        </w:rPr>
        <w:t>est venue résumer le champ de l’obligation de la Couronne :</w:t>
      </w:r>
    </w:p>
    <w:p w14:paraId="73C1CA6B" w14:textId="77777777" w:rsidR="00D80682" w:rsidRPr="00D80682" w:rsidRDefault="00D80682" w:rsidP="00D80682">
      <w:pPr>
        <w:pStyle w:val="Paragraphedeliste"/>
        <w:numPr>
          <w:ilvl w:val="0"/>
          <w:numId w:val="101"/>
        </w:numPr>
        <w:jc w:val="both"/>
        <w:rPr>
          <w:rFonts w:ascii="Times New Roman" w:hAnsi="Times New Roman" w:cs="Times New Roman"/>
          <w:sz w:val="20"/>
          <w:szCs w:val="20"/>
        </w:rPr>
      </w:pPr>
      <w:r w:rsidRPr="00D80682">
        <w:rPr>
          <w:rFonts w:ascii="Times New Roman" w:hAnsi="Times New Roman" w:cs="Times New Roman"/>
          <w:sz w:val="20"/>
          <w:szCs w:val="20"/>
        </w:rPr>
        <w:t>Le ministère public doit divulguer à l’accusé tous les renseignements pertinents, qu’ils soient inculpatoires ou disculpatoires, sous réserve de l’exercice du pouvoir discrétionnaire du ministère public de refuser de divulguer des renseignements privilégiés ou encore manifestement non pertinents. La pertinence s’apprécie tant à l’égard de l’accusation elle-même que des défenses raisonnablement possibles. Les renseignements pertinents doivent être divulgués, que le ministère public ait ou non l’intention de les produire en preuve et ce, avant que l’accusé n’ait été appelé à choisir son mode de procès ou à présenter son plaidoyer (p. 343). En outre, toute déclaration obtenue de personnes qui ont fourni des renseignements pertinents aux autorités devrait être produite, même si le ministère public n’a pas l’intention de citer ces personnes comme témoins à charge (p. 345).</w:t>
      </w:r>
    </w:p>
    <w:p w14:paraId="6C7F575D" w14:textId="77777777" w:rsidR="00D80682" w:rsidRPr="00170F6A" w:rsidRDefault="00D80682" w:rsidP="00D80682">
      <w:pPr>
        <w:jc w:val="both"/>
        <w:rPr>
          <w:rFonts w:ascii="Times New Roman" w:hAnsi="Times New Roman" w:cs="Times New Roman"/>
          <w:sz w:val="20"/>
          <w:szCs w:val="20"/>
        </w:rPr>
      </w:pPr>
    </w:p>
    <w:p w14:paraId="6C478B96" w14:textId="77777777" w:rsidR="00D80682" w:rsidRPr="00D80682" w:rsidRDefault="00D80682" w:rsidP="00D80682">
      <w:pPr>
        <w:pStyle w:val="Paragraphedeliste"/>
        <w:numPr>
          <w:ilvl w:val="0"/>
          <w:numId w:val="100"/>
        </w:numPr>
        <w:jc w:val="both"/>
        <w:rPr>
          <w:rFonts w:ascii="Times New Roman" w:hAnsi="Times New Roman" w:cs="Times New Roman"/>
          <w:sz w:val="20"/>
          <w:szCs w:val="20"/>
        </w:rPr>
      </w:pPr>
      <w:r w:rsidRPr="00D80682">
        <w:rPr>
          <w:rFonts w:ascii="Times New Roman" w:hAnsi="Times New Roman" w:cs="Times New Roman"/>
          <w:b/>
          <w:sz w:val="20"/>
          <w:szCs w:val="20"/>
        </w:rPr>
        <w:t>Le premier concept</w:t>
      </w:r>
      <w:r w:rsidRPr="00D80682">
        <w:rPr>
          <w:rFonts w:ascii="Times New Roman" w:hAnsi="Times New Roman" w:cs="Times New Roman"/>
          <w:sz w:val="20"/>
          <w:szCs w:val="20"/>
        </w:rPr>
        <w:t xml:space="preserve"> que l’on peut noter c’est le caractère « pertinent » des renseignements. La pertinence s’apprécie tant à l’égard de l’accusation elle-même que des défenses raisonnablement possibles. Les renseignements pertinents doivent être divulgués, que le ministère public ait ou non l’intention de les produire en preuve et ce, avant que l’accusé n’ait été appelé à choisir son mode de procès ou à présenter son plaidoyer.</w:t>
      </w:r>
    </w:p>
    <w:p w14:paraId="0FC2DCA0" w14:textId="77777777" w:rsidR="00D80682" w:rsidRPr="00170F6A" w:rsidRDefault="00D80682" w:rsidP="00D80682">
      <w:pPr>
        <w:jc w:val="both"/>
        <w:rPr>
          <w:rFonts w:ascii="Times New Roman" w:hAnsi="Times New Roman" w:cs="Times New Roman"/>
          <w:sz w:val="20"/>
          <w:szCs w:val="20"/>
        </w:rPr>
      </w:pPr>
    </w:p>
    <w:p w14:paraId="067F4F79" w14:textId="1B89603E" w:rsidR="00D80682" w:rsidRPr="00D80682" w:rsidRDefault="00D80682" w:rsidP="00D80682">
      <w:pPr>
        <w:pStyle w:val="Paragraphedeliste"/>
        <w:widowControl w:val="0"/>
        <w:numPr>
          <w:ilvl w:val="0"/>
          <w:numId w:val="99"/>
        </w:numPr>
        <w:autoSpaceDE w:val="0"/>
        <w:autoSpaceDN w:val="0"/>
        <w:adjustRightInd w:val="0"/>
        <w:rPr>
          <w:rFonts w:ascii="Times New Roman" w:hAnsi="Times New Roman" w:cs="Times New Roman"/>
          <w:color w:val="3E3E3E"/>
          <w:sz w:val="22"/>
          <w:szCs w:val="22"/>
        </w:rPr>
      </w:pPr>
      <w:r w:rsidRPr="00170F6A">
        <w:rPr>
          <w:rFonts w:ascii="Times New Roman" w:hAnsi="Times New Roman" w:cs="Times New Roman"/>
          <w:sz w:val="20"/>
          <w:szCs w:val="20"/>
        </w:rPr>
        <w:t>Par conséquent, le pouvoir discrétionnaire de la Couronne, qui est d'ailleurs susceptible de contrôle, doit s'étendre notamment à l'exclusion des éléments qui ne sont manifestement pas pertinents. L’obligation de divulguer du ministère public est donc déclenchée chaque fois qu’il y a une possibilité raisonnable que le renseignement soit utile à l’accusé pour présenter une défense pleine et entière (voir en ce sens : R. c. Dixon, [1998] 1 RCS 244</w:t>
      </w:r>
      <w:r>
        <w:rPr>
          <w:rFonts w:ascii="Times New Roman" w:hAnsi="Times New Roman" w:cs="Times New Roman"/>
          <w:sz w:val="20"/>
          <w:szCs w:val="20"/>
        </w:rPr>
        <w:t>.</w:t>
      </w:r>
    </w:p>
    <w:p w14:paraId="60F8F1FB" w14:textId="77777777" w:rsidR="00D80682" w:rsidRDefault="00D80682" w:rsidP="00D80682">
      <w:pPr>
        <w:widowControl w:val="0"/>
        <w:autoSpaceDE w:val="0"/>
        <w:autoSpaceDN w:val="0"/>
        <w:adjustRightInd w:val="0"/>
        <w:rPr>
          <w:rFonts w:ascii="Times New Roman" w:hAnsi="Times New Roman" w:cs="Times New Roman"/>
          <w:color w:val="3E3E3E"/>
          <w:sz w:val="22"/>
          <w:szCs w:val="22"/>
        </w:rPr>
      </w:pPr>
    </w:p>
    <w:p w14:paraId="55D8A2DE" w14:textId="60EAF89E" w:rsidR="00D80682" w:rsidRDefault="00D80682" w:rsidP="00D80682">
      <w:pPr>
        <w:widowControl w:val="0"/>
        <w:autoSpaceDE w:val="0"/>
        <w:autoSpaceDN w:val="0"/>
        <w:adjustRightInd w:val="0"/>
        <w:rPr>
          <w:rFonts w:ascii="Times New Roman" w:hAnsi="Times New Roman" w:cs="Times New Roman"/>
          <w:b/>
          <w:color w:val="3E3E3E"/>
          <w:sz w:val="22"/>
          <w:szCs w:val="22"/>
        </w:rPr>
      </w:pPr>
      <w:r w:rsidRPr="00D80682">
        <w:rPr>
          <w:rFonts w:ascii="Times New Roman" w:hAnsi="Times New Roman" w:cs="Times New Roman"/>
          <w:color w:val="3E3E3E"/>
          <w:sz w:val="22"/>
          <w:szCs w:val="22"/>
          <w:u w:val="single"/>
        </w:rPr>
        <w:t>Le concept de pertinence</w:t>
      </w:r>
      <w:r>
        <w:rPr>
          <w:rFonts w:ascii="Times New Roman" w:hAnsi="Times New Roman" w:cs="Times New Roman"/>
          <w:color w:val="3E3E3E"/>
          <w:sz w:val="22"/>
          <w:szCs w:val="22"/>
        </w:rPr>
        <w:t xml:space="preserve"> doit être interprété comme tout ce qui pourrait être utile à la défense comme en témoigne l’affaire </w:t>
      </w:r>
      <w:r>
        <w:rPr>
          <w:rFonts w:ascii="Times New Roman" w:hAnsi="Times New Roman" w:cs="Times New Roman"/>
          <w:b/>
          <w:color w:val="3E3E3E"/>
          <w:sz w:val="22"/>
          <w:szCs w:val="22"/>
        </w:rPr>
        <w:t>Chaplin 1995 (p.4) :</w:t>
      </w:r>
    </w:p>
    <w:p w14:paraId="07339B20" w14:textId="77777777" w:rsidR="00D80682" w:rsidRPr="00D80682" w:rsidRDefault="00D80682" w:rsidP="00D80682">
      <w:pPr>
        <w:pStyle w:val="Paragraphedeliste"/>
        <w:numPr>
          <w:ilvl w:val="0"/>
          <w:numId w:val="99"/>
        </w:numPr>
        <w:jc w:val="both"/>
        <w:rPr>
          <w:rFonts w:ascii="Times New Roman" w:hAnsi="Times New Roman" w:cs="Times New Roman"/>
          <w:sz w:val="22"/>
          <w:szCs w:val="22"/>
        </w:rPr>
      </w:pPr>
      <w:r w:rsidRPr="00D80682">
        <w:rPr>
          <w:rFonts w:ascii="Times New Roman" w:hAnsi="Times New Roman" w:cs="Times New Roman"/>
          <w:sz w:val="22"/>
          <w:szCs w:val="22"/>
        </w:rPr>
        <w:t>Par pertinence, il faut entendre qu'il y a possibilité raisonnable que ces renseignements puissent aider l'accusé à présenter une défense pleine et entière. </w:t>
      </w:r>
    </w:p>
    <w:p w14:paraId="1FC29BD4" w14:textId="77777777" w:rsidR="00D80682" w:rsidRDefault="00D80682" w:rsidP="00D80682">
      <w:pPr>
        <w:jc w:val="both"/>
        <w:rPr>
          <w:rFonts w:ascii="Times New Roman" w:hAnsi="Times New Roman" w:cs="Times New Roman"/>
          <w:sz w:val="22"/>
          <w:szCs w:val="22"/>
        </w:rPr>
      </w:pPr>
    </w:p>
    <w:p w14:paraId="708E153E" w14:textId="4E37D39C" w:rsidR="00D80682" w:rsidRDefault="00D80682" w:rsidP="00D80682">
      <w:pPr>
        <w:jc w:val="both"/>
        <w:rPr>
          <w:rFonts w:ascii="Times New Roman" w:hAnsi="Times New Roman" w:cs="Times New Roman"/>
          <w:sz w:val="22"/>
          <w:szCs w:val="22"/>
        </w:rPr>
      </w:pPr>
      <w:r>
        <w:rPr>
          <w:rFonts w:ascii="Times New Roman" w:hAnsi="Times New Roman" w:cs="Times New Roman"/>
          <w:sz w:val="22"/>
          <w:szCs w:val="22"/>
        </w:rPr>
        <w:t xml:space="preserve">Dans </w:t>
      </w:r>
      <w:r>
        <w:rPr>
          <w:rFonts w:ascii="Times New Roman" w:hAnsi="Times New Roman" w:cs="Times New Roman"/>
          <w:b/>
          <w:i/>
          <w:sz w:val="22"/>
          <w:szCs w:val="22"/>
        </w:rPr>
        <w:t>R. c. Egger 1993</w:t>
      </w:r>
      <w:r>
        <w:rPr>
          <w:rFonts w:ascii="Times New Roman" w:hAnsi="Times New Roman" w:cs="Times New Roman"/>
          <w:sz w:val="22"/>
          <w:szCs w:val="22"/>
        </w:rPr>
        <w:t xml:space="preserve"> la CSC est venue étoffer un peu comment l’on </w:t>
      </w:r>
      <w:r>
        <w:rPr>
          <w:rFonts w:ascii="Times New Roman" w:hAnsi="Times New Roman" w:cs="Times New Roman"/>
          <w:b/>
          <w:sz w:val="22"/>
          <w:szCs w:val="22"/>
        </w:rPr>
        <w:t>mesure la pertinence</w:t>
      </w:r>
      <w:r>
        <w:rPr>
          <w:rFonts w:ascii="Times New Roman" w:hAnsi="Times New Roman" w:cs="Times New Roman"/>
          <w:sz w:val="22"/>
          <w:szCs w:val="22"/>
        </w:rPr>
        <w:t xml:space="preserve"> en question, voici ce qu’elle nous dit :</w:t>
      </w:r>
    </w:p>
    <w:p w14:paraId="4EBDE8B4" w14:textId="763FBF6E" w:rsidR="00D80682" w:rsidRDefault="00D80682" w:rsidP="00D80682">
      <w:pPr>
        <w:pStyle w:val="Paragraphedeliste"/>
        <w:numPr>
          <w:ilvl w:val="0"/>
          <w:numId w:val="99"/>
        </w:numPr>
        <w:jc w:val="both"/>
        <w:rPr>
          <w:rFonts w:ascii="Times New Roman" w:hAnsi="Times New Roman" w:cs="Times New Roman"/>
          <w:sz w:val="20"/>
          <w:szCs w:val="20"/>
        </w:rPr>
      </w:pPr>
      <w:r w:rsidRPr="00D80682">
        <w:rPr>
          <w:rFonts w:ascii="Times New Roman" w:hAnsi="Times New Roman" w:cs="Times New Roman"/>
          <w:sz w:val="20"/>
          <w:szCs w:val="20"/>
        </w:rPr>
        <w:t>L'obligation de divulgation qu'a le ministère public est assujettie à un pouvoir discrétionnaire, dont la justification lui incombe, de retenir les renseignements qui, de toute évidence, ne sont pas pertinents ou dont la non</w:t>
      </w:r>
      <w:r w:rsidRPr="00D80682">
        <w:rPr>
          <w:rFonts w:ascii="Palatino" w:hAnsi="Palatino" w:cs="Palatino"/>
          <w:sz w:val="20"/>
          <w:szCs w:val="20"/>
        </w:rPr>
        <w:t>‑</w:t>
      </w:r>
      <w:r w:rsidRPr="00D80682">
        <w:rPr>
          <w:rFonts w:ascii="Times New Roman" w:hAnsi="Times New Roman" w:cs="Times New Roman"/>
          <w:sz w:val="20"/>
          <w:szCs w:val="20"/>
        </w:rPr>
        <w:t>divulgation est exigée par les règles en matière de privilège, ou de retarder la divulgation de renseignements lorsque cela est nécessaire pour protéger des témoins ou pour terminer une enquête.</w:t>
      </w:r>
    </w:p>
    <w:p w14:paraId="48E6B9C5" w14:textId="5FE6D07A" w:rsidR="00D80682" w:rsidRDefault="00D80682" w:rsidP="00D87CED">
      <w:pPr>
        <w:pStyle w:val="Paragraphedeliste"/>
        <w:numPr>
          <w:ilvl w:val="0"/>
          <w:numId w:val="99"/>
        </w:numPr>
        <w:jc w:val="both"/>
        <w:rPr>
          <w:rFonts w:ascii="Times New Roman" w:hAnsi="Times New Roman" w:cs="Times New Roman"/>
          <w:sz w:val="20"/>
          <w:szCs w:val="20"/>
        </w:rPr>
      </w:pPr>
      <w:r w:rsidRPr="00D87CED">
        <w:rPr>
          <w:rFonts w:ascii="Times New Roman" w:hAnsi="Times New Roman" w:cs="Times New Roman"/>
          <w:sz w:val="22"/>
          <w:szCs w:val="22"/>
        </w:rPr>
        <w:t xml:space="preserve">Une façon de mesurer la pertinence d'un renseignement dont dispose le ministère public est de déterminer son utilité pour la défense:  s'il a une certaine utilité, il est pertinent et devrait être divulgué </w:t>
      </w:r>
      <w:r w:rsidRPr="00D87CED">
        <w:rPr>
          <w:rFonts w:ascii="Palatino" w:hAnsi="Palatino" w:cs="Palatino"/>
          <w:sz w:val="22"/>
          <w:szCs w:val="22"/>
        </w:rPr>
        <w:t>‑‑</w:t>
      </w:r>
      <w:r w:rsidRPr="00D87CED">
        <w:rPr>
          <w:rFonts w:ascii="Times New Roman" w:hAnsi="Times New Roman" w:cs="Times New Roman"/>
          <w:sz w:val="22"/>
          <w:szCs w:val="22"/>
        </w:rPr>
        <w:t xml:space="preserve"> précité, à la p. 345.  </w:t>
      </w:r>
      <w:r w:rsidRPr="00D87CED">
        <w:rPr>
          <w:rFonts w:ascii="Times New Roman" w:hAnsi="Times New Roman" w:cs="Times New Roman"/>
          <w:b/>
          <w:sz w:val="20"/>
          <w:szCs w:val="20"/>
        </w:rPr>
        <w:t xml:space="preserve">Le juge qui effectue le contrôle doit déterminer si l'accusé peut raisonnablement utiliser la communication des renseignements pour réfuter la preuve et les arguments du ministère public, pour présenter un moyen de défense ou autrement pour parvenir à une décision susceptible d'avoir un effet sur le déroulement de la défense comme, par exemple, de présenter ou non une preuve. </w:t>
      </w:r>
      <w:r w:rsidRPr="00D87CED">
        <w:rPr>
          <w:rFonts w:ascii="Times New Roman" w:hAnsi="Times New Roman" w:cs="Times New Roman"/>
          <w:b/>
          <w:spacing w:val="-4"/>
          <w:kern w:val="1"/>
          <w:sz w:val="20"/>
          <w:szCs w:val="20"/>
        </w:rPr>
        <w:t>Deuxièmement</w:t>
      </w:r>
      <w:r w:rsidRPr="00D87CED">
        <w:rPr>
          <w:rFonts w:ascii="Times New Roman" w:hAnsi="Times New Roman" w:cs="Times New Roman"/>
          <w:spacing w:val="-4"/>
          <w:kern w:val="1"/>
          <w:sz w:val="20"/>
          <w:szCs w:val="20"/>
        </w:rPr>
        <w:t xml:space="preserve">, un renseignement pertinent doit être divulguée qu’il soit de nature inculpatoire ou disculpatoire. </w:t>
      </w:r>
      <w:r w:rsidRPr="00D87CED">
        <w:rPr>
          <w:rFonts w:ascii="Times New Roman" w:hAnsi="Times New Roman" w:cs="Times New Roman"/>
          <w:b/>
          <w:sz w:val="20"/>
          <w:szCs w:val="20"/>
        </w:rPr>
        <w:t>Troisièmement</w:t>
      </w:r>
      <w:r w:rsidRPr="00D87CED">
        <w:rPr>
          <w:rFonts w:ascii="Times New Roman" w:hAnsi="Times New Roman" w:cs="Times New Roman"/>
          <w:sz w:val="20"/>
          <w:szCs w:val="20"/>
        </w:rPr>
        <w:t>, l’obligation de divulgation s’étend aussi aux témoignages (sous leurs formes).</w:t>
      </w:r>
    </w:p>
    <w:p w14:paraId="3C037E28" w14:textId="77777777" w:rsidR="00D87CED" w:rsidRDefault="00D87CED" w:rsidP="00D87CED">
      <w:pPr>
        <w:jc w:val="both"/>
        <w:rPr>
          <w:rFonts w:ascii="Times New Roman" w:hAnsi="Times New Roman" w:cs="Times New Roman"/>
          <w:sz w:val="20"/>
          <w:szCs w:val="20"/>
        </w:rPr>
      </w:pPr>
    </w:p>
    <w:p w14:paraId="47CDF140" w14:textId="4F8A6ACC" w:rsidR="00D87CED" w:rsidRDefault="00D87CED" w:rsidP="00D87CED">
      <w:pPr>
        <w:jc w:val="both"/>
        <w:rPr>
          <w:rFonts w:ascii="Times New Roman" w:hAnsi="Times New Roman" w:cs="Times New Roman"/>
          <w:b/>
          <w:i/>
          <w:sz w:val="22"/>
          <w:szCs w:val="22"/>
        </w:rPr>
      </w:pPr>
      <w:r>
        <w:rPr>
          <w:rFonts w:ascii="Times New Roman" w:hAnsi="Times New Roman" w:cs="Times New Roman"/>
          <w:b/>
          <w:i/>
          <w:sz w:val="22"/>
          <w:szCs w:val="22"/>
        </w:rPr>
        <w:t>R. c. Stinchcombe 1991 (p.5) :</w:t>
      </w:r>
    </w:p>
    <w:p w14:paraId="0C2FFD89" w14:textId="7136CEAC" w:rsidR="00D87CED" w:rsidRPr="00D87CED" w:rsidRDefault="00D87CED" w:rsidP="00D87CED">
      <w:pPr>
        <w:pStyle w:val="Paragraphedeliste"/>
        <w:numPr>
          <w:ilvl w:val="0"/>
          <w:numId w:val="102"/>
        </w:numPr>
        <w:jc w:val="both"/>
        <w:rPr>
          <w:rFonts w:ascii="Times New Roman" w:hAnsi="Times New Roman" w:cs="Times New Roman"/>
          <w:b/>
          <w:i/>
          <w:sz w:val="20"/>
          <w:szCs w:val="20"/>
        </w:rPr>
      </w:pPr>
      <w:r w:rsidRPr="00C81AAC">
        <w:rPr>
          <w:rFonts w:ascii="Times New Roman" w:hAnsi="Times New Roman" w:cs="Times New Roman"/>
          <w:sz w:val="22"/>
          <w:szCs w:val="22"/>
        </w:rPr>
        <w:t xml:space="preserve">Un problème particulier se pose relativement aux déclarations de témoins et c'est précisément le </w:t>
      </w:r>
      <w:r w:rsidRPr="00D87CED">
        <w:rPr>
          <w:rFonts w:ascii="Times New Roman" w:hAnsi="Times New Roman" w:cs="Times New Roman"/>
          <w:sz w:val="20"/>
          <w:szCs w:val="20"/>
        </w:rPr>
        <w:t xml:space="preserve">cas en l'espèce.  </w:t>
      </w:r>
      <w:r w:rsidRPr="00D87CED">
        <w:rPr>
          <w:rFonts w:ascii="Times New Roman" w:hAnsi="Times New Roman" w:cs="Times New Roman"/>
          <w:b/>
          <w:sz w:val="20"/>
          <w:szCs w:val="20"/>
        </w:rPr>
        <w:t>À peu près personne ne conteste que les déclarations que le ministère public a obtenues de témoins qu'il envisage de citer devraient être communiquées</w:t>
      </w:r>
      <w:r w:rsidRPr="00D87CED">
        <w:rPr>
          <w:rFonts w:ascii="Times New Roman" w:hAnsi="Times New Roman" w:cs="Times New Roman"/>
          <w:sz w:val="20"/>
          <w:szCs w:val="20"/>
        </w:rPr>
        <w:t xml:space="preserve">.  Dans certains cas, il s'agira simplement d'une déclaration consignée dans </w:t>
      </w:r>
      <w:r w:rsidRPr="00D87CED">
        <w:rPr>
          <w:rFonts w:ascii="Times New Roman" w:hAnsi="Times New Roman" w:cs="Times New Roman"/>
          <w:b/>
          <w:sz w:val="20"/>
          <w:szCs w:val="20"/>
        </w:rPr>
        <w:t>les notes de l'enquêteur</w:t>
      </w:r>
      <w:r w:rsidRPr="00D87CED">
        <w:rPr>
          <w:rFonts w:ascii="Times New Roman" w:hAnsi="Times New Roman" w:cs="Times New Roman"/>
          <w:sz w:val="20"/>
          <w:szCs w:val="20"/>
        </w:rPr>
        <w:t xml:space="preserve">, normalement un agent de police.  Ces notes ou des copies devraient être produites.  </w:t>
      </w:r>
      <w:r w:rsidRPr="00D87CED">
        <w:rPr>
          <w:rFonts w:ascii="Times New Roman" w:hAnsi="Times New Roman" w:cs="Times New Roman"/>
          <w:b/>
          <w:sz w:val="20"/>
          <w:szCs w:val="20"/>
        </w:rPr>
        <w:t>S'il n'existe pas de notes, il faut communiquer un énoncé de ce qu'on "va dire", lequel énoncé résume la déposition prévue du témoin et est établi à partir des renseignements dont dispose le ministère public. </w:t>
      </w:r>
    </w:p>
    <w:p w14:paraId="3B8FEFBD" w14:textId="1BECF4F0" w:rsidR="00D87CED" w:rsidRPr="00D87CED" w:rsidRDefault="00D87CED" w:rsidP="00D87CED">
      <w:pPr>
        <w:pStyle w:val="Paragraphedeliste"/>
        <w:numPr>
          <w:ilvl w:val="0"/>
          <w:numId w:val="102"/>
        </w:numPr>
        <w:jc w:val="both"/>
        <w:rPr>
          <w:rFonts w:ascii="Times New Roman" w:hAnsi="Times New Roman" w:cs="Times New Roman"/>
          <w:sz w:val="20"/>
          <w:szCs w:val="20"/>
        </w:rPr>
      </w:pPr>
      <w:r w:rsidRPr="00D87CED">
        <w:rPr>
          <w:rFonts w:ascii="Times New Roman" w:hAnsi="Times New Roman" w:cs="Times New Roman"/>
          <w:sz w:val="20"/>
          <w:szCs w:val="20"/>
        </w:rPr>
        <w:t xml:space="preserve">En ce qui a trait aux témoins éventuels, nous ne recommandons pas que l'obligation du poursuivant, quant à la communication de la preuve, soit aussi étendue que dans le cas de témoins présumés [...] Nous croyons qu'il suffit, au regard des intérêts de la défense, que la poursuite soit tenue de divulguer l'identité de ces personnes.  Toutefois, nous ne voudrions pas que nos remarques aient pour effet d'empêcher les poursuivants de divulguer volontairement des déclarations et d'autres renseignements importants lorsqu'ils sont disposés à le faire [...] </w:t>
      </w:r>
      <w:r w:rsidRPr="00D87CED">
        <w:rPr>
          <w:rFonts w:ascii="Times New Roman" w:hAnsi="Times New Roman" w:cs="Times New Roman"/>
          <w:b/>
          <w:sz w:val="20"/>
          <w:szCs w:val="20"/>
        </w:rPr>
        <w:t>Quatrièmement</w:t>
      </w:r>
      <w:r w:rsidRPr="00D87CED">
        <w:rPr>
          <w:rFonts w:ascii="Times New Roman" w:hAnsi="Times New Roman" w:cs="Times New Roman"/>
          <w:sz w:val="20"/>
          <w:szCs w:val="20"/>
        </w:rPr>
        <w:t xml:space="preserve">,  la Couronne peut s’abriter derrière le fait que les renseignements sont (i) privilégiés ou (ii) un ordre de la cour ou de la loi interdisent cette divulgation. </w:t>
      </w:r>
    </w:p>
    <w:p w14:paraId="5EA39D82" w14:textId="3343653F" w:rsidR="00D87CED" w:rsidRPr="00D87CED" w:rsidRDefault="00D87CED" w:rsidP="00D87CED">
      <w:pPr>
        <w:jc w:val="both"/>
        <w:rPr>
          <w:rFonts w:ascii="Times New Roman" w:hAnsi="Times New Roman" w:cs="Times New Roman"/>
          <w:i/>
          <w:sz w:val="20"/>
          <w:szCs w:val="20"/>
        </w:rPr>
      </w:pPr>
    </w:p>
    <w:p w14:paraId="6539A01E" w14:textId="733CE828" w:rsidR="00D80682" w:rsidRPr="00D87CED" w:rsidRDefault="00D80682" w:rsidP="00D87CED">
      <w:pPr>
        <w:jc w:val="both"/>
        <w:rPr>
          <w:rFonts w:ascii="Times New Roman" w:hAnsi="Times New Roman" w:cs="Times New Roman"/>
          <w:sz w:val="22"/>
          <w:szCs w:val="22"/>
        </w:rPr>
      </w:pPr>
    </w:p>
    <w:p w14:paraId="069FE22A" w14:textId="093AF30E" w:rsidR="00D80682" w:rsidRDefault="00D87CED" w:rsidP="00D87CED">
      <w:pPr>
        <w:jc w:val="both"/>
        <w:rPr>
          <w:rFonts w:ascii="Times New Roman" w:hAnsi="Times New Roman" w:cs="Times New Roman"/>
          <w:b/>
          <w:sz w:val="22"/>
          <w:szCs w:val="22"/>
        </w:rPr>
      </w:pPr>
      <w:r>
        <w:rPr>
          <w:rFonts w:ascii="Times New Roman" w:hAnsi="Times New Roman" w:cs="Times New Roman"/>
          <w:sz w:val="22"/>
          <w:szCs w:val="22"/>
        </w:rPr>
        <w:t xml:space="preserve">En ce qui concerne les renseignements qualifiés de </w:t>
      </w:r>
      <w:r>
        <w:rPr>
          <w:rFonts w:ascii="Times New Roman" w:hAnsi="Times New Roman" w:cs="Times New Roman"/>
          <w:b/>
          <w:sz w:val="22"/>
          <w:szCs w:val="22"/>
        </w:rPr>
        <w:t>privilégiés</w:t>
      </w:r>
      <w:r>
        <w:rPr>
          <w:rFonts w:ascii="Times New Roman" w:hAnsi="Times New Roman" w:cs="Times New Roman"/>
          <w:sz w:val="22"/>
          <w:szCs w:val="22"/>
        </w:rPr>
        <w:t xml:space="preserve">, la Cour suprême s’exprime comme suit dans l’affaire </w:t>
      </w:r>
      <w:r>
        <w:rPr>
          <w:rFonts w:ascii="Times New Roman" w:hAnsi="Times New Roman" w:cs="Times New Roman"/>
          <w:b/>
          <w:sz w:val="22"/>
          <w:szCs w:val="22"/>
        </w:rPr>
        <w:t>Stinchcombe 1991 (p.6) :</w:t>
      </w:r>
    </w:p>
    <w:p w14:paraId="358B2146" w14:textId="7F43C2C3" w:rsidR="00D87CED" w:rsidRPr="00926D7E" w:rsidRDefault="00D87CED" w:rsidP="00D87CED">
      <w:pPr>
        <w:pStyle w:val="Paragraphedeliste"/>
        <w:numPr>
          <w:ilvl w:val="0"/>
          <w:numId w:val="103"/>
        </w:numPr>
        <w:jc w:val="both"/>
        <w:rPr>
          <w:rFonts w:ascii="Times New Roman" w:hAnsi="Times New Roman" w:cs="Times New Roman"/>
          <w:b/>
          <w:sz w:val="22"/>
          <w:szCs w:val="22"/>
        </w:rPr>
      </w:pPr>
      <w:r w:rsidRPr="00D87CED">
        <w:rPr>
          <w:rFonts w:ascii="Times New Roman" w:hAnsi="Times New Roman" w:cs="Times New Roman"/>
          <w:sz w:val="20"/>
          <w:szCs w:val="20"/>
        </w:rPr>
        <w:t>Par exemple, il incombe au substitut du procureur général de respecter les règles en matière de secret.  En ce qui concerne les indicateurs, le ministère public a l'obligation de taire leur identité.  Dans certains cas, la personne qui a fourni des éléments de preuve ou des renseignements dans le cadre de l'enquête peut subir, en conséquence, un préjudice grave et même des lésions corporelles.  La dure réalité de la justice veut que toute personne disposant d'éléments de preuve pertinents finisse par comparaître pour témoigner, mais le pouvoir discrétionnaire s'exerce en pareil cas pour déterminer le moment et la forme de la divulgation</w:t>
      </w:r>
      <w:r w:rsidRPr="00D87CED">
        <w:rPr>
          <w:rFonts w:ascii="Times New Roman" w:hAnsi="Times New Roman" w:cs="Times New Roman"/>
          <w:b/>
          <w:sz w:val="20"/>
          <w:szCs w:val="20"/>
        </w:rPr>
        <w:t>.  Un pouvoir discrétionnaire doit être également exercé relativement à la pertinence de renseignements. </w:t>
      </w:r>
      <w:r w:rsidRPr="00D87CED">
        <w:rPr>
          <w:rFonts w:ascii="Times New Roman" w:hAnsi="Times New Roman" w:cs="Times New Roman"/>
          <w:sz w:val="20"/>
          <w:szCs w:val="20"/>
        </w:rPr>
        <w:t xml:space="preserve"> Si le ministère public pèche, ce doit être par inclusion.  Il n'est toutefois pas tenu de produire ce qui n'a manifestement aucune pertinence.  La pratique dans le domaine civil nous enseigne qu'on peut compter sur les avocats, en leur qualité d'officiers de justice agissant de façon responsable, pour accepter de divulguer des renseignements pertinents.  Les manquements à cette obligation constituent une violation très grave de la déontologie juridique</w:t>
      </w:r>
      <w:r w:rsidRPr="00C81AAC">
        <w:rPr>
          <w:rFonts w:ascii="Times New Roman" w:hAnsi="Times New Roman" w:cs="Times New Roman"/>
          <w:sz w:val="22"/>
          <w:szCs w:val="22"/>
        </w:rPr>
        <w:t>.</w:t>
      </w:r>
    </w:p>
    <w:p w14:paraId="46F22B09" w14:textId="77777777" w:rsidR="00926D7E" w:rsidRDefault="00926D7E" w:rsidP="00926D7E">
      <w:pPr>
        <w:jc w:val="both"/>
        <w:rPr>
          <w:rFonts w:ascii="Times New Roman" w:hAnsi="Times New Roman" w:cs="Times New Roman"/>
          <w:sz w:val="22"/>
          <w:szCs w:val="22"/>
        </w:rPr>
      </w:pPr>
    </w:p>
    <w:p w14:paraId="247B7D6C" w14:textId="7BAA81C0" w:rsidR="00926D7E" w:rsidRDefault="00926D7E" w:rsidP="00926D7E">
      <w:pPr>
        <w:jc w:val="both"/>
        <w:rPr>
          <w:rFonts w:ascii="Times New Roman" w:hAnsi="Times New Roman" w:cs="Times New Roman"/>
          <w:sz w:val="22"/>
          <w:szCs w:val="22"/>
        </w:rPr>
      </w:pPr>
      <w:r>
        <w:rPr>
          <w:rFonts w:ascii="Times New Roman" w:hAnsi="Times New Roman" w:cs="Times New Roman"/>
          <w:sz w:val="22"/>
          <w:szCs w:val="22"/>
        </w:rPr>
        <w:t xml:space="preserve">La Loi peut être au secours du Ministère public en ce qui concerne la divulgation de la preuve. Certaines restrictions de divulgation sont énoncées aux articles </w:t>
      </w:r>
      <w:r>
        <w:rPr>
          <w:rFonts w:ascii="Times New Roman" w:hAnsi="Times New Roman" w:cs="Times New Roman"/>
          <w:b/>
          <w:sz w:val="22"/>
          <w:szCs w:val="22"/>
        </w:rPr>
        <w:t xml:space="preserve">278.1 à 278.91 C.cr. </w:t>
      </w:r>
      <w:r>
        <w:rPr>
          <w:rFonts w:ascii="Times New Roman" w:hAnsi="Times New Roman" w:cs="Times New Roman"/>
          <w:sz w:val="22"/>
          <w:szCs w:val="22"/>
        </w:rPr>
        <w:t xml:space="preserve"> concernant la communication de données ayant trait à la victime d’une agression sexuelle.</w:t>
      </w:r>
    </w:p>
    <w:p w14:paraId="3BA31D5E" w14:textId="77777777" w:rsidR="00926D7E" w:rsidRDefault="00926D7E" w:rsidP="00926D7E">
      <w:pPr>
        <w:jc w:val="both"/>
        <w:rPr>
          <w:rFonts w:ascii="Times New Roman" w:hAnsi="Times New Roman" w:cs="Times New Roman"/>
          <w:sz w:val="22"/>
          <w:szCs w:val="22"/>
        </w:rPr>
      </w:pPr>
    </w:p>
    <w:p w14:paraId="5740A473" w14:textId="683AA3D7" w:rsidR="00926D7E" w:rsidRPr="00926D7E" w:rsidRDefault="00926D7E" w:rsidP="00926D7E">
      <w:pPr>
        <w:jc w:val="both"/>
        <w:rPr>
          <w:rFonts w:ascii="Times New Roman" w:hAnsi="Times New Roman" w:cs="Times New Roman"/>
          <w:b/>
          <w:sz w:val="22"/>
          <w:szCs w:val="22"/>
        </w:rPr>
      </w:pPr>
      <w:r>
        <w:rPr>
          <w:rFonts w:ascii="Times New Roman" w:hAnsi="Times New Roman" w:cs="Times New Roman"/>
          <w:sz w:val="22"/>
          <w:szCs w:val="22"/>
        </w:rPr>
        <w:t xml:space="preserve">La Couronne pourrait aussi invoquer l’article 37 </w:t>
      </w:r>
      <w:r>
        <w:rPr>
          <w:rFonts w:ascii="Times New Roman" w:hAnsi="Times New Roman" w:cs="Times New Roman"/>
          <w:b/>
          <w:sz w:val="22"/>
          <w:szCs w:val="22"/>
        </w:rPr>
        <w:t>de la Loi sur la preuve</w:t>
      </w:r>
      <w:r>
        <w:rPr>
          <w:rFonts w:ascii="Times New Roman" w:hAnsi="Times New Roman" w:cs="Times New Roman"/>
          <w:sz w:val="22"/>
          <w:szCs w:val="22"/>
        </w:rPr>
        <w:t xml:space="preserve"> pour refuser de divulguer des renseignement. On parle ici de renseignement d’intérêt public et dans ce cas-ci, c’est la Couronne qui doit se justifier sur la non-divulgation comme en témoigne l’affaire </w:t>
      </w:r>
      <w:r>
        <w:rPr>
          <w:rFonts w:ascii="Times New Roman" w:hAnsi="Times New Roman" w:cs="Times New Roman"/>
          <w:b/>
          <w:sz w:val="22"/>
          <w:szCs w:val="22"/>
        </w:rPr>
        <w:t>Leipert 1997 (p.7).</w:t>
      </w:r>
    </w:p>
    <w:p w14:paraId="26F0180E" w14:textId="77777777" w:rsidR="00D80682" w:rsidRPr="00D80682" w:rsidRDefault="00D80682" w:rsidP="00D80682">
      <w:pPr>
        <w:widowControl w:val="0"/>
        <w:autoSpaceDE w:val="0"/>
        <w:autoSpaceDN w:val="0"/>
        <w:adjustRightInd w:val="0"/>
        <w:rPr>
          <w:rFonts w:ascii="Times New Roman" w:hAnsi="Times New Roman" w:cs="Times New Roman"/>
          <w:color w:val="3E3E3E"/>
          <w:sz w:val="22"/>
          <w:szCs w:val="22"/>
        </w:rPr>
      </w:pPr>
    </w:p>
    <w:p w14:paraId="0199FBE8"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0B61B6F2" w14:textId="6A9C44E2"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B.    Quand divulguer</w:t>
      </w:r>
      <w:r w:rsidR="00926D7E">
        <w:rPr>
          <w:rFonts w:ascii="Times New Roman" w:hAnsi="Times New Roman" w:cs="Times New Roman"/>
          <w:b/>
          <w:color w:val="3E3E3E"/>
          <w:sz w:val="22"/>
          <w:szCs w:val="22"/>
        </w:rPr>
        <w:t xml:space="preserve"> (p.7)</w:t>
      </w:r>
    </w:p>
    <w:p w14:paraId="2CAC5742" w14:textId="77777777" w:rsidR="00926D7E" w:rsidRDefault="00926D7E" w:rsidP="007916A0">
      <w:pPr>
        <w:widowControl w:val="0"/>
        <w:autoSpaceDE w:val="0"/>
        <w:autoSpaceDN w:val="0"/>
        <w:adjustRightInd w:val="0"/>
        <w:rPr>
          <w:rFonts w:ascii="Times New Roman" w:hAnsi="Times New Roman" w:cs="Times New Roman"/>
          <w:b/>
          <w:i/>
          <w:color w:val="3E3E3E"/>
          <w:sz w:val="22"/>
          <w:szCs w:val="22"/>
        </w:rPr>
      </w:pPr>
    </w:p>
    <w:p w14:paraId="080B7E01" w14:textId="2395E9C0" w:rsidR="00926D7E" w:rsidRDefault="00926D7E" w:rsidP="007916A0">
      <w:pPr>
        <w:widowControl w:val="0"/>
        <w:autoSpaceDE w:val="0"/>
        <w:autoSpaceDN w:val="0"/>
        <w:adjustRightInd w:val="0"/>
        <w:rPr>
          <w:rFonts w:ascii="Times New Roman" w:hAnsi="Times New Roman" w:cs="Times New Roman"/>
          <w:b/>
          <w:i/>
          <w:color w:val="3E3E3E"/>
          <w:sz w:val="22"/>
          <w:szCs w:val="22"/>
        </w:rPr>
      </w:pPr>
      <w:r>
        <w:rPr>
          <w:rFonts w:ascii="Times New Roman" w:hAnsi="Times New Roman" w:cs="Times New Roman"/>
          <w:b/>
          <w:i/>
          <w:color w:val="3E3E3E"/>
          <w:sz w:val="22"/>
          <w:szCs w:val="22"/>
        </w:rPr>
        <w:t>R. c. Stinchcombe 1991 :</w:t>
      </w:r>
    </w:p>
    <w:p w14:paraId="4935202C" w14:textId="7A1AA92A" w:rsidR="00926D7E" w:rsidRPr="00926D7E" w:rsidRDefault="00926D7E" w:rsidP="00926D7E">
      <w:pPr>
        <w:pStyle w:val="Paragraphedeliste"/>
        <w:widowControl w:val="0"/>
        <w:numPr>
          <w:ilvl w:val="0"/>
          <w:numId w:val="103"/>
        </w:numPr>
        <w:autoSpaceDE w:val="0"/>
        <w:autoSpaceDN w:val="0"/>
        <w:adjustRightInd w:val="0"/>
        <w:rPr>
          <w:rFonts w:ascii="Times New Roman" w:hAnsi="Times New Roman" w:cs="Times New Roman"/>
          <w:i/>
          <w:color w:val="3E3E3E"/>
          <w:sz w:val="22"/>
          <w:szCs w:val="22"/>
        </w:rPr>
      </w:pPr>
      <w:r w:rsidRPr="00926D7E">
        <w:rPr>
          <w:rFonts w:ascii="Times New Roman" w:hAnsi="Times New Roman" w:cs="Times New Roman"/>
          <w:sz w:val="20"/>
          <w:szCs w:val="20"/>
        </w:rPr>
        <w:t>En ce qui concerne le moment de la divulgation, je souscris à la recommandation de la Commission de réforme du droit du Canada, dans ses deux rapports susmentionnés, que la communication initiale de la preuve devrait avoir lieu avant que l'accusé ne soit appelé à choisir son mode de procès où à présenter son plaidoyer [...]Dans les rares cas où l'accusé n'est pas représenté par un avocat, le substitut du procureur général devrait l'informer de son droit à la communication de la preuve et le juge du procès ne devrait accepter de plaidoyer que s'il est convaincu que cela a été fait.  Souvent, le dossier du ministère public ne sera pas complet à ce stade, ce qui viendra limiter la portée de la divulgation.  L'obligation de divulguer n'en demeure pas moins permanente et la communication de la preuve doit être complétée dès la réception de renseignements complémentaires.</w:t>
      </w:r>
    </w:p>
    <w:p w14:paraId="1477286F" w14:textId="33E937BA" w:rsidR="00926D7E" w:rsidRPr="00926D7E" w:rsidRDefault="00926D7E" w:rsidP="00926D7E">
      <w:pPr>
        <w:pStyle w:val="Paragraphedeliste"/>
        <w:widowControl w:val="0"/>
        <w:numPr>
          <w:ilvl w:val="0"/>
          <w:numId w:val="103"/>
        </w:numPr>
        <w:autoSpaceDE w:val="0"/>
        <w:autoSpaceDN w:val="0"/>
        <w:adjustRightInd w:val="0"/>
        <w:rPr>
          <w:rFonts w:ascii="Times New Roman" w:hAnsi="Times New Roman" w:cs="Times New Roman"/>
          <w:i/>
          <w:color w:val="3E3E3E"/>
          <w:sz w:val="22"/>
          <w:szCs w:val="22"/>
        </w:rPr>
      </w:pPr>
      <w:r w:rsidRPr="00170F6A">
        <w:rPr>
          <w:rFonts w:ascii="Times New Roman" w:hAnsi="Times New Roman" w:cs="Times New Roman"/>
          <w:sz w:val="20"/>
          <w:szCs w:val="20"/>
        </w:rPr>
        <w:t>L'obligation de divulguer n'en demeure pas moins permanente et la communication de la preuve doit être complétée dès la réception de renseignements complémentaires. La Couronne doit faire attention si elle retarde une divulgation pour des raisons tactiques</w:t>
      </w:r>
      <w:r>
        <w:rPr>
          <w:rFonts w:ascii="Times New Roman" w:hAnsi="Times New Roman" w:cs="Times New Roman"/>
          <w:sz w:val="20"/>
          <w:szCs w:val="20"/>
        </w:rPr>
        <w:t>.</w:t>
      </w:r>
    </w:p>
    <w:p w14:paraId="150BBCA8" w14:textId="77777777" w:rsidR="00926D7E" w:rsidRDefault="00926D7E" w:rsidP="00926D7E">
      <w:pPr>
        <w:widowControl w:val="0"/>
        <w:autoSpaceDE w:val="0"/>
        <w:autoSpaceDN w:val="0"/>
        <w:adjustRightInd w:val="0"/>
        <w:rPr>
          <w:rFonts w:ascii="Times New Roman" w:hAnsi="Times New Roman" w:cs="Times New Roman"/>
          <w:i/>
          <w:color w:val="3E3E3E"/>
          <w:sz w:val="22"/>
          <w:szCs w:val="22"/>
        </w:rPr>
      </w:pPr>
    </w:p>
    <w:p w14:paraId="09569783" w14:textId="68604456" w:rsidR="00926D7E" w:rsidRDefault="00926D7E" w:rsidP="00926D7E">
      <w:pPr>
        <w:widowControl w:val="0"/>
        <w:autoSpaceDE w:val="0"/>
        <w:autoSpaceDN w:val="0"/>
        <w:adjustRightInd w:val="0"/>
        <w:rPr>
          <w:rFonts w:ascii="Times New Roman" w:hAnsi="Times New Roman" w:cs="Times New Roman"/>
          <w:b/>
          <w:color w:val="3E3E3E"/>
          <w:sz w:val="22"/>
          <w:szCs w:val="22"/>
        </w:rPr>
      </w:pPr>
      <w:r>
        <w:rPr>
          <w:rFonts w:ascii="Times New Roman" w:hAnsi="Times New Roman" w:cs="Times New Roman"/>
          <w:color w:val="3E3E3E"/>
          <w:sz w:val="22"/>
          <w:szCs w:val="22"/>
        </w:rPr>
        <w:t>Cette obligation de divulgation de la Couronne se poursuit même devant la Cour d’appel comme l’illustre l’</w:t>
      </w:r>
      <w:r>
        <w:rPr>
          <w:rFonts w:ascii="Times New Roman" w:hAnsi="Times New Roman" w:cs="Times New Roman"/>
          <w:b/>
          <w:color w:val="3E3E3E"/>
          <w:sz w:val="22"/>
          <w:szCs w:val="22"/>
        </w:rPr>
        <w:t>affaire R. v. Trotta 2004 (p.7) :</w:t>
      </w:r>
    </w:p>
    <w:p w14:paraId="502A80D1" w14:textId="797329A4" w:rsidR="00926D7E" w:rsidRPr="00926D7E" w:rsidRDefault="00926D7E" w:rsidP="00926D7E">
      <w:pPr>
        <w:pStyle w:val="Paragraphedeliste"/>
        <w:widowControl w:val="0"/>
        <w:numPr>
          <w:ilvl w:val="0"/>
          <w:numId w:val="104"/>
        </w:numPr>
        <w:autoSpaceDE w:val="0"/>
        <w:autoSpaceDN w:val="0"/>
        <w:adjustRightInd w:val="0"/>
        <w:rPr>
          <w:rFonts w:ascii="Times New Roman" w:hAnsi="Times New Roman" w:cs="Times New Roman"/>
          <w:b/>
          <w:color w:val="3E3E3E"/>
          <w:sz w:val="22"/>
          <w:szCs w:val="22"/>
        </w:rPr>
      </w:pPr>
      <w:r w:rsidRPr="00170F6A">
        <w:rPr>
          <w:rFonts w:ascii="Times New Roman" w:hAnsi="Times New Roman" w:cs="Times New Roman"/>
          <w:sz w:val="20"/>
          <w:szCs w:val="20"/>
        </w:rPr>
        <w:t>The disclosure jurisprudence arises out of the pre-verdict phase of the criminal process. I see no reason why the Crown's disclosure obligations should not continue through the appellate process. The protection of the innocent is as important on appeal as it is prior to conviction</w:t>
      </w:r>
      <w:r>
        <w:rPr>
          <w:rFonts w:ascii="Times New Roman" w:hAnsi="Times New Roman" w:cs="Times New Roman"/>
          <w:sz w:val="20"/>
          <w:szCs w:val="20"/>
        </w:rPr>
        <w:t xml:space="preserve"> [22]</w:t>
      </w:r>
    </w:p>
    <w:p w14:paraId="4257A20F" w14:textId="77777777" w:rsidR="00926D7E" w:rsidRPr="00926D7E" w:rsidRDefault="00926D7E" w:rsidP="00926D7E">
      <w:pPr>
        <w:pStyle w:val="Paragraphedeliste"/>
        <w:widowControl w:val="0"/>
        <w:autoSpaceDE w:val="0"/>
        <w:autoSpaceDN w:val="0"/>
        <w:adjustRightInd w:val="0"/>
        <w:rPr>
          <w:rFonts w:ascii="Times New Roman" w:hAnsi="Times New Roman" w:cs="Times New Roman"/>
          <w:b/>
          <w:i/>
          <w:color w:val="3E3E3E"/>
          <w:sz w:val="22"/>
          <w:szCs w:val="22"/>
        </w:rPr>
      </w:pPr>
    </w:p>
    <w:p w14:paraId="3EB41637"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1DC51915" w14:textId="04AC52E3"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C.    Les entités étatiques objets de Stinchcombe</w:t>
      </w:r>
      <w:r w:rsidR="00926D7E">
        <w:rPr>
          <w:rFonts w:ascii="Times New Roman" w:hAnsi="Times New Roman" w:cs="Times New Roman"/>
          <w:b/>
          <w:color w:val="3E3E3E"/>
          <w:sz w:val="22"/>
          <w:szCs w:val="22"/>
        </w:rPr>
        <w:t xml:space="preserve"> (p.8)</w:t>
      </w:r>
    </w:p>
    <w:p w14:paraId="5F0F4595" w14:textId="77777777" w:rsidR="00926D7E" w:rsidRDefault="00926D7E" w:rsidP="007916A0">
      <w:pPr>
        <w:widowControl w:val="0"/>
        <w:autoSpaceDE w:val="0"/>
        <w:autoSpaceDN w:val="0"/>
        <w:adjustRightInd w:val="0"/>
        <w:rPr>
          <w:rFonts w:ascii="Times New Roman" w:hAnsi="Times New Roman" w:cs="Times New Roman"/>
          <w:b/>
          <w:color w:val="3E3E3E"/>
          <w:sz w:val="22"/>
          <w:szCs w:val="22"/>
        </w:rPr>
      </w:pPr>
    </w:p>
    <w:p w14:paraId="3513F5DF" w14:textId="0C922E84" w:rsidR="00926D7E" w:rsidRDefault="00926D7E" w:rsidP="00926D7E">
      <w:pPr>
        <w:jc w:val="both"/>
        <w:rPr>
          <w:rFonts w:ascii="Times New Roman" w:hAnsi="Times New Roman" w:cs="Times New Roman"/>
          <w:sz w:val="22"/>
          <w:szCs w:val="22"/>
        </w:rPr>
      </w:pPr>
      <w:r w:rsidRPr="00C81AAC">
        <w:rPr>
          <w:rFonts w:ascii="Times New Roman" w:hAnsi="Times New Roman" w:cs="Times New Roman"/>
          <w:sz w:val="22"/>
          <w:szCs w:val="22"/>
        </w:rPr>
        <w:t>Dans l’arrêt Stinchcombe, on parle de divulgation de renseignements pertinents en possession ou sous le contrôle de la Couronne. Ces renseignements couvrent ceux qui se trouvent entre les mains de la Couronne et ceux détenus par la police. La police a l’obligation de communiquer à la Couronne les renseignements en sa possession. La Couronne a également obligation de demander ces renseignements à la police.</w:t>
      </w:r>
      <w:r>
        <w:rPr>
          <w:rFonts w:ascii="Times New Roman" w:hAnsi="Times New Roman" w:cs="Times New Roman"/>
          <w:sz w:val="22"/>
          <w:szCs w:val="22"/>
        </w:rPr>
        <w:t xml:space="preserve"> </w:t>
      </w:r>
      <w:r w:rsidRPr="00C81AAC">
        <w:rPr>
          <w:rFonts w:ascii="Times New Roman" w:hAnsi="Times New Roman" w:cs="Times New Roman"/>
          <w:sz w:val="22"/>
          <w:szCs w:val="22"/>
        </w:rPr>
        <w:t xml:space="preserve">La Couronne et la police forment à cet effet une seule entité. </w:t>
      </w:r>
    </w:p>
    <w:p w14:paraId="67ED57D8" w14:textId="77777777" w:rsidR="00926D7E" w:rsidRDefault="00926D7E" w:rsidP="00926D7E">
      <w:pPr>
        <w:jc w:val="both"/>
        <w:rPr>
          <w:rFonts w:ascii="Times New Roman" w:hAnsi="Times New Roman" w:cs="Times New Roman"/>
          <w:sz w:val="22"/>
          <w:szCs w:val="22"/>
        </w:rPr>
      </w:pPr>
    </w:p>
    <w:p w14:paraId="174FD6D5" w14:textId="046139C4" w:rsidR="00926D7E" w:rsidRDefault="00926D7E" w:rsidP="00926D7E">
      <w:pPr>
        <w:jc w:val="both"/>
        <w:rPr>
          <w:rFonts w:ascii="Times New Roman" w:hAnsi="Times New Roman" w:cs="Times New Roman"/>
          <w:b/>
          <w:i/>
          <w:sz w:val="22"/>
          <w:szCs w:val="22"/>
        </w:rPr>
      </w:pPr>
      <w:r>
        <w:rPr>
          <w:rFonts w:ascii="Times New Roman" w:hAnsi="Times New Roman" w:cs="Times New Roman"/>
          <w:b/>
          <w:i/>
          <w:sz w:val="22"/>
          <w:szCs w:val="22"/>
        </w:rPr>
        <w:t>R. v. Mcneil 2009 (p.9) :</w:t>
      </w:r>
    </w:p>
    <w:p w14:paraId="20F1CDAD" w14:textId="4FB13AFA" w:rsidR="00926D7E" w:rsidRPr="00C66363" w:rsidRDefault="00C66363" w:rsidP="00C66363">
      <w:pPr>
        <w:pStyle w:val="Paragraphedeliste"/>
        <w:numPr>
          <w:ilvl w:val="0"/>
          <w:numId w:val="104"/>
        </w:numPr>
        <w:jc w:val="both"/>
        <w:rPr>
          <w:rFonts w:ascii="Times New Roman" w:hAnsi="Times New Roman" w:cs="Times New Roman"/>
          <w:sz w:val="20"/>
          <w:szCs w:val="20"/>
        </w:rPr>
      </w:pPr>
      <w:r w:rsidRPr="00C66363">
        <w:rPr>
          <w:rFonts w:ascii="Times New Roman" w:hAnsi="Times New Roman" w:cs="Times New Roman"/>
          <w:sz w:val="20"/>
          <w:szCs w:val="20"/>
        </w:rPr>
        <w:t>Pour s’acquitter de cette obligation corollaire, le service de police chargé de l’enquête n’est pas un tiers, même si, en droit, il est distinct et indépendant du ministère public.  En fait, il agit en tant que partie principale, tout comme le ministère public.</w:t>
      </w:r>
      <w:r>
        <w:rPr>
          <w:rFonts w:ascii="Times New Roman" w:hAnsi="Times New Roman" w:cs="Times New Roman"/>
          <w:sz w:val="20"/>
          <w:szCs w:val="20"/>
        </w:rPr>
        <w:t xml:space="preserve"> [14]. </w:t>
      </w:r>
      <w:r>
        <w:rPr>
          <w:rFonts w:ascii="Times New Roman" w:hAnsi="Times New Roman" w:cs="Times New Roman"/>
          <w:i/>
          <w:sz w:val="20"/>
          <w:szCs w:val="20"/>
        </w:rPr>
        <w:t>Cela ne veut dire que tous les autorités de l’État doivent être traitées comme faisant corps avec la Couronne.</w:t>
      </w:r>
    </w:p>
    <w:p w14:paraId="25761C58" w14:textId="03A09F76" w:rsidR="00C66363" w:rsidRPr="00C66363" w:rsidRDefault="00C66363" w:rsidP="00C66363">
      <w:pPr>
        <w:pStyle w:val="Paragraphedeliste"/>
        <w:numPr>
          <w:ilvl w:val="0"/>
          <w:numId w:val="104"/>
        </w:numPr>
        <w:jc w:val="both"/>
        <w:rPr>
          <w:rFonts w:ascii="Times New Roman" w:hAnsi="Times New Roman" w:cs="Times New Roman"/>
          <w:sz w:val="20"/>
          <w:szCs w:val="20"/>
        </w:rPr>
      </w:pPr>
      <w:r w:rsidRPr="00BF741F">
        <w:rPr>
          <w:rFonts w:ascii="Times New Roman" w:hAnsi="Times New Roman" w:cs="Times New Roman"/>
          <w:b/>
          <w:sz w:val="20"/>
          <w:szCs w:val="20"/>
        </w:rPr>
        <w:t>L’idée que toutes les autorités de l’État ne forment qu’une seule entité étatique pour les besoins de la communication et de la production doit être écartée d’emblée</w:t>
      </w:r>
      <w:r>
        <w:rPr>
          <w:rFonts w:ascii="Times New Roman" w:hAnsi="Times New Roman" w:cs="Times New Roman"/>
          <w:b/>
          <w:sz w:val="20"/>
          <w:szCs w:val="20"/>
        </w:rPr>
        <w:t xml:space="preserve"> [22]</w:t>
      </w:r>
    </w:p>
    <w:p w14:paraId="2996064B" w14:textId="1B1EC817" w:rsidR="00C66363" w:rsidRPr="00C66363" w:rsidRDefault="00C66363" w:rsidP="00C66363">
      <w:pPr>
        <w:pStyle w:val="Paragraphedeliste"/>
        <w:numPr>
          <w:ilvl w:val="0"/>
          <w:numId w:val="104"/>
        </w:numPr>
        <w:jc w:val="both"/>
        <w:rPr>
          <w:rFonts w:ascii="Times New Roman" w:hAnsi="Times New Roman" w:cs="Times New Roman"/>
          <w:sz w:val="20"/>
          <w:szCs w:val="20"/>
        </w:rPr>
      </w:pPr>
      <w:r w:rsidRPr="00C66363">
        <w:rPr>
          <w:rFonts w:ascii="Times New Roman" w:hAnsi="Times New Roman" w:cs="Times New Roman"/>
          <w:sz w:val="20"/>
          <w:szCs w:val="20"/>
        </w:rPr>
        <w:t xml:space="preserve">Par conséquent, le régime de communication établi dans </w:t>
      </w:r>
      <w:r w:rsidRPr="00C66363">
        <w:rPr>
          <w:rFonts w:ascii="Times New Roman" w:hAnsi="Times New Roman" w:cs="Times New Roman"/>
          <w:i/>
          <w:iCs/>
          <w:sz w:val="20"/>
          <w:szCs w:val="20"/>
        </w:rPr>
        <w:t>Stinchcombe</w:t>
      </w:r>
      <w:r w:rsidRPr="00C66363">
        <w:rPr>
          <w:rFonts w:ascii="Times New Roman" w:hAnsi="Times New Roman" w:cs="Times New Roman"/>
          <w:sz w:val="20"/>
          <w:szCs w:val="20"/>
        </w:rPr>
        <w:t xml:space="preserve"> ne vise que les documents se rapportant à la cause de l’accusé qui sont en la possession du poursuivant ou qui sont sous son contrôle.  Ces renseignements sont communément appe</w:t>
      </w:r>
      <w:r>
        <w:rPr>
          <w:rFonts w:ascii="Times New Roman" w:hAnsi="Times New Roman" w:cs="Times New Roman"/>
          <w:sz w:val="20"/>
          <w:szCs w:val="20"/>
        </w:rPr>
        <w:t>lés les « fruits de l’enquête » [22].</w:t>
      </w:r>
    </w:p>
    <w:p w14:paraId="053F82C2" w14:textId="11CE5C64" w:rsidR="00C66363" w:rsidRPr="00C66363" w:rsidRDefault="00C66363" w:rsidP="00C66363">
      <w:pPr>
        <w:pStyle w:val="Paragraphedeliste"/>
        <w:numPr>
          <w:ilvl w:val="0"/>
          <w:numId w:val="104"/>
        </w:numPr>
        <w:jc w:val="both"/>
        <w:rPr>
          <w:rFonts w:ascii="Times New Roman" w:hAnsi="Times New Roman" w:cs="Times New Roman"/>
          <w:sz w:val="20"/>
          <w:szCs w:val="20"/>
        </w:rPr>
      </w:pPr>
      <w:r w:rsidRPr="00BF741F">
        <w:rPr>
          <w:rFonts w:ascii="Times New Roman" w:hAnsi="Times New Roman" w:cs="Times New Roman"/>
          <w:sz w:val="20"/>
          <w:szCs w:val="20"/>
        </w:rPr>
        <w:t xml:space="preserve">En l’espèce, l’obligation de la police de participer au processus de communication revêt une importance particulière.  La façon dont le ministère public entre en possession des fruits de l’enquête découle de l’obligation corollaire des enquêteurs de communiquer au poursuivant tous les renseignements pertinents en leur possession.  L’obligation de la police de communiquer au poursuivant tous les renseignements relatifs à l’enquête sur l’accusé a été reconnue bien avant l’arrêt </w:t>
      </w:r>
      <w:r w:rsidRPr="00BF741F">
        <w:rPr>
          <w:rFonts w:ascii="Times New Roman" w:hAnsi="Times New Roman" w:cs="Times New Roman"/>
          <w:i/>
          <w:iCs/>
          <w:sz w:val="20"/>
          <w:szCs w:val="20"/>
        </w:rPr>
        <w:t>Stinchcombe. </w:t>
      </w:r>
      <w:r>
        <w:rPr>
          <w:rFonts w:ascii="Times New Roman" w:hAnsi="Times New Roman" w:cs="Times New Roman"/>
          <w:i/>
          <w:iCs/>
          <w:sz w:val="20"/>
          <w:szCs w:val="20"/>
        </w:rPr>
        <w:t>[23]</w:t>
      </w:r>
    </w:p>
    <w:p w14:paraId="468BB1A5" w14:textId="056B518A" w:rsidR="00C66363" w:rsidRPr="00C66363" w:rsidRDefault="00C66363" w:rsidP="00C66363">
      <w:pPr>
        <w:pStyle w:val="Paragraphedeliste"/>
        <w:numPr>
          <w:ilvl w:val="0"/>
          <w:numId w:val="104"/>
        </w:numPr>
        <w:jc w:val="both"/>
        <w:rPr>
          <w:rFonts w:ascii="Times New Roman" w:hAnsi="Times New Roman" w:cs="Times New Roman"/>
          <w:sz w:val="20"/>
          <w:szCs w:val="20"/>
        </w:rPr>
      </w:pPr>
      <w:r w:rsidRPr="00BF741F">
        <w:rPr>
          <w:rFonts w:ascii="Times New Roman" w:hAnsi="Times New Roman" w:cs="Times New Roman"/>
          <w:b/>
          <w:sz w:val="20"/>
          <w:szCs w:val="20"/>
        </w:rPr>
        <w:t>Comme il a été mentionné précédemment, l’allégation portant que toutes les autorités gouvernementales constituent une seule entité est indéfendable et inapplicable</w:t>
      </w:r>
      <w:r>
        <w:rPr>
          <w:rFonts w:ascii="Times New Roman" w:hAnsi="Times New Roman" w:cs="Times New Roman"/>
          <w:b/>
          <w:sz w:val="20"/>
          <w:szCs w:val="20"/>
        </w:rPr>
        <w:t xml:space="preserve"> [48].</w:t>
      </w:r>
    </w:p>
    <w:p w14:paraId="3671D383" w14:textId="7D126A79" w:rsidR="00C66363" w:rsidRPr="00C66363" w:rsidRDefault="00C66363" w:rsidP="00C66363">
      <w:pPr>
        <w:pStyle w:val="Paragraphedeliste"/>
        <w:numPr>
          <w:ilvl w:val="0"/>
          <w:numId w:val="104"/>
        </w:numPr>
        <w:jc w:val="both"/>
        <w:rPr>
          <w:rFonts w:ascii="Times New Roman" w:hAnsi="Times New Roman" w:cs="Times New Roman"/>
          <w:sz w:val="20"/>
          <w:szCs w:val="20"/>
        </w:rPr>
      </w:pPr>
      <w:r w:rsidRPr="00BF741F">
        <w:rPr>
          <w:rFonts w:ascii="Times New Roman" w:hAnsi="Times New Roman" w:cs="Times New Roman"/>
          <w:sz w:val="20"/>
          <w:szCs w:val="20"/>
        </w:rPr>
        <w:t>Lorsqu’une divulgation est demandée ou exigée, le procureur de la Couronne a l’obligation de se renseigner suffisamment auprès des autres organismes ou ministères de la Couronne qui pourraient logiquement avoir en leur possession des éléments de preuve.  On ne peut excuser le procureur de la Couronne de ne pas se renseigner suffisamment lorsqu’à la connaissance du poursuivant ou de la police un autre organisme de la Couronne a participé à l’enquête</w:t>
      </w:r>
      <w:r>
        <w:rPr>
          <w:rFonts w:ascii="Times New Roman" w:hAnsi="Times New Roman" w:cs="Times New Roman"/>
          <w:sz w:val="20"/>
          <w:szCs w:val="20"/>
        </w:rPr>
        <w:t xml:space="preserve"> [48]</w:t>
      </w:r>
    </w:p>
    <w:p w14:paraId="521181C5" w14:textId="77777777" w:rsidR="00926D7E" w:rsidRPr="00926D7E" w:rsidRDefault="00926D7E" w:rsidP="007916A0">
      <w:pPr>
        <w:widowControl w:val="0"/>
        <w:autoSpaceDE w:val="0"/>
        <w:autoSpaceDN w:val="0"/>
        <w:adjustRightInd w:val="0"/>
        <w:rPr>
          <w:rFonts w:ascii="Times New Roman" w:hAnsi="Times New Roman" w:cs="Times New Roman"/>
          <w:color w:val="3E3E3E"/>
          <w:sz w:val="22"/>
          <w:szCs w:val="22"/>
        </w:rPr>
      </w:pPr>
    </w:p>
    <w:p w14:paraId="2D5FF560"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555526EF" w14:textId="0123C147"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D.    L’obligation de la Couronne de préserver l’information</w:t>
      </w:r>
      <w:r w:rsidR="00C66363">
        <w:rPr>
          <w:rFonts w:ascii="Times New Roman" w:hAnsi="Times New Roman" w:cs="Times New Roman"/>
          <w:b/>
          <w:color w:val="3E3E3E"/>
          <w:sz w:val="22"/>
          <w:szCs w:val="22"/>
        </w:rPr>
        <w:t xml:space="preserve"> (p.10)</w:t>
      </w:r>
    </w:p>
    <w:p w14:paraId="080A4F9E" w14:textId="3B6C45E9" w:rsidR="00D50D89" w:rsidRDefault="00D50D89" w:rsidP="007916A0">
      <w:pPr>
        <w:widowControl w:val="0"/>
        <w:autoSpaceDE w:val="0"/>
        <w:autoSpaceDN w:val="0"/>
        <w:adjustRightInd w:val="0"/>
        <w:rPr>
          <w:rFonts w:ascii="Times New Roman" w:hAnsi="Times New Roman" w:cs="Times New Roman"/>
          <w:b/>
          <w:i/>
          <w:color w:val="3E3E3E"/>
          <w:sz w:val="22"/>
          <w:szCs w:val="22"/>
        </w:rPr>
      </w:pPr>
      <w:r>
        <w:rPr>
          <w:rFonts w:ascii="Times New Roman" w:hAnsi="Times New Roman" w:cs="Times New Roman"/>
          <w:b/>
          <w:i/>
          <w:color w:val="3E3E3E"/>
          <w:sz w:val="22"/>
          <w:szCs w:val="22"/>
        </w:rPr>
        <w:t>R. v. La 1997 :</w:t>
      </w:r>
    </w:p>
    <w:p w14:paraId="43C2C440" w14:textId="3E2D3443" w:rsidR="00D50D89" w:rsidRPr="00D50D89" w:rsidRDefault="00D50D89" w:rsidP="00D50D89">
      <w:pPr>
        <w:pStyle w:val="Paragraphedeliste"/>
        <w:widowControl w:val="0"/>
        <w:numPr>
          <w:ilvl w:val="0"/>
          <w:numId w:val="105"/>
        </w:numPr>
        <w:autoSpaceDE w:val="0"/>
        <w:autoSpaceDN w:val="0"/>
        <w:adjustRightInd w:val="0"/>
        <w:rPr>
          <w:rFonts w:ascii="Times New Roman" w:hAnsi="Times New Roman" w:cs="Times New Roman"/>
          <w:b/>
          <w:i/>
          <w:color w:val="3E3E3E"/>
          <w:sz w:val="20"/>
          <w:szCs w:val="20"/>
        </w:rPr>
      </w:pPr>
      <w:r w:rsidRPr="00D50D89">
        <w:rPr>
          <w:rFonts w:ascii="Times New Roman" w:hAnsi="Times New Roman" w:cs="Times New Roman"/>
          <w:sz w:val="20"/>
          <w:szCs w:val="20"/>
        </w:rPr>
        <w:t xml:space="preserve">Dans </w:t>
      </w:r>
      <w:r w:rsidRPr="00D50D89">
        <w:rPr>
          <w:rFonts w:ascii="Times New Roman" w:hAnsi="Times New Roman" w:cs="Times New Roman"/>
          <w:i/>
          <w:iCs/>
          <w:sz w:val="20"/>
          <w:szCs w:val="20"/>
        </w:rPr>
        <w:t>R. c. Egger</w:t>
      </w:r>
      <w:r w:rsidRPr="00D50D89">
        <w:rPr>
          <w:rFonts w:ascii="Times New Roman" w:hAnsi="Times New Roman" w:cs="Times New Roman"/>
          <w:sz w:val="20"/>
          <w:szCs w:val="20"/>
        </w:rPr>
        <w:t xml:space="preserve">, </w:t>
      </w:r>
      <w:hyperlink r:id="rId29" w:history="1">
        <w:r w:rsidRPr="00D50D89">
          <w:rPr>
            <w:rStyle w:val="Lienhypertexte"/>
            <w:rFonts w:ascii="Times New Roman" w:hAnsi="Times New Roman" w:cs="Times New Roman"/>
            <w:sz w:val="20"/>
            <w:szCs w:val="20"/>
          </w:rPr>
          <w:t>1993 CanLII 98 (CSC)</w:t>
        </w:r>
      </w:hyperlink>
      <w:r w:rsidRPr="00D50D89">
        <w:rPr>
          <w:rFonts w:ascii="Times New Roman" w:hAnsi="Times New Roman" w:cs="Times New Roman"/>
          <w:sz w:val="20"/>
          <w:szCs w:val="20"/>
        </w:rPr>
        <w:t>, [1993] 2 R.C.S. 451, notre Cour a reconnu que l’obligation de divulgation du ministère public donnait naissance à une obligation de conserver les éléments de preuve pertinents [17]</w:t>
      </w:r>
    </w:p>
    <w:p w14:paraId="1E35211B" w14:textId="7DB4C184" w:rsidR="00D50D89" w:rsidRPr="00D50D89" w:rsidRDefault="00D50D89" w:rsidP="00D50D89">
      <w:pPr>
        <w:pStyle w:val="Paragraphedeliste"/>
        <w:widowControl w:val="0"/>
        <w:numPr>
          <w:ilvl w:val="0"/>
          <w:numId w:val="105"/>
        </w:numPr>
        <w:autoSpaceDE w:val="0"/>
        <w:autoSpaceDN w:val="0"/>
        <w:adjustRightInd w:val="0"/>
        <w:rPr>
          <w:rFonts w:ascii="Times New Roman" w:hAnsi="Times New Roman" w:cs="Times New Roman"/>
          <w:b/>
          <w:i/>
          <w:color w:val="3E3E3E"/>
          <w:sz w:val="20"/>
          <w:szCs w:val="20"/>
        </w:rPr>
      </w:pPr>
      <w:r w:rsidRPr="00D50D89">
        <w:rPr>
          <w:rFonts w:ascii="Times New Roman" w:hAnsi="Times New Roman" w:cs="Times New Roman"/>
          <w:sz w:val="20"/>
          <w:szCs w:val="20"/>
        </w:rPr>
        <w:t>Le ministère public ne peut produire que ce qu'il a en sa possession ou ce dont il a le contrôle.  Il n'existe pas de droit absolu de faire produire les originaux.  Si le ministère public a les originaux des documents qui doivent être produits, il doit les produire ou permettre qu'ils soient examinés.  Cependant, si les originaux ne sont pas disponibles et si le ministère public les a déjà eu en sa possession, il doit expliquer leur absence.  Si l'explication est satisfaisante, le ministère public s'est acquitté de son obligation, sauf si la conduite qui a entraîné l'absence ou la perte des originaux est en elle</w:t>
      </w:r>
      <w:r w:rsidRPr="00D50D89">
        <w:rPr>
          <w:rFonts w:ascii="Palatino" w:hAnsi="Palatino" w:cs="Palatino"/>
          <w:sz w:val="20"/>
          <w:szCs w:val="20"/>
        </w:rPr>
        <w:t>‑</w:t>
      </w:r>
      <w:r w:rsidRPr="00D50D89">
        <w:rPr>
          <w:rFonts w:ascii="Times New Roman" w:hAnsi="Times New Roman" w:cs="Times New Roman"/>
          <w:sz w:val="20"/>
          <w:szCs w:val="20"/>
        </w:rPr>
        <w:t xml:space="preserve">même telle qu'elle pourrait justifier une réparation aux termes de la </w:t>
      </w:r>
      <w:hyperlink r:id="rId30" w:history="1">
        <w:r w:rsidRPr="00D50D89">
          <w:rPr>
            <w:rStyle w:val="Lienhypertexte"/>
            <w:rFonts w:ascii="Times New Roman" w:hAnsi="Times New Roman" w:cs="Times New Roman"/>
            <w:i/>
            <w:iCs/>
            <w:sz w:val="20"/>
            <w:szCs w:val="20"/>
          </w:rPr>
          <w:t>Charte canadienne des droits et libertés</w:t>
        </w:r>
      </w:hyperlink>
      <w:r w:rsidRPr="00D50D89">
        <w:rPr>
          <w:rFonts w:ascii="Times New Roman" w:hAnsi="Times New Roman" w:cs="Times New Roman"/>
          <w:sz w:val="20"/>
          <w:szCs w:val="20"/>
        </w:rPr>
        <w:t>. [18].</w:t>
      </w:r>
    </w:p>
    <w:p w14:paraId="4E97B754" w14:textId="799C5A74" w:rsidR="00D50D89" w:rsidRPr="00D50D89" w:rsidRDefault="00D50D89" w:rsidP="00D50D89">
      <w:pPr>
        <w:pStyle w:val="Paragraphedeliste"/>
        <w:widowControl w:val="0"/>
        <w:numPr>
          <w:ilvl w:val="0"/>
          <w:numId w:val="105"/>
        </w:numPr>
        <w:autoSpaceDE w:val="0"/>
        <w:autoSpaceDN w:val="0"/>
        <w:adjustRightInd w:val="0"/>
        <w:rPr>
          <w:rFonts w:ascii="Times New Roman" w:hAnsi="Times New Roman" w:cs="Times New Roman"/>
          <w:b/>
          <w:i/>
          <w:color w:val="3E3E3E"/>
          <w:sz w:val="20"/>
          <w:szCs w:val="20"/>
        </w:rPr>
      </w:pPr>
      <w:r w:rsidRPr="00D50D89">
        <w:rPr>
          <w:rFonts w:ascii="Times New Roman" w:hAnsi="Times New Roman" w:cs="Times New Roman"/>
          <w:b/>
          <w:sz w:val="20"/>
          <w:szCs w:val="20"/>
        </w:rPr>
        <w:t xml:space="preserve">Le droit à la divulgation serait vide de sens si le ministère public n’était pas tenu de conserver des éléments de preuve qu’on sait pertinents.  Pourtant, malgré tous les efforts que déploie le ministère public pour conserver la preuve, comme l’être humain n’est pas infaillible, il arrive, à l’occasion, que des éléments soient perdus.  </w:t>
      </w:r>
      <w:r w:rsidRPr="00D50D89">
        <w:rPr>
          <w:rFonts w:ascii="Times New Roman" w:hAnsi="Times New Roman" w:cs="Times New Roman"/>
          <w:sz w:val="20"/>
          <w:szCs w:val="20"/>
        </w:rPr>
        <w:t xml:space="preserve">Le principe établi dans l’arrêt </w:t>
      </w:r>
      <w:r w:rsidRPr="00D50D89">
        <w:rPr>
          <w:rFonts w:ascii="Times New Roman" w:hAnsi="Times New Roman" w:cs="Times New Roman"/>
          <w:i/>
          <w:iCs/>
          <w:sz w:val="20"/>
          <w:szCs w:val="20"/>
        </w:rPr>
        <w:t>Stinchcombe (n</w:t>
      </w:r>
      <w:r w:rsidRPr="00D50D89">
        <w:rPr>
          <w:rFonts w:ascii="Times New Roman" w:hAnsi="Times New Roman" w:cs="Times New Roman"/>
          <w:i/>
          <w:iCs/>
          <w:sz w:val="20"/>
          <w:szCs w:val="20"/>
          <w:vertAlign w:val="superscript"/>
        </w:rPr>
        <w:t>o</w:t>
      </w:r>
      <w:r w:rsidRPr="00D50D89">
        <w:rPr>
          <w:rFonts w:ascii="Times New Roman" w:hAnsi="Times New Roman" w:cs="Times New Roman"/>
          <w:i/>
          <w:iCs/>
          <w:sz w:val="20"/>
          <w:szCs w:val="20"/>
        </w:rPr>
        <w:t xml:space="preserve"> 2)</w:t>
      </w:r>
      <w:r w:rsidRPr="00D50D89">
        <w:rPr>
          <w:rFonts w:ascii="Times New Roman" w:hAnsi="Times New Roman" w:cs="Times New Roman"/>
          <w:sz w:val="20"/>
          <w:szCs w:val="20"/>
        </w:rPr>
        <w:t xml:space="preserve">, précité, reconnaît ce malheureux état de fait.  Si les explications du ministère public convainquent le juge du procès que la preuve n’a été ni détruite ni perdue par suite d’une négligence inacceptable, l’obligation de divulgation n’a pas été violée.  Toutefois, si le ministère ne parvient pas à convaincre le juge à cet égard, il manque à ses obligations en matière de divulgation et il y a en conséquence violation de l’art. 7 de la </w:t>
      </w:r>
      <w:r w:rsidRPr="00D50D89">
        <w:rPr>
          <w:rFonts w:ascii="Times New Roman" w:hAnsi="Times New Roman" w:cs="Times New Roman"/>
          <w:i/>
          <w:iCs/>
          <w:sz w:val="20"/>
          <w:szCs w:val="20"/>
        </w:rPr>
        <w:t>Charte</w:t>
      </w:r>
      <w:r w:rsidRPr="00D50D89">
        <w:rPr>
          <w:rFonts w:ascii="Times New Roman" w:hAnsi="Times New Roman" w:cs="Times New Roman"/>
          <w:sz w:val="20"/>
          <w:szCs w:val="20"/>
        </w:rPr>
        <w:t>.  Un tel défaut pourrait également indiquer qu’il s’est produit un abus de procédure, mais il s’agit-là d’une toute autre question.  L’accusé n’a pas à établir qu’il y a eu abus de procédure pour démontrer que le ministère public ne s’est pas acquitté de l’obligation de divulgation que lui impose l’art. 7. [20]</w:t>
      </w:r>
    </w:p>
    <w:p w14:paraId="008F3264" w14:textId="3E79BCBD" w:rsidR="00D50D89" w:rsidRPr="00D50D89" w:rsidRDefault="00D50D89" w:rsidP="00D50D89">
      <w:pPr>
        <w:pStyle w:val="Paragraphedeliste"/>
        <w:numPr>
          <w:ilvl w:val="0"/>
          <w:numId w:val="105"/>
        </w:numPr>
        <w:jc w:val="both"/>
        <w:rPr>
          <w:rFonts w:ascii="Times New Roman" w:hAnsi="Times New Roman" w:cs="Times New Roman"/>
          <w:b/>
          <w:sz w:val="20"/>
          <w:szCs w:val="20"/>
        </w:rPr>
      </w:pPr>
      <w:r w:rsidRPr="00D50D89">
        <w:rPr>
          <w:rFonts w:ascii="Times New Roman" w:hAnsi="Times New Roman" w:cs="Times New Roman"/>
          <w:sz w:val="20"/>
          <w:szCs w:val="20"/>
        </w:rPr>
        <w:t xml:space="preserve">Pour déterminer si l’explication du ministère public est satisfaisante, la Cour doit analyser les circonstances dans lesquelles la preuve a été perdue.  La principale considération est la question de savoir si le ministère public ou la police (selon le cas) a pris des mesures raisonnables dans les circonstances pour conserver la preuve en vue de sa divulgation.  Un facteur qui doit être pris en considération est la pertinence qu’on accordait alors à l’élément de preuve en cause. [21] [...] </w:t>
      </w:r>
      <w:r w:rsidRPr="00D50D89">
        <w:rPr>
          <w:rFonts w:ascii="Times New Roman" w:hAnsi="Times New Roman" w:cs="Times New Roman"/>
          <w:b/>
          <w:sz w:val="20"/>
          <w:szCs w:val="20"/>
        </w:rPr>
        <w:t xml:space="preserve">Si la Couronne n’est pas en mesure de divulguer les renseignements parce qu’elle les a perdu, il y aura violation des articles 7 et 11d) de la Charte sauf si la couronne prouve que la perte n’était pas le résultat d’un acte délibéré et ou encore qu’il n’y avait aucune négligence de sa part. </w:t>
      </w:r>
    </w:p>
    <w:p w14:paraId="735D31BF" w14:textId="76D911DD" w:rsidR="00D50D89" w:rsidRPr="00D50D89" w:rsidRDefault="00D50D89" w:rsidP="00D50D89">
      <w:pPr>
        <w:widowControl w:val="0"/>
        <w:autoSpaceDE w:val="0"/>
        <w:autoSpaceDN w:val="0"/>
        <w:adjustRightInd w:val="0"/>
        <w:ind w:left="360"/>
        <w:rPr>
          <w:rFonts w:ascii="Times New Roman" w:hAnsi="Times New Roman" w:cs="Times New Roman"/>
          <w:b/>
          <w:i/>
          <w:color w:val="3E3E3E"/>
          <w:sz w:val="22"/>
          <w:szCs w:val="22"/>
        </w:rPr>
      </w:pPr>
    </w:p>
    <w:p w14:paraId="3EC38E78"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6F3D5DCB" w14:textId="4386A777"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E.    Divulgation électronique</w:t>
      </w:r>
      <w:r w:rsidR="00D50D89">
        <w:rPr>
          <w:rFonts w:ascii="Times New Roman" w:hAnsi="Times New Roman" w:cs="Times New Roman"/>
          <w:b/>
          <w:color w:val="3E3E3E"/>
          <w:sz w:val="22"/>
          <w:szCs w:val="22"/>
        </w:rPr>
        <w:t xml:space="preserve"> (p.12)</w:t>
      </w:r>
    </w:p>
    <w:p w14:paraId="36662EE4" w14:textId="77777777" w:rsidR="00D30CD3" w:rsidRDefault="00D30CD3" w:rsidP="007916A0">
      <w:pPr>
        <w:widowControl w:val="0"/>
        <w:autoSpaceDE w:val="0"/>
        <w:autoSpaceDN w:val="0"/>
        <w:adjustRightInd w:val="0"/>
        <w:rPr>
          <w:rFonts w:ascii="Times New Roman" w:hAnsi="Times New Roman" w:cs="Times New Roman"/>
          <w:b/>
          <w:color w:val="3E3E3E"/>
          <w:sz w:val="22"/>
          <w:szCs w:val="22"/>
        </w:rPr>
      </w:pPr>
    </w:p>
    <w:p w14:paraId="19E6BA52" w14:textId="137C2069" w:rsidR="00D50D89" w:rsidRPr="00D30CD3" w:rsidRDefault="00D30CD3" w:rsidP="007916A0">
      <w:pPr>
        <w:widowControl w:val="0"/>
        <w:autoSpaceDE w:val="0"/>
        <w:autoSpaceDN w:val="0"/>
        <w:adjustRightInd w:val="0"/>
        <w:rPr>
          <w:rFonts w:ascii="Times New Roman" w:hAnsi="Times New Roman" w:cs="Times New Roman"/>
          <w:color w:val="3E3E3E"/>
          <w:sz w:val="22"/>
          <w:szCs w:val="22"/>
        </w:rPr>
      </w:pPr>
      <w:r w:rsidRPr="00C81AAC">
        <w:rPr>
          <w:rFonts w:ascii="Times New Roman" w:hAnsi="Times New Roman" w:cs="Times New Roman"/>
          <w:sz w:val="22"/>
          <w:szCs w:val="22"/>
        </w:rPr>
        <w:t>Cette manière de procéder est possible. Cela permet d’éviter des multitudes de boîtes de documents. Le papier on aime bien cela cependant</w:t>
      </w:r>
      <w:r>
        <w:rPr>
          <w:rFonts w:ascii="Times New Roman" w:hAnsi="Times New Roman" w:cs="Times New Roman"/>
          <w:sz w:val="22"/>
          <w:szCs w:val="22"/>
        </w:rPr>
        <w:t xml:space="preserve">. Il n’existe pas de texte à proprement parler sur le sujet, mais quelques directives ont étés énoncés dans </w:t>
      </w:r>
      <w:r>
        <w:rPr>
          <w:rFonts w:ascii="Times New Roman" w:hAnsi="Times New Roman" w:cs="Times New Roman"/>
          <w:b/>
          <w:i/>
          <w:sz w:val="22"/>
          <w:szCs w:val="22"/>
        </w:rPr>
        <w:t>R. v. Piaskowski.</w:t>
      </w:r>
    </w:p>
    <w:p w14:paraId="20442A89"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722091EC" w14:textId="590F05AB"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F.    Contrôle judiciaire</w:t>
      </w:r>
      <w:r w:rsidR="00D30CD3">
        <w:rPr>
          <w:rFonts w:ascii="Times New Roman" w:hAnsi="Times New Roman" w:cs="Times New Roman"/>
          <w:b/>
          <w:color w:val="3E3E3E"/>
          <w:sz w:val="22"/>
          <w:szCs w:val="22"/>
        </w:rPr>
        <w:t xml:space="preserve"> (p.13)</w:t>
      </w:r>
    </w:p>
    <w:p w14:paraId="668B07DD" w14:textId="44BB6017" w:rsidR="007916A0" w:rsidRDefault="007916A0" w:rsidP="007916A0">
      <w:pPr>
        <w:widowControl w:val="0"/>
        <w:autoSpaceDE w:val="0"/>
        <w:autoSpaceDN w:val="0"/>
        <w:adjustRightInd w:val="0"/>
        <w:rPr>
          <w:rFonts w:ascii="Times New Roman" w:hAnsi="Times New Roman" w:cs="Times New Roman"/>
          <w:sz w:val="22"/>
          <w:szCs w:val="22"/>
        </w:rPr>
      </w:pPr>
      <w:r w:rsidRPr="007916A0">
        <w:rPr>
          <w:rFonts w:ascii="Times New Roman" w:hAnsi="Times New Roman" w:cs="Times New Roman"/>
          <w:b/>
          <w:color w:val="3E3E3E"/>
          <w:sz w:val="22"/>
          <w:szCs w:val="22"/>
        </w:rPr>
        <w:t> </w:t>
      </w:r>
      <w:r w:rsidR="00D30CD3" w:rsidRPr="00C81AAC">
        <w:rPr>
          <w:rFonts w:ascii="Times New Roman" w:hAnsi="Times New Roman" w:cs="Times New Roman"/>
          <w:sz w:val="22"/>
          <w:szCs w:val="22"/>
        </w:rPr>
        <w:t>La retenue d’information ou de preuve par la Couronne fait bien entendu l’objet d’u contrôle du juge</w:t>
      </w:r>
      <w:r w:rsidR="00D30CD3">
        <w:rPr>
          <w:rFonts w:ascii="Times New Roman" w:hAnsi="Times New Roman" w:cs="Times New Roman"/>
          <w:sz w:val="22"/>
          <w:szCs w:val="22"/>
        </w:rPr>
        <w:t>.</w:t>
      </w:r>
    </w:p>
    <w:p w14:paraId="6152E8D7" w14:textId="77777777" w:rsidR="00D30CD3" w:rsidRDefault="00D30CD3" w:rsidP="007916A0">
      <w:pPr>
        <w:widowControl w:val="0"/>
        <w:autoSpaceDE w:val="0"/>
        <w:autoSpaceDN w:val="0"/>
        <w:adjustRightInd w:val="0"/>
        <w:rPr>
          <w:rFonts w:ascii="Times New Roman" w:hAnsi="Times New Roman" w:cs="Times New Roman"/>
          <w:sz w:val="22"/>
          <w:szCs w:val="22"/>
        </w:rPr>
      </w:pPr>
    </w:p>
    <w:p w14:paraId="63621FFB" w14:textId="253E1787" w:rsidR="00D30CD3" w:rsidRDefault="00D30CD3" w:rsidP="007916A0">
      <w:pPr>
        <w:widowControl w:val="0"/>
        <w:autoSpaceDE w:val="0"/>
        <w:autoSpaceDN w:val="0"/>
        <w:adjustRightInd w:val="0"/>
        <w:rPr>
          <w:rFonts w:ascii="Times New Roman" w:hAnsi="Times New Roman" w:cs="Times New Roman"/>
          <w:b/>
          <w:i/>
          <w:sz w:val="22"/>
          <w:szCs w:val="22"/>
        </w:rPr>
      </w:pPr>
      <w:r>
        <w:rPr>
          <w:rFonts w:ascii="Times New Roman" w:hAnsi="Times New Roman" w:cs="Times New Roman"/>
          <w:b/>
          <w:i/>
          <w:sz w:val="22"/>
          <w:szCs w:val="22"/>
        </w:rPr>
        <w:t>R. c. Stinchcombe 1991 (p.13)</w:t>
      </w:r>
    </w:p>
    <w:p w14:paraId="1502BDF5" w14:textId="7FE19C75" w:rsidR="00D30CD3" w:rsidRPr="00D30CD3" w:rsidRDefault="00D30CD3" w:rsidP="00D30CD3">
      <w:pPr>
        <w:pStyle w:val="Paragraphedeliste"/>
        <w:widowControl w:val="0"/>
        <w:numPr>
          <w:ilvl w:val="0"/>
          <w:numId w:val="106"/>
        </w:numPr>
        <w:autoSpaceDE w:val="0"/>
        <w:autoSpaceDN w:val="0"/>
        <w:adjustRightInd w:val="0"/>
        <w:rPr>
          <w:rFonts w:ascii="Times New Roman" w:hAnsi="Times New Roman" w:cs="Times New Roman"/>
          <w:sz w:val="20"/>
          <w:szCs w:val="20"/>
        </w:rPr>
      </w:pPr>
      <w:r w:rsidRPr="00D30CD3">
        <w:rPr>
          <w:rFonts w:ascii="Times New Roman" w:hAnsi="Times New Roman" w:cs="Times New Roman"/>
          <w:sz w:val="20"/>
          <w:szCs w:val="20"/>
        </w:rPr>
        <w:t xml:space="preserve">Divulgation de tous les renseignements pertinents, </w:t>
      </w:r>
      <w:r w:rsidRPr="00D30CD3">
        <w:rPr>
          <w:rFonts w:ascii="Times New Roman" w:hAnsi="Times New Roman" w:cs="Times New Roman"/>
          <w:b/>
          <w:sz w:val="20"/>
          <w:szCs w:val="20"/>
        </w:rPr>
        <w:t>sous réserve de l'exercice du pouvoir discrétionnaire du ministère public, lequel pouvoir est susceptible de contrôle judiciaire</w:t>
      </w:r>
      <w:r w:rsidRPr="00D30CD3">
        <w:rPr>
          <w:rFonts w:ascii="Times New Roman" w:hAnsi="Times New Roman" w:cs="Times New Roman"/>
          <w:sz w:val="20"/>
          <w:szCs w:val="20"/>
        </w:rPr>
        <w:t>.  Doivent être divulgués non seulement les renseignements que le ministère public entend produire en preuve, mais aussi ceux qu'il n'a pas l'intention de produire.</w:t>
      </w:r>
    </w:p>
    <w:p w14:paraId="63DB0338" w14:textId="2EF2A90C" w:rsidR="00D30CD3" w:rsidRDefault="00D30CD3" w:rsidP="00D30CD3">
      <w:pPr>
        <w:pStyle w:val="Paragraphedeliste"/>
        <w:numPr>
          <w:ilvl w:val="0"/>
          <w:numId w:val="106"/>
        </w:numPr>
        <w:jc w:val="both"/>
        <w:rPr>
          <w:rFonts w:ascii="Times New Roman" w:hAnsi="Times New Roman" w:cs="Times New Roman"/>
          <w:sz w:val="20"/>
          <w:szCs w:val="20"/>
        </w:rPr>
      </w:pPr>
      <w:r w:rsidRPr="00D30CD3">
        <w:rPr>
          <w:rFonts w:ascii="Times New Roman" w:hAnsi="Times New Roman" w:cs="Times New Roman"/>
          <w:sz w:val="20"/>
          <w:szCs w:val="20"/>
        </w:rPr>
        <w:t>Si la rétention est motivée par le fait que la Couronne invoque un privilège. Par exemple, elle veut protéger l’identité d’un informateur, nous savons que pour que la défense puisse avoir accès à cette information, il faut qu’elle puisse prouver que cela est nécessaire dans le cadre de son droit à une défense pleine et entière</w:t>
      </w:r>
      <w:r>
        <w:rPr>
          <w:rFonts w:ascii="Times New Roman" w:hAnsi="Times New Roman" w:cs="Times New Roman"/>
          <w:sz w:val="20"/>
          <w:szCs w:val="20"/>
        </w:rPr>
        <w:t>.</w:t>
      </w:r>
    </w:p>
    <w:p w14:paraId="37540FE6" w14:textId="77777777" w:rsidR="00D30CD3" w:rsidRDefault="00D30CD3" w:rsidP="00D30CD3">
      <w:pPr>
        <w:jc w:val="both"/>
        <w:rPr>
          <w:rFonts w:ascii="Times New Roman" w:hAnsi="Times New Roman" w:cs="Times New Roman"/>
          <w:sz w:val="20"/>
          <w:szCs w:val="20"/>
        </w:rPr>
      </w:pPr>
    </w:p>
    <w:p w14:paraId="08FD4DBC" w14:textId="1016DBBD" w:rsidR="00D30CD3" w:rsidRDefault="00D30CD3" w:rsidP="00D30CD3">
      <w:pPr>
        <w:jc w:val="both"/>
        <w:rPr>
          <w:rFonts w:ascii="Times New Roman" w:hAnsi="Times New Roman" w:cs="Times New Roman"/>
          <w:b/>
          <w:i/>
          <w:sz w:val="22"/>
          <w:szCs w:val="22"/>
        </w:rPr>
      </w:pPr>
      <w:r>
        <w:rPr>
          <w:rFonts w:ascii="Times New Roman" w:hAnsi="Times New Roman" w:cs="Times New Roman"/>
          <w:b/>
          <w:i/>
          <w:sz w:val="22"/>
          <w:szCs w:val="22"/>
        </w:rPr>
        <w:t>R. c. Leipert [1997] (p.13) :</w:t>
      </w:r>
    </w:p>
    <w:p w14:paraId="57F8A89E" w14:textId="77777777" w:rsidR="00D30CD3" w:rsidRDefault="00D30CD3" w:rsidP="00D30CD3">
      <w:pPr>
        <w:jc w:val="both"/>
        <w:rPr>
          <w:rFonts w:ascii="Times New Roman" w:hAnsi="Times New Roman" w:cs="Times New Roman"/>
          <w:sz w:val="22"/>
          <w:szCs w:val="22"/>
        </w:rPr>
      </w:pPr>
    </w:p>
    <w:p w14:paraId="12F017FA" w14:textId="1C20BDC8" w:rsidR="006861BC" w:rsidRDefault="006861BC" w:rsidP="00D30CD3">
      <w:pPr>
        <w:jc w:val="both"/>
        <w:rPr>
          <w:rFonts w:ascii="Times New Roman" w:hAnsi="Times New Roman" w:cs="Times New Roman"/>
          <w:sz w:val="22"/>
          <w:szCs w:val="22"/>
        </w:rPr>
      </w:pPr>
      <w:r>
        <w:rPr>
          <w:rFonts w:ascii="Times New Roman" w:hAnsi="Times New Roman" w:cs="Times New Roman"/>
          <w:sz w:val="22"/>
          <w:szCs w:val="22"/>
        </w:rPr>
        <w:t>La procédure </w:t>
      </w:r>
    </w:p>
    <w:p w14:paraId="2F1D5A87" w14:textId="2AD60D20" w:rsidR="006861BC" w:rsidRPr="006861BC" w:rsidRDefault="006861BC" w:rsidP="006861BC">
      <w:pPr>
        <w:pStyle w:val="Paragraphedeliste"/>
        <w:numPr>
          <w:ilvl w:val="0"/>
          <w:numId w:val="107"/>
        </w:numPr>
        <w:jc w:val="both"/>
        <w:rPr>
          <w:rFonts w:ascii="Times New Roman" w:hAnsi="Times New Roman" w:cs="Times New Roman"/>
          <w:sz w:val="20"/>
          <w:szCs w:val="20"/>
        </w:rPr>
      </w:pPr>
      <w:r w:rsidRPr="006861BC">
        <w:rPr>
          <w:rFonts w:ascii="Times New Roman" w:hAnsi="Times New Roman" w:cs="Times New Roman"/>
          <w:sz w:val="20"/>
          <w:szCs w:val="20"/>
          <w:lang w:val="fr-CA"/>
        </w:rPr>
        <w:t>Lorsqu’un accusé demande la divulgation de l’information privilégiée fournie par un indicateur en invoquant l’exception concernant la démonstration de son innocence, la procédure suivante s’applique</w:t>
      </w:r>
      <w:r w:rsidRPr="006861BC">
        <w:rPr>
          <w:rFonts w:ascii="Times New Roman" w:hAnsi="Times New Roman" w:cs="Times New Roman"/>
          <w:b/>
          <w:sz w:val="20"/>
          <w:szCs w:val="20"/>
          <w:lang w:val="fr-CA"/>
        </w:rPr>
        <w:t>.  Premièrement</w:t>
      </w:r>
      <w:r w:rsidRPr="006861BC">
        <w:rPr>
          <w:rFonts w:ascii="Times New Roman" w:hAnsi="Times New Roman" w:cs="Times New Roman"/>
          <w:sz w:val="20"/>
          <w:szCs w:val="20"/>
          <w:lang w:val="fr-CA"/>
        </w:rPr>
        <w:t>, l’accusé doit montrer qu’il existe un motif de conclure que, sans la divulgation demandée, son innocence sera en jeu.  Si l’existence d’un tel motif est établie, le tribunal pourra alors examiner l’information en cause pour déterminer si elle est effectivement nécessaire pour prouver l’innocence de l’accusé.  S’il conclut que la divulgation est nécessaire, le tribunal ne devra révéler que les renseignements essentiels à l’établissement de l’innocence.  Avant de divulguer l’information à l’accusé, le ministère public devrait pouvoir demander la suspension des procédures.  Si le ministère public décide d’aller de l’avant, l’accusé pourra se faire communiquer les renseignements essentiels à l’établissement de son innocence [33].</w:t>
      </w:r>
    </w:p>
    <w:p w14:paraId="5153AB14" w14:textId="77777777" w:rsidR="006861BC" w:rsidRDefault="006861BC" w:rsidP="006861BC">
      <w:pPr>
        <w:jc w:val="both"/>
        <w:rPr>
          <w:rFonts w:ascii="Times New Roman" w:hAnsi="Times New Roman" w:cs="Times New Roman"/>
          <w:sz w:val="20"/>
          <w:szCs w:val="20"/>
        </w:rPr>
      </w:pPr>
    </w:p>
    <w:p w14:paraId="6576B2FF" w14:textId="5FF87EA6" w:rsidR="006861BC" w:rsidRDefault="006861BC" w:rsidP="006861BC">
      <w:pPr>
        <w:jc w:val="both"/>
        <w:rPr>
          <w:rFonts w:ascii="Times New Roman" w:hAnsi="Times New Roman" w:cs="Times New Roman"/>
          <w:sz w:val="22"/>
          <w:szCs w:val="22"/>
        </w:rPr>
      </w:pPr>
      <w:r w:rsidRPr="00C81AAC">
        <w:rPr>
          <w:rFonts w:ascii="Times New Roman" w:hAnsi="Times New Roman" w:cs="Times New Roman"/>
          <w:sz w:val="22"/>
          <w:szCs w:val="22"/>
        </w:rPr>
        <w:t xml:space="preserve">Si la rétention est motivée par le fait qu’il ne s’agit pas de renseignements pertinents, le Juge Sopinka dans </w:t>
      </w:r>
      <w:r w:rsidRPr="006861BC">
        <w:rPr>
          <w:rFonts w:ascii="Times New Roman" w:hAnsi="Times New Roman" w:cs="Times New Roman"/>
          <w:b/>
          <w:sz w:val="22"/>
          <w:szCs w:val="22"/>
        </w:rPr>
        <w:t>l’affaire Chaplin</w:t>
      </w:r>
      <w:r w:rsidRPr="00C81AAC">
        <w:rPr>
          <w:rFonts w:ascii="Times New Roman" w:hAnsi="Times New Roman" w:cs="Times New Roman"/>
          <w:sz w:val="22"/>
          <w:szCs w:val="22"/>
        </w:rPr>
        <w:t xml:space="preserve"> propose la procédure de contrôle suivante</w:t>
      </w:r>
      <w:r>
        <w:rPr>
          <w:rFonts w:ascii="Times New Roman" w:hAnsi="Times New Roman" w:cs="Times New Roman"/>
          <w:sz w:val="22"/>
          <w:szCs w:val="22"/>
        </w:rPr>
        <w:t xml:space="preserve"> (p. 14)</w:t>
      </w:r>
      <w:r w:rsidRPr="00C81AAC">
        <w:rPr>
          <w:rFonts w:ascii="Times New Roman" w:hAnsi="Times New Roman" w:cs="Times New Roman"/>
          <w:sz w:val="22"/>
          <w:szCs w:val="22"/>
        </w:rPr>
        <w:t> :</w:t>
      </w:r>
    </w:p>
    <w:p w14:paraId="5B1F9F3D" w14:textId="77777777" w:rsidR="006861BC" w:rsidRPr="00C81AAC" w:rsidRDefault="006861BC" w:rsidP="006861BC">
      <w:pPr>
        <w:jc w:val="both"/>
        <w:rPr>
          <w:rFonts w:ascii="Times New Roman" w:hAnsi="Times New Roman" w:cs="Times New Roman"/>
          <w:sz w:val="22"/>
          <w:szCs w:val="22"/>
        </w:rPr>
      </w:pPr>
    </w:p>
    <w:p w14:paraId="23BD4373" w14:textId="77777777" w:rsidR="006861BC" w:rsidRPr="00C81AAC" w:rsidRDefault="006861BC" w:rsidP="006861BC">
      <w:pPr>
        <w:jc w:val="both"/>
        <w:rPr>
          <w:rFonts w:ascii="Times New Roman" w:hAnsi="Times New Roman" w:cs="Times New Roman"/>
          <w:sz w:val="22"/>
          <w:szCs w:val="22"/>
          <w:lang w:val="fr-CA"/>
        </w:rPr>
      </w:pPr>
      <w:r w:rsidRPr="00C81AAC">
        <w:rPr>
          <w:rFonts w:ascii="Times New Roman" w:hAnsi="Times New Roman" w:cs="Times New Roman"/>
          <w:i/>
          <w:iCs/>
          <w:sz w:val="22"/>
          <w:szCs w:val="22"/>
          <w:lang w:val="fr-CA"/>
        </w:rPr>
        <w:t>La marche à suivre lorsque l'existence des renseignements est établie</w:t>
      </w:r>
    </w:p>
    <w:p w14:paraId="715859B7" w14:textId="3C463AF7" w:rsidR="006861BC" w:rsidRPr="006861BC" w:rsidRDefault="006861BC" w:rsidP="006861BC">
      <w:pPr>
        <w:pStyle w:val="Paragraphedeliste"/>
        <w:numPr>
          <w:ilvl w:val="0"/>
          <w:numId w:val="107"/>
        </w:numPr>
        <w:jc w:val="both"/>
        <w:rPr>
          <w:rFonts w:ascii="Times New Roman" w:hAnsi="Times New Roman" w:cs="Times New Roman"/>
          <w:b/>
          <w:sz w:val="20"/>
          <w:szCs w:val="20"/>
          <w:lang w:val="fr-CA"/>
        </w:rPr>
      </w:pPr>
      <w:r w:rsidRPr="006861BC">
        <w:rPr>
          <w:rFonts w:ascii="Times New Roman" w:hAnsi="Times New Roman" w:cs="Times New Roman"/>
          <w:sz w:val="20"/>
          <w:szCs w:val="20"/>
          <w:lang w:val="fr-CA"/>
        </w:rPr>
        <w:t xml:space="preserve">Dans les cas où l'existence de certains renseignements a été établie, </w:t>
      </w:r>
      <w:r w:rsidRPr="006861BC">
        <w:rPr>
          <w:rFonts w:ascii="Times New Roman" w:hAnsi="Times New Roman" w:cs="Times New Roman"/>
          <w:b/>
          <w:sz w:val="20"/>
          <w:szCs w:val="20"/>
          <w:lang w:val="fr-CA"/>
        </w:rPr>
        <w:t>le ministère public est tenu de justifier la non</w:t>
      </w:r>
      <w:r w:rsidRPr="006861BC">
        <w:rPr>
          <w:rFonts w:ascii="Times New Roman" w:hAnsi="Times New Roman" w:cs="Times New Roman"/>
          <w:b/>
          <w:sz w:val="20"/>
          <w:szCs w:val="20"/>
          <w:lang w:val="fr-CA"/>
        </w:rPr>
        <w:noBreakHyphen/>
        <w:t xml:space="preserve">divulgation en démontrant soit qu'il n'en a pas le contrôle soit qu'ils sont manifestement sans pertinence ou privilégiés.  Le juge du procès doit accorder au ministère public la possibilité de présenter des éléments de preuve justifiant une telle allégation.  Comme on le fait remarquer dans l'arrêt </w:t>
      </w:r>
      <w:r w:rsidRPr="006861BC">
        <w:rPr>
          <w:rFonts w:ascii="Times New Roman" w:hAnsi="Times New Roman" w:cs="Times New Roman"/>
          <w:b/>
          <w:i/>
          <w:iCs/>
          <w:sz w:val="20"/>
          <w:szCs w:val="20"/>
          <w:lang w:val="fr-CA"/>
        </w:rPr>
        <w:t>R. c. Stinchcombe</w:t>
      </w:r>
      <w:r w:rsidRPr="006861BC">
        <w:rPr>
          <w:rFonts w:ascii="Times New Roman" w:hAnsi="Times New Roman" w:cs="Times New Roman"/>
          <w:b/>
          <w:sz w:val="20"/>
          <w:szCs w:val="20"/>
          <w:lang w:val="fr-CA"/>
        </w:rPr>
        <w:t>, précité, à la p. 341: Cela peut nécessiter non seulement que soient présentés des arguments mais que les déclarations et autres documents fassent l'objet d'un examen, et il pourra même s'avérer nécessaire, dans certains cas, de produire des témoignages de vive voix.  Souvent, il conviendra de tenir un voir</w:t>
      </w:r>
      <w:r w:rsidRPr="006861BC">
        <w:rPr>
          <w:rFonts w:ascii="Times New Roman" w:hAnsi="Times New Roman" w:cs="Times New Roman"/>
          <w:b/>
          <w:sz w:val="20"/>
          <w:szCs w:val="20"/>
          <w:lang w:val="fr-CA"/>
        </w:rPr>
        <w:noBreakHyphen/>
        <w:t>dire pour trancher ces questions.</w:t>
      </w:r>
    </w:p>
    <w:p w14:paraId="672CC771" w14:textId="77777777" w:rsidR="006861BC" w:rsidRDefault="006861BC" w:rsidP="006861BC">
      <w:pPr>
        <w:jc w:val="both"/>
        <w:rPr>
          <w:rFonts w:ascii="Times New Roman" w:hAnsi="Times New Roman" w:cs="Times New Roman"/>
          <w:b/>
          <w:sz w:val="22"/>
          <w:szCs w:val="22"/>
          <w:lang w:val="fr-CA"/>
        </w:rPr>
      </w:pPr>
    </w:p>
    <w:p w14:paraId="2B011DA8" w14:textId="3E6EE601" w:rsidR="006861BC" w:rsidRDefault="006861BC" w:rsidP="006861BC">
      <w:pPr>
        <w:jc w:val="both"/>
        <w:rPr>
          <w:rFonts w:ascii="Times New Roman" w:hAnsi="Times New Roman" w:cs="Times New Roman"/>
          <w:i/>
          <w:iCs/>
          <w:sz w:val="22"/>
          <w:szCs w:val="22"/>
          <w:lang w:val="fr-CA"/>
        </w:rPr>
      </w:pPr>
      <w:r w:rsidRPr="00C81AAC">
        <w:rPr>
          <w:rFonts w:ascii="Times New Roman" w:hAnsi="Times New Roman" w:cs="Times New Roman"/>
          <w:i/>
          <w:iCs/>
          <w:sz w:val="22"/>
          <w:szCs w:val="22"/>
          <w:lang w:val="fr-CA"/>
        </w:rPr>
        <w:t>La marche à suivre lorsque l'existence des renseignements est mise en doute</w:t>
      </w:r>
      <w:r>
        <w:rPr>
          <w:rFonts w:ascii="Times New Roman" w:hAnsi="Times New Roman" w:cs="Times New Roman"/>
          <w:i/>
          <w:iCs/>
          <w:sz w:val="22"/>
          <w:szCs w:val="22"/>
          <w:lang w:val="fr-CA"/>
        </w:rPr>
        <w:t xml:space="preserve"> (p.15)</w:t>
      </w:r>
    </w:p>
    <w:p w14:paraId="5450E505" w14:textId="04290088" w:rsidR="006861BC" w:rsidRPr="006861BC" w:rsidRDefault="006861BC" w:rsidP="006861BC">
      <w:pPr>
        <w:pStyle w:val="Paragraphedeliste"/>
        <w:numPr>
          <w:ilvl w:val="0"/>
          <w:numId w:val="107"/>
        </w:numPr>
        <w:jc w:val="both"/>
        <w:rPr>
          <w:rFonts w:ascii="Times New Roman" w:hAnsi="Times New Roman" w:cs="Times New Roman"/>
          <w:sz w:val="20"/>
          <w:szCs w:val="20"/>
          <w:lang w:val="fr-CA"/>
        </w:rPr>
      </w:pPr>
      <w:r w:rsidRPr="006861BC">
        <w:rPr>
          <w:rFonts w:ascii="Times New Roman" w:hAnsi="Times New Roman" w:cs="Times New Roman"/>
          <w:sz w:val="20"/>
          <w:szCs w:val="20"/>
          <w:lang w:val="fr-CA"/>
        </w:rPr>
        <w:t xml:space="preserve">Contrairement aux cas susmentionnés, il arrive parfois </w:t>
      </w:r>
      <w:r w:rsidRPr="006861BC">
        <w:rPr>
          <w:rFonts w:ascii="Times New Roman" w:hAnsi="Times New Roman" w:cs="Times New Roman"/>
          <w:sz w:val="20"/>
          <w:szCs w:val="20"/>
          <w:lang w:val="fr-CA"/>
        </w:rPr>
        <w:noBreakHyphen/>
      </w:r>
      <w:r w:rsidRPr="006861BC">
        <w:rPr>
          <w:rFonts w:ascii="Times New Roman" w:hAnsi="Times New Roman" w:cs="Times New Roman"/>
          <w:sz w:val="20"/>
          <w:szCs w:val="20"/>
          <w:lang w:val="fr-CA"/>
        </w:rPr>
        <w:noBreakHyphen/>
        <w:t xml:space="preserve"> comme en l'espèce </w:t>
      </w:r>
      <w:r w:rsidRPr="006861BC">
        <w:rPr>
          <w:rFonts w:ascii="Times New Roman" w:hAnsi="Times New Roman" w:cs="Times New Roman"/>
          <w:sz w:val="20"/>
          <w:szCs w:val="20"/>
          <w:lang w:val="fr-CA"/>
        </w:rPr>
        <w:noBreakHyphen/>
      </w:r>
      <w:r w:rsidRPr="006861BC">
        <w:rPr>
          <w:rFonts w:ascii="Times New Roman" w:hAnsi="Times New Roman" w:cs="Times New Roman"/>
          <w:sz w:val="20"/>
          <w:szCs w:val="20"/>
          <w:lang w:val="fr-CA"/>
        </w:rPr>
        <w:noBreakHyphen/>
        <w:t xml:space="preserve"> que le ministère public nie l'existence de renseignements que l'on prétend pertinents.  Du moment que le ministère public affirme avoir rempli son obligation de produire, on ne saurait le contraindre à justifier la non</w:t>
      </w:r>
      <w:r w:rsidRPr="006861BC">
        <w:rPr>
          <w:rFonts w:ascii="Times New Roman" w:hAnsi="Times New Roman" w:cs="Times New Roman"/>
          <w:sz w:val="20"/>
          <w:szCs w:val="20"/>
          <w:lang w:val="fr-CA"/>
        </w:rPr>
        <w:noBreakHyphen/>
        <w:t xml:space="preserve">divulgation de renseignements dont il ignore ou nie l'existence.  </w:t>
      </w:r>
      <w:r w:rsidRPr="006861BC">
        <w:rPr>
          <w:rFonts w:ascii="Times New Roman" w:hAnsi="Times New Roman" w:cs="Times New Roman"/>
          <w:b/>
          <w:sz w:val="20"/>
          <w:szCs w:val="20"/>
          <w:lang w:val="fr-CA"/>
        </w:rPr>
        <w:t>Le ministère public n'est donc tenu de rien faire d'autre tant que la défense n'a pas établi des motifs sur lesquels le juge qui préside peut se fonder pour conclure à l'existence d'autres renseignements qui sont peut</w:t>
      </w:r>
      <w:r w:rsidRPr="006861BC">
        <w:rPr>
          <w:rFonts w:ascii="Times New Roman" w:hAnsi="Times New Roman" w:cs="Times New Roman"/>
          <w:b/>
          <w:sz w:val="20"/>
          <w:szCs w:val="20"/>
          <w:lang w:val="fr-CA"/>
        </w:rPr>
        <w:noBreakHyphen/>
        <w:t>être pertinents</w:t>
      </w:r>
      <w:r w:rsidRPr="006861BC">
        <w:rPr>
          <w:rFonts w:ascii="Times New Roman" w:hAnsi="Times New Roman" w:cs="Times New Roman"/>
          <w:sz w:val="20"/>
          <w:szCs w:val="20"/>
          <w:lang w:val="fr-CA"/>
        </w:rPr>
        <w:t xml:space="preserve">.  Par pertinence, il faut entendre qu'il y a possibilité raisonnable que ces renseignements puissent aider l'accusé à présenter une défense pleine et entière.  </w:t>
      </w:r>
      <w:r w:rsidRPr="006861BC">
        <w:rPr>
          <w:rFonts w:ascii="Times New Roman" w:hAnsi="Times New Roman" w:cs="Times New Roman"/>
          <w:b/>
          <w:sz w:val="20"/>
          <w:szCs w:val="20"/>
          <w:lang w:val="fr-CA"/>
        </w:rPr>
        <w:t xml:space="preserve">L'existence des renseignements faisant l'objet de contestation doit être assez clairement établie non seulement pour en révéler la nature, mais aussi pour permettre au juge qui préside de décider qu'ils pourront satisfaire au critère applicable aux renseignements que le ministère public est tenu de produire, lequel critère est énoncé dans les passages précités des arrêts </w:t>
      </w:r>
      <w:r w:rsidRPr="006861BC">
        <w:rPr>
          <w:rFonts w:ascii="Times New Roman" w:hAnsi="Times New Roman" w:cs="Times New Roman"/>
          <w:b/>
          <w:i/>
          <w:iCs/>
          <w:sz w:val="20"/>
          <w:szCs w:val="20"/>
          <w:lang w:val="fr-CA"/>
        </w:rPr>
        <w:t>R. c. Stinchcombe</w:t>
      </w:r>
      <w:r w:rsidRPr="006861BC">
        <w:rPr>
          <w:rFonts w:ascii="Times New Roman" w:hAnsi="Times New Roman" w:cs="Times New Roman"/>
          <w:b/>
          <w:sz w:val="20"/>
          <w:szCs w:val="20"/>
          <w:lang w:val="fr-CA"/>
        </w:rPr>
        <w:t xml:space="preserve"> et </w:t>
      </w:r>
      <w:r w:rsidRPr="006861BC">
        <w:rPr>
          <w:rFonts w:ascii="Times New Roman" w:hAnsi="Times New Roman" w:cs="Times New Roman"/>
          <w:b/>
          <w:i/>
          <w:iCs/>
          <w:sz w:val="20"/>
          <w:szCs w:val="20"/>
          <w:lang w:val="fr-CA"/>
        </w:rPr>
        <w:t>R. c. Egger [30]</w:t>
      </w:r>
    </w:p>
    <w:p w14:paraId="60B112BF" w14:textId="321805EF" w:rsidR="006861BC" w:rsidRPr="006861BC" w:rsidRDefault="006861BC" w:rsidP="006861BC">
      <w:pPr>
        <w:pStyle w:val="Paragraphedeliste"/>
        <w:numPr>
          <w:ilvl w:val="0"/>
          <w:numId w:val="107"/>
        </w:numPr>
        <w:jc w:val="both"/>
        <w:rPr>
          <w:rFonts w:ascii="Times New Roman" w:hAnsi="Times New Roman" w:cs="Times New Roman"/>
          <w:sz w:val="20"/>
          <w:szCs w:val="20"/>
          <w:lang w:val="fr-CA"/>
        </w:rPr>
      </w:pPr>
      <w:r w:rsidRPr="006861BC">
        <w:rPr>
          <w:rFonts w:ascii="Times New Roman" w:hAnsi="Times New Roman" w:cs="Times New Roman"/>
          <w:sz w:val="20"/>
          <w:szCs w:val="20"/>
          <w:lang w:val="fr-CA"/>
        </w:rPr>
        <w:t xml:space="preserve">Outre qu'elle est nécessaire sur le plan pratique pour que les débats puissent avancer </w:t>
      </w:r>
      <w:r w:rsidRPr="006861BC">
        <w:rPr>
          <w:rFonts w:ascii="Times New Roman" w:hAnsi="Times New Roman" w:cs="Times New Roman"/>
          <w:sz w:val="20"/>
          <w:szCs w:val="20"/>
          <w:lang w:val="fr-CA"/>
        </w:rPr>
        <w:noBreakHyphen/>
      </w:r>
      <w:r w:rsidRPr="006861BC">
        <w:rPr>
          <w:rFonts w:ascii="Times New Roman" w:hAnsi="Times New Roman" w:cs="Times New Roman"/>
          <w:sz w:val="20"/>
          <w:szCs w:val="20"/>
          <w:lang w:val="fr-CA"/>
        </w:rPr>
        <w:noBreakHyphen/>
        <w:t xml:space="preserve"> ce dont je traite précédemment </w:t>
      </w:r>
      <w:r w:rsidRPr="006861BC">
        <w:rPr>
          <w:rFonts w:ascii="Times New Roman" w:hAnsi="Times New Roman" w:cs="Times New Roman"/>
          <w:sz w:val="20"/>
          <w:szCs w:val="20"/>
          <w:lang w:val="fr-CA"/>
        </w:rPr>
        <w:noBreakHyphen/>
      </w:r>
      <w:r w:rsidRPr="006861BC">
        <w:rPr>
          <w:rFonts w:ascii="Times New Roman" w:hAnsi="Times New Roman" w:cs="Times New Roman"/>
          <w:sz w:val="20"/>
          <w:szCs w:val="20"/>
          <w:lang w:val="fr-CA"/>
        </w:rPr>
        <w:noBreakHyphen/>
        <w:t xml:space="preserve">, </w:t>
      </w:r>
      <w:r w:rsidRPr="006861BC">
        <w:rPr>
          <w:rFonts w:ascii="Times New Roman" w:hAnsi="Times New Roman" w:cs="Times New Roman"/>
          <w:b/>
          <w:sz w:val="20"/>
          <w:szCs w:val="20"/>
          <w:lang w:val="fr-CA"/>
        </w:rPr>
        <w:t>l'obligation pour la défense d'établir un fondement à sa demande de divulgation sert à empêcher des demandes qui reposent sur la conjecture et qui sont fantaisistes, perturbatrices, mal fondées, obstructionnistes et dilatoires.</w:t>
      </w:r>
      <w:r w:rsidRPr="006861BC">
        <w:rPr>
          <w:rFonts w:ascii="Times New Roman" w:hAnsi="Times New Roman" w:cs="Times New Roman"/>
          <w:sz w:val="20"/>
          <w:szCs w:val="20"/>
          <w:lang w:val="fr-CA"/>
        </w:rPr>
        <w:t> [32]</w:t>
      </w:r>
    </w:p>
    <w:p w14:paraId="5CBD2767" w14:textId="39AC752E" w:rsidR="006861BC" w:rsidRPr="006861BC" w:rsidRDefault="006861BC" w:rsidP="006861BC">
      <w:pPr>
        <w:pStyle w:val="Paragraphedeliste"/>
        <w:numPr>
          <w:ilvl w:val="0"/>
          <w:numId w:val="107"/>
        </w:numPr>
        <w:jc w:val="both"/>
        <w:rPr>
          <w:rFonts w:ascii="Times New Roman" w:hAnsi="Times New Roman" w:cs="Times New Roman"/>
          <w:sz w:val="20"/>
          <w:szCs w:val="20"/>
          <w:lang w:val="fr-CA"/>
        </w:rPr>
      </w:pPr>
      <w:r w:rsidRPr="006861BC">
        <w:rPr>
          <w:rFonts w:ascii="Times New Roman" w:hAnsi="Times New Roman" w:cs="Times New Roman"/>
          <w:b/>
          <w:sz w:val="20"/>
          <w:szCs w:val="20"/>
          <w:lang w:val="fr-CA"/>
        </w:rPr>
        <w:t>Dès lors que la défense s'acquitte de son obligation exposée ci</w:t>
      </w:r>
      <w:r w:rsidRPr="006861BC">
        <w:rPr>
          <w:rFonts w:ascii="Times New Roman" w:hAnsi="Times New Roman" w:cs="Times New Roman"/>
          <w:b/>
          <w:sz w:val="20"/>
          <w:szCs w:val="20"/>
          <w:lang w:val="fr-CA"/>
        </w:rPr>
        <w:noBreakHyphen/>
        <w:t>dessus d'établir un fondement, il incombe au ministère public de justifier sa persistance dans la non</w:t>
      </w:r>
      <w:r w:rsidRPr="006861BC">
        <w:rPr>
          <w:rFonts w:ascii="Times New Roman" w:hAnsi="Times New Roman" w:cs="Times New Roman"/>
          <w:b/>
          <w:sz w:val="20"/>
          <w:szCs w:val="20"/>
          <w:lang w:val="fr-CA"/>
        </w:rPr>
        <w:noBreakHyphen/>
        <w:t xml:space="preserve">divulgation.  L'obligation du ministère public est identique à son obligation initiale qu'énonce l'arrêt </w:t>
      </w:r>
      <w:r w:rsidRPr="006861BC">
        <w:rPr>
          <w:rFonts w:ascii="Times New Roman" w:hAnsi="Times New Roman" w:cs="Times New Roman"/>
          <w:b/>
          <w:i/>
          <w:iCs/>
          <w:sz w:val="20"/>
          <w:szCs w:val="20"/>
          <w:lang w:val="fr-CA"/>
        </w:rPr>
        <w:t>R. c. Stinchcombe</w:t>
      </w:r>
      <w:r w:rsidRPr="006861BC">
        <w:rPr>
          <w:rFonts w:ascii="Times New Roman" w:hAnsi="Times New Roman" w:cs="Times New Roman"/>
          <w:b/>
          <w:sz w:val="20"/>
          <w:szCs w:val="20"/>
          <w:lang w:val="fr-CA"/>
        </w:rPr>
        <w:t xml:space="preserve">, précité, et que précise l'arrêt </w:t>
      </w:r>
      <w:r w:rsidRPr="006861BC">
        <w:rPr>
          <w:rFonts w:ascii="Times New Roman" w:hAnsi="Times New Roman" w:cs="Times New Roman"/>
          <w:b/>
          <w:i/>
          <w:iCs/>
          <w:sz w:val="20"/>
          <w:szCs w:val="20"/>
          <w:lang w:val="fr-CA"/>
        </w:rPr>
        <w:t>R. c. Egger</w:t>
      </w:r>
      <w:r w:rsidRPr="006861BC">
        <w:rPr>
          <w:rFonts w:ascii="Times New Roman" w:hAnsi="Times New Roman" w:cs="Times New Roman"/>
          <w:b/>
          <w:sz w:val="20"/>
          <w:szCs w:val="20"/>
          <w:lang w:val="fr-CA"/>
        </w:rPr>
        <w:t>, précité.  D'une manière générale, si la question ne peut se régler sans recourir à une preuve de vive voix, il faut donner au ministère public l'occasion de présenter des preuves pertinentes.  Dans les cas où il s'agit de renseignements confidentiels, il peut convenir que le juge du procès ordonne le huis clos, ou bien qu'il inspecte lui</w:t>
      </w:r>
      <w:r w:rsidRPr="006861BC">
        <w:rPr>
          <w:rFonts w:ascii="Times New Roman" w:hAnsi="Times New Roman" w:cs="Times New Roman"/>
          <w:b/>
          <w:sz w:val="20"/>
          <w:szCs w:val="20"/>
          <w:lang w:val="fr-CA"/>
        </w:rPr>
        <w:noBreakHyphen/>
        <w:t xml:space="preserve">même les renseignements en question en procédant notamment de la façon prévue au par. 37(2) de la </w:t>
      </w:r>
      <w:r w:rsidRPr="006861BC">
        <w:rPr>
          <w:rFonts w:ascii="Times New Roman" w:hAnsi="Times New Roman" w:cs="Times New Roman"/>
          <w:b/>
          <w:i/>
          <w:iCs/>
          <w:sz w:val="20"/>
          <w:szCs w:val="20"/>
          <w:lang w:val="fr-CA"/>
        </w:rPr>
        <w:t>Loi sur la preuve au Canada</w:t>
      </w:r>
      <w:r w:rsidRPr="006861BC">
        <w:rPr>
          <w:rFonts w:ascii="Times New Roman" w:hAnsi="Times New Roman" w:cs="Times New Roman"/>
          <w:sz w:val="20"/>
          <w:szCs w:val="20"/>
          <w:lang w:val="fr-CA"/>
        </w:rPr>
        <w:t xml:space="preserve">.  Pour ce qui est des affaires d'écoute électronique, la marche à suivre pour protéger les renseignements confidentiels est exposée dans l'arrêt </w:t>
      </w:r>
      <w:r w:rsidRPr="006861BC">
        <w:rPr>
          <w:rFonts w:ascii="Times New Roman" w:hAnsi="Times New Roman" w:cs="Times New Roman"/>
          <w:i/>
          <w:iCs/>
          <w:sz w:val="20"/>
          <w:szCs w:val="20"/>
          <w:lang w:val="fr-CA"/>
        </w:rPr>
        <w:t>R. c. Garofoli [33].</w:t>
      </w:r>
    </w:p>
    <w:p w14:paraId="64DB8381" w14:textId="77777777" w:rsidR="006861BC" w:rsidRPr="00C81AAC" w:rsidRDefault="006861BC" w:rsidP="006861BC">
      <w:pPr>
        <w:ind w:left="567"/>
        <w:jc w:val="both"/>
        <w:rPr>
          <w:rFonts w:ascii="Times New Roman" w:hAnsi="Times New Roman" w:cs="Times New Roman"/>
          <w:sz w:val="22"/>
          <w:szCs w:val="22"/>
          <w:lang w:val="fr-CA"/>
        </w:rPr>
      </w:pPr>
      <w:r w:rsidRPr="00C81AAC">
        <w:rPr>
          <w:rFonts w:ascii="Times New Roman" w:hAnsi="Times New Roman" w:cs="Times New Roman"/>
          <w:sz w:val="22"/>
          <w:szCs w:val="22"/>
          <w:lang w:val="fr-CA"/>
        </w:rPr>
        <w:t> </w:t>
      </w:r>
    </w:p>
    <w:p w14:paraId="4FD49FBE" w14:textId="77777777" w:rsidR="006861BC" w:rsidRPr="006861BC" w:rsidRDefault="006861BC" w:rsidP="006861BC">
      <w:pPr>
        <w:jc w:val="both"/>
        <w:rPr>
          <w:rFonts w:ascii="Times New Roman" w:hAnsi="Times New Roman" w:cs="Times New Roman"/>
          <w:b/>
          <w:sz w:val="22"/>
          <w:szCs w:val="22"/>
          <w:lang w:val="fr-CA"/>
        </w:rPr>
      </w:pPr>
    </w:p>
    <w:p w14:paraId="30526435" w14:textId="77777777" w:rsidR="00D30CD3" w:rsidRPr="00D30CD3" w:rsidRDefault="00D30CD3" w:rsidP="00D30CD3">
      <w:pPr>
        <w:widowControl w:val="0"/>
        <w:autoSpaceDE w:val="0"/>
        <w:autoSpaceDN w:val="0"/>
        <w:adjustRightInd w:val="0"/>
        <w:ind w:left="360"/>
        <w:rPr>
          <w:rFonts w:ascii="Times New Roman" w:hAnsi="Times New Roman" w:cs="Times New Roman"/>
          <w:sz w:val="20"/>
          <w:szCs w:val="20"/>
        </w:rPr>
      </w:pPr>
    </w:p>
    <w:p w14:paraId="57C12235" w14:textId="77777777" w:rsidR="00D30CD3" w:rsidRPr="007916A0" w:rsidRDefault="00D30CD3" w:rsidP="007916A0">
      <w:pPr>
        <w:widowControl w:val="0"/>
        <w:autoSpaceDE w:val="0"/>
        <w:autoSpaceDN w:val="0"/>
        <w:adjustRightInd w:val="0"/>
        <w:rPr>
          <w:rFonts w:ascii="Times New Roman" w:hAnsi="Times New Roman" w:cs="Times New Roman"/>
          <w:b/>
          <w:color w:val="3E3E3E"/>
          <w:sz w:val="22"/>
          <w:szCs w:val="22"/>
        </w:rPr>
      </w:pPr>
    </w:p>
    <w:p w14:paraId="7EB9904F" w14:textId="438A6A12"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G.    Réparation pour violation du droit de divulgation</w:t>
      </w:r>
      <w:r w:rsidR="006861BC">
        <w:rPr>
          <w:rFonts w:ascii="Times New Roman" w:hAnsi="Times New Roman" w:cs="Times New Roman"/>
          <w:b/>
          <w:color w:val="3E3E3E"/>
          <w:sz w:val="22"/>
          <w:szCs w:val="22"/>
        </w:rPr>
        <w:t xml:space="preserve"> (p.16)</w:t>
      </w:r>
    </w:p>
    <w:p w14:paraId="178F7A5D" w14:textId="77777777" w:rsidR="00130B02" w:rsidRDefault="00130B02" w:rsidP="00130B02">
      <w:pPr>
        <w:jc w:val="both"/>
        <w:rPr>
          <w:rFonts w:ascii="Times New Roman" w:hAnsi="Times New Roman" w:cs="Times New Roman"/>
          <w:sz w:val="22"/>
          <w:szCs w:val="22"/>
        </w:rPr>
      </w:pPr>
    </w:p>
    <w:p w14:paraId="6D52ABA3" w14:textId="77777777" w:rsidR="00130B02"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Un défaut de communiquer en temps utiles des preuves peut constituer une violation de l’article 11 b) de la Charte</w:t>
      </w:r>
    </w:p>
    <w:p w14:paraId="7655F5DB" w14:textId="703B3F02" w:rsidR="00130B02" w:rsidRDefault="00130B02" w:rsidP="00130B02">
      <w:pPr>
        <w:pStyle w:val="Paragraphedeliste"/>
        <w:numPr>
          <w:ilvl w:val="0"/>
          <w:numId w:val="108"/>
        </w:numPr>
        <w:jc w:val="both"/>
        <w:rPr>
          <w:rFonts w:ascii="Times New Roman" w:hAnsi="Times New Roman" w:cs="Times New Roman"/>
          <w:sz w:val="22"/>
          <w:szCs w:val="22"/>
        </w:rPr>
      </w:pPr>
      <w:r>
        <w:rPr>
          <w:rFonts w:ascii="Times New Roman" w:hAnsi="Times New Roman" w:cs="Times New Roman"/>
          <w:sz w:val="22"/>
          <w:szCs w:val="22"/>
        </w:rPr>
        <w:t>Article 11b) de la Charte canadienne.</w:t>
      </w:r>
    </w:p>
    <w:p w14:paraId="2BED122F" w14:textId="77777777" w:rsidR="00130B02" w:rsidRDefault="00130B02" w:rsidP="00130B02">
      <w:pPr>
        <w:jc w:val="both"/>
        <w:rPr>
          <w:rFonts w:ascii="Times New Roman" w:hAnsi="Times New Roman" w:cs="Times New Roman"/>
          <w:sz w:val="22"/>
          <w:szCs w:val="22"/>
        </w:rPr>
      </w:pPr>
    </w:p>
    <w:p w14:paraId="6D329F0E" w14:textId="66BCFF0C" w:rsidR="00130B02" w:rsidRDefault="00130B02" w:rsidP="00130B02">
      <w:pPr>
        <w:jc w:val="both"/>
        <w:rPr>
          <w:rFonts w:ascii="Times New Roman" w:hAnsi="Times New Roman" w:cs="Times New Roman"/>
          <w:b/>
          <w:i/>
          <w:sz w:val="22"/>
          <w:szCs w:val="22"/>
        </w:rPr>
      </w:pPr>
      <w:r>
        <w:rPr>
          <w:rFonts w:ascii="Times New Roman" w:hAnsi="Times New Roman" w:cs="Times New Roman"/>
          <w:b/>
          <w:i/>
          <w:sz w:val="22"/>
          <w:szCs w:val="22"/>
        </w:rPr>
        <w:t>R. c. Godin 2009 :</w:t>
      </w:r>
    </w:p>
    <w:p w14:paraId="7B9158B5" w14:textId="2C06C707" w:rsidR="00130B02" w:rsidRPr="00130B02" w:rsidRDefault="00130B02" w:rsidP="00130B02">
      <w:pPr>
        <w:pStyle w:val="Paragraphedeliste"/>
        <w:numPr>
          <w:ilvl w:val="0"/>
          <w:numId w:val="108"/>
        </w:numPr>
        <w:jc w:val="both"/>
        <w:rPr>
          <w:rFonts w:ascii="Times New Roman" w:hAnsi="Times New Roman" w:cs="Times New Roman"/>
          <w:b/>
          <w:i/>
          <w:sz w:val="22"/>
          <w:szCs w:val="22"/>
        </w:rPr>
      </w:pPr>
      <w:r w:rsidRPr="00130B02">
        <w:rPr>
          <w:rFonts w:ascii="Times New Roman" w:hAnsi="Times New Roman" w:cs="Times New Roman"/>
          <w:sz w:val="20"/>
          <w:szCs w:val="20"/>
        </w:rPr>
        <w:t>En réalité on invoquera une violation de l’article 7 de la Charte et la violation de son droit à une défense pleine et entière</w:t>
      </w:r>
      <w:r>
        <w:rPr>
          <w:rFonts w:ascii="Times New Roman" w:hAnsi="Times New Roman" w:cs="Times New Roman"/>
          <w:sz w:val="22"/>
          <w:szCs w:val="22"/>
        </w:rPr>
        <w:t>.</w:t>
      </w:r>
    </w:p>
    <w:p w14:paraId="114B36F7" w14:textId="77777777" w:rsidR="00130B02" w:rsidRPr="00130B02" w:rsidRDefault="00130B02" w:rsidP="00130B02">
      <w:pPr>
        <w:pStyle w:val="Paragraphedeliste"/>
        <w:jc w:val="both"/>
        <w:rPr>
          <w:rFonts w:ascii="Times New Roman" w:hAnsi="Times New Roman" w:cs="Times New Roman"/>
          <w:b/>
          <w:i/>
          <w:sz w:val="22"/>
          <w:szCs w:val="22"/>
        </w:rPr>
      </w:pPr>
    </w:p>
    <w:p w14:paraId="1B0E1E81" w14:textId="43089A9D" w:rsidR="00130B02" w:rsidRDefault="00130B02" w:rsidP="00130B02">
      <w:pPr>
        <w:jc w:val="both"/>
        <w:rPr>
          <w:rFonts w:ascii="Times New Roman" w:hAnsi="Times New Roman" w:cs="Times New Roman"/>
          <w:b/>
          <w:i/>
          <w:sz w:val="22"/>
          <w:szCs w:val="22"/>
        </w:rPr>
      </w:pPr>
      <w:r>
        <w:rPr>
          <w:rFonts w:ascii="Times New Roman" w:hAnsi="Times New Roman" w:cs="Times New Roman"/>
          <w:b/>
          <w:i/>
          <w:sz w:val="22"/>
          <w:szCs w:val="22"/>
        </w:rPr>
        <w:t>R. c. O’Connor 1995 :</w:t>
      </w:r>
    </w:p>
    <w:p w14:paraId="4145621C" w14:textId="28BE2C58" w:rsidR="00130B02" w:rsidRPr="00130B02" w:rsidRDefault="00130B02" w:rsidP="00130B02">
      <w:pPr>
        <w:pStyle w:val="Paragraphedeliste"/>
        <w:numPr>
          <w:ilvl w:val="0"/>
          <w:numId w:val="108"/>
        </w:numPr>
        <w:jc w:val="both"/>
        <w:rPr>
          <w:rFonts w:ascii="Times New Roman" w:hAnsi="Times New Roman" w:cs="Times New Roman"/>
          <w:sz w:val="20"/>
          <w:szCs w:val="20"/>
        </w:rPr>
      </w:pPr>
      <w:r w:rsidRPr="00130B02">
        <w:rPr>
          <w:rFonts w:ascii="Times New Roman" w:hAnsi="Times New Roman" w:cs="Times New Roman"/>
          <w:sz w:val="20"/>
          <w:szCs w:val="20"/>
        </w:rPr>
        <w:t xml:space="preserve">La non-divulgation par le ministère public fait habituellement partie de la deuxième catégorie que je viens de décrire. En conséquence, une contestation fondée sur la non-divulgation nécessitera généralement la preuve d'un préjudice véritable quant à la possibilité pour l'accusé de présenter une défense pleine et entière [...]Ce n'est pas en soi un droit protégé sur le plan constitutionnel. Cela signifie que, bien que le ministère public ait l'obligation de divulguer sa preuve et que l'accusé ait droit à tout ce que le ministère public est tenu de divulguer, une simple atteinte au droit de l'accusé à une telle divulgation ne constitue pas en soi une violation de la Charte qui donne droit à une réparation en vertu du par. 24(1). Cela résulte du fait que </w:t>
      </w:r>
      <w:r w:rsidRPr="00130B02">
        <w:rPr>
          <w:rFonts w:ascii="Times New Roman" w:hAnsi="Times New Roman" w:cs="Times New Roman"/>
          <w:sz w:val="20"/>
          <w:szCs w:val="20"/>
          <w:u w:val="single"/>
        </w:rPr>
        <w:t>la non-divulgation de renseignements</w:t>
      </w:r>
      <w:r w:rsidRPr="00130B02">
        <w:rPr>
          <w:rFonts w:ascii="Times New Roman" w:hAnsi="Times New Roman" w:cs="Times New Roman"/>
          <w:sz w:val="20"/>
          <w:szCs w:val="20"/>
        </w:rPr>
        <w:t xml:space="preserve"> qui auraient dû être divulgués en raison de leur pertinence, en ce sens qu'ils </w:t>
      </w:r>
      <w:r w:rsidRPr="00130B02">
        <w:rPr>
          <w:rFonts w:ascii="Times New Roman" w:hAnsi="Times New Roman" w:cs="Times New Roman"/>
          <w:i/>
          <w:iCs/>
          <w:sz w:val="20"/>
          <w:szCs w:val="20"/>
        </w:rPr>
        <w:t>pouvaient raisonnablement</w:t>
      </w:r>
      <w:r w:rsidRPr="00130B02">
        <w:rPr>
          <w:rFonts w:ascii="Times New Roman" w:hAnsi="Times New Roman" w:cs="Times New Roman"/>
          <w:sz w:val="20"/>
          <w:szCs w:val="20"/>
        </w:rPr>
        <w:t xml:space="preserve"> aider l'accusé à présenter une défense pleine et entière, n'équivaudra pas à une violation du droit que l'art. 7 garantit à l'accusé de n'être privé de sa liberté qu'en conformité avec les principes de justice fondamentale </w:t>
      </w:r>
      <w:r w:rsidRPr="00130B02">
        <w:rPr>
          <w:rFonts w:ascii="Times New Roman" w:hAnsi="Times New Roman" w:cs="Times New Roman"/>
          <w:sz w:val="20"/>
          <w:szCs w:val="20"/>
          <w:u w:val="single"/>
        </w:rPr>
        <w:t xml:space="preserve">à moins que l'accusé n'établisse que la non-divulgation </w:t>
      </w:r>
      <w:r w:rsidRPr="00130B02">
        <w:rPr>
          <w:rFonts w:ascii="Times New Roman" w:hAnsi="Times New Roman" w:cs="Times New Roman"/>
          <w:i/>
          <w:iCs/>
          <w:sz w:val="20"/>
          <w:szCs w:val="20"/>
          <w:u w:val="single"/>
        </w:rPr>
        <w:t>a probablement</w:t>
      </w:r>
      <w:r w:rsidRPr="00130B02">
        <w:rPr>
          <w:rFonts w:ascii="Times New Roman" w:hAnsi="Times New Roman" w:cs="Times New Roman"/>
          <w:sz w:val="20"/>
          <w:szCs w:val="20"/>
          <w:u w:val="single"/>
        </w:rPr>
        <w:t xml:space="preserve"> nui à la possibilité pour lui de présenter une défense pleine et entière ou a eu un effet défavorable sur cette possibilité</w:t>
      </w:r>
      <w:r w:rsidRPr="00130B02">
        <w:rPr>
          <w:rFonts w:ascii="Times New Roman" w:hAnsi="Times New Roman" w:cs="Times New Roman"/>
          <w:sz w:val="20"/>
          <w:szCs w:val="20"/>
        </w:rPr>
        <w:t>.</w:t>
      </w:r>
      <w:r>
        <w:rPr>
          <w:rFonts w:ascii="Times New Roman" w:hAnsi="Times New Roman" w:cs="Times New Roman"/>
          <w:sz w:val="20"/>
          <w:szCs w:val="20"/>
        </w:rPr>
        <w:t xml:space="preserve"> [74]</w:t>
      </w:r>
    </w:p>
    <w:p w14:paraId="3C205C9E" w14:textId="05934C9A" w:rsidR="00130B02" w:rsidRPr="00130B02" w:rsidRDefault="00130B02" w:rsidP="00130B02">
      <w:pPr>
        <w:pStyle w:val="Paragraphedeliste"/>
        <w:numPr>
          <w:ilvl w:val="0"/>
          <w:numId w:val="108"/>
        </w:numPr>
        <w:jc w:val="both"/>
        <w:rPr>
          <w:rFonts w:ascii="Times New Roman" w:hAnsi="Times New Roman" w:cs="Times New Roman"/>
          <w:b/>
          <w:i/>
          <w:sz w:val="22"/>
          <w:szCs w:val="22"/>
        </w:rPr>
      </w:pPr>
      <w:r w:rsidRPr="00130B02">
        <w:rPr>
          <w:rFonts w:ascii="Times New Roman" w:hAnsi="Times New Roman" w:cs="Times New Roman"/>
          <w:b/>
          <w:sz w:val="20"/>
          <w:szCs w:val="20"/>
        </w:rPr>
        <w:t xml:space="preserve">Lorsque l'accusé tente de prouver que la non-divulgation par le ministère public viole l'art. 7 de la </w:t>
      </w:r>
      <w:r w:rsidRPr="00130B02">
        <w:rPr>
          <w:rFonts w:ascii="Times New Roman" w:hAnsi="Times New Roman" w:cs="Times New Roman"/>
          <w:b/>
          <w:i/>
          <w:iCs/>
          <w:sz w:val="20"/>
          <w:szCs w:val="20"/>
        </w:rPr>
        <w:t>Charte</w:t>
      </w:r>
      <w:r w:rsidRPr="00130B02">
        <w:rPr>
          <w:rFonts w:ascii="Times New Roman" w:hAnsi="Times New Roman" w:cs="Times New Roman"/>
          <w:b/>
          <w:sz w:val="20"/>
          <w:szCs w:val="20"/>
        </w:rPr>
        <w:t>, il doit prouver que la non-divulgation en cause a, selon la balance des probabilités, nui à la possibilité pour l'accusé de présenter une défense pleine et entière ou a eu un effet défavorable sur cette possibilité</w:t>
      </w:r>
      <w:r w:rsidRPr="00CE2AFF">
        <w:rPr>
          <w:rFonts w:ascii="Times New Roman" w:hAnsi="Times New Roman" w:cs="Times New Roman"/>
          <w:sz w:val="20"/>
          <w:szCs w:val="20"/>
        </w:rPr>
        <w:t>. Il va sans dire qu'une telle détermination exige une enquête suffisante sur le caractère substantiel des renseignements non divulgués</w:t>
      </w:r>
    </w:p>
    <w:p w14:paraId="7EEE7673" w14:textId="77777777" w:rsidR="00130B02" w:rsidRDefault="00130B02" w:rsidP="00130B02">
      <w:pPr>
        <w:jc w:val="both"/>
        <w:rPr>
          <w:rFonts w:ascii="Times New Roman" w:hAnsi="Times New Roman" w:cs="Times New Roman"/>
          <w:b/>
          <w:i/>
          <w:sz w:val="22"/>
          <w:szCs w:val="22"/>
        </w:rPr>
      </w:pPr>
    </w:p>
    <w:p w14:paraId="17952508" w14:textId="62E9EAD3" w:rsidR="00130B02" w:rsidRDefault="00130B02" w:rsidP="00130B02">
      <w:pPr>
        <w:jc w:val="both"/>
        <w:rPr>
          <w:rFonts w:ascii="Times New Roman" w:hAnsi="Times New Roman" w:cs="Times New Roman"/>
          <w:sz w:val="22"/>
          <w:szCs w:val="22"/>
        </w:rPr>
      </w:pPr>
      <w:r>
        <w:rPr>
          <w:rFonts w:ascii="Times New Roman" w:hAnsi="Times New Roman" w:cs="Times New Roman"/>
          <w:sz w:val="22"/>
          <w:szCs w:val="22"/>
        </w:rPr>
        <w:t>Les réparations les plus courantes sont l’ajournement et la communication de la preuve</w:t>
      </w:r>
    </w:p>
    <w:p w14:paraId="4A6013F1" w14:textId="1A64B537" w:rsidR="00130B02" w:rsidRDefault="00130B02" w:rsidP="00130B02">
      <w:pPr>
        <w:jc w:val="both"/>
        <w:rPr>
          <w:rFonts w:ascii="Times New Roman" w:hAnsi="Times New Roman" w:cs="Times New Roman"/>
          <w:b/>
          <w:i/>
          <w:sz w:val="22"/>
          <w:szCs w:val="22"/>
        </w:rPr>
      </w:pPr>
      <w:r>
        <w:rPr>
          <w:rFonts w:ascii="Times New Roman" w:hAnsi="Times New Roman" w:cs="Times New Roman"/>
          <w:b/>
          <w:i/>
          <w:sz w:val="22"/>
          <w:szCs w:val="22"/>
        </w:rPr>
        <w:t>R. c. Bjelland 2009 (p.17) :</w:t>
      </w:r>
    </w:p>
    <w:p w14:paraId="2488C198" w14:textId="16B2E85E" w:rsidR="00130B02" w:rsidRPr="00130B02" w:rsidRDefault="00130B02" w:rsidP="00130B02">
      <w:pPr>
        <w:pStyle w:val="Paragraphedeliste"/>
        <w:numPr>
          <w:ilvl w:val="0"/>
          <w:numId w:val="109"/>
        </w:numPr>
        <w:jc w:val="both"/>
        <w:rPr>
          <w:rFonts w:ascii="Times New Roman" w:hAnsi="Times New Roman" w:cs="Times New Roman"/>
          <w:sz w:val="22"/>
          <w:szCs w:val="22"/>
        </w:rPr>
      </w:pPr>
      <w:r w:rsidRPr="00CE2AFF">
        <w:rPr>
          <w:rFonts w:ascii="Times New Roman" w:hAnsi="Times New Roman" w:cs="Times New Roman"/>
          <w:sz w:val="20"/>
          <w:szCs w:val="20"/>
        </w:rPr>
        <w:t xml:space="preserve">Je suis d’accord avec la décision des juges majoritaires de la Cour d’appel.  À mon avis, le juge du procès a commis une erreur donnant lieu à révision en omettant de se demander si le préjudice causé à l’appelant pouvait être corrigé sans exclure les éléments de preuve et dénaturer ainsi la fonction de recherche de vérité des procès criminels.  Selon le par. 24(1), lorsque les éléments de preuve ont été obtenus conformément à la </w:t>
      </w:r>
      <w:r w:rsidRPr="00CE2AFF">
        <w:rPr>
          <w:rFonts w:ascii="Times New Roman" w:hAnsi="Times New Roman" w:cs="Times New Roman"/>
          <w:i/>
          <w:iCs/>
          <w:sz w:val="20"/>
          <w:szCs w:val="20"/>
        </w:rPr>
        <w:t>Charte</w:t>
      </w:r>
      <w:r w:rsidRPr="00CE2AFF">
        <w:rPr>
          <w:rFonts w:ascii="Times New Roman" w:hAnsi="Times New Roman" w:cs="Times New Roman"/>
          <w:sz w:val="20"/>
          <w:szCs w:val="20"/>
        </w:rPr>
        <w:t>, ils ne peuvent être exclus à titre de réparation que lorsque leur utilisation rendrait le procès inéquitable ou minerait autrement l’intégrité du système de justice.  En l’espèce, l’atteinte au droit de l’appelant de présenter une défense pleine et entière pouvait être réparée en ordonnant un ajournement et la communication de la preuve.  En outre, rien ne minait par ailleurs l’équité du procès ou l’intégrité du système de justice</w:t>
      </w:r>
      <w:r>
        <w:rPr>
          <w:rFonts w:ascii="Times New Roman" w:hAnsi="Times New Roman" w:cs="Times New Roman"/>
          <w:sz w:val="20"/>
          <w:szCs w:val="20"/>
        </w:rPr>
        <w:t>[3].</w:t>
      </w:r>
    </w:p>
    <w:p w14:paraId="68890EC6" w14:textId="77777777" w:rsidR="00130B02" w:rsidRDefault="00130B02" w:rsidP="00130B02">
      <w:pPr>
        <w:jc w:val="both"/>
        <w:rPr>
          <w:rFonts w:ascii="Times New Roman" w:hAnsi="Times New Roman" w:cs="Times New Roman"/>
          <w:sz w:val="22"/>
          <w:szCs w:val="22"/>
        </w:rPr>
      </w:pPr>
    </w:p>
    <w:p w14:paraId="25DF9998" w14:textId="57137CD2" w:rsidR="00130B02" w:rsidRDefault="00130B02" w:rsidP="00130B02">
      <w:pPr>
        <w:jc w:val="both"/>
        <w:rPr>
          <w:rFonts w:ascii="Times New Roman" w:hAnsi="Times New Roman" w:cs="Times New Roman"/>
          <w:sz w:val="22"/>
          <w:szCs w:val="22"/>
        </w:rPr>
      </w:pPr>
      <w:r>
        <w:rPr>
          <w:rFonts w:ascii="Times New Roman" w:hAnsi="Times New Roman" w:cs="Times New Roman"/>
          <w:sz w:val="22"/>
          <w:szCs w:val="22"/>
        </w:rPr>
        <w:t>Cela étant, en appel on peut aussi chercher à demander un nouveau procès. Cela peut se faire sous deux conditions</w:t>
      </w:r>
    </w:p>
    <w:p w14:paraId="33296BA6" w14:textId="53EAC141" w:rsidR="00130B02" w:rsidRDefault="00130B02" w:rsidP="00130B02">
      <w:pPr>
        <w:jc w:val="both"/>
        <w:rPr>
          <w:rFonts w:ascii="Times New Roman" w:hAnsi="Times New Roman" w:cs="Times New Roman"/>
          <w:b/>
          <w:i/>
          <w:sz w:val="22"/>
          <w:szCs w:val="22"/>
        </w:rPr>
      </w:pPr>
      <w:r>
        <w:rPr>
          <w:rFonts w:ascii="Times New Roman" w:hAnsi="Times New Roman" w:cs="Times New Roman"/>
          <w:b/>
          <w:i/>
          <w:sz w:val="22"/>
          <w:szCs w:val="22"/>
        </w:rPr>
        <w:t>R. c. Dixon 1998 :</w:t>
      </w:r>
    </w:p>
    <w:p w14:paraId="7004B4AD" w14:textId="7433BBF3" w:rsidR="00130B02" w:rsidRPr="00130B02" w:rsidRDefault="00130B02" w:rsidP="00130B02">
      <w:pPr>
        <w:pStyle w:val="Paragraphedeliste"/>
        <w:numPr>
          <w:ilvl w:val="0"/>
          <w:numId w:val="109"/>
        </w:numPr>
        <w:jc w:val="both"/>
        <w:rPr>
          <w:rFonts w:ascii="Times New Roman" w:hAnsi="Times New Roman" w:cs="Times New Roman"/>
          <w:b/>
          <w:i/>
          <w:sz w:val="20"/>
          <w:szCs w:val="20"/>
        </w:rPr>
      </w:pPr>
      <w:r w:rsidRPr="00130B02">
        <w:rPr>
          <w:rFonts w:ascii="Times New Roman" w:hAnsi="Times New Roman" w:cs="Times New Roman"/>
          <w:b/>
          <w:sz w:val="20"/>
          <w:szCs w:val="20"/>
        </w:rPr>
        <w:t xml:space="preserve">Il est satisfait à cette obligation lorsque l’accusé démontre qu’il y a une </w:t>
      </w:r>
      <w:r w:rsidRPr="00130B02">
        <w:rPr>
          <w:rFonts w:ascii="Times New Roman" w:hAnsi="Times New Roman" w:cs="Times New Roman"/>
          <w:b/>
          <w:sz w:val="20"/>
          <w:szCs w:val="20"/>
          <w:u w:val="single"/>
        </w:rPr>
        <w:t>possibilité raisonnable</w:t>
      </w:r>
      <w:r w:rsidRPr="00130B02">
        <w:rPr>
          <w:rFonts w:ascii="Times New Roman" w:hAnsi="Times New Roman" w:cs="Times New Roman"/>
          <w:b/>
          <w:sz w:val="20"/>
          <w:szCs w:val="20"/>
        </w:rPr>
        <w:t xml:space="preserve"> que la non</w:t>
      </w:r>
      <w:r w:rsidRPr="00130B02">
        <w:rPr>
          <w:rFonts w:ascii="Palatino" w:hAnsi="Palatino" w:cs="Palatino"/>
          <w:b/>
          <w:sz w:val="20"/>
          <w:szCs w:val="20"/>
        </w:rPr>
        <w:t>‑</w:t>
      </w:r>
      <w:r w:rsidRPr="00130B02">
        <w:rPr>
          <w:rFonts w:ascii="Times New Roman" w:hAnsi="Times New Roman" w:cs="Times New Roman"/>
          <w:b/>
          <w:sz w:val="20"/>
          <w:szCs w:val="20"/>
        </w:rPr>
        <w:t>divulgation ait influé sur l’issue ou l’équité globale du procès</w:t>
      </w:r>
      <w:r>
        <w:rPr>
          <w:rFonts w:ascii="Times New Roman" w:hAnsi="Times New Roman" w:cs="Times New Roman"/>
          <w:b/>
          <w:sz w:val="20"/>
          <w:szCs w:val="20"/>
        </w:rPr>
        <w:t xml:space="preserve"> [...] </w:t>
      </w:r>
      <w:r w:rsidRPr="00130B02">
        <w:rPr>
          <w:rFonts w:ascii="Times New Roman" w:hAnsi="Times New Roman" w:cs="Times New Roman"/>
          <w:sz w:val="20"/>
          <w:szCs w:val="20"/>
        </w:rPr>
        <w:t xml:space="preserve">Cependant, la possibilité raisonnable, dont l’existence doit être démontrée selon ce critère, ne doit pas être purement hypothétique.  Elle doit se fonder sur les utilisations </w:t>
      </w:r>
      <w:r w:rsidRPr="00130B02">
        <w:rPr>
          <w:rFonts w:ascii="Times New Roman" w:hAnsi="Times New Roman" w:cs="Times New Roman"/>
          <w:sz w:val="20"/>
          <w:szCs w:val="20"/>
          <w:u w:val="single"/>
        </w:rPr>
        <w:t>raisonnablement</w:t>
      </w:r>
      <w:r w:rsidRPr="00130B02">
        <w:rPr>
          <w:rFonts w:ascii="Times New Roman" w:hAnsi="Times New Roman" w:cs="Times New Roman"/>
          <w:sz w:val="20"/>
          <w:szCs w:val="20"/>
        </w:rPr>
        <w:t xml:space="preserve"> possibles de la preuve non divulguée ou sur les moyens d’enquête </w:t>
      </w:r>
      <w:r w:rsidRPr="00130B02">
        <w:rPr>
          <w:rFonts w:ascii="Times New Roman" w:hAnsi="Times New Roman" w:cs="Times New Roman"/>
          <w:sz w:val="20"/>
          <w:szCs w:val="20"/>
          <w:u w:val="single"/>
        </w:rPr>
        <w:t>raisonnablement</w:t>
      </w:r>
      <w:r w:rsidRPr="00130B02">
        <w:rPr>
          <w:rFonts w:ascii="Times New Roman" w:hAnsi="Times New Roman" w:cs="Times New Roman"/>
          <w:sz w:val="20"/>
          <w:szCs w:val="20"/>
        </w:rPr>
        <w:t xml:space="preserve"> possibles dont l’accusé a été privé à la suite de la non</w:t>
      </w:r>
      <w:r w:rsidRPr="00130B02">
        <w:rPr>
          <w:rFonts w:ascii="Palatino" w:hAnsi="Palatino" w:cs="Palatino"/>
          <w:sz w:val="20"/>
          <w:szCs w:val="20"/>
        </w:rPr>
        <w:t>‑</w:t>
      </w:r>
      <w:r w:rsidRPr="00130B02">
        <w:rPr>
          <w:rFonts w:ascii="Times New Roman" w:hAnsi="Times New Roman" w:cs="Times New Roman"/>
          <w:sz w:val="20"/>
          <w:szCs w:val="20"/>
        </w:rPr>
        <w:t>divulgation.  S’il est prouvé qu’une telle possibilité existe, il y a alors eu atteinte au droit à une défense pleine et entière</w:t>
      </w:r>
      <w:r>
        <w:rPr>
          <w:rFonts w:ascii="Times New Roman" w:hAnsi="Times New Roman" w:cs="Times New Roman"/>
          <w:sz w:val="20"/>
          <w:szCs w:val="20"/>
        </w:rPr>
        <w:t>.</w:t>
      </w:r>
    </w:p>
    <w:p w14:paraId="3149B865" w14:textId="77777777" w:rsidR="00130B02" w:rsidRDefault="00130B02" w:rsidP="00130B02">
      <w:pPr>
        <w:jc w:val="both"/>
        <w:rPr>
          <w:rFonts w:ascii="Times New Roman" w:hAnsi="Times New Roman" w:cs="Times New Roman"/>
          <w:b/>
          <w:i/>
          <w:sz w:val="20"/>
          <w:szCs w:val="20"/>
        </w:rPr>
      </w:pPr>
    </w:p>
    <w:p w14:paraId="34AB36C0" w14:textId="77777777" w:rsidR="00130B02" w:rsidRPr="00C81AAC"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Sur le premier point (ou première condition) :</w:t>
      </w:r>
    </w:p>
    <w:p w14:paraId="276023E4" w14:textId="77777777" w:rsidR="00130B02" w:rsidRPr="00C81AAC"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Il appartiendra à la CA de déterminer sir la preuve divulguée aurait pu faire la différence et non aurait du faire la différence.</w:t>
      </w:r>
    </w:p>
    <w:p w14:paraId="4A36D58C" w14:textId="315118C3" w:rsidR="00130B02" w:rsidRDefault="00130B02" w:rsidP="00130B02">
      <w:pPr>
        <w:jc w:val="both"/>
        <w:rPr>
          <w:rFonts w:ascii="Times New Roman" w:hAnsi="Times New Roman" w:cs="Times New Roman"/>
          <w:b/>
          <w:i/>
          <w:sz w:val="20"/>
          <w:szCs w:val="20"/>
        </w:rPr>
      </w:pPr>
      <w:r>
        <w:rPr>
          <w:rFonts w:ascii="Times New Roman" w:hAnsi="Times New Roman" w:cs="Times New Roman"/>
          <w:b/>
          <w:i/>
          <w:sz w:val="20"/>
          <w:szCs w:val="20"/>
        </w:rPr>
        <w:t>R. c. Taillefer ; R. c. Dugay 2003 (p.17) :</w:t>
      </w:r>
    </w:p>
    <w:p w14:paraId="3F6AD819" w14:textId="77777777" w:rsidR="00130B02" w:rsidRDefault="00130B02" w:rsidP="00130B02">
      <w:pPr>
        <w:pStyle w:val="Paragraphedeliste"/>
        <w:numPr>
          <w:ilvl w:val="0"/>
          <w:numId w:val="109"/>
        </w:numPr>
        <w:jc w:val="both"/>
        <w:rPr>
          <w:rFonts w:ascii="Times New Roman" w:hAnsi="Times New Roman" w:cs="Times New Roman"/>
          <w:sz w:val="20"/>
          <w:szCs w:val="20"/>
        </w:rPr>
      </w:pPr>
      <w:r w:rsidRPr="00130B02">
        <w:rPr>
          <w:rFonts w:ascii="Times New Roman" w:hAnsi="Times New Roman" w:cs="Times New Roman"/>
          <w:sz w:val="20"/>
          <w:szCs w:val="20"/>
        </w:rPr>
        <w:t>Ensuite, l’application de ce test exige que la Cour d’appel détermine l’existence d’une possibilité raisonnable que le jury, bénéficiant de l’ensemble de la preuve pertinente, aurait eu un doute raisonnable quant à la culpabilité de l’accusé. Il ne s’agit donc pas d’évaluer un à un les éléments de preuve non divulgués afin d’évaluer leur valeur probante, ce qui est le rôle propre au juge des faits. Il faut plutôt tenter de reconstruire le tableau global de la preuve qui aurait été présentée au jury, n’eût été l’omission du ministère public de divulguer la preuve pertinente. L’existence d’une possibilité raisonnable que le verdict aurait été différent doit être déterminée à la lumière de la preuve prise dans son ensemble.</w:t>
      </w:r>
    </w:p>
    <w:p w14:paraId="7A6690C4" w14:textId="77777777" w:rsidR="00130B02" w:rsidRDefault="00130B02" w:rsidP="00130B02">
      <w:pPr>
        <w:jc w:val="both"/>
        <w:rPr>
          <w:rFonts w:ascii="Times New Roman" w:hAnsi="Times New Roman" w:cs="Times New Roman"/>
          <w:sz w:val="20"/>
          <w:szCs w:val="20"/>
        </w:rPr>
      </w:pPr>
    </w:p>
    <w:p w14:paraId="78869253" w14:textId="221A7603" w:rsidR="00130B02" w:rsidRDefault="00130B02" w:rsidP="00130B02">
      <w:pPr>
        <w:jc w:val="both"/>
        <w:rPr>
          <w:rFonts w:ascii="Times New Roman" w:hAnsi="Times New Roman" w:cs="Times New Roman"/>
          <w:sz w:val="22"/>
          <w:szCs w:val="22"/>
        </w:rPr>
      </w:pPr>
      <w:r>
        <w:rPr>
          <w:rFonts w:ascii="Times New Roman" w:hAnsi="Times New Roman" w:cs="Times New Roman"/>
          <w:sz w:val="22"/>
          <w:szCs w:val="22"/>
        </w:rPr>
        <w:t>Sur le second point :</w:t>
      </w:r>
    </w:p>
    <w:p w14:paraId="6C2E27DB" w14:textId="079209CF" w:rsidR="00130B02"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Il faut juste prouver en appel qu’il existe une possibilité raisonnable que l’équité du procès a été altérée en raison de la non-divulgation de la preuve par la Couronne</w:t>
      </w:r>
      <w:r>
        <w:rPr>
          <w:rFonts w:ascii="Times New Roman" w:hAnsi="Times New Roman" w:cs="Times New Roman"/>
          <w:sz w:val="22"/>
          <w:szCs w:val="22"/>
        </w:rPr>
        <w:t>.</w:t>
      </w:r>
    </w:p>
    <w:p w14:paraId="3E41666B" w14:textId="77777777" w:rsidR="00130B02" w:rsidRPr="00C81AAC"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Voir par exemple</w:t>
      </w:r>
      <w:r w:rsidRPr="00130B02">
        <w:rPr>
          <w:rFonts w:ascii="Times New Roman" w:hAnsi="Times New Roman" w:cs="Times New Roman"/>
          <w:b/>
          <w:sz w:val="22"/>
          <w:szCs w:val="22"/>
        </w:rPr>
        <w:t xml:space="preserve"> Skinner</w:t>
      </w:r>
    </w:p>
    <w:p w14:paraId="6E02F235" w14:textId="77777777" w:rsidR="00130B02" w:rsidRDefault="00130B02" w:rsidP="00130B02">
      <w:pPr>
        <w:jc w:val="both"/>
        <w:rPr>
          <w:rFonts w:ascii="Times New Roman" w:hAnsi="Times New Roman" w:cs="Times New Roman"/>
          <w:sz w:val="22"/>
          <w:szCs w:val="22"/>
        </w:rPr>
      </w:pPr>
      <w:r w:rsidRPr="00C81AAC">
        <w:rPr>
          <w:rFonts w:ascii="Times New Roman" w:hAnsi="Times New Roman" w:cs="Times New Roman"/>
          <w:sz w:val="22"/>
          <w:szCs w:val="22"/>
        </w:rPr>
        <w:t>La preuve non-divulguée aurait pu avoir un impact sur la décision de la défense de ne pas appeler tel témoin.</w:t>
      </w:r>
    </w:p>
    <w:p w14:paraId="0212C535" w14:textId="784822F3" w:rsidR="00130B02" w:rsidRDefault="00130B02" w:rsidP="00130B02">
      <w:pPr>
        <w:jc w:val="both"/>
        <w:rPr>
          <w:rFonts w:ascii="Times New Roman" w:hAnsi="Times New Roman" w:cs="Times New Roman"/>
          <w:b/>
          <w:i/>
          <w:sz w:val="22"/>
          <w:szCs w:val="22"/>
        </w:rPr>
      </w:pPr>
      <w:r>
        <w:rPr>
          <w:rFonts w:ascii="Times New Roman" w:hAnsi="Times New Roman" w:cs="Times New Roman"/>
          <w:b/>
          <w:i/>
          <w:sz w:val="22"/>
          <w:szCs w:val="22"/>
        </w:rPr>
        <w:t>R. c. Skinner 1998 (p.18) :</w:t>
      </w:r>
    </w:p>
    <w:p w14:paraId="0271CB74" w14:textId="4FDA6371" w:rsidR="00130B02" w:rsidRPr="00964D8F" w:rsidRDefault="00964D8F" w:rsidP="00964D8F">
      <w:pPr>
        <w:pStyle w:val="Paragraphedeliste"/>
        <w:numPr>
          <w:ilvl w:val="0"/>
          <w:numId w:val="109"/>
        </w:numPr>
        <w:jc w:val="both"/>
        <w:rPr>
          <w:rFonts w:ascii="Times New Roman" w:hAnsi="Times New Roman" w:cs="Times New Roman"/>
          <w:sz w:val="22"/>
          <w:szCs w:val="22"/>
        </w:rPr>
      </w:pPr>
      <w:r w:rsidRPr="00002603">
        <w:rPr>
          <w:rFonts w:ascii="Times New Roman" w:hAnsi="Times New Roman" w:cs="Times New Roman"/>
          <w:sz w:val="20"/>
          <w:szCs w:val="20"/>
        </w:rPr>
        <w:t xml:space="preserve">Par exemple, il y a une possibilité raisonnable que, si elle avait été produite par le ministère public, la déclaration non divulguée aurait eu une incidence sur la décision de la défense de ne pas présenter de preuve.  La défense aurait pu choisir d’assigner Daye comme témoin afin de contredire le témoignage de Clayton et d’attaquer sa crédibilité.  Il est impossible, dans le cadre d’un appel, de reconstituer le procès et de déterminer exactement comment la défense aurait pu utiliser la déclaration non divulguée.  Pourtant, la déclaration de Daye semble contenir assez de renseignements pertinents pour que son utilité éventuelle pour la défense ne relève pas de la pure conjecture ou de l’imagination.  Il est </w:t>
      </w:r>
      <w:r w:rsidRPr="00002603">
        <w:rPr>
          <w:rFonts w:ascii="Times New Roman" w:hAnsi="Times New Roman" w:cs="Times New Roman"/>
          <w:sz w:val="20"/>
          <w:szCs w:val="20"/>
          <w:u w:val="single"/>
        </w:rPr>
        <w:t>raisonnablement possible</w:t>
      </w:r>
      <w:r w:rsidRPr="00002603">
        <w:rPr>
          <w:rFonts w:ascii="Times New Roman" w:hAnsi="Times New Roman" w:cs="Times New Roman"/>
          <w:sz w:val="20"/>
          <w:szCs w:val="20"/>
        </w:rPr>
        <w:t xml:space="preserve"> que la divulgation de cette déclaration aurait eu une incidence sur la façon de présenter la défense lors du procès.  Je conclus donc que la non</w:t>
      </w:r>
      <w:r w:rsidRPr="00002603">
        <w:rPr>
          <w:rFonts w:ascii="Palatino" w:hAnsi="Palatino" w:cs="Palatino"/>
          <w:sz w:val="20"/>
          <w:szCs w:val="20"/>
        </w:rPr>
        <w:t>‑</w:t>
      </w:r>
      <w:r w:rsidRPr="00002603">
        <w:rPr>
          <w:rFonts w:ascii="Times New Roman" w:hAnsi="Times New Roman" w:cs="Times New Roman"/>
          <w:sz w:val="20"/>
          <w:szCs w:val="20"/>
        </w:rPr>
        <w:t>divulgation de cette déclaration a nui à l’équité du procès et porté atteinte au droit de l’appelant à une défense pleine et entière</w:t>
      </w:r>
      <w:r>
        <w:rPr>
          <w:rFonts w:ascii="Times New Roman" w:hAnsi="Times New Roman" w:cs="Times New Roman"/>
          <w:sz w:val="20"/>
          <w:szCs w:val="20"/>
        </w:rPr>
        <w:t>.</w:t>
      </w:r>
    </w:p>
    <w:p w14:paraId="721AF83C" w14:textId="77777777" w:rsidR="00964D8F" w:rsidRDefault="00964D8F" w:rsidP="00964D8F">
      <w:pPr>
        <w:jc w:val="both"/>
        <w:rPr>
          <w:rFonts w:ascii="Times New Roman" w:hAnsi="Times New Roman" w:cs="Times New Roman"/>
          <w:sz w:val="22"/>
          <w:szCs w:val="22"/>
        </w:rPr>
      </w:pPr>
    </w:p>
    <w:p w14:paraId="07D6CA77" w14:textId="42262B1D" w:rsidR="00964D8F" w:rsidRDefault="00964D8F" w:rsidP="00964D8F">
      <w:pPr>
        <w:jc w:val="both"/>
        <w:rPr>
          <w:rFonts w:ascii="Times New Roman" w:hAnsi="Times New Roman" w:cs="Times New Roman"/>
          <w:sz w:val="22"/>
          <w:szCs w:val="22"/>
        </w:rPr>
      </w:pPr>
      <w:r>
        <w:rPr>
          <w:rFonts w:ascii="Times New Roman" w:hAnsi="Times New Roman" w:cs="Times New Roman"/>
          <w:sz w:val="22"/>
          <w:szCs w:val="22"/>
        </w:rPr>
        <w:t xml:space="preserve">Autres exemples : </w:t>
      </w:r>
      <w:r w:rsidRPr="00C81AAC">
        <w:rPr>
          <w:rFonts w:ascii="Times New Roman" w:hAnsi="Times New Roman" w:cs="Times New Roman"/>
          <w:sz w:val="22"/>
          <w:szCs w:val="22"/>
        </w:rPr>
        <w:t>La preuve non-divulguée aurait pu empêcher un témoin d’être crédible</w:t>
      </w:r>
      <w:r>
        <w:rPr>
          <w:rFonts w:ascii="Times New Roman" w:hAnsi="Times New Roman" w:cs="Times New Roman"/>
          <w:sz w:val="22"/>
          <w:szCs w:val="22"/>
        </w:rPr>
        <w:t> :</w:t>
      </w:r>
    </w:p>
    <w:p w14:paraId="4D50E0CF" w14:textId="2DA82596" w:rsidR="00964D8F" w:rsidRPr="00964D8F" w:rsidRDefault="00964D8F" w:rsidP="00964D8F">
      <w:pPr>
        <w:pStyle w:val="Paragraphedeliste"/>
        <w:numPr>
          <w:ilvl w:val="0"/>
          <w:numId w:val="109"/>
        </w:numPr>
        <w:jc w:val="both"/>
        <w:rPr>
          <w:rFonts w:ascii="Times New Roman" w:hAnsi="Times New Roman" w:cs="Times New Roman"/>
          <w:sz w:val="20"/>
          <w:szCs w:val="20"/>
        </w:rPr>
      </w:pPr>
      <w:r w:rsidRPr="00964D8F">
        <w:rPr>
          <w:rFonts w:ascii="Times New Roman" w:hAnsi="Times New Roman" w:cs="Times New Roman"/>
          <w:sz w:val="20"/>
          <w:szCs w:val="20"/>
        </w:rPr>
        <w:t xml:space="preserve">La possibilité raisonnable d’influence sur l’équité globale du procès « doit se fonder sur les utilisations </w:t>
      </w:r>
      <w:r w:rsidRPr="00964D8F">
        <w:rPr>
          <w:rFonts w:ascii="Times New Roman" w:hAnsi="Times New Roman" w:cs="Times New Roman"/>
          <w:sz w:val="20"/>
          <w:szCs w:val="20"/>
          <w:u w:val="single"/>
        </w:rPr>
        <w:t>raisonnablement</w:t>
      </w:r>
      <w:r w:rsidRPr="00964D8F">
        <w:rPr>
          <w:rFonts w:ascii="Times New Roman" w:hAnsi="Times New Roman" w:cs="Times New Roman"/>
          <w:sz w:val="20"/>
          <w:szCs w:val="20"/>
        </w:rPr>
        <w:t xml:space="preserve"> possibles de la preuve non divulguée ou sur les moyens d’enquête </w:t>
      </w:r>
      <w:r w:rsidRPr="00964D8F">
        <w:rPr>
          <w:rFonts w:ascii="Times New Roman" w:hAnsi="Times New Roman" w:cs="Times New Roman"/>
          <w:sz w:val="20"/>
          <w:szCs w:val="20"/>
          <w:u w:val="single"/>
        </w:rPr>
        <w:t>raisonnablement</w:t>
      </w:r>
      <w:r w:rsidRPr="00964D8F">
        <w:rPr>
          <w:rFonts w:ascii="Times New Roman" w:hAnsi="Times New Roman" w:cs="Times New Roman"/>
          <w:sz w:val="20"/>
          <w:szCs w:val="20"/>
        </w:rPr>
        <w:t xml:space="preserve"> possibles dont l’accusé a été privé à la suite de la non-divulgation » (</w:t>
      </w:r>
      <w:r w:rsidRPr="00964D8F">
        <w:rPr>
          <w:rFonts w:ascii="Times New Roman" w:hAnsi="Times New Roman" w:cs="Times New Roman"/>
          <w:i/>
          <w:iCs/>
          <w:sz w:val="20"/>
          <w:szCs w:val="20"/>
        </w:rPr>
        <w:t>Dixon</w:t>
      </w:r>
      <w:r w:rsidRPr="00964D8F">
        <w:rPr>
          <w:rFonts w:ascii="Times New Roman" w:hAnsi="Times New Roman" w:cs="Times New Roman"/>
          <w:sz w:val="20"/>
          <w:szCs w:val="20"/>
        </w:rPr>
        <w:t>, précité, par. 34 (souligné dans l’original)). Encore une fois, la Cour d’appel ne doit pas évaluer les utilisations possibles des nouveaux éléments de preuve sur la base d’une analyse particularisée de la force probante de chacun d’eux. Elle doit vérifier si la non-divulgation a privé l’accusé de certains moyens de preuve ou d’enquête. Ce serait le cas par exemple si la déclaration non divulguée d’un témoin aurait raisonnablement pu être utilisée afin d’affaiblir la crédibilité d’un témoin de la poursuite. Une même conclusion s’imposerait si la poursuite omet de divulguer à la défense l’existence d’un témoin qui aurait pu, en temps opportun, permettre la découverte d’autres témoins utiles à la défense [84].</w:t>
      </w:r>
    </w:p>
    <w:p w14:paraId="50DCB610" w14:textId="77777777" w:rsidR="00130B02" w:rsidRPr="00130B02" w:rsidRDefault="00130B02" w:rsidP="00130B02">
      <w:pPr>
        <w:jc w:val="both"/>
        <w:rPr>
          <w:rFonts w:ascii="Times New Roman" w:hAnsi="Times New Roman" w:cs="Times New Roman"/>
          <w:sz w:val="22"/>
          <w:szCs w:val="22"/>
        </w:rPr>
      </w:pPr>
    </w:p>
    <w:p w14:paraId="281833DD" w14:textId="77777777" w:rsidR="006861BC" w:rsidRPr="007916A0" w:rsidRDefault="006861BC" w:rsidP="007916A0">
      <w:pPr>
        <w:widowControl w:val="0"/>
        <w:autoSpaceDE w:val="0"/>
        <w:autoSpaceDN w:val="0"/>
        <w:adjustRightInd w:val="0"/>
        <w:rPr>
          <w:rFonts w:ascii="Times New Roman" w:hAnsi="Times New Roman" w:cs="Times New Roman"/>
          <w:b/>
          <w:color w:val="3E3E3E"/>
          <w:sz w:val="22"/>
          <w:szCs w:val="22"/>
        </w:rPr>
      </w:pPr>
    </w:p>
    <w:p w14:paraId="2FE21D89"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1093EDE9" w14:textId="77777777"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Section 2. La divulgation par la défense</w:t>
      </w:r>
    </w:p>
    <w:p w14:paraId="485C11FD" w14:textId="77777777" w:rsidR="00964D8F" w:rsidRDefault="00964D8F" w:rsidP="007916A0">
      <w:pPr>
        <w:widowControl w:val="0"/>
        <w:autoSpaceDE w:val="0"/>
        <w:autoSpaceDN w:val="0"/>
        <w:adjustRightInd w:val="0"/>
        <w:rPr>
          <w:rFonts w:ascii="Times New Roman" w:hAnsi="Times New Roman" w:cs="Times New Roman"/>
          <w:b/>
          <w:color w:val="3E3E3E"/>
          <w:sz w:val="22"/>
          <w:szCs w:val="22"/>
        </w:rPr>
      </w:pPr>
    </w:p>
    <w:p w14:paraId="49BB7221" w14:textId="77777777" w:rsidR="00964D8F" w:rsidRPr="00C81AAC" w:rsidRDefault="00964D8F" w:rsidP="00964D8F">
      <w:pPr>
        <w:jc w:val="both"/>
        <w:rPr>
          <w:rFonts w:ascii="Times New Roman" w:hAnsi="Times New Roman" w:cs="Times New Roman"/>
          <w:sz w:val="22"/>
          <w:szCs w:val="22"/>
        </w:rPr>
      </w:pPr>
      <w:r w:rsidRPr="00C81AAC">
        <w:rPr>
          <w:rFonts w:ascii="Times New Roman" w:hAnsi="Times New Roman" w:cs="Times New Roman"/>
          <w:sz w:val="22"/>
          <w:szCs w:val="22"/>
        </w:rPr>
        <w:t>La défense doit aussi faire preuve de diligence et communiqué en son temps ses preuves. En principe, la défense n’a aucune obligation de communiquer à la Couronne ses preuves. Ce principe souffre cependant de plusieurs exceptions.</w:t>
      </w:r>
    </w:p>
    <w:p w14:paraId="37163BD3" w14:textId="77777777" w:rsidR="00964D8F" w:rsidRPr="00C81AAC" w:rsidRDefault="00964D8F" w:rsidP="00964D8F">
      <w:pPr>
        <w:jc w:val="both"/>
        <w:rPr>
          <w:rFonts w:ascii="Times New Roman" w:hAnsi="Times New Roman" w:cs="Times New Roman"/>
          <w:sz w:val="22"/>
          <w:szCs w:val="22"/>
        </w:rPr>
      </w:pPr>
    </w:p>
    <w:p w14:paraId="33908141" w14:textId="193EF90A" w:rsidR="00964D8F" w:rsidRDefault="00964D8F" w:rsidP="00964D8F">
      <w:pPr>
        <w:widowControl w:val="0"/>
        <w:autoSpaceDE w:val="0"/>
        <w:autoSpaceDN w:val="0"/>
        <w:adjustRightInd w:val="0"/>
        <w:rPr>
          <w:rFonts w:ascii="Times New Roman" w:hAnsi="Times New Roman" w:cs="Times New Roman"/>
          <w:sz w:val="22"/>
          <w:szCs w:val="22"/>
        </w:rPr>
      </w:pPr>
      <w:r w:rsidRPr="00C81AAC">
        <w:rPr>
          <w:rFonts w:ascii="Times New Roman" w:hAnsi="Times New Roman" w:cs="Times New Roman"/>
          <w:sz w:val="22"/>
          <w:szCs w:val="22"/>
        </w:rPr>
        <w:t>Dans l’affaire Stinchcombe, le juge Sopinka a considéré et suggéré que l’obligation de divulgation soit réciproque, mais qu’elle ne devait pas conduire à absoudre celle de la Couronne, dans le cas où la défense s’abstiendrait de communiquer sa preuve</w:t>
      </w:r>
      <w:r>
        <w:rPr>
          <w:rFonts w:ascii="Times New Roman" w:hAnsi="Times New Roman" w:cs="Times New Roman"/>
          <w:sz w:val="22"/>
          <w:szCs w:val="22"/>
        </w:rPr>
        <w:t>.</w:t>
      </w:r>
    </w:p>
    <w:p w14:paraId="3F2F6B95" w14:textId="77777777" w:rsidR="00964D8F" w:rsidRDefault="00964D8F" w:rsidP="00964D8F">
      <w:pPr>
        <w:widowControl w:val="0"/>
        <w:autoSpaceDE w:val="0"/>
        <w:autoSpaceDN w:val="0"/>
        <w:adjustRightInd w:val="0"/>
        <w:rPr>
          <w:rFonts w:ascii="Times New Roman" w:hAnsi="Times New Roman" w:cs="Times New Roman"/>
          <w:sz w:val="22"/>
          <w:szCs w:val="22"/>
        </w:rPr>
      </w:pPr>
    </w:p>
    <w:p w14:paraId="1FE4BA2B" w14:textId="12E5E504" w:rsidR="00964D8F" w:rsidRDefault="00964D8F" w:rsidP="00964D8F">
      <w:pPr>
        <w:widowControl w:val="0"/>
        <w:autoSpaceDE w:val="0"/>
        <w:autoSpaceDN w:val="0"/>
        <w:adjustRightInd w:val="0"/>
        <w:rPr>
          <w:rFonts w:ascii="Times New Roman" w:hAnsi="Times New Roman" w:cs="Times New Roman"/>
          <w:b/>
          <w:i/>
          <w:sz w:val="22"/>
          <w:szCs w:val="22"/>
        </w:rPr>
      </w:pPr>
      <w:r>
        <w:rPr>
          <w:rFonts w:ascii="Times New Roman" w:hAnsi="Times New Roman" w:cs="Times New Roman"/>
          <w:b/>
          <w:i/>
          <w:sz w:val="22"/>
          <w:szCs w:val="22"/>
        </w:rPr>
        <w:t>R. c. Stinchcombe 1991 (p.18) :</w:t>
      </w:r>
    </w:p>
    <w:p w14:paraId="188F9190" w14:textId="3BCAC42F" w:rsidR="00964D8F" w:rsidRPr="00964D8F" w:rsidRDefault="00964D8F" w:rsidP="00964D8F">
      <w:pPr>
        <w:pStyle w:val="Paragraphedeliste"/>
        <w:widowControl w:val="0"/>
        <w:numPr>
          <w:ilvl w:val="0"/>
          <w:numId w:val="109"/>
        </w:numPr>
        <w:autoSpaceDE w:val="0"/>
        <w:autoSpaceDN w:val="0"/>
        <w:adjustRightInd w:val="0"/>
        <w:rPr>
          <w:rFonts w:ascii="Times New Roman" w:hAnsi="Times New Roman" w:cs="Times New Roman"/>
          <w:color w:val="3E3E3E"/>
          <w:sz w:val="22"/>
          <w:szCs w:val="22"/>
        </w:rPr>
      </w:pPr>
      <w:r w:rsidRPr="00002603">
        <w:rPr>
          <w:rFonts w:ascii="Times New Roman" w:hAnsi="Times New Roman" w:cs="Times New Roman"/>
          <w:sz w:val="20"/>
          <w:szCs w:val="20"/>
        </w:rPr>
        <w:t>Il est difficile de justifier le point de vue de ceux qui s'accrochent à l'idée que le ministère public n'a en droit aucune obligation de divulguer tous les renseignements pertinents.  Les arguments avancés pour nier l'existence d'une telle obligation sont sans fondement tandis que ceux militant en sa faveur s'avèrent, à mon sens, accablants.  L'assertion que cette obligation devrait être réciproque peut mériter que notre Cour s'y arrête à une autre occasion, mais ne constitue pas un motif valable de libérer le ministère public de son obligation.  L'argument contraire ne tient pas compte de la différence fondamentale entre les rôles respectifs de la poursuite et de la défense</w:t>
      </w:r>
      <w:r>
        <w:rPr>
          <w:rFonts w:ascii="Times New Roman" w:hAnsi="Times New Roman" w:cs="Times New Roman"/>
          <w:sz w:val="20"/>
          <w:szCs w:val="20"/>
        </w:rPr>
        <w:t>.</w:t>
      </w:r>
    </w:p>
    <w:p w14:paraId="2EE900A7" w14:textId="77777777" w:rsidR="00964D8F" w:rsidRDefault="00964D8F" w:rsidP="00964D8F">
      <w:pPr>
        <w:widowControl w:val="0"/>
        <w:autoSpaceDE w:val="0"/>
        <w:autoSpaceDN w:val="0"/>
        <w:adjustRightInd w:val="0"/>
        <w:rPr>
          <w:rFonts w:ascii="Times New Roman" w:hAnsi="Times New Roman" w:cs="Times New Roman"/>
          <w:color w:val="3E3E3E"/>
          <w:sz w:val="22"/>
          <w:szCs w:val="22"/>
        </w:rPr>
      </w:pPr>
    </w:p>
    <w:p w14:paraId="5B3F2AC2" w14:textId="25ACAE37" w:rsidR="00964D8F" w:rsidRDefault="00964D8F" w:rsidP="00964D8F">
      <w:pPr>
        <w:widowControl w:val="0"/>
        <w:autoSpaceDE w:val="0"/>
        <w:autoSpaceDN w:val="0"/>
        <w:adjustRightInd w:val="0"/>
        <w:rPr>
          <w:rFonts w:ascii="Times New Roman" w:hAnsi="Times New Roman" w:cs="Times New Roman"/>
          <w:color w:val="3E3E3E"/>
          <w:sz w:val="22"/>
          <w:szCs w:val="22"/>
        </w:rPr>
      </w:pPr>
      <w:r>
        <w:rPr>
          <w:rFonts w:ascii="Times New Roman" w:hAnsi="Times New Roman" w:cs="Times New Roman"/>
          <w:color w:val="3E3E3E"/>
          <w:sz w:val="22"/>
          <w:szCs w:val="22"/>
        </w:rPr>
        <w:t xml:space="preserve">Le juge Lamer s’est fait l’écho de cette remarque dans </w:t>
      </w:r>
      <w:r w:rsidRPr="00964D8F">
        <w:rPr>
          <w:rFonts w:ascii="Times New Roman" w:hAnsi="Times New Roman" w:cs="Times New Roman"/>
          <w:b/>
          <w:color w:val="3E3E3E"/>
          <w:sz w:val="22"/>
          <w:szCs w:val="22"/>
        </w:rPr>
        <w:t>l’affaire R. c. P (M.B.</w:t>
      </w:r>
      <w:r>
        <w:rPr>
          <w:rFonts w:ascii="Times New Roman" w:hAnsi="Times New Roman" w:cs="Times New Roman"/>
          <w:color w:val="3E3E3E"/>
          <w:sz w:val="22"/>
          <w:szCs w:val="22"/>
        </w:rPr>
        <w:t>) (p.19) en la complétant :</w:t>
      </w:r>
    </w:p>
    <w:p w14:paraId="6CA44367" w14:textId="381253E0" w:rsidR="00964D8F" w:rsidRPr="00964D8F" w:rsidRDefault="00964D8F" w:rsidP="00964D8F">
      <w:pPr>
        <w:pStyle w:val="Paragraphedeliste"/>
        <w:widowControl w:val="0"/>
        <w:numPr>
          <w:ilvl w:val="0"/>
          <w:numId w:val="109"/>
        </w:numPr>
        <w:autoSpaceDE w:val="0"/>
        <w:autoSpaceDN w:val="0"/>
        <w:adjustRightInd w:val="0"/>
        <w:rPr>
          <w:rFonts w:ascii="Times New Roman" w:hAnsi="Times New Roman" w:cs="Times New Roman"/>
          <w:color w:val="3E3E3E"/>
          <w:sz w:val="22"/>
          <w:szCs w:val="22"/>
        </w:rPr>
      </w:pPr>
      <w:r w:rsidRPr="00964D8F">
        <w:rPr>
          <w:rFonts w:ascii="Times New Roman" w:hAnsi="Times New Roman" w:cs="Times New Roman"/>
          <w:sz w:val="20"/>
          <w:szCs w:val="20"/>
        </w:rPr>
        <w:t>Pour ce qui est de la divulgation, la défense au Canada n'est pas légalement tenue de collaborer avec le ministère public ou de l'aider en annonçant le recours à un moyen de défense spécial, comme un alibi, ou en produisant une preuve documentaire ou matérielle</w:t>
      </w:r>
      <w:r>
        <w:rPr>
          <w:rFonts w:ascii="Times New Roman" w:hAnsi="Times New Roman" w:cs="Times New Roman"/>
          <w:sz w:val="22"/>
          <w:szCs w:val="22"/>
        </w:rPr>
        <w:t>.</w:t>
      </w:r>
    </w:p>
    <w:p w14:paraId="161AAEA8" w14:textId="77777777" w:rsidR="007916A0" w:rsidRP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18AB208D" w14:textId="59C036AD"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§1. Le cas des preuves matérielles incriminantes</w:t>
      </w:r>
      <w:r w:rsidR="00964D8F">
        <w:rPr>
          <w:rFonts w:ascii="Times New Roman" w:hAnsi="Times New Roman" w:cs="Times New Roman"/>
          <w:b/>
          <w:color w:val="3E3E3E"/>
          <w:sz w:val="22"/>
          <w:szCs w:val="22"/>
        </w:rPr>
        <w:t xml:space="preserve"> (p.19)</w:t>
      </w:r>
    </w:p>
    <w:p w14:paraId="322893F0" w14:textId="77777777" w:rsidR="00964D8F" w:rsidRDefault="00964D8F" w:rsidP="007916A0">
      <w:pPr>
        <w:widowControl w:val="0"/>
        <w:autoSpaceDE w:val="0"/>
        <w:autoSpaceDN w:val="0"/>
        <w:adjustRightInd w:val="0"/>
        <w:rPr>
          <w:rFonts w:ascii="Times New Roman" w:hAnsi="Times New Roman" w:cs="Times New Roman"/>
          <w:color w:val="3E3E3E"/>
          <w:sz w:val="22"/>
          <w:szCs w:val="22"/>
        </w:rPr>
      </w:pPr>
    </w:p>
    <w:p w14:paraId="71DDB8C5" w14:textId="77777777" w:rsidR="00964D8F" w:rsidRPr="00C81AAC" w:rsidRDefault="00964D8F" w:rsidP="00964D8F">
      <w:pPr>
        <w:jc w:val="both"/>
        <w:rPr>
          <w:rFonts w:ascii="Times New Roman" w:hAnsi="Times New Roman" w:cs="Times New Roman"/>
          <w:sz w:val="22"/>
          <w:szCs w:val="22"/>
        </w:rPr>
      </w:pPr>
      <w:r w:rsidRPr="00C81AAC">
        <w:rPr>
          <w:rFonts w:ascii="Times New Roman" w:hAnsi="Times New Roman" w:cs="Times New Roman"/>
          <w:sz w:val="22"/>
          <w:szCs w:val="22"/>
        </w:rPr>
        <w:t>Éthiquement un avocat ne saurait s’abriter dernière le principe de la confidentialité des relations avocats/clients pour cacher l’arme du crime. L’arme constitue un objet et non une communication</w:t>
      </w:r>
    </w:p>
    <w:p w14:paraId="091B2817" w14:textId="254BAE27" w:rsidR="00964D8F" w:rsidRDefault="00964D8F" w:rsidP="007916A0">
      <w:pPr>
        <w:widowControl w:val="0"/>
        <w:autoSpaceDE w:val="0"/>
        <w:autoSpaceDN w:val="0"/>
        <w:adjustRightInd w:val="0"/>
        <w:rPr>
          <w:rFonts w:ascii="Times New Roman" w:hAnsi="Times New Roman" w:cs="Times New Roman"/>
          <w:b/>
          <w:i/>
          <w:color w:val="3E3E3E"/>
          <w:sz w:val="22"/>
          <w:szCs w:val="22"/>
        </w:rPr>
      </w:pPr>
      <w:r>
        <w:rPr>
          <w:rFonts w:ascii="Times New Roman" w:hAnsi="Times New Roman" w:cs="Times New Roman"/>
          <w:b/>
          <w:i/>
          <w:color w:val="3E3E3E"/>
          <w:sz w:val="22"/>
          <w:szCs w:val="22"/>
        </w:rPr>
        <w:t>R. c. National Post 2010 :</w:t>
      </w:r>
    </w:p>
    <w:p w14:paraId="6364C65D" w14:textId="10F6C519" w:rsidR="00964D8F" w:rsidRPr="00964D8F" w:rsidRDefault="00964D8F" w:rsidP="00964D8F">
      <w:pPr>
        <w:pStyle w:val="Paragraphedeliste"/>
        <w:widowControl w:val="0"/>
        <w:numPr>
          <w:ilvl w:val="0"/>
          <w:numId w:val="109"/>
        </w:numPr>
        <w:autoSpaceDE w:val="0"/>
        <w:autoSpaceDN w:val="0"/>
        <w:adjustRightInd w:val="0"/>
        <w:rPr>
          <w:rFonts w:ascii="Times New Roman" w:hAnsi="Times New Roman" w:cs="Times New Roman"/>
          <w:b/>
          <w:i/>
          <w:color w:val="3E3E3E"/>
          <w:sz w:val="20"/>
          <w:szCs w:val="20"/>
        </w:rPr>
      </w:pPr>
      <w:r w:rsidRPr="00964D8F">
        <w:rPr>
          <w:rFonts w:ascii="Times New Roman" w:hAnsi="Times New Roman" w:cs="Times New Roman"/>
          <w:sz w:val="20"/>
          <w:szCs w:val="20"/>
        </w:rPr>
        <w:t xml:space="preserve">Si un client entre dans le cabinet d’un avocat et dépose sur son bureau l’arme du crime couverte d’empreintes digitales et génétiques, l’avocat n’est pas autorisé en droit à ne pas la remettre au nom du secret professionnel et ce, malgré la protection exhaustive que le droit accorde aux rapports entre un avocat et son client.  La cour a confirmé ce principe dans l’affaire </w:t>
      </w:r>
      <w:r w:rsidRPr="00964D8F">
        <w:rPr>
          <w:rFonts w:ascii="Times New Roman" w:hAnsi="Times New Roman" w:cs="Times New Roman"/>
          <w:i/>
          <w:iCs/>
          <w:sz w:val="20"/>
          <w:szCs w:val="20"/>
        </w:rPr>
        <w:t xml:space="preserve">R. c. Murray </w:t>
      </w:r>
      <w:hyperlink r:id="rId31" w:history="1">
        <w:r w:rsidRPr="00964D8F">
          <w:rPr>
            <w:rStyle w:val="Lienhypertexte"/>
            <w:rFonts w:ascii="Times New Roman" w:hAnsi="Times New Roman" w:cs="Times New Roman"/>
            <w:sz w:val="20"/>
            <w:szCs w:val="20"/>
          </w:rPr>
          <w:t>reflex</w:t>
        </w:r>
      </w:hyperlink>
      <w:r w:rsidRPr="00964D8F">
        <w:rPr>
          <w:rFonts w:ascii="Times New Roman" w:hAnsi="Times New Roman" w:cs="Times New Roman"/>
          <w:sz w:val="20"/>
          <w:szCs w:val="20"/>
        </w:rPr>
        <w:t>, (2000), 144 C.C.C. (3d) 289 (C.S.J. Ont.), concernant un avocat accusé d’avoir caché l’existence des bandes vidéo montrant des agressions sexuelles.</w:t>
      </w:r>
    </w:p>
    <w:p w14:paraId="780C7991" w14:textId="77777777" w:rsidR="007916A0" w:rsidRPr="00964D8F" w:rsidRDefault="007916A0" w:rsidP="007916A0">
      <w:pPr>
        <w:widowControl w:val="0"/>
        <w:autoSpaceDE w:val="0"/>
        <w:autoSpaceDN w:val="0"/>
        <w:adjustRightInd w:val="0"/>
        <w:rPr>
          <w:rFonts w:ascii="Times New Roman" w:hAnsi="Times New Roman" w:cs="Times New Roman"/>
          <w:b/>
          <w:color w:val="3E3E3E"/>
          <w:sz w:val="20"/>
          <w:szCs w:val="20"/>
        </w:rPr>
      </w:pPr>
      <w:r w:rsidRPr="00964D8F">
        <w:rPr>
          <w:rFonts w:ascii="Times New Roman" w:hAnsi="Times New Roman" w:cs="Times New Roman"/>
          <w:b/>
          <w:color w:val="3E3E3E"/>
          <w:sz w:val="20"/>
          <w:szCs w:val="20"/>
        </w:rPr>
        <w:t> </w:t>
      </w:r>
    </w:p>
    <w:p w14:paraId="11A0A04C" w14:textId="5BA6E8BA" w:rsidR="007916A0" w:rsidRDefault="007916A0" w:rsidP="007916A0">
      <w:pPr>
        <w:widowControl w:val="0"/>
        <w:autoSpaceDE w:val="0"/>
        <w:autoSpaceDN w:val="0"/>
        <w:adjustRightInd w:val="0"/>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§2. L’alibi</w:t>
      </w:r>
      <w:r w:rsidR="00964D8F">
        <w:rPr>
          <w:rFonts w:ascii="Times New Roman" w:hAnsi="Times New Roman" w:cs="Times New Roman"/>
          <w:b/>
          <w:color w:val="3E3E3E"/>
          <w:sz w:val="22"/>
          <w:szCs w:val="22"/>
        </w:rPr>
        <w:t xml:space="preserve"> (p.19)</w:t>
      </w:r>
    </w:p>
    <w:p w14:paraId="65F3F911" w14:textId="0B63F7CA" w:rsidR="00964D8F" w:rsidRDefault="00964D8F" w:rsidP="007916A0">
      <w:pPr>
        <w:widowControl w:val="0"/>
        <w:autoSpaceDE w:val="0"/>
        <w:autoSpaceDN w:val="0"/>
        <w:adjustRightInd w:val="0"/>
        <w:rPr>
          <w:rFonts w:ascii="Times New Roman" w:hAnsi="Times New Roman" w:cs="Times New Roman"/>
          <w:sz w:val="22"/>
          <w:szCs w:val="22"/>
        </w:rPr>
      </w:pPr>
      <w:r w:rsidRPr="00C81AAC">
        <w:rPr>
          <w:rFonts w:ascii="Times New Roman" w:hAnsi="Times New Roman" w:cs="Times New Roman"/>
          <w:sz w:val="22"/>
          <w:szCs w:val="22"/>
        </w:rPr>
        <w:t>Le défaut de divulguer un alibi peut avoir des conséquences négatives sur l’accusé lors de son procès</w:t>
      </w:r>
    </w:p>
    <w:p w14:paraId="1525AD7E" w14:textId="25FB07E7" w:rsidR="00964D8F" w:rsidRDefault="00964D8F" w:rsidP="007916A0">
      <w:pPr>
        <w:widowControl w:val="0"/>
        <w:autoSpaceDE w:val="0"/>
        <w:autoSpaceDN w:val="0"/>
        <w:adjustRightInd w:val="0"/>
        <w:rPr>
          <w:rFonts w:ascii="Times New Roman" w:hAnsi="Times New Roman" w:cs="Times New Roman"/>
          <w:b/>
          <w:i/>
          <w:sz w:val="22"/>
          <w:szCs w:val="22"/>
        </w:rPr>
      </w:pPr>
      <w:r>
        <w:rPr>
          <w:rFonts w:ascii="Times New Roman" w:hAnsi="Times New Roman" w:cs="Times New Roman"/>
          <w:b/>
          <w:i/>
          <w:sz w:val="22"/>
          <w:szCs w:val="22"/>
        </w:rPr>
        <w:t>R. c. Cleghorn 1995 :</w:t>
      </w:r>
    </w:p>
    <w:p w14:paraId="2A6AFDAA" w14:textId="7ED06BA0" w:rsidR="00964D8F" w:rsidRPr="00964D8F" w:rsidRDefault="00964D8F" w:rsidP="00964D8F">
      <w:pPr>
        <w:pStyle w:val="Paragraphedeliste"/>
        <w:widowControl w:val="0"/>
        <w:numPr>
          <w:ilvl w:val="0"/>
          <w:numId w:val="109"/>
        </w:numPr>
        <w:autoSpaceDE w:val="0"/>
        <w:autoSpaceDN w:val="0"/>
        <w:adjustRightInd w:val="0"/>
        <w:rPr>
          <w:rFonts w:ascii="Times New Roman" w:hAnsi="Times New Roman" w:cs="Times New Roman"/>
          <w:color w:val="3E3E3E"/>
          <w:sz w:val="22"/>
          <w:szCs w:val="22"/>
        </w:rPr>
      </w:pPr>
      <w:r w:rsidRPr="00002603">
        <w:rPr>
          <w:rFonts w:ascii="Times New Roman" w:hAnsi="Times New Roman" w:cs="Times New Roman"/>
          <w:b/>
          <w:sz w:val="20"/>
          <w:szCs w:val="20"/>
        </w:rPr>
        <w:t xml:space="preserve">Ainsi, l'omission de communiquer correctement un alibi a pour conséquence que le juge des faits </w:t>
      </w:r>
      <w:r w:rsidRPr="00002603">
        <w:rPr>
          <w:rFonts w:ascii="Times New Roman" w:hAnsi="Times New Roman" w:cs="Times New Roman"/>
          <w:b/>
          <w:sz w:val="20"/>
          <w:szCs w:val="20"/>
          <w:u w:val="single"/>
        </w:rPr>
        <w:t>risque</w:t>
      </w:r>
      <w:r w:rsidRPr="00002603">
        <w:rPr>
          <w:rFonts w:ascii="Times New Roman" w:hAnsi="Times New Roman" w:cs="Times New Roman"/>
          <w:b/>
          <w:sz w:val="20"/>
          <w:szCs w:val="20"/>
        </w:rPr>
        <w:t xml:space="preserve"> de tirer une conclusion défavorable dans l'appréciation de la preuve d'alibi présentée au procès (</w:t>
      </w:r>
      <w:r w:rsidRPr="00002603">
        <w:rPr>
          <w:rFonts w:ascii="Times New Roman" w:hAnsi="Times New Roman" w:cs="Times New Roman"/>
          <w:b/>
          <w:i/>
          <w:iCs/>
          <w:sz w:val="20"/>
          <w:szCs w:val="20"/>
        </w:rPr>
        <w:t>Russell c. The King</w:t>
      </w:r>
      <w:r w:rsidRPr="00002603">
        <w:rPr>
          <w:rFonts w:ascii="Times New Roman" w:hAnsi="Times New Roman" w:cs="Times New Roman"/>
          <w:b/>
          <w:sz w:val="20"/>
          <w:szCs w:val="20"/>
        </w:rPr>
        <w:t xml:space="preserve"> (1936), 67 C.C.C. 28 (C.S.C.), à la p. 32).  Cependant la communication insuffisante peut seulement affaiblir la preuve de l'alibi; elle ne peut exclure l'alibi.  Mon collègue remarque à juste titre que la règle qui s'applique à la communication de l'alibi tient à la commodité et est destinée à fermer la porte aux alibis</w:t>
      </w:r>
      <w:r w:rsidRPr="00002603">
        <w:rPr>
          <w:rFonts w:ascii="Palatino" w:hAnsi="Palatino" w:cs="Palatino"/>
          <w:b/>
          <w:sz w:val="20"/>
          <w:szCs w:val="20"/>
        </w:rPr>
        <w:t>‑</w:t>
      </w:r>
      <w:r w:rsidRPr="00002603">
        <w:rPr>
          <w:rFonts w:ascii="Times New Roman" w:hAnsi="Times New Roman" w:cs="Times New Roman"/>
          <w:b/>
          <w:sz w:val="20"/>
          <w:szCs w:val="20"/>
        </w:rPr>
        <w:t>surprises fabriqués à la barre des témoins, que la poursuite est pour ainsi dire incapable de contester. </w:t>
      </w:r>
      <w:r w:rsidRPr="00002603">
        <w:rPr>
          <w:rFonts w:ascii="Times New Roman" w:hAnsi="Times New Roman" w:cs="Times New Roman"/>
          <w:sz w:val="20"/>
          <w:szCs w:val="20"/>
        </w:rPr>
        <w:t xml:space="preserve"> Encore une fois, comme l'a indiqué mon collègue, l'évolution de la règle depuis son élaboration dans l'arrêt </w:t>
      </w:r>
      <w:r w:rsidRPr="00002603">
        <w:rPr>
          <w:rFonts w:ascii="Times New Roman" w:hAnsi="Times New Roman" w:cs="Times New Roman"/>
          <w:i/>
          <w:iCs/>
          <w:sz w:val="20"/>
          <w:szCs w:val="20"/>
        </w:rPr>
        <w:t>Russell</w:t>
      </w:r>
      <w:r w:rsidRPr="00002603">
        <w:rPr>
          <w:rFonts w:ascii="Times New Roman" w:hAnsi="Times New Roman" w:cs="Times New Roman"/>
          <w:sz w:val="20"/>
          <w:szCs w:val="20"/>
        </w:rPr>
        <w:t xml:space="preserve"> montre qu'elle a été adaptée afin de la rendre conforme aux normes de la </w:t>
      </w:r>
      <w:r w:rsidRPr="00002603">
        <w:rPr>
          <w:rFonts w:ascii="Times New Roman" w:hAnsi="Times New Roman" w:cs="Times New Roman"/>
          <w:i/>
          <w:iCs/>
          <w:sz w:val="20"/>
          <w:szCs w:val="20"/>
        </w:rPr>
        <w:t>Charte</w:t>
      </w:r>
      <w:r w:rsidRPr="00002603">
        <w:rPr>
          <w:rFonts w:ascii="Times New Roman" w:hAnsi="Times New Roman" w:cs="Times New Roman"/>
          <w:sz w:val="20"/>
          <w:szCs w:val="20"/>
        </w:rPr>
        <w:t>.  Pour cette raison, la communication sera suffisante si elle permet à la poursuite et à la police de vérifier la preuve de l'alibi avant le procès.  Les critères du caractère suffisant et du temps opportun sont donc évalués au regard de la question de savoir si une vérification utile aurait pu être effectuée par suite de la communication.  On peut constater la souplesse de la norme dans le fait que les critères n'exigent pas que la communication soit faite le plus tôt possible ni qu'elle soit faite par l'accusé lui</w:t>
      </w:r>
      <w:r w:rsidRPr="00002603">
        <w:rPr>
          <w:rFonts w:ascii="Palatino" w:hAnsi="Palatino" w:cs="Palatino"/>
          <w:sz w:val="20"/>
          <w:szCs w:val="20"/>
        </w:rPr>
        <w:t>‑</w:t>
      </w:r>
      <w:r w:rsidRPr="00002603">
        <w:rPr>
          <w:rFonts w:ascii="Times New Roman" w:hAnsi="Times New Roman" w:cs="Times New Roman"/>
          <w:sz w:val="20"/>
          <w:szCs w:val="20"/>
        </w:rPr>
        <w:t>même.  La communication par un tiers suffit</w:t>
      </w:r>
      <w:r>
        <w:rPr>
          <w:rFonts w:ascii="Times New Roman" w:hAnsi="Times New Roman" w:cs="Times New Roman"/>
          <w:sz w:val="20"/>
          <w:szCs w:val="20"/>
        </w:rPr>
        <w:t>.</w:t>
      </w:r>
    </w:p>
    <w:p w14:paraId="6194F4A6" w14:textId="5E5F64D5" w:rsidR="00964D8F" w:rsidRPr="00964D8F" w:rsidRDefault="00964D8F" w:rsidP="00964D8F">
      <w:pPr>
        <w:pStyle w:val="Paragraphedeliste"/>
        <w:widowControl w:val="0"/>
        <w:numPr>
          <w:ilvl w:val="0"/>
          <w:numId w:val="109"/>
        </w:numPr>
        <w:autoSpaceDE w:val="0"/>
        <w:autoSpaceDN w:val="0"/>
        <w:adjustRightInd w:val="0"/>
        <w:rPr>
          <w:rFonts w:ascii="Times New Roman" w:hAnsi="Times New Roman" w:cs="Times New Roman"/>
          <w:color w:val="3E3E3E"/>
          <w:sz w:val="20"/>
          <w:szCs w:val="20"/>
        </w:rPr>
      </w:pPr>
      <w:r w:rsidRPr="00964D8F">
        <w:rPr>
          <w:rFonts w:ascii="Times New Roman" w:hAnsi="Times New Roman" w:cs="Times New Roman"/>
          <w:sz w:val="20"/>
          <w:szCs w:val="20"/>
        </w:rPr>
        <w:t>La communication de l'alibi doit réunir deux conditions:  elle doit être suffisante et être présentée en temps opportun</w:t>
      </w:r>
    </w:p>
    <w:p w14:paraId="5A323762" w14:textId="77777777" w:rsidR="007916A0" w:rsidRPr="00964D8F" w:rsidRDefault="007916A0" w:rsidP="007916A0">
      <w:pPr>
        <w:widowControl w:val="0"/>
        <w:autoSpaceDE w:val="0"/>
        <w:autoSpaceDN w:val="0"/>
        <w:adjustRightInd w:val="0"/>
        <w:rPr>
          <w:rFonts w:ascii="Times New Roman" w:hAnsi="Times New Roman" w:cs="Times New Roman"/>
          <w:b/>
          <w:color w:val="3E3E3E"/>
          <w:sz w:val="20"/>
          <w:szCs w:val="20"/>
        </w:rPr>
      </w:pPr>
      <w:r w:rsidRPr="00964D8F">
        <w:rPr>
          <w:rFonts w:ascii="Times New Roman" w:hAnsi="Times New Roman" w:cs="Times New Roman"/>
          <w:b/>
          <w:color w:val="3E3E3E"/>
          <w:sz w:val="20"/>
          <w:szCs w:val="20"/>
        </w:rPr>
        <w:t> </w:t>
      </w:r>
    </w:p>
    <w:p w14:paraId="53839825" w14:textId="377CD54A" w:rsidR="007916A0" w:rsidRDefault="007916A0" w:rsidP="007916A0">
      <w:pPr>
        <w:widowControl w:val="0"/>
        <w:autoSpaceDE w:val="0"/>
        <w:autoSpaceDN w:val="0"/>
        <w:adjustRightInd w:val="0"/>
        <w:spacing w:after="300"/>
        <w:jc w:val="both"/>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§3. La preuve d’expert</w:t>
      </w:r>
      <w:r w:rsidR="00964D8F">
        <w:rPr>
          <w:rFonts w:ascii="Times New Roman" w:hAnsi="Times New Roman" w:cs="Times New Roman"/>
          <w:b/>
          <w:color w:val="3E3E3E"/>
          <w:sz w:val="22"/>
          <w:szCs w:val="22"/>
        </w:rPr>
        <w:t xml:space="preserve"> (p.20)</w:t>
      </w:r>
    </w:p>
    <w:p w14:paraId="5D7DA055" w14:textId="58898B20" w:rsidR="00964D8F" w:rsidRPr="00964D8F" w:rsidRDefault="00964D8F" w:rsidP="007916A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C.cr. impose la communication de cette preuve aux deux parties, voir l’article 657.3(3) C.cr. à cet effet.</w:t>
      </w:r>
    </w:p>
    <w:p w14:paraId="7A70B2B5" w14:textId="77777777" w:rsidR="007916A0" w:rsidRPr="007916A0" w:rsidRDefault="007916A0" w:rsidP="007916A0">
      <w:pPr>
        <w:widowControl w:val="0"/>
        <w:autoSpaceDE w:val="0"/>
        <w:autoSpaceDN w:val="0"/>
        <w:adjustRightInd w:val="0"/>
        <w:spacing w:after="300"/>
        <w:jc w:val="both"/>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 </w:t>
      </w:r>
    </w:p>
    <w:p w14:paraId="5084BFD7" w14:textId="4EC556B2" w:rsidR="007916A0" w:rsidRDefault="007916A0" w:rsidP="007916A0">
      <w:pPr>
        <w:widowControl w:val="0"/>
        <w:autoSpaceDE w:val="0"/>
        <w:autoSpaceDN w:val="0"/>
        <w:adjustRightInd w:val="0"/>
        <w:spacing w:after="300"/>
        <w:jc w:val="both"/>
        <w:rPr>
          <w:rFonts w:ascii="Times New Roman" w:hAnsi="Times New Roman" w:cs="Times New Roman"/>
          <w:b/>
          <w:color w:val="3E3E3E"/>
          <w:sz w:val="22"/>
          <w:szCs w:val="22"/>
        </w:rPr>
      </w:pPr>
      <w:r w:rsidRPr="007916A0">
        <w:rPr>
          <w:rFonts w:ascii="Times New Roman" w:hAnsi="Times New Roman" w:cs="Times New Roman"/>
          <w:b/>
          <w:color w:val="3E3E3E"/>
          <w:sz w:val="22"/>
          <w:szCs w:val="22"/>
        </w:rPr>
        <w:t>Chapitre IV. Le rôle du Ministère Publique</w:t>
      </w:r>
      <w:r w:rsidR="00964D8F">
        <w:rPr>
          <w:rFonts w:ascii="Times New Roman" w:hAnsi="Times New Roman" w:cs="Times New Roman"/>
          <w:b/>
          <w:color w:val="3E3E3E"/>
          <w:sz w:val="22"/>
          <w:szCs w:val="22"/>
        </w:rPr>
        <w:t xml:space="preserve"> (p.21)</w:t>
      </w:r>
    </w:p>
    <w:p w14:paraId="039BBCCA" w14:textId="77777777" w:rsidR="00964D8F" w:rsidRPr="00964D8F" w:rsidRDefault="00964D8F" w:rsidP="00964D8F">
      <w:pPr>
        <w:jc w:val="both"/>
        <w:rPr>
          <w:rFonts w:ascii="Times New Roman" w:hAnsi="Times New Roman" w:cs="Times New Roman"/>
          <w:b/>
          <w:bCs/>
          <w:sz w:val="22"/>
          <w:szCs w:val="22"/>
        </w:rPr>
      </w:pPr>
      <w:r w:rsidRPr="00964D8F">
        <w:rPr>
          <w:rFonts w:ascii="Times New Roman" w:hAnsi="Times New Roman" w:cs="Times New Roman"/>
          <w:b/>
          <w:bCs/>
          <w:sz w:val="22"/>
          <w:szCs w:val="22"/>
        </w:rPr>
        <w:t>CRITÈRES RELATIFS À L'OPPORTUNITÉ DE POURSUIVRE</w:t>
      </w:r>
    </w:p>
    <w:p w14:paraId="08A647DC" w14:textId="77777777" w:rsidR="00964D8F" w:rsidRPr="00964D8F" w:rsidRDefault="00964D8F" w:rsidP="00964D8F">
      <w:pPr>
        <w:jc w:val="both"/>
        <w:rPr>
          <w:rFonts w:ascii="Times New Roman" w:hAnsi="Times New Roman" w:cs="Times New Roman"/>
          <w:sz w:val="22"/>
          <w:szCs w:val="22"/>
        </w:rPr>
      </w:pPr>
      <w:r w:rsidRPr="00964D8F">
        <w:rPr>
          <w:rFonts w:ascii="Times New Roman" w:hAnsi="Times New Roman" w:cs="Times New Roman"/>
          <w:b/>
          <w:bCs/>
          <w:sz w:val="22"/>
          <w:szCs w:val="22"/>
        </w:rPr>
        <w:t xml:space="preserve">[Décision sur l'opportunité] </w:t>
      </w:r>
      <w:r w:rsidRPr="00964D8F">
        <w:rPr>
          <w:rFonts w:ascii="Times New Roman" w:hAnsi="Times New Roman" w:cs="Times New Roman"/>
          <w:sz w:val="22"/>
          <w:szCs w:val="22"/>
        </w:rPr>
        <w:t>- Lorsque le procureur considère que la preuve est suffisante pour intenter une poursuite, il doit autoriser le dépôt de la dénonciation ou déposer l'accusation à moins qu'il juge inopportun de le faire, dans l'intérêt public soit :</w:t>
      </w:r>
    </w:p>
    <w:p w14:paraId="6E1F786B" w14:textId="77777777" w:rsidR="00964D8F" w:rsidRPr="00964D8F" w:rsidRDefault="00964D8F" w:rsidP="00964D8F">
      <w:pPr>
        <w:jc w:val="both"/>
        <w:rPr>
          <w:rFonts w:ascii="Times New Roman" w:hAnsi="Times New Roman" w:cs="Times New Roman"/>
          <w:sz w:val="22"/>
          <w:szCs w:val="22"/>
        </w:rPr>
      </w:pPr>
      <w:r w:rsidRPr="00964D8F">
        <w:rPr>
          <w:rFonts w:ascii="Times New Roman" w:hAnsi="Times New Roman" w:cs="Times New Roman"/>
          <w:sz w:val="22"/>
          <w:szCs w:val="22"/>
        </w:rPr>
        <w:t>a)</w:t>
      </w:r>
      <w:r w:rsidRPr="00964D8F">
        <w:rPr>
          <w:rFonts w:ascii="Times New Roman" w:hAnsi="Times New Roman" w:cs="Times New Roman"/>
          <w:sz w:val="22"/>
          <w:szCs w:val="22"/>
        </w:rPr>
        <w:tab/>
        <w:t>en considération des facteurs énumérés au paragraphe 10;</w:t>
      </w:r>
    </w:p>
    <w:p w14:paraId="485B953C" w14:textId="77777777" w:rsidR="00964D8F" w:rsidRPr="00964D8F" w:rsidRDefault="00964D8F" w:rsidP="00964D8F">
      <w:pPr>
        <w:pBdr>
          <w:bottom w:val="single" w:sz="12" w:space="1" w:color="auto"/>
        </w:pBdr>
        <w:jc w:val="both"/>
        <w:rPr>
          <w:rFonts w:ascii="Times New Roman" w:hAnsi="Times New Roman" w:cs="Times New Roman"/>
          <w:sz w:val="22"/>
          <w:szCs w:val="22"/>
        </w:rPr>
      </w:pPr>
      <w:r w:rsidRPr="00964D8F">
        <w:rPr>
          <w:rFonts w:ascii="Times New Roman" w:hAnsi="Times New Roman" w:cs="Times New Roman"/>
          <w:sz w:val="22"/>
          <w:szCs w:val="22"/>
        </w:rPr>
        <w:t>b)</w:t>
      </w:r>
      <w:r w:rsidRPr="00964D8F">
        <w:rPr>
          <w:rFonts w:ascii="Times New Roman" w:hAnsi="Times New Roman" w:cs="Times New Roman"/>
          <w:sz w:val="22"/>
          <w:szCs w:val="22"/>
        </w:rPr>
        <w:tab/>
        <w:t>en raison de l'application du « Programme de traitement non judiciaire de certaines infractions criminelles commises par des adultes ».</w:t>
      </w:r>
    </w:p>
    <w:p w14:paraId="2F549312" w14:textId="77777777" w:rsidR="00D03E08" w:rsidRDefault="00D03E08" w:rsidP="007916A0">
      <w:pPr>
        <w:widowControl w:val="0"/>
        <w:autoSpaceDE w:val="0"/>
        <w:autoSpaceDN w:val="0"/>
        <w:adjustRightInd w:val="0"/>
        <w:spacing w:after="300"/>
        <w:jc w:val="both"/>
        <w:rPr>
          <w:rFonts w:ascii="Times New Roman" w:hAnsi="Times New Roman" w:cs="Times New Roman"/>
          <w:b/>
          <w:color w:val="3E3E3E"/>
          <w:sz w:val="22"/>
          <w:szCs w:val="22"/>
        </w:rPr>
      </w:pPr>
    </w:p>
    <w:p w14:paraId="0380988C" w14:textId="5A3E1505" w:rsidR="00D03E08" w:rsidRDefault="00D03E08" w:rsidP="00D03E08">
      <w:pPr>
        <w:widowControl w:val="0"/>
        <w:autoSpaceDE w:val="0"/>
        <w:autoSpaceDN w:val="0"/>
        <w:adjustRightInd w:val="0"/>
        <w:spacing w:after="300"/>
        <w:jc w:val="center"/>
        <w:rPr>
          <w:rFonts w:ascii="Times New Roman" w:hAnsi="Times New Roman" w:cs="Times New Roman"/>
          <w:b/>
          <w:color w:val="3E3E3E"/>
          <w:sz w:val="22"/>
          <w:szCs w:val="22"/>
        </w:rPr>
      </w:pPr>
      <w:r>
        <w:rPr>
          <w:rFonts w:ascii="Times New Roman" w:hAnsi="Times New Roman" w:cs="Times New Roman"/>
          <w:b/>
          <w:color w:val="3E3E3E"/>
          <w:sz w:val="22"/>
          <w:szCs w:val="22"/>
        </w:rPr>
        <w:t>COURS 9- LES MODES DE PROCÈS- L’ENQUÊTE PRÉLIMINAIRE- L’ACTE D’ACCUSATION</w:t>
      </w:r>
    </w:p>
    <w:p w14:paraId="6EFC26B2" w14:textId="55734963" w:rsidR="00D03E08" w:rsidRPr="00005DA9" w:rsidRDefault="00D03E08" w:rsidP="00D03E08">
      <w:pPr>
        <w:widowControl w:val="0"/>
        <w:autoSpaceDE w:val="0"/>
        <w:autoSpaceDN w:val="0"/>
        <w:adjustRightInd w:val="0"/>
        <w:spacing w:after="300"/>
        <w:rPr>
          <w:rFonts w:ascii="Times New Roman" w:hAnsi="Times New Roman" w:cs="Times New Roman"/>
          <w:b/>
          <w:color w:val="3E3E3E"/>
          <w:sz w:val="22"/>
          <w:szCs w:val="22"/>
        </w:rPr>
      </w:pPr>
      <w:r w:rsidRPr="00005DA9">
        <w:rPr>
          <w:rFonts w:ascii="Times New Roman" w:hAnsi="Times New Roman" w:cs="Times New Roman"/>
          <w:b/>
          <w:color w:val="3E3E3E"/>
          <w:sz w:val="22"/>
          <w:szCs w:val="22"/>
        </w:rPr>
        <w:t>Chapitre V. Choix de procès, enquêtes préliminaires, les accusations</w:t>
      </w:r>
    </w:p>
    <w:p w14:paraId="7E983177" w14:textId="42D33F85" w:rsidR="00D03E08" w:rsidRPr="00005DA9" w:rsidRDefault="00D03E08" w:rsidP="00D03E08">
      <w:pPr>
        <w:widowControl w:val="0"/>
        <w:autoSpaceDE w:val="0"/>
        <w:autoSpaceDN w:val="0"/>
        <w:adjustRightInd w:val="0"/>
        <w:spacing w:after="300"/>
        <w:rPr>
          <w:rFonts w:ascii="Times New Roman" w:hAnsi="Times New Roman" w:cs="Times New Roman"/>
          <w:b/>
          <w:color w:val="3E3E3E"/>
          <w:sz w:val="22"/>
          <w:szCs w:val="22"/>
        </w:rPr>
      </w:pPr>
      <w:r w:rsidRPr="00005DA9">
        <w:rPr>
          <w:rFonts w:ascii="Times New Roman" w:hAnsi="Times New Roman" w:cs="Times New Roman"/>
          <w:b/>
          <w:color w:val="3E3E3E"/>
          <w:sz w:val="22"/>
          <w:szCs w:val="22"/>
        </w:rPr>
        <w:t>Section I. Choix de procès</w:t>
      </w:r>
    </w:p>
    <w:p w14:paraId="2FAE8B95" w14:textId="77777777" w:rsidR="00D03E08" w:rsidRPr="00005DA9" w:rsidRDefault="00D03E08" w:rsidP="00D03E08">
      <w:pPr>
        <w:widowControl w:val="0"/>
        <w:autoSpaceDE w:val="0"/>
        <w:autoSpaceDN w:val="0"/>
        <w:adjustRightInd w:val="0"/>
        <w:spacing w:after="300"/>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§1. Le choix par la Couronne</w:t>
      </w:r>
    </w:p>
    <w:p w14:paraId="562D9597" w14:textId="40AC3EFB" w:rsidR="00D03E08" w:rsidRDefault="00005DA9" w:rsidP="00D03E08">
      <w:pPr>
        <w:widowControl w:val="0"/>
        <w:autoSpaceDE w:val="0"/>
        <w:autoSpaceDN w:val="0"/>
        <w:adjustRightInd w:val="0"/>
        <w:spacing w:after="300"/>
        <w:rPr>
          <w:rFonts w:ascii="Times New Roman" w:hAnsi="Times New Roman" w:cs="Times New Roman"/>
          <w:b/>
          <w:i/>
          <w:color w:val="3E3E3E"/>
          <w:sz w:val="22"/>
          <w:szCs w:val="22"/>
        </w:rPr>
      </w:pPr>
      <w:r>
        <w:rPr>
          <w:rFonts w:ascii="Times New Roman" w:hAnsi="Times New Roman" w:cs="Times New Roman"/>
          <w:b/>
          <w:i/>
          <w:color w:val="3E3E3E"/>
          <w:sz w:val="22"/>
          <w:szCs w:val="22"/>
        </w:rPr>
        <w:t>R. c. Dudley 2009 (p.1) :</w:t>
      </w:r>
    </w:p>
    <w:p w14:paraId="0484674A" w14:textId="58A5DD3A" w:rsidR="00005DA9" w:rsidRPr="00005DA9" w:rsidRDefault="00005DA9" w:rsidP="00005DA9">
      <w:pPr>
        <w:pStyle w:val="Paragraphedeliste"/>
        <w:numPr>
          <w:ilvl w:val="0"/>
          <w:numId w:val="110"/>
        </w:numPr>
        <w:jc w:val="both"/>
        <w:rPr>
          <w:rFonts w:ascii="Times New Roman" w:hAnsi="Times New Roman" w:cs="Times New Roman"/>
          <w:sz w:val="20"/>
          <w:szCs w:val="20"/>
        </w:rPr>
      </w:pPr>
      <w:r w:rsidRPr="00005DA9">
        <w:rPr>
          <w:rFonts w:ascii="Times New Roman" w:hAnsi="Times New Roman" w:cs="Times New Roman"/>
          <w:sz w:val="20"/>
          <w:szCs w:val="20"/>
        </w:rPr>
        <w:t xml:space="preserve">[1]                        </w:t>
      </w:r>
      <w:r w:rsidRPr="00005DA9">
        <w:rPr>
          <w:rFonts w:ascii="Times New Roman" w:hAnsi="Times New Roman" w:cs="Times New Roman"/>
          <w:b/>
          <w:sz w:val="20"/>
          <w:szCs w:val="20"/>
        </w:rPr>
        <w:t>Les infractions « mixtes » sont des crimes qui peuvent être poursuivis soit par voie de mise en accusation, soit par procédure sommaire</w:t>
      </w:r>
      <w:r w:rsidRPr="00005DA9">
        <w:rPr>
          <w:rFonts w:ascii="Times New Roman" w:hAnsi="Times New Roman" w:cs="Times New Roman"/>
          <w:sz w:val="20"/>
          <w:szCs w:val="20"/>
        </w:rPr>
        <w:t xml:space="preserve">.  Au Canada, </w:t>
      </w:r>
      <w:r w:rsidRPr="00005DA9">
        <w:rPr>
          <w:rFonts w:ascii="Times New Roman" w:hAnsi="Times New Roman" w:cs="Times New Roman"/>
          <w:sz w:val="20"/>
          <w:szCs w:val="20"/>
          <w:u w:val="single"/>
        </w:rPr>
        <w:t>le choix est laissé au ministère public</w:t>
      </w:r>
      <w:r w:rsidRPr="00005DA9">
        <w:rPr>
          <w:rFonts w:ascii="Times New Roman" w:hAnsi="Times New Roman" w:cs="Times New Roman"/>
          <w:sz w:val="20"/>
          <w:szCs w:val="20"/>
        </w:rPr>
        <w:t>, bien qu’il n’en ait pas toujours été ainsi et que ce ne soit pas le cas ailleurs.</w:t>
      </w:r>
    </w:p>
    <w:p w14:paraId="2AF9009F" w14:textId="77777777" w:rsidR="00005DA9" w:rsidRPr="00005DA9" w:rsidRDefault="00005DA9" w:rsidP="00005DA9">
      <w:pPr>
        <w:pStyle w:val="Paragraphedeliste"/>
        <w:widowControl w:val="0"/>
        <w:autoSpaceDE w:val="0"/>
        <w:autoSpaceDN w:val="0"/>
        <w:adjustRightInd w:val="0"/>
        <w:spacing w:after="300"/>
        <w:rPr>
          <w:rFonts w:ascii="Times New Roman" w:hAnsi="Times New Roman" w:cs="Times New Roman"/>
          <w:b/>
          <w:i/>
          <w:color w:val="3E3E3E"/>
          <w:sz w:val="22"/>
          <w:szCs w:val="22"/>
        </w:rPr>
      </w:pPr>
    </w:p>
    <w:p w14:paraId="2DD0A01E" w14:textId="482AFAE6" w:rsidR="00D03E08" w:rsidRPr="00005DA9" w:rsidRDefault="00D03E08" w:rsidP="00D03E08">
      <w:pPr>
        <w:widowControl w:val="0"/>
        <w:autoSpaceDE w:val="0"/>
        <w:autoSpaceDN w:val="0"/>
        <w:adjustRightInd w:val="0"/>
        <w:spacing w:after="300"/>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A. Quand</w:t>
      </w:r>
      <w:r w:rsidR="00005DA9">
        <w:rPr>
          <w:rFonts w:ascii="Times New Roman" w:hAnsi="Times New Roman" w:cs="Times New Roman"/>
          <w:color w:val="3E3E3E"/>
          <w:sz w:val="22"/>
          <w:szCs w:val="22"/>
          <w:u w:val="single"/>
        </w:rPr>
        <w:t xml:space="preserve"> le choix s’opère-t-il ?</w:t>
      </w:r>
    </w:p>
    <w:p w14:paraId="379B65B5" w14:textId="4812C672" w:rsidR="00D03E08" w:rsidRDefault="00005DA9"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Dudley 2009 :</w:t>
      </w:r>
    </w:p>
    <w:p w14:paraId="1353E9EB" w14:textId="619DF903" w:rsidR="00005DA9" w:rsidRPr="00005DA9" w:rsidRDefault="00005DA9" w:rsidP="00005DA9">
      <w:pPr>
        <w:pStyle w:val="Paragraphedeliste"/>
        <w:widowControl w:val="0"/>
        <w:numPr>
          <w:ilvl w:val="0"/>
          <w:numId w:val="110"/>
        </w:numPr>
        <w:autoSpaceDE w:val="0"/>
        <w:autoSpaceDN w:val="0"/>
        <w:adjustRightInd w:val="0"/>
        <w:spacing w:after="300"/>
        <w:jc w:val="both"/>
        <w:rPr>
          <w:rFonts w:ascii="Times New Roman" w:hAnsi="Times New Roman" w:cs="Times New Roman"/>
          <w:b/>
          <w:i/>
          <w:color w:val="3E3E3E"/>
          <w:sz w:val="22"/>
          <w:szCs w:val="22"/>
        </w:rPr>
      </w:pPr>
      <w:r w:rsidRPr="00877455">
        <w:rPr>
          <w:rFonts w:ascii="Times New Roman" w:hAnsi="Times New Roman" w:cs="Times New Roman"/>
          <w:sz w:val="20"/>
          <w:szCs w:val="20"/>
        </w:rPr>
        <w:t xml:space="preserve">Pour éviter l’incertitude et les malentendus qui engendrent bien des litiges inutiles, il me semble souhaitable que le ministère public déclare expressément si, à l’égard d’une infraction mixte, il choisit la voie de la procédure sommaire ou celle de la mise en accusation, et ce </w:t>
      </w:r>
      <w:r w:rsidRPr="00877455">
        <w:rPr>
          <w:rFonts w:ascii="Times New Roman" w:hAnsi="Times New Roman" w:cs="Times New Roman"/>
          <w:b/>
          <w:i/>
          <w:iCs/>
          <w:sz w:val="20"/>
          <w:szCs w:val="20"/>
        </w:rPr>
        <w:t>avant qu’on demande à l’accusé s’il plaide coupable ou non coupabl</w:t>
      </w:r>
      <w:r w:rsidRPr="00877455">
        <w:rPr>
          <w:rFonts w:ascii="Times New Roman" w:hAnsi="Times New Roman" w:cs="Times New Roman"/>
          <w:i/>
          <w:iCs/>
          <w:sz w:val="20"/>
          <w:szCs w:val="20"/>
        </w:rPr>
        <w:t>e</w:t>
      </w:r>
      <w:r>
        <w:rPr>
          <w:rFonts w:ascii="Times New Roman" w:hAnsi="Times New Roman" w:cs="Times New Roman"/>
          <w:i/>
          <w:iCs/>
          <w:sz w:val="20"/>
          <w:szCs w:val="20"/>
        </w:rPr>
        <w:t xml:space="preserve"> [19]</w:t>
      </w:r>
    </w:p>
    <w:p w14:paraId="6556C4DD" w14:textId="77777777" w:rsidR="00005DA9" w:rsidRDefault="00005DA9" w:rsidP="00005DA9">
      <w:pPr>
        <w:jc w:val="both"/>
        <w:rPr>
          <w:rFonts w:ascii="Times New Roman" w:hAnsi="Times New Roman" w:cs="Times New Roman"/>
          <w:sz w:val="22"/>
          <w:szCs w:val="22"/>
        </w:rPr>
      </w:pPr>
      <w:r w:rsidRPr="00005DA9">
        <w:rPr>
          <w:rFonts w:ascii="Times New Roman" w:hAnsi="Times New Roman" w:cs="Times New Roman"/>
          <w:sz w:val="22"/>
          <w:szCs w:val="22"/>
        </w:rPr>
        <w:t>Jusqu’à ce que la Couronne se décide de procéder par voie sommaire, l’infraction hybride constitue une infraction criminelle. (ATTENTION : nous ne sommes pas ici dans le scénario où la Couronne a omis de faire son choix de procédure).</w:t>
      </w:r>
    </w:p>
    <w:p w14:paraId="19E98894" w14:textId="77777777" w:rsidR="00005DA9" w:rsidRDefault="00005DA9" w:rsidP="00005DA9">
      <w:pPr>
        <w:jc w:val="both"/>
        <w:rPr>
          <w:rFonts w:ascii="Times New Roman" w:hAnsi="Times New Roman" w:cs="Times New Roman"/>
          <w:sz w:val="22"/>
          <w:szCs w:val="22"/>
        </w:rPr>
      </w:pPr>
    </w:p>
    <w:p w14:paraId="2F2957C7" w14:textId="68D1A275" w:rsidR="00005DA9" w:rsidRPr="005167DB" w:rsidRDefault="00005DA9" w:rsidP="00005DA9">
      <w:pPr>
        <w:pStyle w:val="Paragraphedeliste"/>
        <w:numPr>
          <w:ilvl w:val="0"/>
          <w:numId w:val="110"/>
        </w:numPr>
        <w:jc w:val="both"/>
        <w:rPr>
          <w:rFonts w:ascii="Times New Roman" w:hAnsi="Times New Roman" w:cs="Times New Roman"/>
          <w:sz w:val="22"/>
          <w:szCs w:val="22"/>
        </w:rPr>
      </w:pPr>
      <w:r w:rsidRPr="00877455">
        <w:rPr>
          <w:rFonts w:ascii="Times New Roman" w:hAnsi="Times New Roman" w:cs="Times New Roman"/>
          <w:sz w:val="20"/>
          <w:szCs w:val="20"/>
        </w:rPr>
        <w:t>Comme je l’ai mentionné précédemment, les infractions mixtes sont réputées être des actes criminels à moins que le ministère public choisisse le recours à la procédure sommaire, et jusqu’à ce qu’il fasse ce choix</w:t>
      </w:r>
      <w:r>
        <w:rPr>
          <w:rFonts w:ascii="Times New Roman" w:hAnsi="Times New Roman" w:cs="Times New Roman"/>
          <w:sz w:val="20"/>
          <w:szCs w:val="20"/>
        </w:rPr>
        <w:t xml:space="preserve"> [21]</w:t>
      </w:r>
    </w:p>
    <w:p w14:paraId="45EE242B" w14:textId="029EA399" w:rsidR="005167DB" w:rsidRPr="005167DB" w:rsidRDefault="005167DB" w:rsidP="00005DA9">
      <w:pPr>
        <w:pStyle w:val="Paragraphedeliste"/>
        <w:numPr>
          <w:ilvl w:val="0"/>
          <w:numId w:val="110"/>
        </w:numPr>
        <w:jc w:val="both"/>
        <w:rPr>
          <w:rFonts w:ascii="Times New Roman" w:hAnsi="Times New Roman" w:cs="Times New Roman"/>
          <w:sz w:val="22"/>
          <w:szCs w:val="22"/>
        </w:rPr>
      </w:pPr>
      <w:r w:rsidRPr="00877455">
        <w:rPr>
          <w:rFonts w:ascii="Times New Roman" w:hAnsi="Times New Roman" w:cs="Times New Roman"/>
          <w:sz w:val="20"/>
          <w:szCs w:val="20"/>
        </w:rPr>
        <w:t xml:space="preserve">De même, dans </w:t>
      </w:r>
      <w:r w:rsidRPr="00877455">
        <w:rPr>
          <w:rFonts w:ascii="Times New Roman" w:hAnsi="Times New Roman" w:cs="Times New Roman"/>
          <w:i/>
          <w:iCs/>
          <w:sz w:val="20"/>
          <w:szCs w:val="20"/>
        </w:rPr>
        <w:t>R. c. C. (D.J.)</w:t>
      </w:r>
      <w:r>
        <w:rPr>
          <w:rFonts w:ascii="Times New Roman" w:hAnsi="Times New Roman" w:cs="Times New Roman"/>
          <w:i/>
          <w:iCs/>
          <w:sz w:val="20"/>
          <w:szCs w:val="20"/>
        </w:rPr>
        <w:t xml:space="preserve"> </w:t>
      </w:r>
      <w:r w:rsidRPr="00877455">
        <w:rPr>
          <w:rFonts w:ascii="Times New Roman" w:hAnsi="Times New Roman" w:cs="Times New Roman"/>
          <w:sz w:val="20"/>
          <w:szCs w:val="20"/>
        </w:rPr>
        <w:t>(1985), 21 C.C.C. (3d) 246, à la p. 252, le juge MacDonald a affirmé, au nom de la division d’appel de la Cour suprême de l’Île</w:t>
      </w:r>
      <w:r w:rsidRPr="00877455">
        <w:rPr>
          <w:rFonts w:ascii="Palatino" w:hAnsi="Palatino" w:cs="Palatino"/>
          <w:sz w:val="20"/>
          <w:szCs w:val="20"/>
        </w:rPr>
        <w:t>‑</w:t>
      </w:r>
      <w:r w:rsidRPr="00877455">
        <w:rPr>
          <w:rFonts w:ascii="Times New Roman" w:hAnsi="Times New Roman" w:cs="Times New Roman"/>
          <w:sz w:val="20"/>
          <w:szCs w:val="20"/>
        </w:rPr>
        <w:t>du</w:t>
      </w:r>
      <w:r w:rsidRPr="00877455">
        <w:rPr>
          <w:rFonts w:ascii="Palatino" w:hAnsi="Palatino" w:cs="Palatino"/>
          <w:sz w:val="20"/>
          <w:szCs w:val="20"/>
        </w:rPr>
        <w:t>‑</w:t>
      </w:r>
      <w:r w:rsidRPr="00877455">
        <w:rPr>
          <w:rFonts w:ascii="Times New Roman" w:hAnsi="Times New Roman" w:cs="Times New Roman"/>
          <w:sz w:val="20"/>
          <w:szCs w:val="20"/>
        </w:rPr>
        <w:t>Prince</w:t>
      </w:r>
      <w:r w:rsidRPr="00877455">
        <w:rPr>
          <w:rFonts w:ascii="Palatino" w:hAnsi="Palatino" w:cs="Palatino"/>
          <w:sz w:val="20"/>
          <w:szCs w:val="20"/>
        </w:rPr>
        <w:t>‑</w:t>
      </w:r>
      <w:r w:rsidRPr="00877455">
        <w:rPr>
          <w:rFonts w:ascii="Times New Roman" w:hAnsi="Times New Roman" w:cs="Times New Roman"/>
          <w:sz w:val="20"/>
          <w:szCs w:val="20"/>
        </w:rPr>
        <w:t xml:space="preserve">Édouard, que [TRADUCTION] « dans le cas d’une infraction mixte, </w:t>
      </w:r>
      <w:r w:rsidRPr="00877455">
        <w:rPr>
          <w:rFonts w:ascii="Times New Roman" w:hAnsi="Times New Roman" w:cs="Times New Roman"/>
          <w:sz w:val="20"/>
          <w:szCs w:val="20"/>
          <w:u w:val="single"/>
        </w:rPr>
        <w:t>une fois que le ministère public choisit le recours par procédure sommaire, l’infraction n’est plus considérée être un acte criminel</w:t>
      </w:r>
      <w:r>
        <w:rPr>
          <w:rFonts w:ascii="Times New Roman" w:hAnsi="Times New Roman" w:cs="Times New Roman"/>
          <w:sz w:val="20"/>
          <w:szCs w:val="20"/>
          <w:u w:val="single"/>
        </w:rPr>
        <w:t xml:space="preserve"> [21]</w:t>
      </w:r>
    </w:p>
    <w:p w14:paraId="7E0D9278" w14:textId="79963B10" w:rsidR="005167DB" w:rsidRPr="00005DA9" w:rsidRDefault="005167DB" w:rsidP="00005DA9">
      <w:pPr>
        <w:pStyle w:val="Paragraphedeliste"/>
        <w:numPr>
          <w:ilvl w:val="0"/>
          <w:numId w:val="110"/>
        </w:numPr>
        <w:jc w:val="both"/>
        <w:rPr>
          <w:rFonts w:ascii="Times New Roman" w:hAnsi="Times New Roman" w:cs="Times New Roman"/>
          <w:sz w:val="22"/>
          <w:szCs w:val="22"/>
        </w:rPr>
      </w:pPr>
      <w:r w:rsidRPr="00877455">
        <w:rPr>
          <w:rFonts w:ascii="Times New Roman" w:hAnsi="Times New Roman" w:cs="Times New Roman"/>
          <w:sz w:val="20"/>
          <w:szCs w:val="20"/>
        </w:rPr>
        <w:t xml:space="preserve">Et dans </w:t>
      </w:r>
      <w:r w:rsidRPr="00877455">
        <w:rPr>
          <w:rFonts w:ascii="Times New Roman" w:hAnsi="Times New Roman" w:cs="Times New Roman"/>
          <w:i/>
          <w:iCs/>
          <w:sz w:val="20"/>
          <w:szCs w:val="20"/>
        </w:rPr>
        <w:t>Canada (Attorney General) c. Trueman, P.C.J.</w:t>
      </w:r>
      <w:r w:rsidRPr="00877455">
        <w:rPr>
          <w:rFonts w:ascii="Times New Roman" w:hAnsi="Times New Roman" w:cs="Times New Roman"/>
          <w:sz w:val="20"/>
          <w:szCs w:val="20"/>
        </w:rPr>
        <w:t xml:space="preserve"> (1996), 83 B.C.A.C. 227, au par. 13, une fois de plus dans une décision unanime, le juge en chef McEachern a conclu que les infractions mixtes [TRADUCTION] « sont réputées, aux termes de l’art. 34 de la </w:t>
      </w:r>
      <w:r w:rsidRPr="00877455">
        <w:rPr>
          <w:rFonts w:ascii="Times New Roman" w:hAnsi="Times New Roman" w:cs="Times New Roman"/>
          <w:i/>
          <w:iCs/>
          <w:sz w:val="20"/>
          <w:szCs w:val="20"/>
        </w:rPr>
        <w:t>Loi d’interprétation</w:t>
      </w:r>
      <w:r w:rsidRPr="00877455">
        <w:rPr>
          <w:rFonts w:ascii="Times New Roman" w:hAnsi="Times New Roman" w:cs="Times New Roman"/>
          <w:sz w:val="20"/>
          <w:szCs w:val="20"/>
        </w:rPr>
        <w:t xml:space="preserve"> [. . .], être des actes criminels [et] le restent </w:t>
      </w:r>
      <w:r w:rsidRPr="00877455">
        <w:rPr>
          <w:rFonts w:ascii="Times New Roman" w:hAnsi="Times New Roman" w:cs="Times New Roman"/>
          <w:sz w:val="20"/>
          <w:szCs w:val="20"/>
          <w:u w:val="single"/>
        </w:rPr>
        <w:t>à moins que le ministère public choisisse le recours à la procédure sommaire</w:t>
      </w:r>
      <w:r w:rsidRPr="00877455">
        <w:rPr>
          <w:rFonts w:ascii="Times New Roman" w:hAnsi="Times New Roman" w:cs="Times New Roman"/>
          <w:sz w:val="20"/>
          <w:szCs w:val="20"/>
        </w:rPr>
        <w:t> </w:t>
      </w:r>
      <w:r>
        <w:rPr>
          <w:rFonts w:ascii="Times New Roman" w:hAnsi="Times New Roman" w:cs="Times New Roman"/>
          <w:sz w:val="20"/>
          <w:szCs w:val="20"/>
        </w:rPr>
        <w:t>[21]</w:t>
      </w:r>
    </w:p>
    <w:p w14:paraId="4CE75468" w14:textId="77777777" w:rsidR="00005DA9" w:rsidRPr="00005DA9" w:rsidRDefault="00005DA9" w:rsidP="00005DA9">
      <w:pPr>
        <w:widowControl w:val="0"/>
        <w:autoSpaceDE w:val="0"/>
        <w:autoSpaceDN w:val="0"/>
        <w:adjustRightInd w:val="0"/>
        <w:spacing w:after="300"/>
        <w:jc w:val="both"/>
        <w:rPr>
          <w:rFonts w:ascii="Times New Roman" w:hAnsi="Times New Roman" w:cs="Times New Roman"/>
          <w:b/>
          <w:i/>
          <w:color w:val="3E3E3E"/>
          <w:sz w:val="22"/>
          <w:szCs w:val="22"/>
        </w:rPr>
      </w:pPr>
    </w:p>
    <w:p w14:paraId="5F999D2E" w14:textId="1A6D18E5"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B. L’option pour une procédure sommaire et le délai de 6 mois</w:t>
      </w:r>
      <w:r w:rsidR="005167DB">
        <w:rPr>
          <w:rFonts w:ascii="Times New Roman" w:hAnsi="Times New Roman" w:cs="Times New Roman"/>
          <w:color w:val="3E3E3E"/>
          <w:sz w:val="22"/>
          <w:szCs w:val="22"/>
          <w:u w:val="single"/>
        </w:rPr>
        <w:t xml:space="preserve"> (p.2)</w:t>
      </w:r>
    </w:p>
    <w:p w14:paraId="1364BB2B" w14:textId="65CA7D1C" w:rsidR="005167DB" w:rsidRDefault="005167DB"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règle du délais et d’une «entente» est exposée à l’article 786C.cr.</w:t>
      </w:r>
    </w:p>
    <w:p w14:paraId="3DB50D42" w14:textId="258DE2CA" w:rsidR="005167DB" w:rsidRDefault="005167DB"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Dudley 2009 :</w:t>
      </w:r>
    </w:p>
    <w:p w14:paraId="4F4226B7" w14:textId="3E68FA42" w:rsidR="005167DB" w:rsidRPr="00A84685" w:rsidRDefault="00A84685" w:rsidP="00A84685">
      <w:pPr>
        <w:pStyle w:val="Paragraphedeliste"/>
        <w:widowControl w:val="0"/>
        <w:numPr>
          <w:ilvl w:val="0"/>
          <w:numId w:val="111"/>
        </w:numPr>
        <w:autoSpaceDE w:val="0"/>
        <w:autoSpaceDN w:val="0"/>
        <w:adjustRightInd w:val="0"/>
        <w:spacing w:after="300"/>
        <w:jc w:val="both"/>
        <w:rPr>
          <w:rFonts w:ascii="Times New Roman" w:hAnsi="Times New Roman" w:cs="Times New Roman"/>
          <w:color w:val="3E3E3E"/>
          <w:sz w:val="22"/>
          <w:szCs w:val="22"/>
        </w:rPr>
      </w:pPr>
      <w:r w:rsidRPr="00A84685">
        <w:rPr>
          <w:rFonts w:ascii="Times New Roman" w:hAnsi="Times New Roman" w:cs="Times New Roman"/>
          <w:b/>
          <w:sz w:val="20"/>
          <w:szCs w:val="20"/>
        </w:rPr>
        <w:t>Si le ministère public opte pour la procédure sommaire, l’infraction mixte est considérée à tous égards comme une infraction punissable sur déclaration de culpabilité par procédure sommaire</w:t>
      </w:r>
      <w:r w:rsidRPr="00871364">
        <w:rPr>
          <w:rFonts w:ascii="Times New Roman" w:hAnsi="Times New Roman" w:cs="Times New Roman"/>
          <w:sz w:val="20"/>
          <w:szCs w:val="20"/>
        </w:rPr>
        <w:t>.  Les poursuites doivent alors être intentées dans les six mois à moins d’une entente à l’effet contraire entre les parties — une règle qui revêt une importance particulière en l’espèce</w:t>
      </w:r>
      <w:r>
        <w:rPr>
          <w:rFonts w:ascii="Times New Roman" w:hAnsi="Times New Roman" w:cs="Times New Roman"/>
          <w:sz w:val="20"/>
          <w:szCs w:val="20"/>
        </w:rPr>
        <w:t xml:space="preserve"> [2]</w:t>
      </w:r>
    </w:p>
    <w:p w14:paraId="3CA59795" w14:textId="3725E3C4" w:rsidR="00A84685" w:rsidRPr="00A84685" w:rsidRDefault="00A84685" w:rsidP="00A84685">
      <w:pPr>
        <w:pStyle w:val="Paragraphedeliste"/>
        <w:widowControl w:val="0"/>
        <w:numPr>
          <w:ilvl w:val="0"/>
          <w:numId w:val="111"/>
        </w:numPr>
        <w:autoSpaceDE w:val="0"/>
        <w:autoSpaceDN w:val="0"/>
        <w:adjustRightInd w:val="0"/>
        <w:spacing w:after="300"/>
        <w:jc w:val="both"/>
        <w:rPr>
          <w:rFonts w:ascii="Times New Roman" w:hAnsi="Times New Roman" w:cs="Times New Roman"/>
          <w:color w:val="3E3E3E"/>
          <w:sz w:val="22"/>
          <w:szCs w:val="22"/>
        </w:rPr>
      </w:pPr>
      <w:r w:rsidRPr="00A84685">
        <w:rPr>
          <w:rFonts w:ascii="Times New Roman" w:hAnsi="Times New Roman" w:cs="Times New Roman"/>
          <w:b/>
          <w:sz w:val="20"/>
          <w:szCs w:val="20"/>
        </w:rPr>
        <w:t>Le consentement des parties, je le répète, peut être donné à tout moment de l’instance avant le verdict</w:t>
      </w:r>
      <w:r w:rsidRPr="00871364">
        <w:rPr>
          <w:rFonts w:ascii="Times New Roman" w:hAnsi="Times New Roman" w:cs="Times New Roman"/>
          <w:sz w:val="20"/>
          <w:szCs w:val="20"/>
        </w:rPr>
        <w:t xml:space="preserve">.  Le consentement du poursuivant sera toujours réputé avoir été donné en raison du choix qu’il a fait de poursuivre l’infraction mixte par procédure sommaire.  Quant au défendeur, son consentement doit être conforme aux motifs exposés par la Cour dans </w:t>
      </w:r>
      <w:r w:rsidRPr="00871364">
        <w:rPr>
          <w:rFonts w:ascii="Times New Roman" w:hAnsi="Times New Roman" w:cs="Times New Roman"/>
          <w:i/>
          <w:iCs/>
          <w:sz w:val="20"/>
          <w:szCs w:val="20"/>
        </w:rPr>
        <w:t>Korponay c. Procureur général du Canada</w:t>
      </w:r>
      <w:r w:rsidRPr="00871364">
        <w:rPr>
          <w:rFonts w:ascii="Times New Roman" w:hAnsi="Times New Roman" w:cs="Times New Roman"/>
          <w:sz w:val="20"/>
          <w:szCs w:val="20"/>
        </w:rPr>
        <w:t>, [1982] 1 R.C.S. 41.  C’est</w:t>
      </w:r>
      <w:r w:rsidRPr="00871364">
        <w:rPr>
          <w:rFonts w:ascii="Palatino" w:hAnsi="Palatino" w:cs="Palatino"/>
          <w:sz w:val="20"/>
          <w:szCs w:val="20"/>
        </w:rPr>
        <w:t>‑</w:t>
      </w:r>
      <w:r w:rsidRPr="00871364">
        <w:rPr>
          <w:rFonts w:ascii="Times New Roman" w:hAnsi="Times New Roman" w:cs="Times New Roman"/>
          <w:sz w:val="20"/>
          <w:szCs w:val="20"/>
        </w:rPr>
        <w:t>à</w:t>
      </w:r>
      <w:r w:rsidRPr="00871364">
        <w:rPr>
          <w:rFonts w:ascii="Palatino" w:hAnsi="Palatino" w:cs="Palatino"/>
          <w:sz w:val="20"/>
          <w:szCs w:val="20"/>
        </w:rPr>
        <w:t>‑</w:t>
      </w:r>
      <w:r w:rsidRPr="00871364">
        <w:rPr>
          <w:rFonts w:ascii="Times New Roman" w:hAnsi="Times New Roman" w:cs="Times New Roman"/>
          <w:sz w:val="20"/>
          <w:szCs w:val="20"/>
        </w:rPr>
        <w:t>dire qu’il doit consentir à la continuation de la procédure d’une manière « </w:t>
      </w:r>
      <w:r w:rsidRPr="00A84685">
        <w:rPr>
          <w:rFonts w:ascii="Times New Roman" w:hAnsi="Times New Roman" w:cs="Times New Roman"/>
          <w:b/>
          <w:sz w:val="20"/>
          <w:szCs w:val="20"/>
        </w:rPr>
        <w:t>éclairée, claire et non équivoque </w:t>
      </w:r>
      <w:r w:rsidRPr="00871364">
        <w:rPr>
          <w:rFonts w:ascii="Times New Roman" w:hAnsi="Times New Roman" w:cs="Times New Roman"/>
          <w:sz w:val="20"/>
          <w:szCs w:val="20"/>
        </w:rPr>
        <w:t>» (</w:t>
      </w:r>
      <w:r w:rsidRPr="00871364">
        <w:rPr>
          <w:rFonts w:ascii="Times New Roman" w:hAnsi="Times New Roman" w:cs="Times New Roman"/>
          <w:i/>
          <w:iCs/>
          <w:sz w:val="20"/>
          <w:szCs w:val="20"/>
        </w:rPr>
        <w:t>Korponay</w:t>
      </w:r>
      <w:r w:rsidRPr="00871364">
        <w:rPr>
          <w:rFonts w:ascii="Times New Roman" w:hAnsi="Times New Roman" w:cs="Times New Roman"/>
          <w:sz w:val="20"/>
          <w:szCs w:val="20"/>
        </w:rPr>
        <w:t>, p. 58)</w:t>
      </w:r>
    </w:p>
    <w:p w14:paraId="232FD20B" w14:textId="45E920DA" w:rsidR="00D03E08" w:rsidRDefault="009F601F" w:rsidP="00D03E08">
      <w:pPr>
        <w:widowControl w:val="0"/>
        <w:autoSpaceDE w:val="0"/>
        <w:autoSpaceDN w:val="0"/>
        <w:adjustRightInd w:val="0"/>
        <w:spacing w:after="300"/>
        <w:jc w:val="both"/>
        <w:rPr>
          <w:rFonts w:ascii="Times New Roman" w:hAnsi="Times New Roman" w:cs="Times New Roman"/>
          <w:b/>
          <w:sz w:val="22"/>
          <w:szCs w:val="22"/>
        </w:rPr>
      </w:pPr>
      <w:r w:rsidRPr="000F4F37">
        <w:rPr>
          <w:rFonts w:ascii="Times New Roman" w:hAnsi="Times New Roman" w:cs="Times New Roman"/>
          <w:sz w:val="22"/>
          <w:szCs w:val="22"/>
        </w:rPr>
        <w:t>Si le procès a été engagé devant un tribunal des poursuites sommaires sans qu’il y ait eu un choix exprès par le ministère public, on présumera que ce dernier a choisi la procédure sommaire.  Si l’on constate, avant la décision sur le fond, que la procédure a été lancée plus de six mois après le moment où l’infraction reprochée aurait été commise, le procès devrait être annulé à moins que les parties s’entendent pour renoncer au délai de prescription</w:t>
      </w:r>
      <w:r>
        <w:rPr>
          <w:rFonts w:ascii="Times New Roman" w:hAnsi="Times New Roman" w:cs="Times New Roman"/>
          <w:sz w:val="22"/>
          <w:szCs w:val="22"/>
        </w:rPr>
        <w:t xml:space="preserve">... Et de la même manière tel que dits dans </w:t>
      </w:r>
      <w:r>
        <w:rPr>
          <w:rFonts w:ascii="Times New Roman" w:hAnsi="Times New Roman" w:cs="Times New Roman"/>
          <w:b/>
          <w:sz w:val="22"/>
          <w:szCs w:val="22"/>
        </w:rPr>
        <w:t>Dudley :</w:t>
      </w:r>
    </w:p>
    <w:p w14:paraId="1B9E360C" w14:textId="347870DA" w:rsidR="009F601F" w:rsidRPr="009F601F" w:rsidRDefault="009F601F" w:rsidP="009F601F">
      <w:pPr>
        <w:pStyle w:val="Paragraphedeliste"/>
        <w:widowControl w:val="0"/>
        <w:numPr>
          <w:ilvl w:val="0"/>
          <w:numId w:val="112"/>
        </w:numPr>
        <w:autoSpaceDE w:val="0"/>
        <w:autoSpaceDN w:val="0"/>
        <w:adjustRightInd w:val="0"/>
        <w:spacing w:after="300"/>
        <w:jc w:val="both"/>
        <w:rPr>
          <w:rFonts w:ascii="Times New Roman" w:hAnsi="Times New Roman" w:cs="Times New Roman"/>
          <w:b/>
          <w:color w:val="3E3E3E"/>
          <w:sz w:val="20"/>
          <w:szCs w:val="20"/>
          <w:u w:val="single"/>
        </w:rPr>
      </w:pPr>
      <w:r w:rsidRPr="009F601F">
        <w:rPr>
          <w:rFonts w:ascii="Times New Roman" w:hAnsi="Times New Roman" w:cs="Times New Roman"/>
          <w:sz w:val="20"/>
          <w:szCs w:val="20"/>
        </w:rPr>
        <w:t xml:space="preserve">En l’absence d’un choix explicite, on présumera de toute manière que le ministère public a choisi la voie de la procédure sommaire si une infraction mixte [TRADUCTION] « est instruite pendant le procès, jusqu’au verdict, devant un tribunal compétent en matière de poursuites par procédure sommaire » : </w:t>
      </w:r>
      <w:r w:rsidRPr="009F601F">
        <w:rPr>
          <w:rFonts w:ascii="Times New Roman" w:hAnsi="Times New Roman" w:cs="Times New Roman"/>
          <w:i/>
          <w:iCs/>
          <w:sz w:val="20"/>
          <w:szCs w:val="20"/>
        </w:rPr>
        <w:t>R. c. Mitchell</w:t>
      </w:r>
      <w:r>
        <w:rPr>
          <w:rFonts w:ascii="Times New Roman" w:hAnsi="Times New Roman" w:cs="Times New Roman"/>
          <w:i/>
          <w:iCs/>
          <w:sz w:val="20"/>
          <w:szCs w:val="20"/>
        </w:rPr>
        <w:t xml:space="preserve"> [20].</w:t>
      </w:r>
    </w:p>
    <w:p w14:paraId="1E48D26E" w14:textId="050D6B27" w:rsidR="009F601F" w:rsidRPr="009F601F" w:rsidRDefault="009F601F" w:rsidP="009F601F">
      <w:pPr>
        <w:pStyle w:val="Paragraphedeliste"/>
        <w:widowControl w:val="0"/>
        <w:numPr>
          <w:ilvl w:val="0"/>
          <w:numId w:val="112"/>
        </w:numPr>
        <w:autoSpaceDE w:val="0"/>
        <w:autoSpaceDN w:val="0"/>
        <w:adjustRightInd w:val="0"/>
        <w:spacing w:after="300"/>
        <w:jc w:val="both"/>
        <w:rPr>
          <w:rFonts w:ascii="Times New Roman" w:hAnsi="Times New Roman" w:cs="Times New Roman"/>
          <w:b/>
          <w:color w:val="3E3E3E"/>
          <w:sz w:val="20"/>
          <w:szCs w:val="20"/>
          <w:u w:val="single"/>
        </w:rPr>
      </w:pPr>
      <w:r w:rsidRPr="009F601F">
        <w:rPr>
          <w:rFonts w:ascii="Times New Roman" w:hAnsi="Times New Roman" w:cs="Times New Roman"/>
          <w:sz w:val="20"/>
          <w:szCs w:val="20"/>
        </w:rPr>
        <w:t>Peu importe quelle était la situation avant la modification apportée au par. 786(2) en 1997, le tribunal des poursuites sommaires conserve maintenant sa compétence — sous réserve du consentement des parties — s’il s’avère que la procédure dont il est saisi était prescrite au moment de la dénonciation.  Selon une interprétation téléologique de cette modification, le consentement curatif qui en fait l’objet peut être donné n’importe quand avant le verdict sans que les parties soient obligées de reprendre le procès depuis le début.  Mais comme je l’ai indiqué, on peut aisément éviter l’incertitude et les malentendus en invitant les parties à s’entendre sur l’utilisation de la procédure sommaire et en consignant cet accord au dossier avant de demander au défendeur s’il plaide coupable ou non coupable [33]</w:t>
      </w:r>
    </w:p>
    <w:p w14:paraId="3636C204" w14:textId="3884601E" w:rsidR="009F601F" w:rsidRDefault="009F601F" w:rsidP="009F601F">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Concernant le </w:t>
      </w:r>
      <w:r>
        <w:rPr>
          <w:rFonts w:ascii="Times New Roman" w:hAnsi="Times New Roman" w:cs="Times New Roman"/>
          <w:b/>
          <w:color w:val="3E3E3E"/>
          <w:sz w:val="22"/>
          <w:szCs w:val="22"/>
        </w:rPr>
        <w:t>choix de la procédure</w:t>
      </w:r>
      <w:r>
        <w:rPr>
          <w:rFonts w:ascii="Times New Roman" w:hAnsi="Times New Roman" w:cs="Times New Roman"/>
          <w:color w:val="3E3E3E"/>
          <w:sz w:val="22"/>
          <w:szCs w:val="22"/>
        </w:rPr>
        <w:t xml:space="preserve"> et </w:t>
      </w:r>
      <w:r>
        <w:rPr>
          <w:rFonts w:ascii="Times New Roman" w:hAnsi="Times New Roman" w:cs="Times New Roman"/>
          <w:b/>
          <w:color w:val="3E3E3E"/>
          <w:sz w:val="22"/>
          <w:szCs w:val="22"/>
        </w:rPr>
        <w:t>l’appel</w:t>
      </w:r>
      <w:r>
        <w:rPr>
          <w:rFonts w:ascii="Times New Roman" w:hAnsi="Times New Roman" w:cs="Times New Roman"/>
          <w:color w:val="3E3E3E"/>
          <w:sz w:val="22"/>
          <w:szCs w:val="22"/>
        </w:rPr>
        <w:t xml:space="preserve"> (p.3) :</w:t>
      </w:r>
    </w:p>
    <w:p w14:paraId="4968228F" w14:textId="01144347" w:rsidR="009F601F" w:rsidRDefault="009F601F" w:rsidP="009F601F">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Dudley 2009 :</w:t>
      </w:r>
    </w:p>
    <w:p w14:paraId="57AAECB6" w14:textId="5136481E" w:rsidR="009F601F" w:rsidRPr="00642D64" w:rsidRDefault="009F601F" w:rsidP="00642D64">
      <w:pPr>
        <w:pStyle w:val="Paragraphedeliste"/>
        <w:numPr>
          <w:ilvl w:val="0"/>
          <w:numId w:val="113"/>
        </w:numPr>
        <w:jc w:val="both"/>
        <w:rPr>
          <w:rFonts w:ascii="Times New Roman" w:hAnsi="Times New Roman" w:cs="Times New Roman"/>
          <w:sz w:val="20"/>
          <w:szCs w:val="20"/>
        </w:rPr>
      </w:pPr>
      <w:r w:rsidRPr="009F601F">
        <w:rPr>
          <w:rFonts w:ascii="Times New Roman" w:hAnsi="Times New Roman" w:cs="Times New Roman"/>
          <w:sz w:val="20"/>
          <w:szCs w:val="20"/>
        </w:rPr>
        <w:t>Si un appel interjeté par l’accusé[1] est accueilli au seul motif que la poursuite était prescrite et qu’elle a été engagée sans son consentement, la déclaration de culpabilité prononcée à l’issue du procès devrait être annulée.  Dans les deux cas, le ministère public peut tout recommencer par voie de mise en accusation, sauf si le tribunal y voit un abus de procédure.  Il en est ainsi parce que ni l’annulation du procès ni l’annulation d’une déclaration de culpabilité en appel ne peuvent donner naissance à un plaidoyer d’autrefois acquit.</w:t>
      </w:r>
      <w:r w:rsidR="00642D64">
        <w:rPr>
          <w:rFonts w:ascii="Times New Roman" w:hAnsi="Times New Roman" w:cs="Times New Roman"/>
          <w:sz w:val="20"/>
          <w:szCs w:val="20"/>
        </w:rPr>
        <w:t xml:space="preserve"> [5]</w:t>
      </w:r>
    </w:p>
    <w:p w14:paraId="5347E8EB" w14:textId="09203954" w:rsidR="009F601F" w:rsidRPr="009F601F" w:rsidRDefault="009F601F" w:rsidP="009F601F">
      <w:pPr>
        <w:pStyle w:val="Paragraphedeliste"/>
        <w:numPr>
          <w:ilvl w:val="0"/>
          <w:numId w:val="113"/>
        </w:numPr>
        <w:jc w:val="both"/>
        <w:rPr>
          <w:rFonts w:ascii="Times New Roman" w:hAnsi="Times New Roman" w:cs="Times New Roman"/>
          <w:b/>
          <w:sz w:val="20"/>
          <w:szCs w:val="20"/>
        </w:rPr>
      </w:pPr>
      <w:r w:rsidRPr="009F601F">
        <w:rPr>
          <w:rFonts w:ascii="Times New Roman" w:hAnsi="Times New Roman" w:cs="Times New Roman"/>
          <w:b/>
          <w:sz w:val="20"/>
          <w:szCs w:val="20"/>
        </w:rPr>
        <w:t xml:space="preserve">Le ministère public ne pourra former un appel à l’encontre d’un acquittement prononcé en raison de la prescription de la poursuite parce qu’il lui appartenait de veiller à ce qu’elle soit intentée dans le délai voulu.  Ayant choisi d’emprunter la voie de la procédure sommaire devant la juridiction compétente, le ministère public ne devrait pas être autorisé à se plaindre, </w:t>
      </w:r>
      <w:r w:rsidRPr="009F601F">
        <w:rPr>
          <w:rFonts w:ascii="Times New Roman" w:hAnsi="Times New Roman" w:cs="Times New Roman"/>
          <w:b/>
          <w:i/>
          <w:iCs/>
          <w:sz w:val="20"/>
          <w:szCs w:val="20"/>
        </w:rPr>
        <w:t>après une décision sur le fond défavorable</w:t>
      </w:r>
      <w:r w:rsidRPr="009F601F">
        <w:rPr>
          <w:rFonts w:ascii="Times New Roman" w:hAnsi="Times New Roman" w:cs="Times New Roman"/>
          <w:b/>
          <w:sz w:val="20"/>
          <w:szCs w:val="20"/>
        </w:rPr>
        <w:t>, d’avoir négligé d’obtenir le consentement de l’accusé avant l’acquittement de celui</w:t>
      </w:r>
      <w:r w:rsidRPr="009F601F">
        <w:rPr>
          <w:rFonts w:ascii="Palatino" w:hAnsi="Palatino" w:cs="Palatino"/>
          <w:b/>
          <w:sz w:val="20"/>
          <w:szCs w:val="20"/>
        </w:rPr>
        <w:t>‑</w:t>
      </w:r>
      <w:r w:rsidRPr="009F601F">
        <w:rPr>
          <w:rFonts w:ascii="Times New Roman" w:hAnsi="Times New Roman" w:cs="Times New Roman"/>
          <w:b/>
          <w:sz w:val="20"/>
          <w:szCs w:val="20"/>
        </w:rPr>
        <w:t>ci!</w:t>
      </w:r>
      <w:r w:rsidR="00642D64">
        <w:rPr>
          <w:rFonts w:ascii="Times New Roman" w:hAnsi="Times New Roman" w:cs="Times New Roman"/>
          <w:b/>
          <w:sz w:val="20"/>
          <w:szCs w:val="20"/>
        </w:rPr>
        <w:t xml:space="preserve"> [6]</w:t>
      </w:r>
    </w:p>
    <w:p w14:paraId="0165A6C8" w14:textId="77777777" w:rsidR="009F601F" w:rsidRPr="009F601F" w:rsidRDefault="009F601F" w:rsidP="00642D64">
      <w:pPr>
        <w:pStyle w:val="Paragraphedeliste"/>
        <w:widowControl w:val="0"/>
        <w:autoSpaceDE w:val="0"/>
        <w:autoSpaceDN w:val="0"/>
        <w:adjustRightInd w:val="0"/>
        <w:spacing w:after="300"/>
        <w:jc w:val="both"/>
        <w:rPr>
          <w:rFonts w:ascii="Times New Roman" w:hAnsi="Times New Roman" w:cs="Times New Roman"/>
          <w:b/>
          <w:i/>
          <w:color w:val="3E3E3E"/>
          <w:sz w:val="22"/>
          <w:szCs w:val="22"/>
        </w:rPr>
      </w:pPr>
    </w:p>
    <w:p w14:paraId="7C99ABC9" w14:textId="2F390225"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§2. L’option de l’accusé</w:t>
      </w:r>
      <w:r w:rsidR="00642D64">
        <w:rPr>
          <w:rFonts w:ascii="Times New Roman" w:hAnsi="Times New Roman" w:cs="Times New Roman"/>
          <w:color w:val="3E3E3E"/>
          <w:sz w:val="22"/>
          <w:szCs w:val="22"/>
          <w:u w:val="single"/>
        </w:rPr>
        <w:t xml:space="preserve"> (p.3)</w:t>
      </w:r>
    </w:p>
    <w:p w14:paraId="753C8EA3" w14:textId="661F30B4" w:rsidR="00642D64" w:rsidRDefault="00642D64" w:rsidP="00D03E08">
      <w:pPr>
        <w:widowControl w:val="0"/>
        <w:autoSpaceDE w:val="0"/>
        <w:autoSpaceDN w:val="0"/>
        <w:adjustRightInd w:val="0"/>
        <w:spacing w:after="300"/>
        <w:jc w:val="both"/>
        <w:rPr>
          <w:rFonts w:ascii="Times New Roman" w:hAnsi="Times New Roman" w:cs="Times New Roman"/>
          <w:sz w:val="22"/>
          <w:szCs w:val="22"/>
        </w:rPr>
      </w:pPr>
      <w:r w:rsidRPr="000F4F37">
        <w:rPr>
          <w:rFonts w:ascii="Times New Roman" w:hAnsi="Times New Roman" w:cs="Times New Roman"/>
          <w:sz w:val="22"/>
          <w:szCs w:val="22"/>
        </w:rPr>
        <w:t>Les infractions sommaires sont jugées devant les C</w:t>
      </w:r>
      <w:r>
        <w:rPr>
          <w:rFonts w:ascii="Times New Roman" w:hAnsi="Times New Roman" w:cs="Times New Roman"/>
          <w:sz w:val="22"/>
          <w:szCs w:val="22"/>
        </w:rPr>
        <w:t>ours pénales</w:t>
      </w:r>
      <w:r w:rsidRPr="000F4F37">
        <w:rPr>
          <w:rFonts w:ascii="Times New Roman" w:hAnsi="Times New Roman" w:cs="Times New Roman"/>
          <w:sz w:val="22"/>
          <w:szCs w:val="22"/>
        </w:rPr>
        <w:t xml:space="preserve"> devant un seul juge. La procédure est cell</w:t>
      </w:r>
      <w:r>
        <w:rPr>
          <w:rFonts w:ascii="Times New Roman" w:hAnsi="Times New Roman" w:cs="Times New Roman"/>
          <w:sz w:val="22"/>
          <w:szCs w:val="22"/>
        </w:rPr>
        <w:t>e prévue à la Parie XXVII du C.c</w:t>
      </w:r>
      <w:r w:rsidRPr="000F4F37">
        <w:rPr>
          <w:rFonts w:ascii="Times New Roman" w:hAnsi="Times New Roman" w:cs="Times New Roman"/>
          <w:sz w:val="22"/>
          <w:szCs w:val="22"/>
        </w:rPr>
        <w:t>r : DÉCLARATIONS DE CULPABILITÉ PAR PROCÉDURE SOMMAIRE</w:t>
      </w:r>
    </w:p>
    <w:p w14:paraId="2E603C46" w14:textId="2CF33B29" w:rsidR="00D03E08" w:rsidRPr="00642D64" w:rsidRDefault="00642D64" w:rsidP="00D03E08">
      <w:pPr>
        <w:pStyle w:val="Paragraphedeliste"/>
        <w:widowControl w:val="0"/>
        <w:numPr>
          <w:ilvl w:val="0"/>
          <w:numId w:val="114"/>
        </w:numPr>
        <w:autoSpaceDE w:val="0"/>
        <w:autoSpaceDN w:val="0"/>
        <w:adjustRightInd w:val="0"/>
        <w:spacing w:after="300"/>
        <w:jc w:val="both"/>
        <w:rPr>
          <w:rFonts w:ascii="Times New Roman" w:hAnsi="Times New Roman" w:cs="Times New Roman"/>
          <w:b/>
          <w:color w:val="3E3E3E"/>
          <w:sz w:val="22"/>
          <w:szCs w:val="22"/>
        </w:rPr>
      </w:pPr>
      <w:r w:rsidRPr="00642D64">
        <w:rPr>
          <w:rFonts w:ascii="Times New Roman" w:hAnsi="Times New Roman" w:cs="Times New Roman"/>
          <w:i/>
          <w:sz w:val="22"/>
          <w:szCs w:val="22"/>
        </w:rPr>
        <w:t xml:space="preserve">Définition : </w:t>
      </w:r>
      <w:r w:rsidRPr="00642D64">
        <w:rPr>
          <w:rFonts w:ascii="Times New Roman" w:hAnsi="Times New Roman" w:cs="Times New Roman"/>
          <w:b/>
          <w:sz w:val="22"/>
          <w:szCs w:val="22"/>
        </w:rPr>
        <w:t>article 785C.cr.</w:t>
      </w:r>
    </w:p>
    <w:p w14:paraId="23B89B58" w14:textId="23D5E7C8" w:rsidR="00D03E08" w:rsidRPr="00642D64" w:rsidRDefault="00D03E08" w:rsidP="00D03E08">
      <w:pPr>
        <w:widowControl w:val="0"/>
        <w:autoSpaceDE w:val="0"/>
        <w:autoSpaceDN w:val="0"/>
        <w:adjustRightInd w:val="0"/>
        <w:spacing w:after="300"/>
        <w:jc w:val="both"/>
        <w:rPr>
          <w:rFonts w:ascii="Times New Roman" w:hAnsi="Times New Roman" w:cs="Times New Roman"/>
          <w:b/>
          <w:color w:val="3E3E3E"/>
          <w:sz w:val="22"/>
          <w:szCs w:val="22"/>
        </w:rPr>
      </w:pPr>
      <w:r w:rsidRPr="00642D64">
        <w:rPr>
          <w:rFonts w:ascii="Times New Roman" w:hAnsi="Times New Roman" w:cs="Times New Roman"/>
          <w:b/>
          <w:color w:val="3E3E3E"/>
          <w:sz w:val="22"/>
          <w:szCs w:val="22"/>
        </w:rPr>
        <w:t>A. Circonstances où il n’y a pas d’option</w:t>
      </w:r>
      <w:r w:rsidR="00642D64" w:rsidRPr="00642D64">
        <w:rPr>
          <w:rFonts w:ascii="Times New Roman" w:hAnsi="Times New Roman" w:cs="Times New Roman"/>
          <w:b/>
          <w:color w:val="3E3E3E"/>
          <w:sz w:val="22"/>
          <w:szCs w:val="22"/>
        </w:rPr>
        <w:t xml:space="preserve"> (p.4)</w:t>
      </w:r>
    </w:p>
    <w:p w14:paraId="7C2C3F54"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1. Les infractions de l’article 469 C. cr. : compétence exclusive de la CS (art. 468 et 469 C.cr.)</w:t>
      </w:r>
    </w:p>
    <w:p w14:paraId="48867AD7" w14:textId="6B409B9A" w:rsidR="00D03E08" w:rsidRPr="00642D64" w:rsidRDefault="00642D64" w:rsidP="00642D64">
      <w:pPr>
        <w:pStyle w:val="Paragraphedeliste"/>
        <w:widowControl w:val="0"/>
        <w:numPr>
          <w:ilvl w:val="0"/>
          <w:numId w:val="114"/>
        </w:numPr>
        <w:autoSpaceDE w:val="0"/>
        <w:autoSpaceDN w:val="0"/>
        <w:adjustRightInd w:val="0"/>
        <w:spacing w:after="300"/>
        <w:jc w:val="both"/>
        <w:rPr>
          <w:rFonts w:ascii="Times New Roman" w:hAnsi="Times New Roman" w:cs="Times New Roman"/>
          <w:i/>
          <w:color w:val="3E3E3E"/>
          <w:sz w:val="22"/>
          <w:szCs w:val="22"/>
        </w:rPr>
      </w:pPr>
      <w:r w:rsidRPr="00642D64">
        <w:rPr>
          <w:rFonts w:ascii="Times New Roman" w:hAnsi="Times New Roman" w:cs="Times New Roman"/>
          <w:i/>
          <w:color w:val="3E3E3E"/>
          <w:sz w:val="22"/>
          <w:szCs w:val="22"/>
        </w:rPr>
        <w:t>Cour supérieure de juridiction criminelle</w:t>
      </w:r>
      <w:r>
        <w:rPr>
          <w:rFonts w:ascii="Times New Roman" w:hAnsi="Times New Roman" w:cs="Times New Roman"/>
          <w:i/>
          <w:color w:val="3E3E3E"/>
          <w:sz w:val="22"/>
          <w:szCs w:val="22"/>
        </w:rPr>
        <w:t xml:space="preserve"> : </w:t>
      </w:r>
      <w:r>
        <w:rPr>
          <w:rFonts w:ascii="Times New Roman" w:hAnsi="Times New Roman" w:cs="Times New Roman"/>
          <w:b/>
          <w:color w:val="3E3E3E"/>
          <w:sz w:val="22"/>
          <w:szCs w:val="22"/>
        </w:rPr>
        <w:t>article 468 C.cr.</w:t>
      </w:r>
    </w:p>
    <w:p w14:paraId="1C3D0048" w14:textId="0FA46557" w:rsidR="00642D64" w:rsidRPr="00642D64" w:rsidRDefault="00642D64" w:rsidP="00642D64">
      <w:pPr>
        <w:pStyle w:val="Paragraphedeliste"/>
        <w:widowControl w:val="0"/>
        <w:numPr>
          <w:ilvl w:val="0"/>
          <w:numId w:val="114"/>
        </w:numPr>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 xml:space="preserve">Cour de juridiction criminelle : </w:t>
      </w:r>
      <w:r>
        <w:rPr>
          <w:rFonts w:ascii="Times New Roman" w:hAnsi="Times New Roman" w:cs="Times New Roman"/>
          <w:b/>
          <w:color w:val="3E3E3E"/>
          <w:sz w:val="22"/>
          <w:szCs w:val="22"/>
        </w:rPr>
        <w:t>article 469 C.cr.</w:t>
      </w:r>
    </w:p>
    <w:p w14:paraId="6A2377B9"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2. Article 553 C. cr. : juridiction absolue</w:t>
      </w:r>
    </w:p>
    <w:p w14:paraId="6DB4EA71" w14:textId="2638B4CA" w:rsidR="00D03E08" w:rsidRDefault="00642D64"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juridiction absolue ne veut pas nécessairement dire juridiction compétente.</w:t>
      </w:r>
    </w:p>
    <w:p w14:paraId="1E3D06C0" w14:textId="4EF83DE2" w:rsidR="00642D64" w:rsidRPr="00642D64" w:rsidRDefault="00642D64" w:rsidP="00642D64">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 553C.cr.</w:t>
      </w:r>
    </w:p>
    <w:p w14:paraId="5092E304" w14:textId="4DDB32BE"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3. Sur intervention du juge de la CP</w:t>
      </w:r>
      <w:r w:rsidR="00642D64">
        <w:rPr>
          <w:rFonts w:ascii="Times New Roman" w:hAnsi="Times New Roman" w:cs="Times New Roman"/>
          <w:color w:val="3E3E3E"/>
          <w:sz w:val="22"/>
          <w:szCs w:val="22"/>
          <w:u w:val="single"/>
        </w:rPr>
        <w:t xml:space="preserve"> (p.4)</w:t>
      </w:r>
    </w:p>
    <w:p w14:paraId="2E1BF4EF" w14:textId="307F036F" w:rsidR="00D03E08" w:rsidRPr="00642D64" w:rsidRDefault="00642D64" w:rsidP="00642D64">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Prévue à l’article 555(1) C.cr. et 565(1) (a) C.cr.</w:t>
      </w:r>
    </w:p>
    <w:p w14:paraId="01903E8F"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4. Le procureur général exige un procès par jury</w:t>
      </w:r>
    </w:p>
    <w:p w14:paraId="15BC9D3D" w14:textId="0639AA48" w:rsidR="00D03E08" w:rsidRPr="00B36A68" w:rsidRDefault="00B36A68" w:rsidP="00B36A68">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Prévue à l’article 568 C.cr.</w:t>
      </w:r>
    </w:p>
    <w:p w14:paraId="7FE8E3DB" w14:textId="2AC9AC8E"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5. L’accusation directe</w:t>
      </w:r>
      <w:r w:rsidR="00B36A68">
        <w:rPr>
          <w:rFonts w:ascii="Times New Roman" w:hAnsi="Times New Roman" w:cs="Times New Roman"/>
          <w:color w:val="3E3E3E"/>
          <w:sz w:val="22"/>
          <w:szCs w:val="22"/>
          <w:u w:val="single"/>
        </w:rPr>
        <w:t xml:space="preserve"> (p.4)</w:t>
      </w:r>
    </w:p>
    <w:p w14:paraId="62AD3B52" w14:textId="7EABDBDF" w:rsidR="00B36A68" w:rsidRPr="00B36A68" w:rsidRDefault="00B36A68" w:rsidP="00B36A68">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Prévue à l’article 577C.cr.</w:t>
      </w:r>
    </w:p>
    <w:p w14:paraId="247A44D4"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01AF496B" w14:textId="39293F0A" w:rsidR="00D03E08" w:rsidRDefault="00D03E08" w:rsidP="00D03E08">
      <w:pPr>
        <w:widowControl w:val="0"/>
        <w:autoSpaceDE w:val="0"/>
        <w:autoSpaceDN w:val="0"/>
        <w:adjustRightInd w:val="0"/>
        <w:spacing w:after="300"/>
        <w:jc w:val="both"/>
        <w:rPr>
          <w:rFonts w:ascii="Times New Roman" w:hAnsi="Times New Roman" w:cs="Times New Roman"/>
          <w:b/>
          <w:color w:val="3E3E3E"/>
          <w:sz w:val="22"/>
          <w:szCs w:val="22"/>
        </w:rPr>
      </w:pPr>
      <w:r w:rsidRPr="00B36A68">
        <w:rPr>
          <w:rFonts w:ascii="Times New Roman" w:hAnsi="Times New Roman" w:cs="Times New Roman"/>
          <w:b/>
          <w:color w:val="3E3E3E"/>
          <w:sz w:val="22"/>
          <w:szCs w:val="22"/>
        </w:rPr>
        <w:t>B. Option pour toutes les autres infractions criminelles</w:t>
      </w:r>
      <w:r w:rsidR="00B36A68">
        <w:rPr>
          <w:rFonts w:ascii="Times New Roman" w:hAnsi="Times New Roman" w:cs="Times New Roman"/>
          <w:b/>
          <w:color w:val="3E3E3E"/>
          <w:sz w:val="22"/>
          <w:szCs w:val="22"/>
        </w:rPr>
        <w:t xml:space="preserve"> (p.4)</w:t>
      </w:r>
    </w:p>
    <w:p w14:paraId="752575E8" w14:textId="017A508F" w:rsidR="00B36A68" w:rsidRPr="002158A6" w:rsidRDefault="00B36A68" w:rsidP="00B36A68">
      <w:pPr>
        <w:pStyle w:val="Paragraphedeliste"/>
        <w:widowControl w:val="0"/>
        <w:numPr>
          <w:ilvl w:val="0"/>
          <w:numId w:val="115"/>
        </w:numPr>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On retrouve l’option à l’article 536(2) C.cr.</w:t>
      </w:r>
      <w:r w:rsidR="002158A6">
        <w:rPr>
          <w:rFonts w:ascii="Times New Roman" w:hAnsi="Times New Roman" w:cs="Times New Roman"/>
          <w:color w:val="3E3E3E"/>
          <w:sz w:val="22"/>
          <w:szCs w:val="22"/>
        </w:rPr>
        <w:t> : le prévenu qui ne fait pas son choix expressément est réputé avoir choisi juge et jury.</w:t>
      </w:r>
    </w:p>
    <w:p w14:paraId="1BA362CF" w14:textId="0A0E1C4E" w:rsidR="002158A6" w:rsidRDefault="002158A6" w:rsidP="002158A6">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Au paragraphe (2) dudit article, on y retrouve une espèce de déclaration procédurale que le juge </w:t>
      </w:r>
      <w:r>
        <w:rPr>
          <w:rFonts w:ascii="Times New Roman" w:hAnsi="Times New Roman" w:cs="Times New Roman"/>
          <w:b/>
          <w:color w:val="3E3E3E"/>
          <w:sz w:val="22"/>
          <w:szCs w:val="22"/>
        </w:rPr>
        <w:t>se doit</w:t>
      </w:r>
      <w:r>
        <w:rPr>
          <w:rFonts w:ascii="Times New Roman" w:hAnsi="Times New Roman" w:cs="Times New Roman"/>
          <w:color w:val="3E3E3E"/>
          <w:sz w:val="22"/>
          <w:szCs w:val="22"/>
        </w:rPr>
        <w:t xml:space="preserve"> de lire au prévenu. S’il ne le fait pas, il commet une erreur de procédure.</w:t>
      </w:r>
    </w:p>
    <w:p w14:paraId="4C712F54" w14:textId="329AA271" w:rsidR="002158A6" w:rsidRPr="002158A6" w:rsidRDefault="002158A6" w:rsidP="002158A6">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Voir aussi, les articles 565 et 567 C.cr.</w:t>
      </w:r>
    </w:p>
    <w:p w14:paraId="3CA03D87"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6A652B99"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C. Délai d’exercice de l’option</w:t>
      </w:r>
    </w:p>
    <w:p w14:paraId="46468F55" w14:textId="744AE3BE" w:rsidR="00D03E08" w:rsidRPr="002158A6" w:rsidRDefault="002158A6"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Voir notes de cours à cet effet.</w:t>
      </w:r>
    </w:p>
    <w:p w14:paraId="1BF5884C"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E. Ré-option</w:t>
      </w:r>
    </w:p>
    <w:p w14:paraId="357A8BF9" w14:textId="780FE00A" w:rsidR="00D03E08" w:rsidRPr="002158A6" w:rsidRDefault="002158A6"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Ibid. Précité</w:t>
      </w:r>
    </w:p>
    <w:p w14:paraId="3958AA6C"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04489D21" w14:textId="309283FA" w:rsidR="00D03E08" w:rsidRDefault="00D03E08" w:rsidP="00D03E08">
      <w:pPr>
        <w:widowControl w:val="0"/>
        <w:autoSpaceDE w:val="0"/>
        <w:autoSpaceDN w:val="0"/>
        <w:adjustRightInd w:val="0"/>
        <w:spacing w:after="300"/>
        <w:jc w:val="both"/>
        <w:rPr>
          <w:rFonts w:ascii="Times New Roman" w:hAnsi="Times New Roman" w:cs="Times New Roman"/>
          <w:b/>
          <w:color w:val="3E3E3E"/>
          <w:sz w:val="22"/>
          <w:szCs w:val="22"/>
        </w:rPr>
      </w:pPr>
      <w:r w:rsidRPr="002158A6">
        <w:rPr>
          <w:rFonts w:ascii="Times New Roman" w:hAnsi="Times New Roman" w:cs="Times New Roman"/>
          <w:b/>
          <w:color w:val="3E3E3E"/>
          <w:sz w:val="22"/>
          <w:szCs w:val="22"/>
        </w:rPr>
        <w:t>Section II. L’enquête préliminaire</w:t>
      </w:r>
      <w:r w:rsidR="002158A6">
        <w:rPr>
          <w:rFonts w:ascii="Times New Roman" w:hAnsi="Times New Roman" w:cs="Times New Roman"/>
          <w:b/>
          <w:color w:val="3E3E3E"/>
          <w:sz w:val="22"/>
          <w:szCs w:val="22"/>
        </w:rPr>
        <w:t xml:space="preserve"> (p.5)</w:t>
      </w:r>
    </w:p>
    <w:p w14:paraId="1412CEC1" w14:textId="7D1BC670" w:rsidR="002158A6" w:rsidRDefault="002158A6"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Hynes 2011 CSC :</w:t>
      </w:r>
    </w:p>
    <w:p w14:paraId="2D98A68F" w14:textId="75BF8824" w:rsidR="002158A6" w:rsidRPr="002158A6" w:rsidRDefault="002158A6" w:rsidP="002158A6">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sidRPr="00DE0AEF">
        <w:rPr>
          <w:rFonts w:ascii="Times New Roman" w:hAnsi="Times New Roman" w:cs="Times New Roman"/>
          <w:sz w:val="20"/>
          <w:szCs w:val="20"/>
        </w:rPr>
        <w:t xml:space="preserve">Avec le temps, l’enquête préliminaire a commencé à jouer un rôle accessoire de mécanisme de communication de la preuve, donnant ainsi à l’accusé une première occasion de découvrir, tôt dans le processus, la preuve dont dispose le ministère public contre lui :  </w:t>
      </w:r>
      <w:r w:rsidRPr="00DE0AEF">
        <w:rPr>
          <w:rFonts w:ascii="Times New Roman" w:hAnsi="Times New Roman" w:cs="Times New Roman"/>
          <w:i/>
          <w:iCs/>
          <w:sz w:val="20"/>
          <w:szCs w:val="20"/>
        </w:rPr>
        <w:t>Skogman</w:t>
      </w:r>
      <w:r w:rsidRPr="00DE0AEF">
        <w:rPr>
          <w:rFonts w:ascii="Times New Roman" w:hAnsi="Times New Roman" w:cs="Times New Roman"/>
          <w:sz w:val="20"/>
          <w:szCs w:val="20"/>
        </w:rPr>
        <w:t xml:space="preserve">, précité, p. 105-106.  Il n’en demeure pas moins que cet aspect de communication de la preuve reste accessoire par rapport à la mission principale du juge de l’enquête préliminaire, qui est clairement prescrite par le </w:t>
      </w:r>
      <w:hyperlink r:id="rId32" w:history="1">
        <w:r w:rsidRPr="00DE0AEF">
          <w:rPr>
            <w:rStyle w:val="Lienhypertexte"/>
            <w:rFonts w:ascii="Times New Roman" w:hAnsi="Times New Roman" w:cs="Times New Roman"/>
            <w:i/>
            <w:iCs/>
            <w:sz w:val="20"/>
            <w:szCs w:val="20"/>
          </w:rPr>
          <w:t>Code criminel</w:t>
        </w:r>
      </w:hyperlink>
      <w:r w:rsidRPr="00DE0AEF">
        <w:rPr>
          <w:rFonts w:ascii="Times New Roman" w:hAnsi="Times New Roman" w:cs="Times New Roman"/>
          <w:sz w:val="20"/>
          <w:szCs w:val="20"/>
        </w:rPr>
        <w:t>, et qui consiste à décider si « la preuve [. . .] est suffisante » pour faire passer la personne inculpée en jugement (al. 548(1)</w:t>
      </w:r>
      <w:r w:rsidRPr="00DE0AEF">
        <w:rPr>
          <w:rFonts w:ascii="Times New Roman" w:hAnsi="Times New Roman" w:cs="Times New Roman"/>
          <w:i/>
          <w:iCs/>
          <w:sz w:val="20"/>
          <w:szCs w:val="20"/>
        </w:rPr>
        <w:t>a</w:t>
      </w:r>
      <w:r w:rsidRPr="00DE0AEF">
        <w:rPr>
          <w:rFonts w:ascii="Times New Roman" w:hAnsi="Times New Roman" w:cs="Times New Roman"/>
          <w:sz w:val="20"/>
          <w:szCs w:val="20"/>
        </w:rPr>
        <w:t>)).</w:t>
      </w:r>
      <w:r>
        <w:rPr>
          <w:rFonts w:ascii="Times New Roman" w:hAnsi="Times New Roman" w:cs="Times New Roman"/>
          <w:sz w:val="20"/>
          <w:szCs w:val="20"/>
        </w:rPr>
        <w:t xml:space="preserve"> [31].</w:t>
      </w:r>
    </w:p>
    <w:p w14:paraId="70C0B847"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§1. L’enquête préliminaire doit être demandée par l’une des deux parties</w:t>
      </w:r>
    </w:p>
    <w:p w14:paraId="2C6A6BF6" w14:textId="1EB62184" w:rsidR="00D03E08" w:rsidRPr="00E87819" w:rsidRDefault="00E87819"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On en fait la demande sous l’rticle 536(4)C.cr. et s’il y a des co-accusées, c’est l’artcile 536(4.2)C.cr. qui s’applique en l’espèce.</w:t>
      </w:r>
    </w:p>
    <w:p w14:paraId="09BC9310" w14:textId="0A651ED5"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§2. Précisions quant à l’objet de l’enquête, les témoins et l’audience</w:t>
      </w:r>
      <w:r w:rsidR="00E87819">
        <w:rPr>
          <w:rFonts w:ascii="Times New Roman" w:hAnsi="Times New Roman" w:cs="Times New Roman"/>
          <w:color w:val="3E3E3E"/>
          <w:sz w:val="22"/>
          <w:szCs w:val="22"/>
          <w:u w:val="single"/>
        </w:rPr>
        <w:t xml:space="preserve"> (p.6)</w:t>
      </w:r>
    </w:p>
    <w:p w14:paraId="2262865C" w14:textId="49006B16" w:rsidR="00D03E08" w:rsidRPr="00E87819" w:rsidRDefault="00E87819" w:rsidP="00D03E08">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Le demandeur doit fournir des précisions sur ça demande en vertu de l’article </w:t>
      </w:r>
      <w:r>
        <w:rPr>
          <w:rFonts w:ascii="Times New Roman" w:hAnsi="Times New Roman" w:cs="Times New Roman"/>
          <w:b/>
          <w:color w:val="3E3E3E"/>
          <w:sz w:val="22"/>
          <w:szCs w:val="22"/>
        </w:rPr>
        <w:t>536.3 C.cr.</w:t>
      </w:r>
      <w:r>
        <w:rPr>
          <w:rFonts w:ascii="Times New Roman" w:hAnsi="Times New Roman" w:cs="Times New Roman"/>
          <w:color w:val="3E3E3E"/>
          <w:sz w:val="22"/>
          <w:szCs w:val="22"/>
        </w:rPr>
        <w:t xml:space="preserve"> et le juge à toutes fins pratique peut émettre certaines ordonnances en vertu de l’article </w:t>
      </w:r>
      <w:r>
        <w:rPr>
          <w:rFonts w:ascii="Times New Roman" w:hAnsi="Times New Roman" w:cs="Times New Roman"/>
          <w:b/>
          <w:color w:val="3E3E3E"/>
          <w:sz w:val="22"/>
          <w:szCs w:val="22"/>
        </w:rPr>
        <w:t xml:space="preserve">536.4 C.cr. </w:t>
      </w:r>
      <w:r>
        <w:rPr>
          <w:rFonts w:ascii="Times New Roman" w:hAnsi="Times New Roman" w:cs="Times New Roman"/>
          <w:color w:val="3E3E3E"/>
          <w:sz w:val="22"/>
          <w:szCs w:val="22"/>
        </w:rPr>
        <w:t xml:space="preserve">De plus, les parties peuvent limiter l’enquête préliminaire, d’un commun accord, sur des parties bien précise selon l’article </w:t>
      </w:r>
      <w:r>
        <w:rPr>
          <w:rFonts w:ascii="Times New Roman" w:hAnsi="Times New Roman" w:cs="Times New Roman"/>
          <w:b/>
          <w:color w:val="3E3E3E"/>
          <w:sz w:val="22"/>
          <w:szCs w:val="22"/>
        </w:rPr>
        <w:t>536.5C.cr.</w:t>
      </w:r>
    </w:p>
    <w:p w14:paraId="1B5F6A1F" w14:textId="37F8DEDF"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§3. Pouvoirs du juge présidant l’enquête préliminaire et procédures</w:t>
      </w:r>
      <w:r w:rsidR="00E87819">
        <w:rPr>
          <w:rFonts w:ascii="Times New Roman" w:hAnsi="Times New Roman" w:cs="Times New Roman"/>
          <w:color w:val="3E3E3E"/>
          <w:sz w:val="22"/>
          <w:szCs w:val="22"/>
          <w:u w:val="single"/>
        </w:rPr>
        <w:t xml:space="preserve"> (p.6)</w:t>
      </w:r>
    </w:p>
    <w:p w14:paraId="4D8D1203" w14:textId="299CDC27" w:rsidR="00E87819" w:rsidRDefault="00E87819"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Deschamplain 2004 :</w:t>
      </w:r>
    </w:p>
    <w:p w14:paraId="01B693BF" w14:textId="565A1413" w:rsidR="00E87819" w:rsidRPr="00E87819" w:rsidRDefault="00E87819" w:rsidP="00E87819">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sidRPr="002F7AD8">
        <w:rPr>
          <w:rFonts w:ascii="Times New Roman" w:hAnsi="Times New Roman" w:cs="Times New Roman"/>
          <w:sz w:val="20"/>
          <w:szCs w:val="20"/>
        </w:rPr>
        <w:t xml:space="preserve">le juge en chef Laskin a reconnu qu’il existe peu de cas où le juge qui préside une enquête préliminaire peut perdre sa compétence.  Il a toutefois signalé, à la p. 271, qu’« un magistrat perdra compétence s’il omet de se conformer à une disposition impérative du </w:t>
      </w:r>
      <w:hyperlink r:id="rId33" w:history="1">
        <w:r w:rsidRPr="002F7AD8">
          <w:rPr>
            <w:rStyle w:val="Lienhypertexte"/>
            <w:rFonts w:ascii="Times New Roman" w:hAnsi="Times New Roman" w:cs="Times New Roman"/>
            <w:i/>
            <w:iCs/>
            <w:sz w:val="20"/>
            <w:szCs w:val="20"/>
          </w:rPr>
          <w:t>Code criminel</w:t>
        </w:r>
      </w:hyperlink>
      <w:r w:rsidRPr="002F7AD8">
        <w:rPr>
          <w:rFonts w:ascii="Times New Roman" w:hAnsi="Times New Roman" w:cs="Times New Roman"/>
          <w:i/>
          <w:iCs/>
          <w:sz w:val="20"/>
          <w:szCs w:val="20"/>
        </w:rPr>
        <w:t> </w:t>
      </w:r>
      <w:r w:rsidRPr="002F7AD8">
        <w:rPr>
          <w:rFonts w:ascii="Times New Roman" w:hAnsi="Times New Roman" w:cs="Times New Roman"/>
          <w:sz w:val="20"/>
          <w:szCs w:val="20"/>
        </w:rPr>
        <w:t>».  Il a ajouté, à la p. 272, que le juge qui préside une enquête préliminaire « doit obéir aux dispositions relatives à la compétence de l’art. </w:t>
      </w:r>
      <w:hyperlink r:id="rId34" w:anchor="art475" w:history="1">
        <w:r w:rsidRPr="002F7AD8">
          <w:rPr>
            <w:rStyle w:val="Lienhypertexte"/>
            <w:rFonts w:ascii="Times New Roman" w:hAnsi="Times New Roman" w:cs="Times New Roman"/>
            <w:sz w:val="20"/>
            <w:szCs w:val="20"/>
          </w:rPr>
          <w:t>475 [devenu l’art. 548]</w:t>
        </w:r>
      </w:hyperlink>
      <w:r w:rsidRPr="002F7AD8">
        <w:rPr>
          <w:rFonts w:ascii="Times New Roman" w:hAnsi="Times New Roman" w:cs="Times New Roman"/>
          <w:sz w:val="20"/>
          <w:szCs w:val="20"/>
        </w:rPr>
        <w:t xml:space="preserve"> du </w:t>
      </w:r>
      <w:r w:rsidRPr="002F7AD8">
        <w:rPr>
          <w:rFonts w:ascii="Times New Roman" w:hAnsi="Times New Roman" w:cs="Times New Roman"/>
          <w:i/>
          <w:iCs/>
          <w:sz w:val="20"/>
          <w:szCs w:val="20"/>
        </w:rPr>
        <w:t>Code criminel</w:t>
      </w:r>
      <w:r>
        <w:rPr>
          <w:rFonts w:ascii="Times New Roman" w:hAnsi="Times New Roman" w:cs="Times New Roman"/>
          <w:sz w:val="20"/>
          <w:szCs w:val="20"/>
        </w:rPr>
        <w:t xml:space="preserve"> [12]</w:t>
      </w:r>
    </w:p>
    <w:p w14:paraId="58C0FDDC" w14:textId="5097A3F4" w:rsidR="00E87819" w:rsidRDefault="00E87819" w:rsidP="00E87819">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Ces pouvoir sont cependant parfois étendus pour des considérations pratiques comme en témoigne l’affaire </w:t>
      </w:r>
      <w:r>
        <w:rPr>
          <w:rFonts w:ascii="Times New Roman" w:hAnsi="Times New Roman" w:cs="Times New Roman"/>
          <w:b/>
          <w:color w:val="3E3E3E"/>
          <w:sz w:val="22"/>
          <w:szCs w:val="22"/>
        </w:rPr>
        <w:t>Hynes 2001 :</w:t>
      </w:r>
    </w:p>
    <w:p w14:paraId="64799783" w14:textId="0E52C800" w:rsidR="00E87819" w:rsidRPr="00CB3F9D" w:rsidRDefault="00E87819" w:rsidP="00CB3F9D">
      <w:pPr>
        <w:pStyle w:val="Paragraphedeliste"/>
        <w:numPr>
          <w:ilvl w:val="0"/>
          <w:numId w:val="115"/>
        </w:numPr>
        <w:jc w:val="both"/>
        <w:rPr>
          <w:rFonts w:ascii="Times New Roman" w:hAnsi="Times New Roman" w:cs="Times New Roman"/>
          <w:sz w:val="20"/>
          <w:szCs w:val="20"/>
        </w:rPr>
      </w:pPr>
      <w:r w:rsidRPr="00E87819">
        <w:rPr>
          <w:rFonts w:ascii="Times New Roman" w:eastAsia="Times New Roman" w:hAnsi="Times New Roman" w:cs="Times New Roman"/>
          <w:sz w:val="20"/>
          <w:szCs w:val="20"/>
        </w:rPr>
        <w:t xml:space="preserve">Les pouvoirs du juge de l’enquête préliminaire sont tous d’origine législative et, par conséquent, le pouvoir d’accorder la réparation demandée doit découler expressément ou implicitement des dispositions législatives habilitantes, soit la partie XVIII du </w:t>
      </w:r>
      <w:bookmarkStart w:id="2" w:name="reflex-statute-28800644"/>
      <w:r w:rsidRPr="00E87819">
        <w:rPr>
          <w:rFonts w:ascii="Times New Roman" w:eastAsia="Times New Roman" w:hAnsi="Times New Roman" w:cs="Times New Roman"/>
          <w:i/>
          <w:iCs/>
          <w:sz w:val="20"/>
          <w:szCs w:val="20"/>
        </w:rPr>
        <w:fldChar w:fldCharType="begin"/>
      </w:r>
      <w:r w:rsidRPr="00E87819">
        <w:rPr>
          <w:rFonts w:ascii="Times New Roman" w:eastAsia="Times New Roman" w:hAnsi="Times New Roman" w:cs="Times New Roman"/>
          <w:i/>
          <w:iCs/>
          <w:sz w:val="20"/>
          <w:szCs w:val="20"/>
        </w:rPr>
        <w:instrText xml:space="preserve"> HYPERLINK "http://www.canlii.org/fr/ca/legis/lois/lrc-1985-c-c-46/derniere/lrc-1985-c-c-46.html" </w:instrText>
      </w:r>
      <w:r w:rsidRPr="00E87819">
        <w:rPr>
          <w:rFonts w:ascii="Times New Roman" w:eastAsia="Times New Roman" w:hAnsi="Times New Roman" w:cs="Times New Roman"/>
          <w:i/>
          <w:iCs/>
          <w:sz w:val="20"/>
          <w:szCs w:val="20"/>
        </w:rPr>
        <w:fldChar w:fldCharType="separate"/>
      </w:r>
      <w:r w:rsidRPr="00E87819">
        <w:rPr>
          <w:rStyle w:val="Lienhypertexte"/>
          <w:rFonts w:ascii="Times New Roman" w:eastAsia="Times New Roman" w:hAnsi="Times New Roman" w:cs="Times New Roman"/>
          <w:i/>
          <w:iCs/>
          <w:sz w:val="20"/>
          <w:szCs w:val="20"/>
        </w:rPr>
        <w:t>Code criminel</w:t>
      </w:r>
      <w:r w:rsidRPr="00E87819">
        <w:rPr>
          <w:rFonts w:ascii="Times New Roman" w:eastAsia="Times New Roman" w:hAnsi="Times New Roman" w:cs="Times New Roman"/>
          <w:i/>
          <w:iCs/>
          <w:sz w:val="20"/>
          <w:szCs w:val="20"/>
        </w:rPr>
        <w:fldChar w:fldCharType="end"/>
      </w:r>
      <w:bookmarkEnd w:id="2"/>
      <w:r w:rsidRPr="00E87819">
        <w:rPr>
          <w:rFonts w:ascii="Times New Roman" w:eastAsia="Times New Roman" w:hAnsi="Times New Roman" w:cs="Times New Roman"/>
          <w:sz w:val="20"/>
          <w:szCs w:val="20"/>
        </w:rPr>
        <w:t xml:space="preserve">.  Le Parlement n’a pas expressément habilité les juges présidant les enquêtes préliminaires en vertu du </w:t>
      </w:r>
      <w:r w:rsidRPr="00E87819">
        <w:rPr>
          <w:rFonts w:ascii="Times New Roman" w:eastAsia="Times New Roman" w:hAnsi="Times New Roman" w:cs="Times New Roman"/>
          <w:i/>
          <w:iCs/>
          <w:sz w:val="20"/>
          <w:szCs w:val="20"/>
        </w:rPr>
        <w:t xml:space="preserve">Code </w:t>
      </w:r>
      <w:r w:rsidRPr="00E87819">
        <w:rPr>
          <w:rFonts w:ascii="Times New Roman" w:eastAsia="Times New Roman" w:hAnsi="Times New Roman" w:cs="Times New Roman"/>
          <w:sz w:val="20"/>
          <w:szCs w:val="20"/>
        </w:rPr>
        <w:t xml:space="preserve">à écarter des éléments de preuve obtenus en violation de la </w:t>
      </w:r>
      <w:r w:rsidRPr="00E87819">
        <w:rPr>
          <w:rFonts w:ascii="Times New Roman" w:eastAsia="Times New Roman" w:hAnsi="Times New Roman" w:cs="Times New Roman"/>
          <w:i/>
          <w:iCs/>
          <w:sz w:val="20"/>
          <w:szCs w:val="20"/>
        </w:rPr>
        <w:t>Charte</w:t>
      </w:r>
      <w:r w:rsidRPr="00E87819">
        <w:rPr>
          <w:rFonts w:ascii="Times New Roman" w:eastAsia="Times New Roman" w:hAnsi="Times New Roman" w:cs="Times New Roman"/>
          <w:sz w:val="20"/>
          <w:szCs w:val="20"/>
        </w:rPr>
        <w:t>.  Il s’agit de déterminer si le Parlement leur a donné, par implication nécessaire, ce pouvoir de réparation.</w:t>
      </w:r>
      <w:r w:rsidR="00CB3F9D">
        <w:rPr>
          <w:rFonts w:ascii="Times New Roman" w:eastAsia="Times New Roman" w:hAnsi="Times New Roman" w:cs="Times New Roman"/>
          <w:sz w:val="20"/>
          <w:szCs w:val="20"/>
        </w:rPr>
        <w:t xml:space="preserve"> [28]</w:t>
      </w:r>
    </w:p>
    <w:p w14:paraId="20E8640B" w14:textId="77777777" w:rsidR="00CB3F9D" w:rsidRDefault="00CB3F9D" w:rsidP="00CB3F9D">
      <w:pPr>
        <w:jc w:val="both"/>
        <w:rPr>
          <w:rFonts w:ascii="Times New Roman" w:hAnsi="Times New Roman" w:cs="Times New Roman"/>
          <w:sz w:val="20"/>
          <w:szCs w:val="20"/>
        </w:rPr>
      </w:pPr>
    </w:p>
    <w:p w14:paraId="7D69DF9B" w14:textId="17752FF6" w:rsidR="00CB3F9D" w:rsidRDefault="00CB3F9D" w:rsidP="00CB3F9D">
      <w:pPr>
        <w:jc w:val="both"/>
        <w:rPr>
          <w:rFonts w:ascii="Times New Roman" w:hAnsi="Times New Roman" w:cs="Times New Roman"/>
          <w:b/>
          <w:sz w:val="22"/>
          <w:szCs w:val="22"/>
        </w:rPr>
      </w:pPr>
      <w:r>
        <w:rPr>
          <w:rFonts w:ascii="Times New Roman" w:hAnsi="Times New Roman" w:cs="Times New Roman"/>
          <w:sz w:val="22"/>
          <w:szCs w:val="22"/>
        </w:rPr>
        <w:t xml:space="preserve">Donc le juge ne peut donner de réparation fondé sur la Charte et doit s’en tenir au seul pouvoir prévu par la Loi lors de l’enquête préliminaire. Ces pouvoirs sont exposés à </w:t>
      </w:r>
      <w:r>
        <w:rPr>
          <w:rFonts w:ascii="Times New Roman" w:hAnsi="Times New Roman" w:cs="Times New Roman"/>
          <w:b/>
          <w:sz w:val="22"/>
          <w:szCs w:val="22"/>
        </w:rPr>
        <w:t>l’article 537 C.cr.</w:t>
      </w:r>
    </w:p>
    <w:p w14:paraId="3F7C7ED2" w14:textId="77777777" w:rsidR="00CB3F9D" w:rsidRDefault="00CB3F9D" w:rsidP="00CB3F9D">
      <w:pPr>
        <w:jc w:val="both"/>
        <w:rPr>
          <w:rFonts w:ascii="Times New Roman" w:hAnsi="Times New Roman" w:cs="Times New Roman"/>
          <w:b/>
          <w:sz w:val="22"/>
          <w:szCs w:val="22"/>
        </w:rPr>
      </w:pPr>
    </w:p>
    <w:p w14:paraId="261A2432" w14:textId="0B9F8E97" w:rsidR="00CB3F9D" w:rsidRDefault="00CB3F9D" w:rsidP="00CB3F9D">
      <w:pPr>
        <w:jc w:val="both"/>
        <w:rPr>
          <w:rFonts w:ascii="Times New Roman" w:hAnsi="Times New Roman" w:cs="Times New Roman"/>
          <w:b/>
          <w:sz w:val="22"/>
          <w:szCs w:val="22"/>
        </w:rPr>
      </w:pPr>
      <w:r>
        <w:rPr>
          <w:rFonts w:ascii="Times New Roman" w:hAnsi="Times New Roman" w:cs="Times New Roman"/>
          <w:sz w:val="22"/>
          <w:szCs w:val="22"/>
        </w:rPr>
        <w:t xml:space="preserve">Cet article ne codifie pas tous les pouvoirs du juge lors de l’enquête préliminaire, d’autres dispositions éparses dans le C.cr. existent, notamment </w:t>
      </w:r>
      <w:r>
        <w:rPr>
          <w:rFonts w:ascii="Times New Roman" w:hAnsi="Times New Roman" w:cs="Times New Roman"/>
          <w:b/>
          <w:sz w:val="22"/>
          <w:szCs w:val="22"/>
        </w:rPr>
        <w:t>l’article 523(2) (b) C.cr.</w:t>
      </w:r>
    </w:p>
    <w:p w14:paraId="1FBC0885" w14:textId="77777777" w:rsidR="00CB3F9D" w:rsidRPr="00CB3F9D" w:rsidRDefault="00CB3F9D" w:rsidP="00CB3F9D">
      <w:pPr>
        <w:jc w:val="both"/>
        <w:rPr>
          <w:rFonts w:ascii="Times New Roman" w:hAnsi="Times New Roman" w:cs="Times New Roman"/>
          <w:b/>
          <w:sz w:val="22"/>
          <w:szCs w:val="22"/>
        </w:rPr>
      </w:pPr>
    </w:p>
    <w:p w14:paraId="3676ED78" w14:textId="15E21544"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A. La non-publication d’éléments de preuve</w:t>
      </w:r>
      <w:r w:rsidR="00CB3F9D">
        <w:rPr>
          <w:rFonts w:ascii="Times New Roman" w:hAnsi="Times New Roman" w:cs="Times New Roman"/>
          <w:color w:val="3E3E3E"/>
          <w:sz w:val="22"/>
          <w:szCs w:val="22"/>
          <w:u w:val="single"/>
        </w:rPr>
        <w:t xml:space="preserve"> (p.7)</w:t>
      </w:r>
    </w:p>
    <w:p w14:paraId="032DFA25" w14:textId="37AEA67A" w:rsidR="00CB3F9D" w:rsidRDefault="00CB3F9D" w:rsidP="00D03E08">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Durant l’enquête préliminaire, cela est une belle occasion pour voir la preuve de l’adversaire (bien que censé être communiqué) et cette enquête est toujours intéressante pour tester la preuve de la Couronne. De plus, il est possible de faire une requête concernant la preuve qui a été soumise lors de l’enquête préliminaire. Les ordonnances possibles sont prévues aux </w:t>
      </w:r>
      <w:r>
        <w:rPr>
          <w:rFonts w:ascii="Times New Roman" w:hAnsi="Times New Roman" w:cs="Times New Roman"/>
          <w:b/>
          <w:color w:val="3E3E3E"/>
          <w:sz w:val="22"/>
          <w:szCs w:val="22"/>
        </w:rPr>
        <w:t>articles 539(1), (2), 542(2) C.cr.</w:t>
      </w:r>
    </w:p>
    <w:p w14:paraId="42355616" w14:textId="2B85E0F6" w:rsidR="00CB3F9D" w:rsidRPr="00CB3F9D" w:rsidRDefault="00CB3F9D" w:rsidP="00CB3F9D">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À titre d’exemple, on peut noter le cas des infractions d’ordre sexuel à l’</w:t>
      </w:r>
      <w:r>
        <w:rPr>
          <w:rFonts w:ascii="Times New Roman" w:hAnsi="Times New Roman" w:cs="Times New Roman"/>
          <w:b/>
          <w:color w:val="3E3E3E"/>
          <w:sz w:val="22"/>
          <w:szCs w:val="22"/>
        </w:rPr>
        <w:t>article 486.4(1)C.cr.</w:t>
      </w:r>
    </w:p>
    <w:p w14:paraId="0B80F601"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6D6A3CEF" w14:textId="00077B37"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B. La présidence de l’enquête</w:t>
      </w:r>
      <w:r w:rsidR="00CB3F9D">
        <w:rPr>
          <w:rFonts w:ascii="Times New Roman" w:hAnsi="Times New Roman" w:cs="Times New Roman"/>
          <w:color w:val="3E3E3E"/>
          <w:sz w:val="22"/>
          <w:szCs w:val="22"/>
          <w:u w:val="single"/>
        </w:rPr>
        <w:t xml:space="preserve"> (p.8)</w:t>
      </w:r>
    </w:p>
    <w:p w14:paraId="4A1418C8" w14:textId="65777882" w:rsidR="00CB3F9D" w:rsidRPr="00CB3F9D" w:rsidRDefault="00CB3F9D" w:rsidP="00CB3F9D">
      <w:pPr>
        <w:pStyle w:val="Paragraphedeliste"/>
        <w:widowControl w:val="0"/>
        <w:numPr>
          <w:ilvl w:val="0"/>
          <w:numId w:val="11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Article 537C.cr.</w:t>
      </w:r>
    </w:p>
    <w:p w14:paraId="335707D1" w14:textId="51960459" w:rsidR="00CB3F9D" w:rsidRDefault="00CB3F9D" w:rsidP="00CB3F9D">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v. Girmonte 1997 :</w:t>
      </w:r>
    </w:p>
    <w:p w14:paraId="276218D4" w14:textId="0CA35FD6" w:rsidR="00CB3F9D" w:rsidRPr="00CB3F9D" w:rsidRDefault="00CB3F9D" w:rsidP="00CB3F9D">
      <w:pPr>
        <w:pStyle w:val="Paragraphedeliste"/>
        <w:numPr>
          <w:ilvl w:val="0"/>
          <w:numId w:val="115"/>
        </w:numPr>
        <w:jc w:val="both"/>
        <w:rPr>
          <w:rFonts w:ascii="Times New Roman" w:hAnsi="Times New Roman" w:cs="Times New Roman"/>
          <w:sz w:val="20"/>
          <w:szCs w:val="20"/>
        </w:rPr>
      </w:pPr>
      <w:r w:rsidRPr="00CB3F9D">
        <w:rPr>
          <w:rFonts w:ascii="Times New Roman" w:hAnsi="Times New Roman" w:cs="Times New Roman"/>
          <w:sz w:val="20"/>
          <w:szCs w:val="20"/>
        </w:rPr>
        <w:t xml:space="preserve">This section is clearly procedural. It does not define the scope or nature of the Part XVIII inquiry, but permits a justice to "regulate the course of the inquiry." It is one of many procedural provisions found in Part XVIII, which together make up the "careful and detailed procedural directions" referred to in </w:t>
      </w:r>
      <w:r w:rsidRPr="00CB3F9D">
        <w:rPr>
          <w:rFonts w:ascii="Times New Roman" w:hAnsi="Times New Roman" w:cs="Times New Roman"/>
          <w:i/>
          <w:iCs/>
          <w:sz w:val="20"/>
          <w:szCs w:val="20"/>
        </w:rPr>
        <w:t>R. v. Doyle, supra</w:t>
      </w:r>
      <w:r w:rsidRPr="00CB3F9D">
        <w:rPr>
          <w:rFonts w:ascii="Times New Roman" w:hAnsi="Times New Roman" w:cs="Times New Roman"/>
          <w:sz w:val="20"/>
          <w:szCs w:val="20"/>
        </w:rPr>
        <w:t xml:space="preserve">, at p. 602. Section 537(1)(i) may be invoked </w:t>
      </w:r>
      <w:r w:rsidRPr="00CB3F9D">
        <w:rPr>
          <w:rFonts w:ascii="Times New Roman" w:hAnsi="Times New Roman" w:cs="Times New Roman"/>
          <w:b/>
          <w:sz w:val="20"/>
          <w:szCs w:val="20"/>
        </w:rPr>
        <w:t>to fill procedural gaps which arise in the course of an inquiry.</w:t>
      </w:r>
      <w:r w:rsidRPr="00CB3F9D">
        <w:rPr>
          <w:rFonts w:ascii="Times New Roman" w:hAnsi="Times New Roman" w:cs="Times New Roman"/>
          <w:sz w:val="20"/>
          <w:szCs w:val="20"/>
        </w:rPr>
        <w:t xml:space="preserve"> The section allows a justice to implement procedures which are not inconsistent with the </w:t>
      </w:r>
      <w:r w:rsidRPr="00CB3F9D">
        <w:rPr>
          <w:rFonts w:ascii="Times New Roman" w:hAnsi="Times New Roman" w:cs="Times New Roman"/>
          <w:i/>
          <w:iCs/>
          <w:sz w:val="20"/>
          <w:szCs w:val="20"/>
        </w:rPr>
        <w:t>Act</w:t>
      </w:r>
      <w:r w:rsidRPr="00CB3F9D">
        <w:rPr>
          <w:rFonts w:ascii="Times New Roman" w:hAnsi="Times New Roman" w:cs="Times New Roman"/>
          <w:sz w:val="20"/>
          <w:szCs w:val="20"/>
        </w:rPr>
        <w:t xml:space="preserve"> and will allow the justice to effectively carry out his or her mandate; </w:t>
      </w:r>
      <w:r w:rsidRPr="00CB3F9D">
        <w:rPr>
          <w:rFonts w:ascii="Times New Roman" w:hAnsi="Times New Roman" w:cs="Times New Roman"/>
          <w:i/>
          <w:iCs/>
          <w:sz w:val="20"/>
          <w:szCs w:val="20"/>
        </w:rPr>
        <w:t>R. v. Swystun</w:t>
      </w:r>
      <w:r w:rsidRPr="00CB3F9D">
        <w:rPr>
          <w:rFonts w:ascii="Times New Roman" w:hAnsi="Times New Roman" w:cs="Times New Roman"/>
          <w:sz w:val="20"/>
          <w:szCs w:val="20"/>
        </w:rPr>
        <w:t xml:space="preserve"> 1990), 84 Sask. R. 238 at 239 (C.A.). Any particular order sought under s. 537(1)(i) must be measured against this test. [24]</w:t>
      </w:r>
    </w:p>
    <w:p w14:paraId="795F3DAD" w14:textId="77777777" w:rsidR="00CB3F9D" w:rsidRPr="002F7AD8" w:rsidRDefault="00CB3F9D" w:rsidP="00CB3F9D">
      <w:pPr>
        <w:jc w:val="both"/>
        <w:rPr>
          <w:rFonts w:ascii="Times New Roman" w:hAnsi="Times New Roman" w:cs="Times New Roman"/>
          <w:sz w:val="20"/>
          <w:szCs w:val="20"/>
        </w:rPr>
      </w:pPr>
    </w:p>
    <w:p w14:paraId="55CE0CAF" w14:textId="77777777" w:rsidR="00CB3F9D" w:rsidRPr="002F7AD8" w:rsidRDefault="00CB3F9D" w:rsidP="00CB3F9D">
      <w:pPr>
        <w:jc w:val="both"/>
        <w:rPr>
          <w:rFonts w:ascii="Times New Roman" w:hAnsi="Times New Roman" w:cs="Times New Roman"/>
          <w:sz w:val="20"/>
          <w:szCs w:val="20"/>
        </w:rPr>
      </w:pPr>
    </w:p>
    <w:p w14:paraId="0331A9F2" w14:textId="38671317" w:rsidR="00CB3F9D" w:rsidRPr="00CB3F9D" w:rsidRDefault="00CB3F9D" w:rsidP="00CB3F9D">
      <w:pPr>
        <w:pStyle w:val="Paragraphedeliste"/>
        <w:widowControl w:val="0"/>
        <w:numPr>
          <w:ilvl w:val="0"/>
          <w:numId w:val="115"/>
        </w:numPr>
        <w:autoSpaceDE w:val="0"/>
        <w:autoSpaceDN w:val="0"/>
        <w:adjustRightInd w:val="0"/>
        <w:spacing w:after="300"/>
        <w:jc w:val="both"/>
        <w:rPr>
          <w:rFonts w:ascii="Times New Roman" w:hAnsi="Times New Roman" w:cs="Times New Roman"/>
          <w:b/>
          <w:i/>
          <w:color w:val="3E3E3E"/>
          <w:sz w:val="22"/>
          <w:szCs w:val="22"/>
        </w:rPr>
      </w:pPr>
      <w:r w:rsidRPr="00CB3F9D">
        <w:rPr>
          <w:rFonts w:ascii="Times New Roman" w:hAnsi="Times New Roman" w:cs="Times New Roman"/>
          <w:sz w:val="20"/>
          <w:szCs w:val="20"/>
        </w:rPr>
        <w:t xml:space="preserve">I do not think that the kind of disclosure order sought by the appellant had anything to do with regulating the course of the preliminary inquiry. Counsel was not asking Judge Lindsay to compel a witness to testify, to answer questions, or to produce documents for the purpose of cross-examination of that witness. Counsel had no idea whether any of the material he asked Judge Lindsay to order produced would ever surface at the preliminary inquiry or have any connection to any testimony given at the preliminary inquiry. An order compelling the Crown to disclose material cannot be equated with a ruling as to the admissibility of evidence, the production of documents, or the compellability of a witness. Those rulings occur in the course of the inquiry and require an assessment by the justice grounded in the applicable rules of evidence and the specifics of each situation. Clearly, those rulings regulate the course of the inquiry: </w:t>
      </w:r>
      <w:r w:rsidRPr="00CB3F9D">
        <w:rPr>
          <w:rFonts w:ascii="Times New Roman" w:hAnsi="Times New Roman" w:cs="Times New Roman"/>
          <w:i/>
          <w:iCs/>
          <w:sz w:val="20"/>
          <w:szCs w:val="20"/>
        </w:rPr>
        <w:t>R. v. R.(L</w:t>
      </w:r>
      <w:r w:rsidRPr="00CB3F9D">
        <w:rPr>
          <w:rFonts w:ascii="Times New Roman" w:hAnsi="Times New Roman" w:cs="Times New Roman"/>
          <w:sz w:val="20"/>
          <w:szCs w:val="20"/>
        </w:rPr>
        <w:t xml:space="preserve">, (1995), 100 C.C.C. (3d) 329 at 336 (Ont. C.A.); </w:t>
      </w:r>
      <w:r w:rsidRPr="00CB3F9D">
        <w:rPr>
          <w:rFonts w:ascii="Times New Roman" w:hAnsi="Times New Roman" w:cs="Times New Roman"/>
          <w:i/>
          <w:iCs/>
          <w:sz w:val="20"/>
          <w:szCs w:val="20"/>
        </w:rPr>
        <w:t>R. v. Richards</w:t>
      </w:r>
      <w:r w:rsidRPr="00CB3F9D">
        <w:rPr>
          <w:rFonts w:ascii="Times New Roman" w:hAnsi="Times New Roman" w:cs="Times New Roman"/>
          <w:sz w:val="20"/>
          <w:szCs w:val="20"/>
        </w:rPr>
        <w:t xml:space="preserve">(1997), 115 C.C.C. (3d) 377 at 379-380 (Ont. </w:t>
      </w:r>
      <w:r w:rsidRPr="00CB3F9D">
        <w:rPr>
          <w:rFonts w:ascii="Times New Roman" w:hAnsi="Times New Roman" w:cs="Times New Roman"/>
          <w:sz w:val="22"/>
          <w:szCs w:val="22"/>
        </w:rPr>
        <w:t>C.A.). [25]</w:t>
      </w:r>
    </w:p>
    <w:p w14:paraId="6F605854"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5E296F19" w14:textId="681F66C6"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C. Le juge présidant l’enquête préliminaire n’est pas compétent pour les affaires de Charte</w:t>
      </w:r>
      <w:r w:rsidR="00CB3F9D">
        <w:rPr>
          <w:rFonts w:ascii="Times New Roman" w:hAnsi="Times New Roman" w:cs="Times New Roman"/>
          <w:color w:val="3E3E3E"/>
          <w:sz w:val="22"/>
          <w:szCs w:val="22"/>
          <w:u w:val="single"/>
        </w:rPr>
        <w:t xml:space="preserve"> (p.8)</w:t>
      </w:r>
    </w:p>
    <w:p w14:paraId="6B81A838" w14:textId="489672CB" w:rsidR="00CB3F9D" w:rsidRDefault="00CB3F9D"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La CSC s’est prononcée par deux fois sur cette question comme en témoigne les affaires </w:t>
      </w:r>
      <w:r>
        <w:rPr>
          <w:rFonts w:ascii="Times New Roman" w:hAnsi="Times New Roman" w:cs="Times New Roman"/>
          <w:b/>
          <w:color w:val="3E3E3E"/>
          <w:sz w:val="22"/>
          <w:szCs w:val="22"/>
        </w:rPr>
        <w:t xml:space="preserve">Mills et Hynes. </w:t>
      </w:r>
      <w:r>
        <w:rPr>
          <w:rFonts w:ascii="Times New Roman" w:hAnsi="Times New Roman" w:cs="Times New Roman"/>
          <w:color w:val="3E3E3E"/>
          <w:sz w:val="22"/>
          <w:szCs w:val="22"/>
        </w:rPr>
        <w:t xml:space="preserve">L’arrêt </w:t>
      </w:r>
      <w:r>
        <w:rPr>
          <w:rFonts w:ascii="Times New Roman" w:hAnsi="Times New Roman" w:cs="Times New Roman"/>
          <w:b/>
          <w:color w:val="3E3E3E"/>
          <w:sz w:val="22"/>
          <w:szCs w:val="22"/>
        </w:rPr>
        <w:t>Conway 2010 CSC</w:t>
      </w:r>
      <w:r>
        <w:rPr>
          <w:rFonts w:ascii="Times New Roman" w:hAnsi="Times New Roman" w:cs="Times New Roman"/>
          <w:color w:val="3E3E3E"/>
          <w:sz w:val="22"/>
          <w:szCs w:val="22"/>
        </w:rPr>
        <w:t xml:space="preserve"> résume bien cette jurisprudence antérieure :</w:t>
      </w:r>
    </w:p>
    <w:p w14:paraId="4EBEAF49" w14:textId="0F08F8BB" w:rsidR="00CB3F9D" w:rsidRPr="00C703EE" w:rsidRDefault="00C703EE" w:rsidP="00CB3F9D">
      <w:pPr>
        <w:pStyle w:val="Paragraphedeliste"/>
        <w:widowControl w:val="0"/>
        <w:numPr>
          <w:ilvl w:val="0"/>
          <w:numId w:val="116"/>
        </w:numPr>
        <w:autoSpaceDE w:val="0"/>
        <w:autoSpaceDN w:val="0"/>
        <w:adjustRightInd w:val="0"/>
        <w:spacing w:after="300"/>
        <w:jc w:val="both"/>
        <w:rPr>
          <w:rFonts w:ascii="Times New Roman" w:hAnsi="Times New Roman" w:cs="Times New Roman"/>
          <w:color w:val="3E3E3E"/>
          <w:sz w:val="22"/>
          <w:szCs w:val="22"/>
        </w:rPr>
      </w:pPr>
      <w:r w:rsidRPr="002F7AD8">
        <w:rPr>
          <w:rFonts w:ascii="Times New Roman" w:hAnsi="Times New Roman" w:cs="Times New Roman"/>
          <w:sz w:val="20"/>
          <w:szCs w:val="20"/>
        </w:rPr>
        <w:t xml:space="preserve">Dans les arrêts </w:t>
      </w:r>
      <w:r w:rsidRPr="002F7AD8">
        <w:rPr>
          <w:rFonts w:ascii="Times New Roman" w:hAnsi="Times New Roman" w:cs="Times New Roman"/>
          <w:i/>
          <w:iCs/>
          <w:sz w:val="20"/>
          <w:szCs w:val="20"/>
        </w:rPr>
        <w:t>Mills</w:t>
      </w:r>
      <w:r w:rsidRPr="002F7AD8">
        <w:rPr>
          <w:rFonts w:ascii="Times New Roman" w:hAnsi="Times New Roman" w:cs="Times New Roman"/>
          <w:sz w:val="20"/>
          <w:szCs w:val="20"/>
        </w:rPr>
        <w:t xml:space="preserve"> et </w:t>
      </w:r>
      <w:r w:rsidRPr="002F7AD8">
        <w:rPr>
          <w:rFonts w:ascii="Times New Roman" w:hAnsi="Times New Roman" w:cs="Times New Roman"/>
          <w:i/>
          <w:iCs/>
          <w:sz w:val="20"/>
          <w:szCs w:val="20"/>
        </w:rPr>
        <w:t>Carter</w:t>
      </w:r>
      <w:r w:rsidRPr="002F7AD8">
        <w:rPr>
          <w:rFonts w:ascii="Times New Roman" w:hAnsi="Times New Roman" w:cs="Times New Roman"/>
          <w:sz w:val="20"/>
          <w:szCs w:val="20"/>
        </w:rPr>
        <w:t>, notre Cour statue qu’un juge d’une cour provinciale présidant une enquête préliminaire n’est pas un tribunal compétent pour ordonner l’arrêt des procédures lorsque la violation du droit garanti à l’al. 11</w:t>
      </w:r>
      <w:r w:rsidRPr="002F7AD8">
        <w:rPr>
          <w:rFonts w:ascii="Times New Roman" w:hAnsi="Times New Roman" w:cs="Times New Roman"/>
          <w:i/>
          <w:iCs/>
          <w:sz w:val="20"/>
          <w:szCs w:val="20"/>
        </w:rPr>
        <w:t>b</w:t>
      </w:r>
      <w:r w:rsidRPr="002F7AD8">
        <w:rPr>
          <w:rFonts w:ascii="Times New Roman" w:hAnsi="Times New Roman" w:cs="Times New Roman"/>
          <w:sz w:val="20"/>
          <w:szCs w:val="20"/>
        </w:rPr>
        <w:t>) est alléguée. L’année suivante, elle conclut qu’un juge d’extradition présente les mêmes caractéristiques institutionnelles qu’un juge présidant une enquête préliminaire et qu’il ne peut donc pas ordonner l’arrêt des procédures pour cause d’atteinte à un droit constitutionnel (</w:t>
      </w:r>
      <w:r w:rsidRPr="002F7AD8">
        <w:rPr>
          <w:rFonts w:ascii="Times New Roman" w:hAnsi="Times New Roman" w:cs="Times New Roman"/>
          <w:i/>
          <w:iCs/>
          <w:sz w:val="20"/>
          <w:szCs w:val="20"/>
        </w:rPr>
        <w:t xml:space="preserve">Mellino </w:t>
      </w:r>
      <w:r w:rsidRPr="002F7AD8">
        <w:rPr>
          <w:rFonts w:ascii="Times New Roman" w:hAnsi="Times New Roman" w:cs="Times New Roman"/>
          <w:sz w:val="20"/>
          <w:szCs w:val="20"/>
        </w:rPr>
        <w:t xml:space="preserve">et </w:t>
      </w:r>
      <w:r w:rsidRPr="002F7AD8">
        <w:rPr>
          <w:rFonts w:ascii="Times New Roman" w:hAnsi="Times New Roman" w:cs="Times New Roman"/>
          <w:i/>
          <w:iCs/>
          <w:sz w:val="20"/>
          <w:szCs w:val="20"/>
        </w:rPr>
        <w:t>Allard</w:t>
      </w:r>
      <w:r w:rsidRPr="002F7AD8">
        <w:rPr>
          <w:rFonts w:ascii="Times New Roman" w:hAnsi="Times New Roman" w:cs="Times New Roman"/>
          <w:sz w:val="20"/>
          <w:szCs w:val="20"/>
        </w:rPr>
        <w:t xml:space="preserve">).  De plus, dans l’arrêt </w:t>
      </w:r>
      <w:r w:rsidRPr="002F7AD8">
        <w:rPr>
          <w:rFonts w:ascii="Times New Roman" w:hAnsi="Times New Roman" w:cs="Times New Roman"/>
          <w:i/>
          <w:iCs/>
          <w:sz w:val="20"/>
          <w:szCs w:val="20"/>
        </w:rPr>
        <w:t>Mellino</w:t>
      </w:r>
      <w:r w:rsidRPr="002F7AD8">
        <w:rPr>
          <w:rFonts w:ascii="Times New Roman" w:hAnsi="Times New Roman" w:cs="Times New Roman"/>
          <w:sz w:val="20"/>
          <w:szCs w:val="20"/>
        </w:rPr>
        <w:t>, étant donné que la procédure d’extradition peut être contrôlée par voie d’</w:t>
      </w:r>
      <w:r w:rsidRPr="002F7AD8">
        <w:rPr>
          <w:rFonts w:ascii="Times New Roman" w:hAnsi="Times New Roman" w:cs="Times New Roman"/>
          <w:i/>
          <w:iCs/>
          <w:sz w:val="20"/>
          <w:szCs w:val="20"/>
        </w:rPr>
        <w:t>habeas corpus</w:t>
      </w:r>
      <w:r w:rsidRPr="002F7AD8">
        <w:rPr>
          <w:rFonts w:ascii="Times New Roman" w:hAnsi="Times New Roman" w:cs="Times New Roman"/>
          <w:sz w:val="20"/>
          <w:szCs w:val="20"/>
        </w:rPr>
        <w:t xml:space="preserve"> par une cour supérieure, notre Cour fait remarquer que c’est cette dernière, et non le juge d’extradition, qui constitue le tribunal compétent pour ordonner l’arrêt des procédures en application du par. 24(1).</w:t>
      </w:r>
      <w:r>
        <w:rPr>
          <w:rFonts w:ascii="Times New Roman" w:hAnsi="Times New Roman" w:cs="Times New Roman"/>
          <w:sz w:val="20"/>
          <w:szCs w:val="20"/>
        </w:rPr>
        <w:t xml:space="preserve"> [25]</w:t>
      </w:r>
    </w:p>
    <w:p w14:paraId="663AE616" w14:textId="1FA59623" w:rsidR="00C703EE" w:rsidRPr="00C703EE" w:rsidRDefault="00C703EE" w:rsidP="00CB3F9D">
      <w:pPr>
        <w:pStyle w:val="Paragraphedeliste"/>
        <w:widowControl w:val="0"/>
        <w:numPr>
          <w:ilvl w:val="0"/>
          <w:numId w:val="116"/>
        </w:numPr>
        <w:autoSpaceDE w:val="0"/>
        <w:autoSpaceDN w:val="0"/>
        <w:adjustRightInd w:val="0"/>
        <w:spacing w:after="300"/>
        <w:jc w:val="both"/>
        <w:rPr>
          <w:rFonts w:ascii="Times New Roman" w:hAnsi="Times New Roman" w:cs="Times New Roman"/>
          <w:color w:val="3E3E3E"/>
          <w:sz w:val="22"/>
          <w:szCs w:val="22"/>
        </w:rPr>
      </w:pPr>
      <w:r w:rsidRPr="002F7AD8">
        <w:rPr>
          <w:rFonts w:ascii="Times New Roman" w:hAnsi="Times New Roman" w:cs="Times New Roman"/>
          <w:sz w:val="20"/>
          <w:szCs w:val="20"/>
        </w:rPr>
        <w:t xml:space="preserve">Elle conclut ensuite que le juge présidant l’enquête préliminaire n’est pas un tribunal compétent aux fins d’écarter des éléments de preuve en application du par. 24(2).  Selon elle, la fonction principale de l’enquête préliminaire est de déterminer si le ministère public dispose d’une preuve suffisante pour justifier le renvoi à procès de l’accusé.  Conférer au juge présidant l’enquête préliminaire le pouvoir d’écarter des éléments de preuve sur le fondement de la </w:t>
      </w:r>
      <w:r w:rsidRPr="002F7AD8">
        <w:rPr>
          <w:rFonts w:ascii="Times New Roman" w:hAnsi="Times New Roman" w:cs="Times New Roman"/>
          <w:i/>
          <w:iCs/>
          <w:sz w:val="20"/>
          <w:szCs w:val="20"/>
        </w:rPr>
        <w:t>Charte</w:t>
      </w:r>
      <w:r w:rsidRPr="002F7AD8">
        <w:rPr>
          <w:rFonts w:ascii="Times New Roman" w:hAnsi="Times New Roman" w:cs="Times New Roman"/>
          <w:sz w:val="20"/>
          <w:szCs w:val="20"/>
        </w:rPr>
        <w:t xml:space="preserve"> nuirait au caractère expéditif de l’instance.  Une cour de juridiction criminelle est plus à même de déterminer s’il y a lieu d’écarter des éléments de preuve</w:t>
      </w:r>
      <w:r>
        <w:rPr>
          <w:rFonts w:ascii="Times New Roman" w:hAnsi="Times New Roman" w:cs="Times New Roman"/>
          <w:sz w:val="20"/>
          <w:szCs w:val="20"/>
        </w:rPr>
        <w:t xml:space="preserve"> [38].</w:t>
      </w:r>
    </w:p>
    <w:p w14:paraId="2E7D7B48" w14:textId="368B105C" w:rsidR="00C703EE" w:rsidRDefault="00C703EE" w:rsidP="00C703EE">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 exemple, voir l’</w:t>
      </w:r>
      <w:r>
        <w:rPr>
          <w:rFonts w:ascii="Times New Roman" w:hAnsi="Times New Roman" w:cs="Times New Roman"/>
          <w:b/>
          <w:color w:val="3E3E3E"/>
          <w:sz w:val="22"/>
          <w:szCs w:val="22"/>
        </w:rPr>
        <w:t xml:space="preserve">article 542(1) C.cr. </w:t>
      </w:r>
      <w:r>
        <w:rPr>
          <w:rFonts w:ascii="Times New Roman" w:hAnsi="Times New Roman" w:cs="Times New Roman"/>
          <w:color w:val="3E3E3E"/>
          <w:sz w:val="22"/>
          <w:szCs w:val="22"/>
        </w:rPr>
        <w:t>qui concerne l’aveu/confession de l’accusé lors de l’enquête préliminaire.</w:t>
      </w:r>
    </w:p>
    <w:p w14:paraId="0FFF5DFC" w14:textId="755E0A87" w:rsidR="00C703EE" w:rsidRDefault="00C703EE" w:rsidP="00C703EE">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v. N.S. 2010 (p.9) :</w:t>
      </w:r>
    </w:p>
    <w:p w14:paraId="758451B4" w14:textId="4471FC3F" w:rsidR="00C703EE" w:rsidRPr="00C703EE" w:rsidRDefault="00C703EE" w:rsidP="00C703EE">
      <w:pPr>
        <w:pStyle w:val="Paragraphedeliste"/>
        <w:numPr>
          <w:ilvl w:val="0"/>
          <w:numId w:val="118"/>
        </w:numPr>
        <w:jc w:val="both"/>
        <w:rPr>
          <w:rFonts w:ascii="Times New Roman" w:hAnsi="Times New Roman" w:cs="Times New Roman"/>
          <w:sz w:val="20"/>
          <w:szCs w:val="20"/>
        </w:rPr>
      </w:pPr>
      <w:r w:rsidRPr="00C703EE">
        <w:rPr>
          <w:rFonts w:ascii="Times New Roman" w:hAnsi="Times New Roman" w:cs="Times New Roman"/>
          <w:sz w:val="20"/>
          <w:szCs w:val="20"/>
        </w:rPr>
        <w:t xml:space="preserve">Section 714.3 sets out various statutory preconditions to the exercise of the discretion granted to the judge by that section.  These preconditions will necessarily engage competing </w:t>
      </w:r>
      <w:r w:rsidRPr="00C703EE">
        <w:rPr>
          <w:rFonts w:ascii="Times New Roman" w:hAnsi="Times New Roman" w:cs="Times New Roman"/>
          <w:i/>
          <w:iCs/>
          <w:sz w:val="20"/>
          <w:szCs w:val="20"/>
        </w:rPr>
        <w:t>Charter</w:t>
      </w:r>
      <w:r w:rsidRPr="00C703EE">
        <w:rPr>
          <w:rFonts w:ascii="Times New Roman" w:hAnsi="Times New Roman" w:cs="Times New Roman"/>
          <w:sz w:val="20"/>
          <w:szCs w:val="20"/>
        </w:rPr>
        <w:t xml:space="preserve"> values.  Section 714.3(a) requires the court to consider the “circumstances of the witness”.  Sometimes the circumstances of the witness may engage the values underlying the equality rights protection afforded by s. 15 of the </w:t>
      </w:r>
      <w:r w:rsidRPr="00C703EE">
        <w:rPr>
          <w:rFonts w:ascii="Times New Roman" w:hAnsi="Times New Roman" w:cs="Times New Roman"/>
          <w:i/>
          <w:iCs/>
          <w:sz w:val="20"/>
          <w:szCs w:val="20"/>
        </w:rPr>
        <w:t>Charter</w:t>
      </w:r>
      <w:r w:rsidRPr="00C703EE">
        <w:rPr>
          <w:rFonts w:ascii="Times New Roman" w:hAnsi="Times New Roman" w:cs="Times New Roman"/>
          <w:sz w:val="20"/>
          <w:szCs w:val="20"/>
        </w:rPr>
        <w:t xml:space="preserve">.  Section 714.3(d) requires the court to consider “any potential prejudice to either of the parties”.  This criterion speaks to the accused’s constitutional right to make full answer and defence.  As with the exercise of powers under Part XVIII of the </w:t>
      </w:r>
      <w:hyperlink r:id="rId35" w:history="1">
        <w:r w:rsidRPr="00C703EE">
          <w:rPr>
            <w:rStyle w:val="Lienhypertexte"/>
            <w:rFonts w:ascii="Times New Roman" w:hAnsi="Times New Roman" w:cs="Times New Roman"/>
            <w:i/>
            <w:iCs/>
            <w:sz w:val="20"/>
            <w:szCs w:val="20"/>
          </w:rPr>
          <w:t>Criminal Code</w:t>
        </w:r>
      </w:hyperlink>
      <w:r w:rsidRPr="00C703EE">
        <w:rPr>
          <w:rFonts w:ascii="Times New Roman" w:hAnsi="Times New Roman" w:cs="Times New Roman"/>
          <w:sz w:val="20"/>
          <w:szCs w:val="20"/>
        </w:rPr>
        <w:t xml:space="preserve">, a preliminary inquiry judge who is asked to decide whether to permit testimony by way of audio link is exercising the specific statutory power given to him or her under s. 714.3.  The judge is not exercising </w:t>
      </w:r>
      <w:r w:rsidRPr="00C703EE">
        <w:rPr>
          <w:rFonts w:ascii="Times New Roman" w:hAnsi="Times New Roman" w:cs="Times New Roman"/>
          <w:i/>
          <w:iCs/>
          <w:sz w:val="20"/>
          <w:szCs w:val="20"/>
        </w:rPr>
        <w:t>Charter</w:t>
      </w:r>
      <w:r w:rsidRPr="00C703EE">
        <w:rPr>
          <w:rFonts w:ascii="Times New Roman" w:hAnsi="Times New Roman" w:cs="Times New Roman"/>
          <w:sz w:val="20"/>
          <w:szCs w:val="20"/>
        </w:rPr>
        <w:t xml:space="preserve"> jurisdiction.  He or she will nonetheless engage in a balancing of competing </w:t>
      </w:r>
      <w:r w:rsidRPr="00C703EE">
        <w:rPr>
          <w:rFonts w:ascii="Times New Roman" w:hAnsi="Times New Roman" w:cs="Times New Roman"/>
          <w:i/>
          <w:iCs/>
          <w:sz w:val="20"/>
          <w:szCs w:val="20"/>
        </w:rPr>
        <w:t>Charter</w:t>
      </w:r>
      <w:r>
        <w:rPr>
          <w:rFonts w:ascii="Times New Roman" w:hAnsi="Times New Roman" w:cs="Times New Roman"/>
          <w:sz w:val="20"/>
          <w:szCs w:val="20"/>
        </w:rPr>
        <w:t xml:space="preserve"> values.[35].</w:t>
      </w:r>
    </w:p>
    <w:p w14:paraId="703F51FC" w14:textId="77777777" w:rsidR="00C703EE" w:rsidRPr="00014418" w:rsidRDefault="00C703EE" w:rsidP="00C703EE">
      <w:pPr>
        <w:jc w:val="both"/>
        <w:rPr>
          <w:rFonts w:ascii="Times New Roman" w:hAnsi="Times New Roman" w:cs="Times New Roman"/>
          <w:sz w:val="20"/>
          <w:szCs w:val="20"/>
        </w:rPr>
      </w:pPr>
    </w:p>
    <w:p w14:paraId="33C6DA53" w14:textId="23D0C625" w:rsidR="00C703EE" w:rsidRPr="00C703EE" w:rsidRDefault="00C703EE" w:rsidP="00C703EE">
      <w:pPr>
        <w:pStyle w:val="Paragraphedeliste"/>
        <w:widowControl w:val="0"/>
        <w:numPr>
          <w:ilvl w:val="0"/>
          <w:numId w:val="117"/>
        </w:numPr>
        <w:autoSpaceDE w:val="0"/>
        <w:autoSpaceDN w:val="0"/>
        <w:adjustRightInd w:val="0"/>
        <w:spacing w:after="300"/>
        <w:jc w:val="both"/>
        <w:rPr>
          <w:rFonts w:ascii="Times New Roman" w:hAnsi="Times New Roman" w:cs="Times New Roman"/>
          <w:color w:val="3E3E3E"/>
          <w:sz w:val="22"/>
          <w:szCs w:val="22"/>
        </w:rPr>
      </w:pPr>
      <w:r w:rsidRPr="00014418">
        <w:rPr>
          <w:rFonts w:ascii="Times New Roman" w:hAnsi="Times New Roman" w:cs="Times New Roman"/>
          <w:sz w:val="20"/>
          <w:szCs w:val="20"/>
        </w:rPr>
        <w:t xml:space="preserve">Not only is a consideration of </w:t>
      </w:r>
      <w:r w:rsidRPr="00014418">
        <w:rPr>
          <w:rFonts w:ascii="Times New Roman" w:hAnsi="Times New Roman" w:cs="Times New Roman"/>
          <w:i/>
          <w:iCs/>
          <w:sz w:val="20"/>
          <w:szCs w:val="20"/>
        </w:rPr>
        <w:t>Charter</w:t>
      </w:r>
      <w:r w:rsidRPr="00014418">
        <w:rPr>
          <w:rFonts w:ascii="Times New Roman" w:hAnsi="Times New Roman" w:cs="Times New Roman"/>
          <w:sz w:val="20"/>
          <w:szCs w:val="20"/>
        </w:rPr>
        <w:t xml:space="preserve"> values inevitable given the nature of the decisions that a preliminary inquiry judges must make, the controlling jurisprudence demands that a preliminary inquiry judge exercise his or her statutory powers in accordance with the </w:t>
      </w:r>
      <w:r w:rsidRPr="00014418">
        <w:rPr>
          <w:rFonts w:ascii="Times New Roman" w:hAnsi="Times New Roman" w:cs="Times New Roman"/>
          <w:i/>
          <w:iCs/>
          <w:sz w:val="20"/>
          <w:szCs w:val="20"/>
        </w:rPr>
        <w:t>Charter</w:t>
      </w:r>
      <w:r w:rsidRPr="00014418">
        <w:rPr>
          <w:rFonts w:ascii="Times New Roman" w:hAnsi="Times New Roman" w:cs="Times New Roman"/>
          <w:sz w:val="20"/>
          <w:szCs w:val="20"/>
        </w:rPr>
        <w:t xml:space="preserve">:  </w:t>
      </w:r>
      <w:r w:rsidRPr="00014418">
        <w:rPr>
          <w:rFonts w:ascii="Times New Roman" w:hAnsi="Times New Roman" w:cs="Times New Roman"/>
          <w:i/>
          <w:iCs/>
          <w:sz w:val="20"/>
          <w:szCs w:val="20"/>
        </w:rPr>
        <w:t>Slaight Communications Incorporated v. Ron Davidson</w:t>
      </w:r>
      <w:r w:rsidRPr="00014418">
        <w:rPr>
          <w:rFonts w:ascii="Times New Roman" w:hAnsi="Times New Roman" w:cs="Times New Roman"/>
          <w:sz w:val="20"/>
          <w:szCs w:val="20"/>
        </w:rPr>
        <w:t xml:space="preserve">, [1989] 1 S.C.R. 1038, per Lamer J., for the majority on this point, at pp. 1077-78; </w:t>
      </w:r>
      <w:r w:rsidRPr="00014418">
        <w:rPr>
          <w:rFonts w:ascii="Times New Roman" w:hAnsi="Times New Roman" w:cs="Times New Roman"/>
          <w:i/>
          <w:iCs/>
          <w:sz w:val="20"/>
          <w:szCs w:val="20"/>
        </w:rPr>
        <w:t>The Vancouver Sun v. A.G. (Can.)</w:t>
      </w:r>
      <w:r w:rsidRPr="00014418">
        <w:rPr>
          <w:rFonts w:ascii="Times New Roman" w:hAnsi="Times New Roman" w:cs="Times New Roman"/>
          <w:sz w:val="20"/>
          <w:szCs w:val="20"/>
        </w:rPr>
        <w:t xml:space="preserve">, [2004] 2 S.C.R. 332, at paras. 30-31; </w:t>
      </w:r>
      <w:r w:rsidRPr="00014418">
        <w:rPr>
          <w:rFonts w:ascii="Times New Roman" w:hAnsi="Times New Roman" w:cs="Times New Roman"/>
          <w:i/>
          <w:iCs/>
          <w:sz w:val="20"/>
          <w:szCs w:val="20"/>
        </w:rPr>
        <w:t>Multani</w:t>
      </w:r>
      <w:r w:rsidRPr="00014418">
        <w:rPr>
          <w:rFonts w:ascii="Times New Roman" w:hAnsi="Times New Roman" w:cs="Times New Roman"/>
          <w:sz w:val="20"/>
          <w:szCs w:val="20"/>
        </w:rPr>
        <w:t xml:space="preserve"> </w:t>
      </w:r>
      <w:r w:rsidRPr="00014418">
        <w:rPr>
          <w:rFonts w:ascii="Times New Roman" w:hAnsi="Times New Roman" w:cs="Times New Roman"/>
          <w:i/>
          <w:iCs/>
          <w:sz w:val="20"/>
          <w:szCs w:val="20"/>
        </w:rPr>
        <w:t>v. Commission Scolaire Marguerite–Bourgeoys</w:t>
      </w:r>
      <w:r w:rsidRPr="00014418">
        <w:rPr>
          <w:rFonts w:ascii="Times New Roman" w:hAnsi="Times New Roman" w:cs="Times New Roman"/>
          <w:sz w:val="20"/>
          <w:szCs w:val="20"/>
        </w:rPr>
        <w:t xml:space="preserve">, [2006] 1 S.C.R. 256, at paras. 99, 102-107.  If the preliminary inquiry judge must render decisions that are in accordance with the </w:t>
      </w:r>
      <w:r w:rsidRPr="00014418">
        <w:rPr>
          <w:rFonts w:ascii="Times New Roman" w:hAnsi="Times New Roman" w:cs="Times New Roman"/>
          <w:i/>
          <w:iCs/>
          <w:sz w:val="20"/>
          <w:szCs w:val="20"/>
        </w:rPr>
        <w:t>Charter</w:t>
      </w:r>
      <w:r w:rsidRPr="00014418">
        <w:rPr>
          <w:rFonts w:ascii="Times New Roman" w:hAnsi="Times New Roman" w:cs="Times New Roman"/>
          <w:sz w:val="20"/>
          <w:szCs w:val="20"/>
        </w:rPr>
        <w:t xml:space="preserve">, he or she must have regard to competing </w:t>
      </w:r>
      <w:r w:rsidRPr="00014418">
        <w:rPr>
          <w:rFonts w:ascii="Times New Roman" w:hAnsi="Times New Roman" w:cs="Times New Roman"/>
          <w:i/>
          <w:iCs/>
          <w:sz w:val="20"/>
          <w:szCs w:val="20"/>
        </w:rPr>
        <w:t>Charter</w:t>
      </w:r>
      <w:r w:rsidRPr="00014418">
        <w:rPr>
          <w:rFonts w:ascii="Times New Roman" w:hAnsi="Times New Roman" w:cs="Times New Roman"/>
          <w:sz w:val="20"/>
          <w:szCs w:val="20"/>
        </w:rPr>
        <w:t xml:space="preserve"> values and endeavour to render decisions that reflect an appropriate reconciliation of those values. </w:t>
      </w:r>
      <w:r>
        <w:rPr>
          <w:rFonts w:ascii="Times New Roman" w:hAnsi="Times New Roman" w:cs="Times New Roman"/>
          <w:sz w:val="20"/>
          <w:szCs w:val="20"/>
        </w:rPr>
        <w:t>[36]</w:t>
      </w:r>
    </w:p>
    <w:p w14:paraId="5E8BB1E9" w14:textId="27296E99" w:rsidR="00C703EE" w:rsidRDefault="00C703EE" w:rsidP="00C703EE">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Mills c. R. 1986 (p.10) :</w:t>
      </w:r>
    </w:p>
    <w:p w14:paraId="789090F9" w14:textId="5A4F013A" w:rsidR="00C703EE" w:rsidRPr="00C703EE" w:rsidRDefault="00C703EE" w:rsidP="00C703EE">
      <w:pPr>
        <w:pStyle w:val="Paragraphedeliste"/>
        <w:numPr>
          <w:ilvl w:val="0"/>
          <w:numId w:val="117"/>
        </w:numPr>
        <w:jc w:val="both"/>
        <w:rPr>
          <w:rFonts w:ascii="Times New Roman" w:hAnsi="Times New Roman" w:cs="Times New Roman"/>
          <w:sz w:val="20"/>
          <w:szCs w:val="20"/>
          <w:lang w:val="fr-CA"/>
        </w:rPr>
      </w:pPr>
      <w:r w:rsidRPr="00C703EE">
        <w:rPr>
          <w:rFonts w:ascii="Times New Roman" w:hAnsi="Times New Roman" w:cs="Times New Roman"/>
          <w:sz w:val="20"/>
          <w:szCs w:val="20"/>
          <w:lang w:val="fr-CA"/>
        </w:rPr>
        <w:t>Je m'intéresse plutôt au point de savoir si la cour supérieure d'une province constitue un tribunal compétent pour les fins d'une demande directe en vertu du par. 24(1), alors que l'espèce est pendante devant une juridiction de degré inférieur et indépendamment de savoir si un recours a été présenté devant cette dernière. [59]</w:t>
      </w:r>
    </w:p>
    <w:p w14:paraId="5D16A621" w14:textId="77777777" w:rsidR="00C703EE" w:rsidRPr="00BA26A6" w:rsidRDefault="00C703EE" w:rsidP="00C703EE">
      <w:pPr>
        <w:ind w:left="567"/>
        <w:jc w:val="both"/>
        <w:rPr>
          <w:rFonts w:ascii="Times New Roman" w:hAnsi="Times New Roman" w:cs="Times New Roman"/>
          <w:sz w:val="20"/>
          <w:szCs w:val="20"/>
          <w:lang w:val="fr-CA"/>
        </w:rPr>
      </w:pPr>
      <w:r w:rsidRPr="00BA26A6">
        <w:rPr>
          <w:rFonts w:ascii="Times New Roman" w:hAnsi="Times New Roman" w:cs="Times New Roman"/>
          <w:sz w:val="20"/>
          <w:szCs w:val="20"/>
          <w:lang w:val="fr-CA"/>
        </w:rPr>
        <w:t> </w:t>
      </w:r>
    </w:p>
    <w:p w14:paraId="48F032B4" w14:textId="6B65DD07" w:rsidR="00C703EE" w:rsidRPr="00C703EE" w:rsidRDefault="00C703EE" w:rsidP="00C703EE">
      <w:pPr>
        <w:pStyle w:val="Paragraphedeliste"/>
        <w:numPr>
          <w:ilvl w:val="0"/>
          <w:numId w:val="117"/>
        </w:numPr>
        <w:jc w:val="both"/>
        <w:rPr>
          <w:rFonts w:ascii="Times New Roman" w:hAnsi="Times New Roman" w:cs="Times New Roman"/>
          <w:sz w:val="20"/>
          <w:szCs w:val="20"/>
          <w:lang w:val="fr-CA"/>
        </w:rPr>
      </w:pPr>
      <w:r w:rsidRPr="00C703EE">
        <w:rPr>
          <w:rFonts w:ascii="Times New Roman" w:hAnsi="Times New Roman" w:cs="Times New Roman"/>
          <w:sz w:val="20"/>
          <w:szCs w:val="20"/>
          <w:lang w:val="fr-CA"/>
        </w:rPr>
        <w:t xml:space="preserve">À première vue, il ne semblerait pas y avoir un grand besoin de conférer compétence initiale concurrente à la cour supérieure. Après tout, les juridictions de jugement du </w:t>
      </w:r>
      <w:bookmarkStart w:id="3" w:name="reflex-statute-28769586"/>
      <w:r w:rsidRPr="00C703EE">
        <w:rPr>
          <w:rFonts w:ascii="Times New Roman" w:hAnsi="Times New Roman" w:cs="Times New Roman"/>
          <w:i/>
          <w:iCs/>
          <w:sz w:val="20"/>
          <w:szCs w:val="20"/>
          <w:lang w:val="fr-CA"/>
        </w:rPr>
        <w:fldChar w:fldCharType="begin"/>
      </w:r>
      <w:r w:rsidRPr="00C703EE">
        <w:rPr>
          <w:rFonts w:ascii="Times New Roman" w:hAnsi="Times New Roman" w:cs="Times New Roman"/>
          <w:i/>
          <w:iCs/>
          <w:sz w:val="20"/>
          <w:szCs w:val="20"/>
          <w:lang w:val="fr-CA"/>
        </w:rPr>
        <w:instrText xml:space="preserve"> HYPERLINK "http://www.canlii.org/fr/ca/legis/lois/lrc-1985-c-c-46/derniere/lrc-1985-c-c-46.html" </w:instrText>
      </w:r>
      <w:r w:rsidRPr="00C703EE">
        <w:rPr>
          <w:rFonts w:ascii="Times New Roman" w:hAnsi="Times New Roman" w:cs="Times New Roman"/>
          <w:i/>
          <w:iCs/>
          <w:sz w:val="20"/>
          <w:szCs w:val="20"/>
          <w:lang w:val="fr-CA"/>
        </w:rPr>
        <w:fldChar w:fldCharType="separate"/>
      </w:r>
      <w:r w:rsidRPr="00C703EE">
        <w:rPr>
          <w:rStyle w:val="Lienhypertexte"/>
          <w:rFonts w:ascii="Times New Roman" w:hAnsi="Times New Roman" w:cs="Times New Roman"/>
          <w:i/>
          <w:iCs/>
          <w:sz w:val="20"/>
          <w:szCs w:val="20"/>
          <w:lang w:val="fr-CA"/>
        </w:rPr>
        <w:t>Code criminel</w:t>
      </w:r>
      <w:r w:rsidRPr="00C703EE">
        <w:rPr>
          <w:rFonts w:ascii="Times New Roman" w:hAnsi="Times New Roman" w:cs="Times New Roman"/>
          <w:sz w:val="20"/>
          <w:szCs w:val="20"/>
        </w:rPr>
        <w:fldChar w:fldCharType="end"/>
      </w:r>
      <w:bookmarkEnd w:id="3"/>
      <w:r w:rsidRPr="00C703EE">
        <w:rPr>
          <w:rFonts w:ascii="Times New Roman" w:hAnsi="Times New Roman" w:cs="Times New Roman"/>
          <w:sz w:val="20"/>
          <w:szCs w:val="20"/>
          <w:lang w:val="fr-CA"/>
        </w:rPr>
        <w:t xml:space="preserve"> détiennent la plénitude des pouvoirs de droit criminel et ce qui manque aux tribunaux de l'ordre criminel peut se trouver dans les tribunaux de l'ordre civil. [60]</w:t>
      </w:r>
    </w:p>
    <w:p w14:paraId="41D600C0" w14:textId="77777777" w:rsidR="00C703EE" w:rsidRPr="00BA26A6" w:rsidRDefault="00C703EE" w:rsidP="00C703EE">
      <w:pPr>
        <w:ind w:left="567"/>
        <w:jc w:val="both"/>
        <w:rPr>
          <w:rFonts w:ascii="Times New Roman" w:hAnsi="Times New Roman" w:cs="Times New Roman"/>
          <w:sz w:val="20"/>
          <w:szCs w:val="20"/>
          <w:lang w:val="fr-CA"/>
        </w:rPr>
      </w:pPr>
      <w:r w:rsidRPr="00BA26A6">
        <w:rPr>
          <w:rFonts w:ascii="Times New Roman" w:hAnsi="Times New Roman" w:cs="Times New Roman"/>
          <w:sz w:val="20"/>
          <w:szCs w:val="20"/>
          <w:lang w:val="fr-CA"/>
        </w:rPr>
        <w:t> </w:t>
      </w:r>
    </w:p>
    <w:p w14:paraId="7B84B89F" w14:textId="6189500C" w:rsidR="00C703EE" w:rsidRPr="00C703EE" w:rsidRDefault="00C703EE" w:rsidP="00C703EE">
      <w:pPr>
        <w:pStyle w:val="Paragraphedeliste"/>
        <w:widowControl w:val="0"/>
        <w:numPr>
          <w:ilvl w:val="0"/>
          <w:numId w:val="117"/>
        </w:numPr>
        <w:autoSpaceDE w:val="0"/>
        <w:autoSpaceDN w:val="0"/>
        <w:adjustRightInd w:val="0"/>
        <w:spacing w:after="300"/>
        <w:jc w:val="both"/>
        <w:rPr>
          <w:rFonts w:ascii="Times New Roman" w:hAnsi="Times New Roman" w:cs="Times New Roman"/>
          <w:color w:val="3E3E3E"/>
          <w:sz w:val="22"/>
          <w:szCs w:val="22"/>
        </w:rPr>
      </w:pPr>
      <w:r w:rsidRPr="00BA26A6">
        <w:rPr>
          <w:rFonts w:ascii="Times New Roman" w:hAnsi="Times New Roman" w:cs="Times New Roman"/>
          <w:sz w:val="20"/>
          <w:szCs w:val="20"/>
          <w:lang w:val="fr-CA"/>
        </w:rPr>
        <w:t>Quoi qu'il en soit, en principe et pour des raisons pratiques aussi, je suis néanmoins en faveur de reconnaître à la cour supérieure une compétence concurrente, permanente et complète, comme certains tribunaux la lui ont reconnue</w:t>
      </w:r>
      <w:r>
        <w:rPr>
          <w:rFonts w:ascii="Times New Roman" w:hAnsi="Times New Roman" w:cs="Times New Roman"/>
          <w:sz w:val="20"/>
          <w:szCs w:val="20"/>
          <w:lang w:val="fr-CA"/>
        </w:rPr>
        <w:t xml:space="preserve"> [61]</w:t>
      </w:r>
    </w:p>
    <w:p w14:paraId="2857EBE9" w14:textId="7800AA24" w:rsidR="00C703EE" w:rsidRDefault="00C703EE" w:rsidP="00C703EE">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Rabey 1987 (p.10) :</w:t>
      </w:r>
    </w:p>
    <w:p w14:paraId="50697714" w14:textId="790A1F31" w:rsidR="00C703EE" w:rsidRPr="00C703EE" w:rsidRDefault="00C703EE" w:rsidP="00C703EE">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 ce qui concerne la compétence pour entendre une demande fondée sur le par. 24(1) de la Charte</w:t>
      </w:r>
    </w:p>
    <w:p w14:paraId="4C8C1F6A" w14:textId="0994BE12" w:rsidR="00C703EE" w:rsidRPr="005B1770" w:rsidRDefault="005B1770" w:rsidP="00C703EE">
      <w:pPr>
        <w:pStyle w:val="Paragraphedeliste"/>
        <w:widowControl w:val="0"/>
        <w:numPr>
          <w:ilvl w:val="0"/>
          <w:numId w:val="119"/>
        </w:numPr>
        <w:autoSpaceDE w:val="0"/>
        <w:autoSpaceDN w:val="0"/>
        <w:adjustRightInd w:val="0"/>
        <w:spacing w:after="300"/>
        <w:jc w:val="both"/>
        <w:rPr>
          <w:rFonts w:ascii="Times New Roman" w:hAnsi="Times New Roman" w:cs="Times New Roman"/>
          <w:color w:val="3E3E3E"/>
          <w:sz w:val="22"/>
          <w:szCs w:val="22"/>
        </w:rPr>
      </w:pPr>
      <w:r w:rsidRPr="00BA26A6">
        <w:rPr>
          <w:rFonts w:ascii="Times New Roman" w:hAnsi="Times New Roman" w:cs="Times New Roman"/>
          <w:sz w:val="20"/>
          <w:szCs w:val="20"/>
        </w:rPr>
        <w:t xml:space="preserve">Comme on l'a décidé dans l'arrêt </w:t>
      </w:r>
      <w:r w:rsidRPr="00BA26A6">
        <w:rPr>
          <w:rFonts w:ascii="Times New Roman" w:hAnsi="Times New Roman" w:cs="Times New Roman"/>
          <w:i/>
          <w:iCs/>
          <w:sz w:val="20"/>
          <w:szCs w:val="20"/>
        </w:rPr>
        <w:t>Mills c. La Reine</w:t>
      </w:r>
      <w:r w:rsidRPr="00BA26A6">
        <w:rPr>
          <w:rFonts w:ascii="Times New Roman" w:hAnsi="Times New Roman" w:cs="Times New Roman"/>
          <w:sz w:val="20"/>
          <w:szCs w:val="20"/>
        </w:rPr>
        <w:t xml:space="preserve">, précité, aux fins du par. 24(1), le tribunal compétent dans une affaire pendante est, en règle générale, la juridiction de jugement. C'est le juge qui préside le procès qui a compétence </w:t>
      </w:r>
      <w:r w:rsidRPr="00BA26A6">
        <w:rPr>
          <w:rFonts w:ascii="Times New Roman" w:hAnsi="Times New Roman" w:cs="Times New Roman"/>
          <w:i/>
          <w:iCs/>
          <w:sz w:val="20"/>
          <w:szCs w:val="20"/>
        </w:rPr>
        <w:t>ratione personae</w:t>
      </w:r>
      <w:r w:rsidRPr="00BA26A6">
        <w:rPr>
          <w:rFonts w:ascii="Times New Roman" w:hAnsi="Times New Roman" w:cs="Times New Roman"/>
          <w:sz w:val="20"/>
          <w:szCs w:val="20"/>
        </w:rPr>
        <w:t xml:space="preserve"> et </w:t>
      </w:r>
      <w:r w:rsidRPr="00BA26A6">
        <w:rPr>
          <w:rFonts w:ascii="Times New Roman" w:hAnsi="Times New Roman" w:cs="Times New Roman"/>
          <w:i/>
          <w:iCs/>
          <w:sz w:val="20"/>
          <w:szCs w:val="20"/>
        </w:rPr>
        <w:t>ratione materiae</w:t>
      </w:r>
      <w:r w:rsidRPr="00BA26A6">
        <w:rPr>
          <w:rFonts w:ascii="Times New Roman" w:hAnsi="Times New Roman" w:cs="Times New Roman"/>
          <w:sz w:val="20"/>
          <w:szCs w:val="20"/>
        </w:rPr>
        <w:t xml:space="preserve"> et c'est lui qui aurait compétence pour accorder la réparation nécessaire.</w:t>
      </w:r>
      <w:r>
        <w:rPr>
          <w:rFonts w:ascii="Times New Roman" w:hAnsi="Times New Roman" w:cs="Times New Roman"/>
          <w:sz w:val="20"/>
          <w:szCs w:val="20"/>
        </w:rPr>
        <w:t xml:space="preserve"> [16]</w:t>
      </w:r>
    </w:p>
    <w:p w14:paraId="2A4C6B6B" w14:textId="7B7AD21D" w:rsidR="005B1770" w:rsidRDefault="005B1770" w:rsidP="005B177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délai déraisonnable au sens de l’al. 11b) de la Charte lors du «traitement du dossier» de l’inculpé</w:t>
      </w:r>
    </w:p>
    <w:p w14:paraId="287FE632" w14:textId="3A35C75E" w:rsidR="005B1770" w:rsidRDefault="005B1770" w:rsidP="005B1770">
      <w:pPr>
        <w:pStyle w:val="Paragraphedeliste"/>
        <w:numPr>
          <w:ilvl w:val="0"/>
          <w:numId w:val="119"/>
        </w:numPr>
        <w:jc w:val="both"/>
        <w:rPr>
          <w:rFonts w:ascii="Times New Roman" w:hAnsi="Times New Roman" w:cs="Times New Roman"/>
          <w:sz w:val="20"/>
          <w:szCs w:val="20"/>
        </w:rPr>
      </w:pPr>
      <w:r w:rsidRPr="005B1770">
        <w:rPr>
          <w:rFonts w:ascii="Times New Roman" w:hAnsi="Times New Roman" w:cs="Times New Roman"/>
          <w:sz w:val="20"/>
          <w:szCs w:val="20"/>
        </w:rPr>
        <w:t>J'ai indiqué que, selon moi, l'objet fondamental de l'al. 11</w:t>
      </w:r>
      <w:r w:rsidRPr="005B1770">
        <w:rPr>
          <w:rFonts w:ascii="Times New Roman" w:hAnsi="Times New Roman" w:cs="Times New Roman"/>
          <w:i/>
          <w:iCs/>
          <w:sz w:val="20"/>
          <w:szCs w:val="20"/>
        </w:rPr>
        <w:t>b</w:t>
      </w:r>
      <w:r w:rsidRPr="005B1770">
        <w:rPr>
          <w:rFonts w:ascii="Times New Roman" w:hAnsi="Times New Roman" w:cs="Times New Roman"/>
          <w:sz w:val="20"/>
          <w:szCs w:val="20"/>
        </w:rPr>
        <w:t>) est d'assurer, dans un contexte précis, le droit plus étendu à la liberté et à la sécurité de la personne dont nul ne peut être privé si ce n'est en conformité avec les principes de justice fondamentale. À mon avis, l'al. 11</w:t>
      </w:r>
      <w:r w:rsidRPr="005B1770">
        <w:rPr>
          <w:rFonts w:ascii="Times New Roman" w:hAnsi="Times New Roman" w:cs="Times New Roman"/>
          <w:i/>
          <w:iCs/>
          <w:sz w:val="20"/>
          <w:szCs w:val="20"/>
        </w:rPr>
        <w:t>b</w:t>
      </w:r>
      <w:r w:rsidRPr="005B1770">
        <w:rPr>
          <w:rFonts w:ascii="Times New Roman" w:hAnsi="Times New Roman" w:cs="Times New Roman"/>
          <w:sz w:val="20"/>
          <w:szCs w:val="20"/>
        </w:rPr>
        <w:t>) est conçu pour protéger, d'une manière et dans un cadre précis, les droits énoncés à l'art. 7, quoique la portée de cet article soit plus large que ces manifestations des droits à la liberté et à la sécurité de la personne que l'on trouve à l'al. 11</w:t>
      </w:r>
      <w:r w:rsidRPr="005B1770">
        <w:rPr>
          <w:rFonts w:ascii="Times New Roman" w:hAnsi="Times New Roman" w:cs="Times New Roman"/>
          <w:i/>
          <w:iCs/>
          <w:sz w:val="20"/>
          <w:szCs w:val="20"/>
        </w:rPr>
        <w:t>b</w:t>
      </w:r>
      <w:r w:rsidRPr="005B1770">
        <w:rPr>
          <w:rFonts w:ascii="Times New Roman" w:hAnsi="Times New Roman" w:cs="Times New Roman"/>
          <w:sz w:val="20"/>
          <w:szCs w:val="20"/>
        </w:rPr>
        <w:t>).</w:t>
      </w:r>
      <w:r>
        <w:rPr>
          <w:rFonts w:ascii="Times New Roman" w:hAnsi="Times New Roman" w:cs="Times New Roman"/>
          <w:sz w:val="20"/>
          <w:szCs w:val="20"/>
        </w:rPr>
        <w:t xml:space="preserve"> [20]</w:t>
      </w:r>
    </w:p>
    <w:p w14:paraId="529A249A" w14:textId="561882B7" w:rsidR="005B1770" w:rsidRDefault="005B1770" w:rsidP="005B1770">
      <w:pPr>
        <w:pStyle w:val="Paragraphedeliste"/>
        <w:numPr>
          <w:ilvl w:val="0"/>
          <w:numId w:val="119"/>
        </w:numPr>
        <w:jc w:val="both"/>
        <w:rPr>
          <w:rFonts w:ascii="Times New Roman" w:hAnsi="Times New Roman" w:cs="Times New Roman"/>
          <w:sz w:val="20"/>
          <w:szCs w:val="20"/>
        </w:rPr>
      </w:pPr>
      <w:r w:rsidRPr="00BA26A6">
        <w:rPr>
          <w:rFonts w:ascii="Times New Roman" w:hAnsi="Times New Roman" w:cs="Times New Roman"/>
          <w:sz w:val="20"/>
          <w:szCs w:val="20"/>
        </w:rPr>
        <w:t>l'alinéa 11b) assure seulement qu'une décision judiciaire rapide sera prononcée en cas d'inculpation formelle, alors que l'art. 7 et l'al. 11d) fournissent une garantie fondamentale assurant que l'intégrité de tout le système sera toujours d'un intérêt primordial pour le tribunal</w:t>
      </w:r>
      <w:r>
        <w:rPr>
          <w:rFonts w:ascii="Times New Roman" w:hAnsi="Times New Roman" w:cs="Times New Roman"/>
          <w:sz w:val="20"/>
          <w:szCs w:val="20"/>
        </w:rPr>
        <w:t xml:space="preserve"> [26].</w:t>
      </w:r>
    </w:p>
    <w:p w14:paraId="50A14673" w14:textId="034540D3" w:rsidR="005B1770" w:rsidRDefault="005B1770" w:rsidP="005B1770">
      <w:pPr>
        <w:pStyle w:val="Paragraphedeliste"/>
        <w:numPr>
          <w:ilvl w:val="0"/>
          <w:numId w:val="119"/>
        </w:numPr>
        <w:jc w:val="both"/>
        <w:rPr>
          <w:rFonts w:ascii="Times New Roman" w:hAnsi="Times New Roman" w:cs="Times New Roman"/>
          <w:sz w:val="20"/>
          <w:szCs w:val="20"/>
        </w:rPr>
      </w:pPr>
      <w:r w:rsidRPr="00BA26A6">
        <w:rPr>
          <w:rFonts w:ascii="Times New Roman" w:hAnsi="Times New Roman" w:cs="Times New Roman"/>
          <w:sz w:val="20"/>
          <w:szCs w:val="20"/>
        </w:rPr>
        <w:t>À mon avis, notre critère du caractère raisonnable implique une équilibration de l'atteinte aux droits de l'accusé à partir du moment de son inculpation, atteinte qui procède du fait même des poursuites engagées contre lui et qui augmente radicalement avec le passage du temps, et de trois autres facteurs: (1) la renonciation à invoquer certaines périodes dans le calcul; (2) les délais inhérents à la nature de l'affaire et (3) les limitations des ressources institutionnelles</w:t>
      </w:r>
      <w:r>
        <w:rPr>
          <w:rFonts w:ascii="Times New Roman" w:hAnsi="Times New Roman" w:cs="Times New Roman"/>
          <w:sz w:val="20"/>
          <w:szCs w:val="20"/>
        </w:rPr>
        <w:t xml:space="preserve"> [31]</w:t>
      </w:r>
    </w:p>
    <w:p w14:paraId="367A8CDE" w14:textId="001A3D61" w:rsidR="005B1770" w:rsidRPr="005B1770" w:rsidRDefault="005B1770" w:rsidP="005B1770">
      <w:pPr>
        <w:pStyle w:val="Paragraphedeliste"/>
        <w:numPr>
          <w:ilvl w:val="0"/>
          <w:numId w:val="119"/>
        </w:numPr>
        <w:jc w:val="both"/>
        <w:rPr>
          <w:rFonts w:ascii="Times New Roman" w:hAnsi="Times New Roman" w:cs="Times New Roman"/>
          <w:sz w:val="20"/>
          <w:szCs w:val="20"/>
        </w:rPr>
      </w:pPr>
      <w:r w:rsidRPr="00BA26A6">
        <w:rPr>
          <w:rFonts w:ascii="Times New Roman" w:hAnsi="Times New Roman" w:cs="Times New Roman"/>
          <w:sz w:val="20"/>
          <w:szCs w:val="20"/>
        </w:rPr>
        <w:t xml:space="preserve">Comme je l'ai déjà affirmé dans les présents motifs et dans l'arrêt </w:t>
      </w:r>
      <w:r w:rsidRPr="00BA26A6">
        <w:rPr>
          <w:rFonts w:ascii="Times New Roman" w:hAnsi="Times New Roman" w:cs="Times New Roman"/>
          <w:i/>
          <w:iCs/>
          <w:sz w:val="20"/>
          <w:szCs w:val="20"/>
        </w:rPr>
        <w:t>Mills</w:t>
      </w:r>
      <w:r w:rsidRPr="00BA26A6">
        <w:rPr>
          <w:rFonts w:ascii="Times New Roman" w:hAnsi="Times New Roman" w:cs="Times New Roman"/>
          <w:sz w:val="20"/>
          <w:szCs w:val="20"/>
        </w:rPr>
        <w:t>, l'al. 11</w:t>
      </w:r>
      <w:r w:rsidRPr="00BA26A6">
        <w:rPr>
          <w:rFonts w:ascii="Times New Roman" w:hAnsi="Times New Roman" w:cs="Times New Roman"/>
          <w:i/>
          <w:iCs/>
          <w:sz w:val="20"/>
          <w:szCs w:val="20"/>
        </w:rPr>
        <w:t>b</w:t>
      </w:r>
      <w:r w:rsidRPr="00BA26A6">
        <w:rPr>
          <w:rFonts w:ascii="Times New Roman" w:hAnsi="Times New Roman" w:cs="Times New Roman"/>
          <w:sz w:val="20"/>
          <w:szCs w:val="20"/>
        </w:rPr>
        <w:t>) protège contre un assujettissement trop long à une accusation criminelle pendante et vise à soulager de la tension et de l'angoisse qui persistent jusqu'à ce que l'affaire soit finalement tranchée</w:t>
      </w:r>
      <w:r>
        <w:rPr>
          <w:rFonts w:ascii="Times New Roman" w:hAnsi="Times New Roman" w:cs="Times New Roman"/>
          <w:sz w:val="20"/>
          <w:szCs w:val="20"/>
        </w:rPr>
        <w:t xml:space="preserve"> [40]</w:t>
      </w:r>
    </w:p>
    <w:p w14:paraId="31DB9D1E" w14:textId="77777777" w:rsidR="005B1770" w:rsidRDefault="005B1770"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51276808" w14:textId="6FCED677" w:rsidR="005B1770" w:rsidRDefault="005B1770"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Les réparations</w:t>
      </w:r>
    </w:p>
    <w:p w14:paraId="34B7AFF1" w14:textId="4ECE302F" w:rsidR="0005301E" w:rsidRPr="0005301E" w:rsidRDefault="0005301E" w:rsidP="0005301E">
      <w:pPr>
        <w:pStyle w:val="Paragraphedeliste"/>
        <w:widowControl w:val="0"/>
        <w:numPr>
          <w:ilvl w:val="0"/>
          <w:numId w:val="120"/>
        </w:numPr>
        <w:autoSpaceDE w:val="0"/>
        <w:autoSpaceDN w:val="0"/>
        <w:adjustRightInd w:val="0"/>
        <w:spacing w:after="300"/>
        <w:jc w:val="both"/>
        <w:rPr>
          <w:rFonts w:ascii="Times New Roman" w:hAnsi="Times New Roman" w:cs="Times New Roman"/>
          <w:color w:val="3E3E3E"/>
          <w:sz w:val="22"/>
          <w:szCs w:val="22"/>
        </w:rPr>
      </w:pPr>
      <w:r w:rsidRPr="00BA26A6">
        <w:rPr>
          <w:rFonts w:ascii="Times New Roman" w:hAnsi="Times New Roman" w:cs="Times New Roman"/>
          <w:sz w:val="20"/>
          <w:szCs w:val="20"/>
        </w:rPr>
        <w:t xml:space="preserve">Passons maintenant à la question de la réparation. Dans l'arrêt </w:t>
      </w:r>
      <w:r w:rsidRPr="00BA26A6">
        <w:rPr>
          <w:rFonts w:ascii="Times New Roman" w:hAnsi="Times New Roman" w:cs="Times New Roman"/>
          <w:i/>
          <w:iCs/>
          <w:sz w:val="20"/>
          <w:szCs w:val="20"/>
        </w:rPr>
        <w:t>Mills</w:t>
      </w:r>
      <w:r w:rsidRPr="00BA26A6">
        <w:rPr>
          <w:rFonts w:ascii="Times New Roman" w:hAnsi="Times New Roman" w:cs="Times New Roman"/>
          <w:sz w:val="20"/>
          <w:szCs w:val="20"/>
        </w:rPr>
        <w:t>, j'ai déjà expliqué pourquoi la suspension d'instance constitue une réparation minimale. Si un accusé bénéficie en vertu de la Constitution du droit d'être jugé dans un délai raisonnable, il a aussi le droit de ne pas être jugé une fois ce délai écoulé et aucun tribunal n'a compétence pour le juger ou pour ordonner qu'il soit jugé contrairement à ce droit. Une fois écoulé un laps de temps déraisonnable, aucun procès, si équitable soit</w:t>
      </w:r>
      <w:r w:rsidRPr="00BA26A6">
        <w:rPr>
          <w:rFonts w:ascii="Palatino" w:hAnsi="Palatino" w:cs="Palatino"/>
          <w:sz w:val="20"/>
          <w:szCs w:val="20"/>
        </w:rPr>
        <w:t>‑</w:t>
      </w:r>
      <w:r w:rsidRPr="00BA26A6">
        <w:rPr>
          <w:rFonts w:ascii="Times New Roman" w:hAnsi="Times New Roman" w:cs="Times New Roman"/>
          <w:sz w:val="20"/>
          <w:szCs w:val="20"/>
        </w:rPr>
        <w:t xml:space="preserve">il, n'est autorisé. Laisser un procès suivre son cours après une telle conclusion reviendrait à participer à une autre violation de la </w:t>
      </w:r>
      <w:r w:rsidRPr="00BA26A6">
        <w:rPr>
          <w:rFonts w:ascii="Times New Roman" w:hAnsi="Times New Roman" w:cs="Times New Roman"/>
          <w:i/>
          <w:iCs/>
          <w:sz w:val="20"/>
          <w:szCs w:val="20"/>
        </w:rPr>
        <w:t>Charte</w:t>
      </w:r>
      <w:r>
        <w:rPr>
          <w:rFonts w:ascii="Times New Roman" w:hAnsi="Times New Roman" w:cs="Times New Roman"/>
          <w:i/>
          <w:iCs/>
          <w:sz w:val="20"/>
          <w:szCs w:val="20"/>
        </w:rPr>
        <w:t xml:space="preserve"> [48].</w:t>
      </w:r>
    </w:p>
    <w:p w14:paraId="52818B6A" w14:textId="04963762" w:rsidR="0005301E" w:rsidRPr="008B3AAF" w:rsidRDefault="0005301E" w:rsidP="0005301E">
      <w:pPr>
        <w:pStyle w:val="Paragraphedeliste"/>
        <w:widowControl w:val="0"/>
        <w:numPr>
          <w:ilvl w:val="0"/>
          <w:numId w:val="120"/>
        </w:numPr>
        <w:autoSpaceDE w:val="0"/>
        <w:autoSpaceDN w:val="0"/>
        <w:adjustRightInd w:val="0"/>
        <w:spacing w:after="300"/>
        <w:jc w:val="both"/>
        <w:rPr>
          <w:rFonts w:ascii="Times New Roman" w:hAnsi="Times New Roman" w:cs="Times New Roman"/>
          <w:color w:val="3E3E3E"/>
          <w:sz w:val="22"/>
          <w:szCs w:val="22"/>
        </w:rPr>
      </w:pPr>
      <w:r w:rsidRPr="00BA26A6">
        <w:rPr>
          <w:rFonts w:ascii="Times New Roman" w:hAnsi="Times New Roman" w:cs="Times New Roman"/>
          <w:sz w:val="20"/>
          <w:szCs w:val="20"/>
        </w:rPr>
        <w:t>Autrement dit, les tribunaux peuvent prendre des mesures préventives, parce qu'ils sont maîtres de leur propre procédure, avant qu'il y ait vraiment violation de l'al. 11</w:t>
      </w:r>
      <w:r w:rsidRPr="00BA26A6">
        <w:rPr>
          <w:rFonts w:ascii="Times New Roman" w:hAnsi="Times New Roman" w:cs="Times New Roman"/>
          <w:i/>
          <w:iCs/>
          <w:sz w:val="20"/>
          <w:szCs w:val="20"/>
        </w:rPr>
        <w:t>b</w:t>
      </w:r>
      <w:r w:rsidRPr="00BA26A6">
        <w:rPr>
          <w:rFonts w:ascii="Times New Roman" w:hAnsi="Times New Roman" w:cs="Times New Roman"/>
          <w:sz w:val="20"/>
          <w:szCs w:val="20"/>
        </w:rPr>
        <w:t>). Lorsque cependant, tenant compte des divers facteurs, le tribunal décide que le droit de l'accusé d'être jugé dans un délai raisonnable a déjà été enfreint, la réparation appropriée sera la suspension d'instance. Ce n'est pas nécessairement la seule réparation; d'autres formes de réparation peuvent être tout aussi justes et convenables eu égard aux circonstances. La suspension est un minimum auquel d'autres formes de réparation, tels par exemple les dommages</w:t>
      </w:r>
      <w:r w:rsidRPr="00BA26A6">
        <w:rPr>
          <w:rFonts w:ascii="Palatino" w:hAnsi="Palatino" w:cs="Palatino"/>
          <w:sz w:val="20"/>
          <w:szCs w:val="20"/>
        </w:rPr>
        <w:t>‑</w:t>
      </w:r>
      <w:r w:rsidRPr="00BA26A6">
        <w:rPr>
          <w:rFonts w:ascii="Times New Roman" w:hAnsi="Times New Roman" w:cs="Times New Roman"/>
          <w:sz w:val="20"/>
          <w:szCs w:val="20"/>
        </w:rPr>
        <w:t xml:space="preserve"> intérêts, peuvent être ajoutées, si l'on prouve l'intention malveillante de la poursuite et un préjudice en découlant.</w:t>
      </w:r>
      <w:r>
        <w:rPr>
          <w:rFonts w:ascii="Times New Roman" w:hAnsi="Times New Roman" w:cs="Times New Roman"/>
          <w:sz w:val="20"/>
          <w:szCs w:val="20"/>
        </w:rPr>
        <w:t xml:space="preserve"> [51].</w:t>
      </w:r>
    </w:p>
    <w:p w14:paraId="1DB3244D" w14:textId="77777777" w:rsidR="008B3AAF" w:rsidRPr="0005301E" w:rsidRDefault="008B3AAF" w:rsidP="008B3AAF">
      <w:pPr>
        <w:pStyle w:val="Paragraphedeliste"/>
        <w:widowControl w:val="0"/>
        <w:autoSpaceDE w:val="0"/>
        <w:autoSpaceDN w:val="0"/>
        <w:adjustRightInd w:val="0"/>
        <w:spacing w:after="300"/>
        <w:jc w:val="both"/>
        <w:rPr>
          <w:rFonts w:ascii="Times New Roman" w:hAnsi="Times New Roman" w:cs="Times New Roman"/>
          <w:color w:val="3E3E3E"/>
          <w:sz w:val="22"/>
          <w:szCs w:val="22"/>
        </w:rPr>
      </w:pPr>
    </w:p>
    <w:p w14:paraId="3E0BC55B" w14:textId="7AE7DDF0"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D. Absence répétée du prévenu au cours de l’enquête</w:t>
      </w:r>
      <w:r w:rsidR="008B3AAF">
        <w:rPr>
          <w:rFonts w:ascii="Times New Roman" w:hAnsi="Times New Roman" w:cs="Times New Roman"/>
          <w:color w:val="3E3E3E"/>
          <w:sz w:val="22"/>
          <w:szCs w:val="22"/>
          <w:u w:val="single"/>
        </w:rPr>
        <w:t xml:space="preserve"> (p.15)</w:t>
      </w:r>
    </w:p>
    <w:p w14:paraId="41D72567" w14:textId="649F2618" w:rsidR="00D03E08" w:rsidRDefault="008B3AAF" w:rsidP="00D03E08">
      <w:pPr>
        <w:pStyle w:val="Paragraphedeliste"/>
        <w:widowControl w:val="0"/>
        <w:numPr>
          <w:ilvl w:val="0"/>
          <w:numId w:val="121"/>
        </w:numPr>
        <w:autoSpaceDE w:val="0"/>
        <w:autoSpaceDN w:val="0"/>
        <w:adjustRightInd w:val="0"/>
        <w:spacing w:after="300"/>
        <w:jc w:val="both"/>
        <w:rPr>
          <w:rFonts w:ascii="Times New Roman" w:hAnsi="Times New Roman" w:cs="Times New Roman"/>
          <w:color w:val="3E3E3E"/>
          <w:sz w:val="22"/>
          <w:szCs w:val="22"/>
        </w:rPr>
      </w:pPr>
      <w:r w:rsidRPr="008B3AAF">
        <w:rPr>
          <w:rFonts w:ascii="Times New Roman" w:hAnsi="Times New Roman" w:cs="Times New Roman"/>
          <w:color w:val="3E3E3E"/>
          <w:sz w:val="22"/>
          <w:szCs w:val="22"/>
        </w:rPr>
        <w:t xml:space="preserve">L’article </w:t>
      </w:r>
      <w:r w:rsidRPr="008B3AAF">
        <w:rPr>
          <w:rFonts w:ascii="Times New Roman" w:hAnsi="Times New Roman" w:cs="Times New Roman"/>
          <w:b/>
          <w:color w:val="3E3E3E"/>
          <w:sz w:val="22"/>
          <w:szCs w:val="22"/>
        </w:rPr>
        <w:t>544 C.cr.</w:t>
      </w:r>
      <w:r w:rsidRPr="008B3AAF">
        <w:rPr>
          <w:rFonts w:ascii="Times New Roman" w:hAnsi="Times New Roman" w:cs="Times New Roman"/>
          <w:color w:val="3E3E3E"/>
          <w:sz w:val="22"/>
          <w:szCs w:val="22"/>
        </w:rPr>
        <w:t xml:space="preserve"> prévoit cette situation.</w:t>
      </w:r>
    </w:p>
    <w:p w14:paraId="4885438E" w14:textId="77777777" w:rsidR="008B3AAF" w:rsidRPr="008B3AAF" w:rsidRDefault="008B3AAF" w:rsidP="008B3AAF">
      <w:pPr>
        <w:pStyle w:val="Paragraphedeliste"/>
        <w:widowControl w:val="0"/>
        <w:autoSpaceDE w:val="0"/>
        <w:autoSpaceDN w:val="0"/>
        <w:adjustRightInd w:val="0"/>
        <w:spacing w:after="300"/>
        <w:jc w:val="both"/>
        <w:rPr>
          <w:rFonts w:ascii="Times New Roman" w:hAnsi="Times New Roman" w:cs="Times New Roman"/>
          <w:color w:val="3E3E3E"/>
          <w:sz w:val="22"/>
          <w:szCs w:val="22"/>
        </w:rPr>
      </w:pPr>
    </w:p>
    <w:p w14:paraId="4BA0F9F1" w14:textId="3B7D7A73"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§4. Témoins et Preuves</w:t>
      </w:r>
      <w:r w:rsidR="008B3AAF">
        <w:rPr>
          <w:rFonts w:ascii="Times New Roman" w:hAnsi="Times New Roman" w:cs="Times New Roman"/>
          <w:color w:val="3E3E3E"/>
          <w:sz w:val="22"/>
          <w:szCs w:val="22"/>
          <w:u w:val="single"/>
        </w:rPr>
        <w:t xml:space="preserve"> (p.16)</w:t>
      </w:r>
    </w:p>
    <w:p w14:paraId="3E7DA462" w14:textId="0B5DD08C" w:rsidR="00D03E08" w:rsidRDefault="00D03E08" w:rsidP="008B3AAF">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A. Témoignage sous serment et transcription</w:t>
      </w:r>
    </w:p>
    <w:p w14:paraId="29163306" w14:textId="40C0D512" w:rsidR="008B3AAF" w:rsidRDefault="008B3AAF" w:rsidP="008B3AAF">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Il faut se rappeler que les témoins déposent sous serment lors d’une enquête préliminaire.</w:t>
      </w:r>
    </w:p>
    <w:p w14:paraId="1315A753" w14:textId="12E938E3" w:rsidR="008B3AAF" w:rsidRPr="008B3AAF" w:rsidRDefault="008B3AAF" w:rsidP="008B3AAF">
      <w:pPr>
        <w:pStyle w:val="Paragraphedeliste"/>
        <w:widowControl w:val="0"/>
        <w:numPr>
          <w:ilvl w:val="0"/>
          <w:numId w:val="12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Article 540C.cr.</w:t>
      </w:r>
    </w:p>
    <w:p w14:paraId="106BCECD" w14:textId="1838089A" w:rsidR="008B3AAF" w:rsidRPr="008B3AAF" w:rsidRDefault="008B3AAF" w:rsidP="008B3AAF">
      <w:pPr>
        <w:pStyle w:val="Paragraphedeliste"/>
        <w:widowControl w:val="0"/>
        <w:numPr>
          <w:ilvl w:val="0"/>
          <w:numId w:val="12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Article 541(5) et (6) C.cr.</w:t>
      </w:r>
    </w:p>
    <w:p w14:paraId="751819D7" w14:textId="78F4A8B5" w:rsidR="00D03E08" w:rsidRPr="00005DA9" w:rsidRDefault="008B3AAF"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u w:val="single"/>
        </w:rPr>
        <w:t>B. Assistance au</w:t>
      </w:r>
      <w:r w:rsidR="00D03E08" w:rsidRPr="00005DA9">
        <w:rPr>
          <w:rFonts w:ascii="Times New Roman" w:hAnsi="Times New Roman" w:cs="Times New Roman"/>
          <w:color w:val="3E3E3E"/>
          <w:sz w:val="22"/>
          <w:szCs w:val="22"/>
          <w:u w:val="single"/>
        </w:rPr>
        <w:t xml:space="preserve"> témoin</w:t>
      </w:r>
      <w:r>
        <w:rPr>
          <w:rFonts w:ascii="Times New Roman" w:hAnsi="Times New Roman" w:cs="Times New Roman"/>
          <w:color w:val="3E3E3E"/>
          <w:sz w:val="22"/>
          <w:szCs w:val="22"/>
          <w:u w:val="single"/>
        </w:rPr>
        <w:t xml:space="preserve"> (p.17)</w:t>
      </w:r>
    </w:p>
    <w:p w14:paraId="38A44FEE" w14:textId="349D7ABD" w:rsidR="00D03E08" w:rsidRDefault="008B3AAF"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Le juge peut aider le témoin, notamment si le contre-interrogatoire s’en vient vexatoire. Voir l’article </w:t>
      </w:r>
      <w:r>
        <w:rPr>
          <w:rFonts w:ascii="Times New Roman" w:hAnsi="Times New Roman" w:cs="Times New Roman"/>
          <w:b/>
          <w:color w:val="3E3E3E"/>
          <w:sz w:val="22"/>
          <w:szCs w:val="22"/>
        </w:rPr>
        <w:t>537(1.1)C.cr.</w:t>
      </w:r>
    </w:p>
    <w:p w14:paraId="187A66C0" w14:textId="769CED47" w:rsidR="008B3AAF" w:rsidRPr="008B3AAF" w:rsidRDefault="008B3AAF" w:rsidP="00D03E08">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Dans le même ordre d’idées, il y a aussi des mesures de protection propre aux enfants. Voir les </w:t>
      </w:r>
      <w:r>
        <w:rPr>
          <w:rFonts w:ascii="Times New Roman" w:hAnsi="Times New Roman" w:cs="Times New Roman"/>
          <w:b/>
          <w:color w:val="3E3E3E"/>
          <w:sz w:val="22"/>
          <w:szCs w:val="22"/>
        </w:rPr>
        <w:t>article 486.1 et 486.2C.cr.</w:t>
      </w:r>
    </w:p>
    <w:p w14:paraId="129B3CFF" w14:textId="7D47C502"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C. Le témoin récalcitrant</w:t>
      </w:r>
      <w:r w:rsidR="008B3AAF">
        <w:rPr>
          <w:rFonts w:ascii="Times New Roman" w:hAnsi="Times New Roman" w:cs="Times New Roman"/>
          <w:color w:val="3E3E3E"/>
          <w:sz w:val="22"/>
          <w:szCs w:val="22"/>
          <w:u w:val="single"/>
        </w:rPr>
        <w:t xml:space="preserve"> (p.17)</w:t>
      </w:r>
    </w:p>
    <w:p w14:paraId="687FCCD0" w14:textId="154EEF2B" w:rsidR="00D03E08" w:rsidRPr="003B7EB9" w:rsidRDefault="008B3AAF"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Pour ce genre de cas, c’est l</w:t>
      </w:r>
      <w:r>
        <w:rPr>
          <w:rFonts w:ascii="Times New Roman" w:hAnsi="Times New Roman" w:cs="Times New Roman"/>
          <w:b/>
          <w:color w:val="3E3E3E"/>
          <w:sz w:val="22"/>
          <w:szCs w:val="22"/>
        </w:rPr>
        <w:t>’article 545C.cr.</w:t>
      </w:r>
    </w:p>
    <w:p w14:paraId="09E14106" w14:textId="2470B78C"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D. Le contre-interrogatoire par la défense du témoin de la poursuite</w:t>
      </w:r>
      <w:r w:rsidR="003B7EB9">
        <w:rPr>
          <w:rFonts w:ascii="Times New Roman" w:hAnsi="Times New Roman" w:cs="Times New Roman"/>
          <w:color w:val="3E3E3E"/>
          <w:sz w:val="22"/>
          <w:szCs w:val="22"/>
          <w:u w:val="single"/>
        </w:rPr>
        <w:t xml:space="preserve"> (p.17)</w:t>
      </w:r>
    </w:p>
    <w:p w14:paraId="21884784" w14:textId="520A77EC" w:rsidR="00D03E08" w:rsidRPr="003B7EB9" w:rsidRDefault="003B7EB9"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Prévue à l’a</w:t>
      </w:r>
      <w:r>
        <w:rPr>
          <w:rFonts w:ascii="Times New Roman" w:hAnsi="Times New Roman" w:cs="Times New Roman"/>
          <w:b/>
          <w:color w:val="3E3E3E"/>
          <w:sz w:val="22"/>
          <w:szCs w:val="22"/>
        </w:rPr>
        <w:t>rticle 540(1) (a) C.cr.</w:t>
      </w:r>
    </w:p>
    <w:p w14:paraId="042C5F9C" w14:textId="76A77378" w:rsidR="00D03E08" w:rsidRPr="003B7EB9" w:rsidRDefault="00D03E08" w:rsidP="00D03E08">
      <w:pPr>
        <w:widowControl w:val="0"/>
        <w:autoSpaceDE w:val="0"/>
        <w:autoSpaceDN w:val="0"/>
        <w:adjustRightInd w:val="0"/>
        <w:spacing w:after="300"/>
        <w:jc w:val="both"/>
        <w:rPr>
          <w:rFonts w:ascii="Times New Roman" w:hAnsi="Times New Roman" w:cs="Times New Roman"/>
          <w:color w:val="3E3E3E"/>
          <w:sz w:val="22"/>
          <w:szCs w:val="22"/>
        </w:rPr>
      </w:pPr>
      <w:r w:rsidRPr="00005DA9">
        <w:rPr>
          <w:rFonts w:ascii="Times New Roman" w:hAnsi="Times New Roman" w:cs="Times New Roman"/>
          <w:color w:val="3E3E3E"/>
          <w:sz w:val="22"/>
          <w:szCs w:val="22"/>
          <w:u w:val="single"/>
        </w:rPr>
        <w:t>E. Le prévenu non-représenté</w:t>
      </w:r>
      <w:r w:rsidR="003B7EB9">
        <w:rPr>
          <w:rFonts w:ascii="Times New Roman" w:hAnsi="Times New Roman" w:cs="Times New Roman"/>
          <w:color w:val="3E3E3E"/>
          <w:sz w:val="22"/>
          <w:szCs w:val="22"/>
          <w:u w:val="single"/>
        </w:rPr>
        <w:t xml:space="preserve"> (p.18).</w:t>
      </w:r>
    </w:p>
    <w:p w14:paraId="355C902E" w14:textId="04562598" w:rsidR="00D03E08" w:rsidRPr="00D37CD5" w:rsidRDefault="00D37CD5" w:rsidP="00D37CD5">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Prévue à l’article 541(2)C.cr.</w:t>
      </w:r>
    </w:p>
    <w:p w14:paraId="3B140A81"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F. Les témoins de la défense doivent être entendus</w:t>
      </w:r>
    </w:p>
    <w:p w14:paraId="0AE3CFE2" w14:textId="16BB69F5" w:rsidR="00D03E08" w:rsidRPr="00D37CD5" w:rsidRDefault="00D37CD5" w:rsidP="00D37CD5">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Prévue à l’article 541</w:t>
      </w:r>
      <w:r w:rsidR="00AC4DB3">
        <w:rPr>
          <w:rFonts w:ascii="Times New Roman" w:hAnsi="Times New Roman" w:cs="Times New Roman"/>
          <w:color w:val="3E3E3E"/>
          <w:sz w:val="22"/>
          <w:szCs w:val="22"/>
        </w:rPr>
        <w:t>C.cr. et voir aussi (5).</w:t>
      </w:r>
    </w:p>
    <w:p w14:paraId="60AABC7C" w14:textId="603F5EEC"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G. Un témoin peut être ré-entendu</w:t>
      </w:r>
      <w:r w:rsidR="00AC4DB3">
        <w:rPr>
          <w:rFonts w:ascii="Times New Roman" w:hAnsi="Times New Roman" w:cs="Times New Roman"/>
          <w:color w:val="3E3E3E"/>
          <w:sz w:val="22"/>
          <w:szCs w:val="22"/>
          <w:u w:val="single"/>
        </w:rPr>
        <w:t xml:space="preserve"> (p.18)</w:t>
      </w:r>
    </w:p>
    <w:p w14:paraId="110DC168" w14:textId="40647420" w:rsidR="00D03E08" w:rsidRPr="00AC4DB3" w:rsidRDefault="00AC4DB3" w:rsidP="00D03E08">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Voir article 537(1)(g)C.cr.</w:t>
      </w:r>
    </w:p>
    <w:p w14:paraId="57C17CE2" w14:textId="506F4F98"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H. Application des règles de preuve</w:t>
      </w:r>
      <w:r w:rsidR="00AC4DB3">
        <w:rPr>
          <w:rFonts w:ascii="Times New Roman" w:hAnsi="Times New Roman" w:cs="Times New Roman"/>
          <w:color w:val="3E3E3E"/>
          <w:sz w:val="22"/>
          <w:szCs w:val="22"/>
          <w:u w:val="single"/>
        </w:rPr>
        <w:t xml:space="preserve"> (p.18)</w:t>
      </w:r>
    </w:p>
    <w:p w14:paraId="68C7B4C8" w14:textId="0A47AAF7" w:rsidR="00AC4DB3" w:rsidRDefault="00AC4DB3"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Hynes 2001CSC :</w:t>
      </w:r>
    </w:p>
    <w:p w14:paraId="6781C3DD" w14:textId="2130C8EB" w:rsidR="00AC4DB3" w:rsidRPr="00AC4DB3" w:rsidRDefault="00AC4DB3" w:rsidP="00AC4DB3">
      <w:pPr>
        <w:pStyle w:val="Paragraphedeliste"/>
        <w:numPr>
          <w:ilvl w:val="0"/>
          <w:numId w:val="122"/>
        </w:numPr>
        <w:jc w:val="both"/>
        <w:rPr>
          <w:rFonts w:ascii="Times New Roman" w:hAnsi="Times New Roman" w:cs="Times New Roman"/>
          <w:sz w:val="20"/>
          <w:szCs w:val="20"/>
        </w:rPr>
      </w:pPr>
      <w:r w:rsidRPr="00AC4DB3">
        <w:rPr>
          <w:rFonts w:ascii="Times New Roman" w:hAnsi="Times New Roman" w:cs="Times New Roman"/>
          <w:sz w:val="20"/>
          <w:szCs w:val="20"/>
        </w:rPr>
        <w:t xml:space="preserve">Au soutien de cette fonction, le Parlement a doté l’enquête préliminaire d’une structure présentant de grandes similitudes avec celle de la cour chargée du procès.  L’enquête préliminaire se déroule comme un procès pour ce qui est de la présentation de la preuve.  De plus, l’enquête préliminaire est une cour d’archives et les témoignages y sont recueillis sous serment, en présence de l’accusé.  Ce dernier a le droit de contre-interroger les témoins du ministère public et de réfuter la preuve présentée par ce dernier.  Dans le cours de son appréciation du caractère suffisant de la preuve du ministère public, le juge qui préside l’enquête préliminaire peut statuer sur l’admissibilité de la preuve.  Le paragraphe 542(1) du </w:t>
      </w:r>
      <w:r w:rsidRPr="00AC4DB3">
        <w:rPr>
          <w:rFonts w:ascii="Times New Roman" w:hAnsi="Times New Roman" w:cs="Times New Roman"/>
          <w:i/>
          <w:iCs/>
          <w:sz w:val="20"/>
          <w:szCs w:val="20"/>
        </w:rPr>
        <w:t>Code</w:t>
      </w:r>
      <w:r w:rsidRPr="00AC4DB3">
        <w:rPr>
          <w:rFonts w:ascii="Times New Roman" w:hAnsi="Times New Roman" w:cs="Times New Roman"/>
          <w:sz w:val="20"/>
          <w:szCs w:val="20"/>
        </w:rPr>
        <w:t xml:space="preserve"> indique expressément que les déclarations faites par l’accusé font partie des éléments de preuve que le ministère public peut présenter à l’enquête préliminaire.  Les règles traditionnelles régissant l’admissibilité de la preuve s’appliquent à l’enquête préliminaire.  Notamment, le juge qui préside l’enquête préliminaire peut refuser d’admettre les déclarations faites par l’accusé à des personnes en situation d’autorité si elles n’ont pas été faites volontairement.</w:t>
      </w:r>
      <w:r>
        <w:rPr>
          <w:rFonts w:ascii="Times New Roman" w:hAnsi="Times New Roman" w:cs="Times New Roman"/>
          <w:sz w:val="20"/>
          <w:szCs w:val="20"/>
        </w:rPr>
        <w:t xml:space="preserve"> [32]</w:t>
      </w:r>
    </w:p>
    <w:p w14:paraId="7A767801" w14:textId="77777777" w:rsidR="00AC4DB3" w:rsidRDefault="00AC4DB3" w:rsidP="00AC4DB3">
      <w:pPr>
        <w:widowControl w:val="0"/>
        <w:autoSpaceDE w:val="0"/>
        <w:autoSpaceDN w:val="0"/>
        <w:adjustRightInd w:val="0"/>
        <w:spacing w:after="300"/>
        <w:jc w:val="both"/>
        <w:rPr>
          <w:rFonts w:ascii="Times New Roman" w:hAnsi="Times New Roman" w:cs="Times New Roman"/>
          <w:color w:val="3E3E3E"/>
          <w:sz w:val="22"/>
          <w:szCs w:val="22"/>
        </w:rPr>
      </w:pPr>
    </w:p>
    <w:p w14:paraId="73BEA8BF" w14:textId="1AD41DD0" w:rsidR="00AC4DB3" w:rsidRDefault="00AC4DB3" w:rsidP="00AC4DB3">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Deschamplain 2004 (p.19) :</w:t>
      </w:r>
    </w:p>
    <w:p w14:paraId="34E0DC98" w14:textId="585B4FB9" w:rsidR="00D03E08" w:rsidRPr="00AC4DB3" w:rsidRDefault="00AC4DB3" w:rsidP="00D03E08">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rPr>
      </w:pPr>
      <w:r w:rsidRPr="00F20B91">
        <w:rPr>
          <w:rFonts w:ascii="Times New Roman" w:hAnsi="Times New Roman" w:cs="Times New Roman"/>
          <w:sz w:val="20"/>
          <w:szCs w:val="20"/>
        </w:rPr>
        <w:t xml:space="preserve">L’intimé se demande pourquoi l’omission du juge qui préside une enquête préliminaire d’examiner la preuve présentée par le ministère public constitue une erreur de compétence, alors qu’il n’en va pas ainsi de l’exclusion erronée d’un élément de preuve à l’enquête préliminaire.  La réponse est simple.  Le juge de l’enquête préliminaire a compétence pour mener l’enquête conformément aux règles de preuve.   L’erreur dans l’application de ces règles qui ne constitue pas un déni de justice naturelle (lequel touche aussi la compétence : voir les arrêts </w:t>
      </w:r>
      <w:r w:rsidRPr="00F20B91">
        <w:rPr>
          <w:rFonts w:ascii="Times New Roman" w:hAnsi="Times New Roman" w:cs="Times New Roman"/>
          <w:i/>
          <w:iCs/>
          <w:sz w:val="20"/>
          <w:szCs w:val="20"/>
        </w:rPr>
        <w:t>Dubois</w:t>
      </w:r>
      <w:r w:rsidRPr="00F20B91">
        <w:rPr>
          <w:rFonts w:ascii="Times New Roman" w:hAnsi="Times New Roman" w:cs="Times New Roman"/>
          <w:sz w:val="20"/>
          <w:szCs w:val="20"/>
        </w:rPr>
        <w:t xml:space="preserve">, précité, p. 377, et </w:t>
      </w:r>
      <w:r w:rsidRPr="00F20B91">
        <w:rPr>
          <w:rFonts w:ascii="Times New Roman" w:hAnsi="Times New Roman" w:cs="Times New Roman"/>
          <w:i/>
          <w:iCs/>
          <w:sz w:val="20"/>
          <w:szCs w:val="20"/>
        </w:rPr>
        <w:t>Forsythe</w:t>
      </w:r>
      <w:r w:rsidRPr="00F20B91">
        <w:rPr>
          <w:rFonts w:ascii="Times New Roman" w:hAnsi="Times New Roman" w:cs="Times New Roman"/>
          <w:sz w:val="20"/>
          <w:szCs w:val="20"/>
        </w:rPr>
        <w:t xml:space="preserve">, précité, p. 272) reste une erreur de droit et ne devient pas une erreur de compétence.  Les erreurs de droit ne sont pas susceptibles de révision par voie de </w:t>
      </w:r>
      <w:r w:rsidRPr="00F20B91">
        <w:rPr>
          <w:rFonts w:ascii="Times New Roman" w:hAnsi="Times New Roman" w:cs="Times New Roman"/>
          <w:i/>
          <w:iCs/>
          <w:sz w:val="20"/>
          <w:szCs w:val="20"/>
        </w:rPr>
        <w:t>certiorari</w:t>
      </w:r>
      <w:r w:rsidRPr="00F20B91">
        <w:rPr>
          <w:rFonts w:ascii="Times New Roman" w:hAnsi="Times New Roman" w:cs="Times New Roman"/>
          <w:sz w:val="20"/>
          <w:szCs w:val="20"/>
        </w:rPr>
        <w:t>.</w:t>
      </w:r>
      <w:r>
        <w:rPr>
          <w:rFonts w:ascii="Times New Roman" w:hAnsi="Times New Roman" w:cs="Times New Roman"/>
          <w:sz w:val="20"/>
          <w:szCs w:val="20"/>
        </w:rPr>
        <w:t xml:space="preserve"> [17].</w:t>
      </w:r>
    </w:p>
    <w:p w14:paraId="317B7BAD" w14:textId="77777777" w:rsidR="00D03E08" w:rsidRPr="00AC4DB3" w:rsidRDefault="00D03E08" w:rsidP="00D03E08">
      <w:pPr>
        <w:widowControl w:val="0"/>
        <w:autoSpaceDE w:val="0"/>
        <w:autoSpaceDN w:val="0"/>
        <w:adjustRightInd w:val="0"/>
        <w:spacing w:after="300"/>
        <w:jc w:val="both"/>
        <w:rPr>
          <w:rFonts w:ascii="Times New Roman" w:hAnsi="Times New Roman" w:cs="Times New Roman"/>
          <w:color w:val="3E3E3E"/>
          <w:sz w:val="22"/>
          <w:szCs w:val="22"/>
        </w:rPr>
      </w:pPr>
      <w:r w:rsidRPr="00AC4DB3">
        <w:rPr>
          <w:rFonts w:ascii="Times New Roman" w:hAnsi="Times New Roman" w:cs="Times New Roman"/>
          <w:color w:val="3E3E3E"/>
          <w:sz w:val="22"/>
          <w:szCs w:val="22"/>
        </w:rPr>
        <w:t>1. L’admissibilité des confessions, aveux et déclarations</w:t>
      </w:r>
    </w:p>
    <w:p w14:paraId="6944681F" w14:textId="5AA7A07D" w:rsidR="00D03E08" w:rsidRDefault="00AC4DB3" w:rsidP="00AC4DB3">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 lien avec l’article 542(1) C.cr.</w:t>
      </w:r>
    </w:p>
    <w:p w14:paraId="4075CE80" w14:textId="22C9F795" w:rsidR="00924185" w:rsidRDefault="00924185" w:rsidP="0092418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Hynes 2001 :</w:t>
      </w:r>
    </w:p>
    <w:p w14:paraId="392BE200" w14:textId="781DA39C" w:rsidR="00924185" w:rsidRDefault="00924185" w:rsidP="00924185">
      <w:pPr>
        <w:pStyle w:val="Paragraphedeliste"/>
        <w:numPr>
          <w:ilvl w:val="0"/>
          <w:numId w:val="122"/>
        </w:numPr>
        <w:jc w:val="both"/>
        <w:rPr>
          <w:rFonts w:ascii="Times New Roman" w:hAnsi="Times New Roman" w:cs="Times New Roman"/>
          <w:sz w:val="20"/>
          <w:szCs w:val="20"/>
        </w:rPr>
      </w:pPr>
      <w:r w:rsidRPr="00924185">
        <w:rPr>
          <w:rFonts w:ascii="Times New Roman" w:hAnsi="Times New Roman" w:cs="Times New Roman"/>
          <w:sz w:val="20"/>
          <w:szCs w:val="20"/>
        </w:rPr>
        <w:t xml:space="preserve">L’appelant plaide que le fait de reporter au procès l’examen des questions liées au par. 24(2) crée des anomalies dans le fonctionnement des enquêtes préliminaires, notamment en ce qui a trait aux déclarations de l’accusé.  Les juges présidant les enquêtes préliminaires peuvent généralement écarter, pour cause d’inadmissibilité en common law, tout aveu, confession ou déclaration d’un accusé.  De fait, le Parlement a fait expressément allusion à ce pouvoir au par. 542(1) du </w:t>
      </w:r>
      <w:r w:rsidRPr="00924185">
        <w:rPr>
          <w:rFonts w:ascii="Times New Roman" w:hAnsi="Times New Roman" w:cs="Times New Roman"/>
          <w:i/>
          <w:iCs/>
          <w:sz w:val="20"/>
          <w:szCs w:val="20"/>
        </w:rPr>
        <w:t>Code</w:t>
      </w:r>
      <w:r w:rsidRPr="00924185">
        <w:rPr>
          <w:rFonts w:ascii="Times New Roman" w:hAnsi="Times New Roman" w:cs="Times New Roman"/>
          <w:sz w:val="20"/>
          <w:szCs w:val="20"/>
        </w:rPr>
        <w:t xml:space="preserve">.  Il en résulte l’anomalie apparente que le juge qui préside une enquête préliminaire est habilité à écarter des déclarations faites par un accusé parce qu’elles n’étaient pas volontaires (et donc inadmissibles en common law), mais non parce qu’elles ont été obtenues en violation de la </w:t>
      </w:r>
      <w:r w:rsidRPr="00924185">
        <w:rPr>
          <w:rFonts w:ascii="Times New Roman" w:hAnsi="Times New Roman" w:cs="Times New Roman"/>
          <w:i/>
          <w:iCs/>
          <w:sz w:val="20"/>
          <w:szCs w:val="20"/>
        </w:rPr>
        <w:t>Charte</w:t>
      </w:r>
      <w:r w:rsidRPr="00924185">
        <w:rPr>
          <w:rFonts w:ascii="Times New Roman" w:hAnsi="Times New Roman" w:cs="Times New Roman"/>
          <w:sz w:val="20"/>
          <w:szCs w:val="20"/>
        </w:rPr>
        <w:t xml:space="preserve">.  Cette anomalie, de prétendre l’appelant, est exacerbée par le fait que les mêmes circonstances peuvent être pertinentes autant à l’égard du caractère volontaire d’une déclaration que d’une prétendue violation de la </w:t>
      </w:r>
      <w:r w:rsidRPr="00924185">
        <w:rPr>
          <w:rFonts w:ascii="Times New Roman" w:hAnsi="Times New Roman" w:cs="Times New Roman"/>
          <w:i/>
          <w:iCs/>
          <w:sz w:val="20"/>
          <w:szCs w:val="20"/>
        </w:rPr>
        <w:t>Charte</w:t>
      </w:r>
      <w:r w:rsidRPr="00924185">
        <w:rPr>
          <w:rFonts w:ascii="Times New Roman" w:hAnsi="Times New Roman" w:cs="Times New Roman"/>
          <w:sz w:val="20"/>
          <w:szCs w:val="20"/>
        </w:rPr>
        <w:t xml:space="preserve">.  Toutefois, le juge présidant une enquête préliminaire peut, suivant la règle actuelle, examiner l’admissibilité de la déclaration en fonction de la première considération (le caractère volontaire), mais non de la seconde (violations de la </w:t>
      </w:r>
      <w:r w:rsidRPr="00924185">
        <w:rPr>
          <w:rFonts w:ascii="Times New Roman" w:hAnsi="Times New Roman" w:cs="Times New Roman"/>
          <w:i/>
          <w:iCs/>
          <w:sz w:val="20"/>
          <w:szCs w:val="20"/>
        </w:rPr>
        <w:t>Charte</w:t>
      </w:r>
      <w:r w:rsidRPr="00924185">
        <w:rPr>
          <w:rFonts w:ascii="Times New Roman" w:hAnsi="Times New Roman" w:cs="Times New Roman"/>
          <w:sz w:val="20"/>
          <w:szCs w:val="20"/>
        </w:rPr>
        <w:t>).</w:t>
      </w:r>
      <w:r>
        <w:rPr>
          <w:rFonts w:ascii="Times New Roman" w:hAnsi="Times New Roman" w:cs="Times New Roman"/>
          <w:sz w:val="20"/>
          <w:szCs w:val="20"/>
        </w:rPr>
        <w:t xml:space="preserve"> [47]</w:t>
      </w:r>
    </w:p>
    <w:p w14:paraId="241A9C39" w14:textId="77777777" w:rsidR="00924185" w:rsidRPr="00924185" w:rsidRDefault="00924185" w:rsidP="00924185">
      <w:pPr>
        <w:pStyle w:val="Paragraphedeliste"/>
        <w:jc w:val="both"/>
        <w:rPr>
          <w:rFonts w:ascii="Times New Roman" w:hAnsi="Times New Roman" w:cs="Times New Roman"/>
          <w:sz w:val="20"/>
          <w:szCs w:val="20"/>
        </w:rPr>
      </w:pPr>
    </w:p>
    <w:p w14:paraId="005B6A06" w14:textId="77777777" w:rsidR="00D03E08" w:rsidRPr="00AC4DB3" w:rsidRDefault="00D03E08" w:rsidP="00D03E08">
      <w:pPr>
        <w:widowControl w:val="0"/>
        <w:autoSpaceDE w:val="0"/>
        <w:autoSpaceDN w:val="0"/>
        <w:adjustRightInd w:val="0"/>
        <w:spacing w:after="300"/>
        <w:jc w:val="both"/>
        <w:rPr>
          <w:rFonts w:ascii="Times New Roman" w:hAnsi="Times New Roman" w:cs="Times New Roman"/>
          <w:color w:val="3E3E3E"/>
          <w:sz w:val="22"/>
          <w:szCs w:val="22"/>
        </w:rPr>
      </w:pPr>
      <w:r w:rsidRPr="00AC4DB3">
        <w:rPr>
          <w:rFonts w:ascii="Times New Roman" w:hAnsi="Times New Roman" w:cs="Times New Roman"/>
          <w:color w:val="3E3E3E"/>
          <w:sz w:val="22"/>
          <w:szCs w:val="22"/>
        </w:rPr>
        <w:t>2. L’admission de renseignements plausibles</w:t>
      </w:r>
    </w:p>
    <w:p w14:paraId="4DFF05DA" w14:textId="3CE28841" w:rsidR="00D03E08" w:rsidRPr="00924185" w:rsidRDefault="00924185"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En lien avec l’article 540(7), (8), (9) C.cr.</w:t>
      </w:r>
    </w:p>
    <w:p w14:paraId="7AD9FBFB" w14:textId="1CF5CBB4"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§5. Renvoi à procès ou libération</w:t>
      </w:r>
    </w:p>
    <w:p w14:paraId="5991EF31" w14:textId="15B5E5BE" w:rsidR="00924185" w:rsidRPr="00924185" w:rsidRDefault="00924185" w:rsidP="00924185">
      <w:pPr>
        <w:pStyle w:val="Paragraphedeliste"/>
        <w:widowControl w:val="0"/>
        <w:numPr>
          <w:ilvl w:val="0"/>
          <w:numId w:val="122"/>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Voir l’article </w:t>
      </w:r>
      <w:r>
        <w:rPr>
          <w:rFonts w:ascii="Times New Roman" w:hAnsi="Times New Roman" w:cs="Times New Roman"/>
          <w:b/>
          <w:color w:val="3E3E3E"/>
          <w:sz w:val="22"/>
          <w:szCs w:val="22"/>
        </w:rPr>
        <w:t>548C.cr.</w:t>
      </w:r>
    </w:p>
    <w:p w14:paraId="17A4C20C"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A. Le test applicable</w:t>
      </w:r>
    </w:p>
    <w:p w14:paraId="26B5158F" w14:textId="0DBA89A2" w:rsidR="00D03E08" w:rsidRDefault="00924185" w:rsidP="00D03E0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On l’a vue en pénal générale, que le juge doit seulement voir si, prima facie, il y a suffisance de preuve pour matière à procès lors de l’enquête préliminaire. Arrêt Arcury ?</w:t>
      </w:r>
    </w:p>
    <w:p w14:paraId="324DF5C6" w14:textId="1D71B348" w:rsidR="00924185" w:rsidRDefault="00924185"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USA c. Shephard 1997 (p.19) :</w:t>
      </w:r>
    </w:p>
    <w:p w14:paraId="2DF78DA0" w14:textId="3C4CA4E2" w:rsidR="00924185" w:rsidRDefault="00924185" w:rsidP="00924185">
      <w:pPr>
        <w:pStyle w:val="Paragraphedeliste"/>
        <w:numPr>
          <w:ilvl w:val="0"/>
          <w:numId w:val="122"/>
        </w:numPr>
        <w:jc w:val="both"/>
        <w:rPr>
          <w:rFonts w:ascii="Times New Roman" w:hAnsi="Times New Roman" w:cs="Times New Roman"/>
          <w:sz w:val="20"/>
          <w:szCs w:val="20"/>
        </w:rPr>
      </w:pPr>
      <w:r w:rsidRPr="00924185">
        <w:rPr>
          <w:rFonts w:ascii="Times New Roman" w:hAnsi="Times New Roman" w:cs="Times New Roman"/>
          <w:sz w:val="20"/>
          <w:szCs w:val="20"/>
        </w:rPr>
        <w:t xml:space="preserve">Je conviens que le devoir imposé à un «juge de paix» aux termes du par. (1) de l’art. 475 </w:t>
      </w:r>
      <w:r w:rsidRPr="00924185">
        <w:rPr>
          <w:rFonts w:ascii="Times New Roman" w:hAnsi="Times New Roman" w:cs="Times New Roman"/>
          <w:b/>
          <w:sz w:val="20"/>
          <w:szCs w:val="20"/>
        </w:rPr>
        <w:t>est le même que celui du juge du procès siégeant avec un jury</w:t>
      </w:r>
      <w:r w:rsidRPr="00924185">
        <w:rPr>
          <w:rFonts w:ascii="Times New Roman" w:hAnsi="Times New Roman" w:cs="Times New Roman"/>
          <w:sz w:val="20"/>
          <w:szCs w:val="20"/>
        </w:rPr>
        <w:t xml:space="preserve"> lorsqu’il doit décider si la preuve est «suffisante» pour dessaisir le jury selon qu’il existe ou non des éléments de preuve au vu desquels un jury équitable, ayant reçu des directives appropriées, pourrait conclure à la culpabilité. Conformément à ce principe, j’estime que le «juge de paix» doit renvoyer la personne inculpée pour qu’elle subisse son procès chaque fois qu’il existe des éléments de preuve admissibles qui pourraient, s’ils étaient crus, entraîner une déclaration de culpabilité.</w:t>
      </w:r>
    </w:p>
    <w:p w14:paraId="50551C87" w14:textId="77777777" w:rsidR="00924185" w:rsidRDefault="00924185" w:rsidP="00924185">
      <w:pPr>
        <w:pStyle w:val="Paragraphedeliste"/>
        <w:jc w:val="both"/>
        <w:rPr>
          <w:rFonts w:ascii="Times New Roman" w:hAnsi="Times New Roman" w:cs="Times New Roman"/>
          <w:sz w:val="20"/>
          <w:szCs w:val="20"/>
        </w:rPr>
      </w:pPr>
    </w:p>
    <w:p w14:paraId="483EC206" w14:textId="3C60A5A8" w:rsidR="00924185" w:rsidRDefault="00924185" w:rsidP="00924185">
      <w:pPr>
        <w:jc w:val="both"/>
        <w:rPr>
          <w:rFonts w:ascii="Times New Roman" w:hAnsi="Times New Roman" w:cs="Times New Roman"/>
          <w:b/>
          <w:i/>
          <w:sz w:val="22"/>
          <w:szCs w:val="22"/>
        </w:rPr>
      </w:pPr>
      <w:r>
        <w:rPr>
          <w:rFonts w:ascii="Times New Roman" w:hAnsi="Times New Roman" w:cs="Times New Roman"/>
          <w:b/>
          <w:i/>
          <w:sz w:val="22"/>
          <w:szCs w:val="22"/>
        </w:rPr>
        <w:t>R. c. Deschamplain 2004 :</w:t>
      </w:r>
    </w:p>
    <w:p w14:paraId="5F53EAA4" w14:textId="53F5C46C" w:rsidR="00924185" w:rsidRPr="00924185" w:rsidRDefault="00924185" w:rsidP="00924185">
      <w:pPr>
        <w:pStyle w:val="Paragraphedeliste"/>
        <w:numPr>
          <w:ilvl w:val="0"/>
          <w:numId w:val="123"/>
        </w:numPr>
        <w:jc w:val="both"/>
        <w:rPr>
          <w:rFonts w:ascii="Times New Roman" w:hAnsi="Times New Roman" w:cs="Times New Roman"/>
          <w:sz w:val="20"/>
          <w:szCs w:val="20"/>
          <w:lang w:val="fr-CA"/>
        </w:rPr>
      </w:pPr>
      <w:r w:rsidRPr="00924185">
        <w:rPr>
          <w:rFonts w:ascii="Times New Roman" w:hAnsi="Times New Roman" w:cs="Times New Roman"/>
          <w:sz w:val="20"/>
          <w:szCs w:val="20"/>
          <w:lang w:val="fr-CA"/>
        </w:rPr>
        <w:t>Dans la décision qui nous occupe, le juge Laskin a décidé que l’al. 548(1)</w:t>
      </w:r>
      <w:r w:rsidRPr="00924185">
        <w:rPr>
          <w:rFonts w:ascii="Times New Roman" w:hAnsi="Times New Roman" w:cs="Times New Roman"/>
          <w:i/>
          <w:iCs/>
          <w:sz w:val="20"/>
          <w:szCs w:val="20"/>
          <w:lang w:val="fr-CA"/>
        </w:rPr>
        <w:t>b</w:t>
      </w:r>
      <w:r w:rsidRPr="00924185">
        <w:rPr>
          <w:rFonts w:ascii="Times New Roman" w:hAnsi="Times New Roman" w:cs="Times New Roman"/>
          <w:sz w:val="20"/>
          <w:szCs w:val="20"/>
          <w:lang w:val="fr-CA"/>
        </w:rPr>
        <w:t>) n’exige pas, sur le plan de la compétence, que le juge de l’enquête préliminaire examine l’ensemble de la preuve.  Au paragraphe 37, il a affirmé conclure ainsi parce que</w:t>
      </w:r>
      <w:r>
        <w:rPr>
          <w:rFonts w:ascii="Times New Roman" w:hAnsi="Times New Roman" w:cs="Times New Roman"/>
          <w:sz w:val="20"/>
          <w:szCs w:val="20"/>
          <w:lang w:val="fr-CA"/>
        </w:rPr>
        <w:t xml:space="preserve"> </w:t>
      </w:r>
      <w:r w:rsidRPr="00924185">
        <w:rPr>
          <w:rFonts w:ascii="Times New Roman" w:hAnsi="Times New Roman" w:cs="Times New Roman"/>
          <w:sz w:val="20"/>
          <w:szCs w:val="20"/>
          <w:lang w:val="fr-CA"/>
        </w:rPr>
        <w:t xml:space="preserve">[traduction]  accepter que l’omission d’examiner l’ensemble de la preuve constitue une erreur de compétence risque pour ainsi dire de faire de chaque erreur de droit une erreur de compétence.  Cela irait à l’encontre de la jurisprudence abondante, dont l’arrêt </w:t>
      </w:r>
      <w:r w:rsidRPr="00924185">
        <w:rPr>
          <w:rFonts w:ascii="Times New Roman" w:hAnsi="Times New Roman" w:cs="Times New Roman"/>
          <w:i/>
          <w:iCs/>
          <w:sz w:val="20"/>
          <w:szCs w:val="20"/>
          <w:lang w:val="fr-CA"/>
        </w:rPr>
        <w:t>Dubois</w:t>
      </w:r>
      <w:r w:rsidRPr="00924185">
        <w:rPr>
          <w:rFonts w:ascii="Times New Roman" w:hAnsi="Times New Roman" w:cs="Times New Roman"/>
          <w:sz w:val="20"/>
          <w:szCs w:val="20"/>
          <w:lang w:val="fr-CA"/>
        </w:rPr>
        <w:t xml:space="preserve">, selon laquelle bien des erreurs de droit ne sont pas des erreurs de compétence.  En fait, la Cour suprême du Canada a jugé que la simple omission d’examiner un élément de preuve pertinent ne peut même pas être une erreur de droit : voir </w:t>
      </w:r>
      <w:r w:rsidRPr="00924185">
        <w:rPr>
          <w:rFonts w:ascii="Times New Roman" w:hAnsi="Times New Roman" w:cs="Times New Roman"/>
          <w:i/>
          <w:iCs/>
          <w:sz w:val="20"/>
          <w:szCs w:val="20"/>
          <w:lang w:val="fr-CA"/>
        </w:rPr>
        <w:t>R. c. Morin</w:t>
      </w:r>
      <w:r w:rsidRPr="00924185">
        <w:rPr>
          <w:rFonts w:ascii="Times New Roman" w:hAnsi="Times New Roman" w:cs="Times New Roman"/>
          <w:sz w:val="20"/>
          <w:szCs w:val="20"/>
          <w:lang w:val="fr-CA"/>
        </w:rPr>
        <w:t xml:space="preserve"> (1992) . . .</w:t>
      </w:r>
      <w:r>
        <w:rPr>
          <w:rFonts w:ascii="Times New Roman" w:hAnsi="Times New Roman" w:cs="Times New Roman"/>
          <w:sz w:val="20"/>
          <w:szCs w:val="20"/>
          <w:lang w:val="fr-CA"/>
        </w:rPr>
        <w:t xml:space="preserve"> [14]</w:t>
      </w:r>
      <w:r w:rsidRPr="00924185">
        <w:rPr>
          <w:rFonts w:ascii="Times New Roman" w:hAnsi="Times New Roman" w:cs="Times New Roman"/>
          <w:sz w:val="20"/>
          <w:szCs w:val="20"/>
          <w:lang w:val="fr-CA"/>
        </w:rPr>
        <w:t> </w:t>
      </w:r>
    </w:p>
    <w:p w14:paraId="315D6FF1" w14:textId="60ECCD6C" w:rsidR="00924185" w:rsidRPr="00924185" w:rsidRDefault="00924185" w:rsidP="00924185">
      <w:pPr>
        <w:pStyle w:val="Paragraphedeliste"/>
        <w:numPr>
          <w:ilvl w:val="0"/>
          <w:numId w:val="123"/>
        </w:numPr>
        <w:jc w:val="both"/>
        <w:rPr>
          <w:rFonts w:ascii="Times New Roman" w:hAnsi="Times New Roman" w:cs="Times New Roman"/>
          <w:sz w:val="20"/>
          <w:szCs w:val="20"/>
          <w:lang w:val="fr-CA"/>
        </w:rPr>
      </w:pPr>
      <w:r w:rsidRPr="00924185">
        <w:rPr>
          <w:rFonts w:ascii="Times New Roman" w:hAnsi="Times New Roman" w:cs="Times New Roman"/>
          <w:sz w:val="20"/>
          <w:szCs w:val="20"/>
          <w:lang w:val="fr-CA"/>
        </w:rPr>
        <w:t>En toute déférence, le juge Laskin paraît avoir utilisé hors de son contexte le raisonnement de notre Cour dans l’affaire </w:t>
      </w:r>
      <w:r w:rsidRPr="00924185">
        <w:rPr>
          <w:rFonts w:ascii="Times New Roman" w:hAnsi="Times New Roman" w:cs="Times New Roman"/>
          <w:i/>
          <w:iCs/>
          <w:sz w:val="20"/>
          <w:szCs w:val="20"/>
          <w:lang w:val="fr-CA"/>
        </w:rPr>
        <w:t>R. c. Morin</w:t>
      </w:r>
      <w:r w:rsidRPr="00924185">
        <w:rPr>
          <w:rFonts w:ascii="Times New Roman" w:hAnsi="Times New Roman" w:cs="Times New Roman"/>
          <w:sz w:val="20"/>
          <w:szCs w:val="20"/>
          <w:lang w:val="fr-CA"/>
        </w:rPr>
        <w:t xml:space="preserve">, </w:t>
      </w:r>
      <w:bookmarkStart w:id="4" w:name="reflex-caselaw-63925157"/>
      <w:r w:rsidRPr="00924185">
        <w:rPr>
          <w:rFonts w:ascii="Times New Roman" w:hAnsi="Times New Roman" w:cs="Times New Roman"/>
          <w:sz w:val="20"/>
          <w:szCs w:val="20"/>
          <w:lang w:val="fr-CA"/>
        </w:rPr>
        <w:fldChar w:fldCharType="begin"/>
      </w:r>
      <w:r w:rsidRPr="00924185">
        <w:rPr>
          <w:rFonts w:ascii="Times New Roman" w:hAnsi="Times New Roman" w:cs="Times New Roman"/>
          <w:sz w:val="20"/>
          <w:szCs w:val="20"/>
          <w:lang w:val="fr-CA"/>
        </w:rPr>
        <w:instrText xml:space="preserve"> HYPERLINK "http://www.canlii.org/fr/ca/csc/doc/1992/1992canlii40/1992canlii40.html" </w:instrText>
      </w:r>
      <w:r w:rsidRPr="00924185">
        <w:rPr>
          <w:rFonts w:ascii="Times New Roman" w:hAnsi="Times New Roman" w:cs="Times New Roman"/>
          <w:sz w:val="20"/>
          <w:szCs w:val="20"/>
          <w:lang w:val="fr-CA"/>
        </w:rPr>
        <w:fldChar w:fldCharType="separate"/>
      </w:r>
      <w:r w:rsidRPr="00924185">
        <w:rPr>
          <w:rStyle w:val="Lienhypertexte"/>
          <w:rFonts w:ascii="Times New Roman" w:hAnsi="Times New Roman" w:cs="Times New Roman"/>
          <w:sz w:val="20"/>
          <w:szCs w:val="20"/>
          <w:lang w:val="fr-CA"/>
        </w:rPr>
        <w:t>1992 CanLII 40 (CSC)</w:t>
      </w:r>
      <w:r w:rsidRPr="00924185">
        <w:rPr>
          <w:rFonts w:ascii="Times New Roman" w:hAnsi="Times New Roman" w:cs="Times New Roman"/>
          <w:sz w:val="20"/>
          <w:szCs w:val="20"/>
        </w:rPr>
        <w:fldChar w:fldCharType="end"/>
      </w:r>
      <w:bookmarkEnd w:id="4"/>
      <w:r w:rsidRPr="00924185">
        <w:rPr>
          <w:rFonts w:ascii="Times New Roman" w:hAnsi="Times New Roman" w:cs="Times New Roman"/>
          <w:sz w:val="20"/>
          <w:szCs w:val="20"/>
          <w:lang w:val="fr-CA"/>
        </w:rPr>
        <w:t xml:space="preserve">, [1992] 3 R.C.S. 286.  Celle-ci concernait, en effet, non pas une enquête préliminaire, mais un procès.  À la page 297, le juge Sopinka a décidé, au nom de la Cour, que rien ne permettait de conclure que le juge du procès n’avait pas considéré l’ensemble de la preuve pour arriver à son verdict.  Alors qu’il est loisible au juge du procès d’évaluer la qualité, la crédibilité et la fiabilité de la preuve, le juge qui préside une enquête préliminaire ne peut tirer des conclusions à ce sujet : voir </w:t>
      </w:r>
      <w:r w:rsidRPr="00924185">
        <w:rPr>
          <w:rFonts w:ascii="Times New Roman" w:hAnsi="Times New Roman" w:cs="Times New Roman"/>
          <w:i/>
          <w:iCs/>
          <w:sz w:val="20"/>
          <w:szCs w:val="20"/>
          <w:lang w:val="fr-CA"/>
        </w:rPr>
        <w:t>R. c. Arcuri</w:t>
      </w:r>
      <w:r w:rsidRPr="00924185">
        <w:rPr>
          <w:rFonts w:ascii="Times New Roman" w:hAnsi="Times New Roman" w:cs="Times New Roman"/>
          <w:sz w:val="20"/>
          <w:szCs w:val="20"/>
          <w:lang w:val="fr-CA"/>
        </w:rPr>
        <w:t xml:space="preserve">, </w:t>
      </w:r>
      <w:bookmarkStart w:id="5" w:name="reflex-caselaw-63925164"/>
      <w:r w:rsidRPr="00924185">
        <w:rPr>
          <w:rFonts w:ascii="Times New Roman" w:hAnsi="Times New Roman" w:cs="Times New Roman"/>
          <w:sz w:val="20"/>
          <w:szCs w:val="20"/>
          <w:lang w:val="fr-CA"/>
        </w:rPr>
        <w:fldChar w:fldCharType="begin"/>
      </w:r>
      <w:r w:rsidRPr="00924185">
        <w:rPr>
          <w:rFonts w:ascii="Times New Roman" w:hAnsi="Times New Roman" w:cs="Times New Roman"/>
          <w:sz w:val="20"/>
          <w:szCs w:val="20"/>
          <w:lang w:val="fr-CA"/>
        </w:rPr>
        <w:instrText xml:space="preserve"> HYPERLINK "http://www.canlii.org/fr/ca/csc/doc/2001/2001csc54/2001csc54.html" </w:instrText>
      </w:r>
      <w:r w:rsidRPr="00924185">
        <w:rPr>
          <w:rFonts w:ascii="Times New Roman" w:hAnsi="Times New Roman" w:cs="Times New Roman"/>
          <w:sz w:val="20"/>
          <w:szCs w:val="20"/>
          <w:lang w:val="fr-CA"/>
        </w:rPr>
        <w:fldChar w:fldCharType="separate"/>
      </w:r>
      <w:r w:rsidRPr="00924185">
        <w:rPr>
          <w:rStyle w:val="Lienhypertexte"/>
          <w:rFonts w:ascii="Times New Roman" w:hAnsi="Times New Roman" w:cs="Times New Roman"/>
          <w:sz w:val="20"/>
          <w:szCs w:val="20"/>
          <w:lang w:val="fr-CA"/>
        </w:rPr>
        <w:t>2001 CSC 54 (CanLII)</w:t>
      </w:r>
      <w:r w:rsidRPr="00924185">
        <w:rPr>
          <w:rFonts w:ascii="Times New Roman" w:hAnsi="Times New Roman" w:cs="Times New Roman"/>
          <w:sz w:val="20"/>
          <w:szCs w:val="20"/>
        </w:rPr>
        <w:fldChar w:fldCharType="end"/>
      </w:r>
      <w:bookmarkEnd w:id="5"/>
      <w:r w:rsidRPr="00924185">
        <w:rPr>
          <w:rFonts w:ascii="Times New Roman" w:hAnsi="Times New Roman" w:cs="Times New Roman"/>
          <w:sz w:val="20"/>
          <w:szCs w:val="20"/>
          <w:lang w:val="fr-CA"/>
        </w:rPr>
        <w:t>, [2001] 2 R.C.S. 828, 2001 CSC 54, par. 30.  Comme l’a affirmé, à juste titre, la juge de l’enquête préliminaire en l’espèce, [traduction] « [p]our déterminer s’il existe une preuve suffisante pour ordonner le renvoi à procès, il n’est pas permis, à ce stade, d’évaluer la qualité et la fiabilité des éléments de preuve ou de soupeser ceux qui donnent l</w:t>
      </w:r>
      <w:r>
        <w:rPr>
          <w:rFonts w:ascii="Times New Roman" w:hAnsi="Times New Roman" w:cs="Times New Roman"/>
          <w:sz w:val="20"/>
          <w:szCs w:val="20"/>
          <w:lang w:val="fr-CA"/>
        </w:rPr>
        <w:t>ieu à des inférences opposées.» [15].</w:t>
      </w:r>
    </w:p>
    <w:p w14:paraId="62BFE4D6" w14:textId="77777777" w:rsidR="00924185" w:rsidRDefault="00924185" w:rsidP="00924185">
      <w:pPr>
        <w:jc w:val="both"/>
        <w:rPr>
          <w:rFonts w:ascii="Times New Roman" w:hAnsi="Times New Roman" w:cs="Times New Roman"/>
          <w:sz w:val="22"/>
          <w:szCs w:val="22"/>
        </w:rPr>
      </w:pPr>
    </w:p>
    <w:p w14:paraId="6EF1614C" w14:textId="4D49811B" w:rsidR="00924185" w:rsidRDefault="00924185" w:rsidP="00924185">
      <w:pPr>
        <w:jc w:val="both"/>
        <w:rPr>
          <w:rFonts w:ascii="Times New Roman" w:hAnsi="Times New Roman" w:cs="Times New Roman"/>
          <w:sz w:val="22"/>
          <w:szCs w:val="22"/>
        </w:rPr>
      </w:pPr>
      <w:r>
        <w:rPr>
          <w:rFonts w:ascii="Times New Roman" w:hAnsi="Times New Roman" w:cs="Times New Roman"/>
          <w:sz w:val="22"/>
          <w:szCs w:val="22"/>
        </w:rPr>
        <w:t xml:space="preserve">Et comme le mentionne l’arrêt </w:t>
      </w:r>
      <w:r>
        <w:rPr>
          <w:rFonts w:ascii="Times New Roman" w:hAnsi="Times New Roman" w:cs="Times New Roman"/>
          <w:b/>
          <w:sz w:val="22"/>
          <w:szCs w:val="22"/>
        </w:rPr>
        <w:t xml:space="preserve">Arcuri, </w:t>
      </w:r>
      <w:r>
        <w:rPr>
          <w:rFonts w:ascii="Times New Roman" w:hAnsi="Times New Roman" w:cs="Times New Roman"/>
          <w:sz w:val="22"/>
          <w:szCs w:val="22"/>
        </w:rPr>
        <w:t>on utilise le même test qu’il s’agi d’une preuve directe et circonstancielle.</w:t>
      </w:r>
    </w:p>
    <w:p w14:paraId="17EAB829" w14:textId="33C902CB" w:rsidR="00924185" w:rsidRDefault="00924185" w:rsidP="00924185">
      <w:pPr>
        <w:pStyle w:val="Paragraphedeliste"/>
        <w:numPr>
          <w:ilvl w:val="0"/>
          <w:numId w:val="124"/>
        </w:numPr>
        <w:jc w:val="both"/>
        <w:rPr>
          <w:rFonts w:ascii="Times New Roman" w:hAnsi="Times New Roman" w:cs="Times New Roman"/>
          <w:sz w:val="20"/>
          <w:szCs w:val="20"/>
        </w:rPr>
      </w:pPr>
      <w:r w:rsidRPr="00924185">
        <w:rPr>
          <w:rFonts w:ascii="Times New Roman" w:hAnsi="Times New Roman" w:cs="Times New Roman"/>
          <w:sz w:val="20"/>
          <w:szCs w:val="20"/>
        </w:rPr>
        <w:t xml:space="preserve">Le critère demeure inchangé qu’il s’agisse d’une preuve directe ou circonstancielle :  voir </w:t>
      </w:r>
      <w:r w:rsidRPr="00924185">
        <w:rPr>
          <w:rFonts w:ascii="Times New Roman" w:hAnsi="Times New Roman" w:cs="Times New Roman"/>
          <w:i/>
          <w:iCs/>
          <w:sz w:val="20"/>
          <w:szCs w:val="20"/>
        </w:rPr>
        <w:t>Mezzo c. La Reine</w:t>
      </w:r>
      <w:r w:rsidRPr="00924185">
        <w:rPr>
          <w:rFonts w:ascii="Times New Roman" w:hAnsi="Times New Roman" w:cs="Times New Roman"/>
          <w:sz w:val="20"/>
          <w:szCs w:val="20"/>
        </w:rPr>
        <w:t xml:space="preserve">, </w:t>
      </w:r>
      <w:hyperlink r:id="rId36" w:history="1">
        <w:r w:rsidRPr="00924185">
          <w:rPr>
            <w:rStyle w:val="Lienhypertexte"/>
            <w:rFonts w:ascii="Times New Roman" w:hAnsi="Times New Roman" w:cs="Times New Roman"/>
            <w:sz w:val="20"/>
            <w:szCs w:val="20"/>
          </w:rPr>
          <w:t>1986 CanLII 16 (CSC)</w:t>
        </w:r>
      </w:hyperlink>
      <w:r w:rsidRPr="00924185">
        <w:rPr>
          <w:rFonts w:ascii="Times New Roman" w:hAnsi="Times New Roman" w:cs="Times New Roman"/>
          <w:sz w:val="20"/>
          <w:szCs w:val="20"/>
        </w:rPr>
        <w:t>, [1986] 1 R.C.S. 802, p. 842</w:t>
      </w:r>
      <w:r w:rsidRPr="00924185">
        <w:rPr>
          <w:rFonts w:ascii="Palatino" w:hAnsi="Palatino" w:cs="Palatino"/>
          <w:sz w:val="20"/>
          <w:szCs w:val="20"/>
        </w:rPr>
        <w:t>‑</w:t>
      </w:r>
      <w:r w:rsidRPr="00924185">
        <w:rPr>
          <w:rFonts w:ascii="Times New Roman" w:hAnsi="Times New Roman" w:cs="Times New Roman"/>
          <w:sz w:val="20"/>
          <w:szCs w:val="20"/>
        </w:rPr>
        <w:t xml:space="preserve">843; </w:t>
      </w:r>
      <w:r w:rsidRPr="00924185">
        <w:rPr>
          <w:rFonts w:ascii="Times New Roman" w:hAnsi="Times New Roman" w:cs="Times New Roman"/>
          <w:i/>
          <w:iCs/>
          <w:sz w:val="20"/>
          <w:szCs w:val="20"/>
        </w:rPr>
        <w:t> Monteleone</w:t>
      </w:r>
      <w:r w:rsidRPr="00924185">
        <w:rPr>
          <w:rFonts w:ascii="Times New Roman" w:hAnsi="Times New Roman" w:cs="Times New Roman"/>
          <w:sz w:val="20"/>
          <w:szCs w:val="20"/>
        </w:rPr>
        <w:t xml:space="preserve">, précité, p. 161.  La nature de la tâche qui incombe au juge varie cependant selon le type de preuve présenté par le ministère public.  Lorsque les arguments du ministère public sont fondés entièrement sur une preuve directe, la tâche du juge est claire.  Par définition, la seule conclusion à laquelle il faut arriver dans une affaire comme l’espèce, concerne la véracité de la preuve :  voir </w:t>
      </w:r>
      <w:r w:rsidRPr="00924185">
        <w:rPr>
          <w:rFonts w:ascii="Times New Roman" w:hAnsi="Times New Roman" w:cs="Times New Roman"/>
          <w:i/>
          <w:iCs/>
          <w:sz w:val="20"/>
          <w:szCs w:val="20"/>
        </w:rPr>
        <w:t>Watt’s Manual of Criminal Evidence</w:t>
      </w:r>
      <w:r w:rsidRPr="00924185">
        <w:rPr>
          <w:rFonts w:ascii="Times New Roman" w:hAnsi="Times New Roman" w:cs="Times New Roman"/>
          <w:sz w:val="20"/>
          <w:szCs w:val="20"/>
        </w:rPr>
        <w:t xml:space="preserve"> (1998), §8.0 ([TRADUCTION] « [l]a preuve directe est celle qui, si elle était crue, tranche la question en litige »); </w:t>
      </w:r>
      <w:r w:rsidRPr="00924185">
        <w:rPr>
          <w:rFonts w:ascii="Times New Roman" w:hAnsi="Times New Roman" w:cs="Times New Roman"/>
          <w:i/>
          <w:iCs/>
          <w:sz w:val="20"/>
          <w:szCs w:val="20"/>
        </w:rPr>
        <w:t>McCormick on Evidence</w:t>
      </w:r>
      <w:r w:rsidRPr="00924185">
        <w:rPr>
          <w:rFonts w:ascii="Times New Roman" w:hAnsi="Times New Roman" w:cs="Times New Roman"/>
          <w:sz w:val="20"/>
          <w:szCs w:val="20"/>
        </w:rPr>
        <w:t xml:space="preserve"> (5</w:t>
      </w:r>
      <w:r w:rsidRPr="00924185">
        <w:rPr>
          <w:rFonts w:ascii="Times New Roman" w:hAnsi="Times New Roman" w:cs="Times New Roman"/>
          <w:sz w:val="20"/>
          <w:szCs w:val="20"/>
          <w:vertAlign w:val="superscript"/>
        </w:rPr>
        <w:t>e</w:t>
      </w:r>
      <w:r w:rsidRPr="00924185">
        <w:rPr>
          <w:rFonts w:ascii="Times New Roman" w:hAnsi="Times New Roman" w:cs="Times New Roman"/>
          <w:sz w:val="20"/>
          <w:szCs w:val="20"/>
        </w:rPr>
        <w:t xml:space="preserve"> éd. 1999), p. 641; J. Sopinka, S. N. Lederman et A. W. Bryant, </w:t>
      </w:r>
      <w:r w:rsidRPr="00924185">
        <w:rPr>
          <w:rFonts w:ascii="Times New Roman" w:hAnsi="Times New Roman" w:cs="Times New Roman"/>
          <w:i/>
          <w:iCs/>
          <w:sz w:val="20"/>
          <w:szCs w:val="20"/>
        </w:rPr>
        <w:t>The Law of Evidence in Canada</w:t>
      </w:r>
      <w:r w:rsidRPr="00924185">
        <w:rPr>
          <w:rFonts w:ascii="Times New Roman" w:hAnsi="Times New Roman" w:cs="Times New Roman"/>
          <w:sz w:val="20"/>
          <w:szCs w:val="20"/>
        </w:rPr>
        <w:t xml:space="preserve"> (2</w:t>
      </w:r>
      <w:r w:rsidRPr="00924185">
        <w:rPr>
          <w:rFonts w:ascii="Times New Roman" w:hAnsi="Times New Roman" w:cs="Times New Roman"/>
          <w:sz w:val="20"/>
          <w:szCs w:val="20"/>
          <w:vertAlign w:val="superscript"/>
        </w:rPr>
        <w:t>e</w:t>
      </w:r>
      <w:r w:rsidRPr="00924185">
        <w:rPr>
          <w:rFonts w:ascii="Times New Roman" w:hAnsi="Times New Roman" w:cs="Times New Roman"/>
          <w:sz w:val="20"/>
          <w:szCs w:val="20"/>
        </w:rPr>
        <w:t xml:space="preserve"> éd. 1999), §2.74 (la preuve directe s’entend de la déposition d’un témoin quant au [TRADUCTION] « fait précis qui est au cœur du litige »). Il incombe au jury de dire s’il convient d’accorder foi à la preuve et jusqu’à quel point il faut le faire : voir</w:t>
      </w:r>
      <w:r w:rsidRPr="00924185">
        <w:rPr>
          <w:rFonts w:ascii="Times New Roman" w:hAnsi="Times New Roman" w:cs="Times New Roman"/>
          <w:i/>
          <w:iCs/>
          <w:sz w:val="20"/>
          <w:szCs w:val="20"/>
        </w:rPr>
        <w:t xml:space="preserve"> Shephard</w:t>
      </w:r>
      <w:r w:rsidRPr="00924185">
        <w:rPr>
          <w:rFonts w:ascii="Times New Roman" w:hAnsi="Times New Roman" w:cs="Times New Roman"/>
          <w:sz w:val="20"/>
          <w:szCs w:val="20"/>
        </w:rPr>
        <w:t>, précité, p. 1086</w:t>
      </w:r>
      <w:r w:rsidRPr="00924185">
        <w:rPr>
          <w:rFonts w:ascii="Palatino" w:hAnsi="Palatino" w:cs="Palatino"/>
          <w:sz w:val="20"/>
          <w:szCs w:val="20"/>
        </w:rPr>
        <w:t>‑</w:t>
      </w:r>
      <w:r w:rsidRPr="00924185">
        <w:rPr>
          <w:rFonts w:ascii="Times New Roman" w:hAnsi="Times New Roman" w:cs="Times New Roman"/>
          <w:sz w:val="20"/>
          <w:szCs w:val="20"/>
        </w:rPr>
        <w:t>1087.  Donc, si le juge est d’avis que le ministère public a présenté une preuve directe à l’égard de tous les éléments de l’infraction reprochée, son travail s’arrête là.  Si une preuve directe est produite à l’égard de tous les éléments de l’infraction, l’accusé doit être renvoyé à procès</w:t>
      </w:r>
      <w:r>
        <w:rPr>
          <w:rFonts w:ascii="Times New Roman" w:hAnsi="Times New Roman" w:cs="Times New Roman"/>
          <w:sz w:val="20"/>
          <w:szCs w:val="20"/>
        </w:rPr>
        <w:t xml:space="preserve"> [22].</w:t>
      </w:r>
    </w:p>
    <w:p w14:paraId="2BD92A0E" w14:textId="77777777" w:rsidR="00924185" w:rsidRPr="00924185" w:rsidRDefault="00924185" w:rsidP="00924185">
      <w:pPr>
        <w:pStyle w:val="Paragraphedeliste"/>
        <w:jc w:val="both"/>
        <w:rPr>
          <w:rFonts w:ascii="Times New Roman" w:hAnsi="Times New Roman" w:cs="Times New Roman"/>
          <w:sz w:val="20"/>
          <w:szCs w:val="20"/>
        </w:rPr>
      </w:pPr>
    </w:p>
    <w:p w14:paraId="635E360F" w14:textId="77777777" w:rsidR="00924185" w:rsidRPr="00924185" w:rsidRDefault="00924185" w:rsidP="00924185">
      <w:pPr>
        <w:jc w:val="both"/>
        <w:rPr>
          <w:rFonts w:ascii="Times New Roman" w:hAnsi="Times New Roman" w:cs="Times New Roman"/>
          <w:sz w:val="20"/>
          <w:szCs w:val="20"/>
        </w:rPr>
      </w:pPr>
    </w:p>
    <w:p w14:paraId="0C08E891" w14:textId="3A0673B5"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B. Renvoi à procès pour tout autre acte criminel qui découle de la même affaire</w:t>
      </w:r>
      <w:r w:rsidR="00924185">
        <w:rPr>
          <w:rFonts w:ascii="Times New Roman" w:hAnsi="Times New Roman" w:cs="Times New Roman"/>
          <w:color w:val="3E3E3E"/>
          <w:sz w:val="22"/>
          <w:szCs w:val="22"/>
          <w:u w:val="single"/>
        </w:rPr>
        <w:t xml:space="preserve"> (20)</w:t>
      </w:r>
    </w:p>
    <w:p w14:paraId="329337CE" w14:textId="3F407E32" w:rsidR="00D03E08" w:rsidRPr="00353C35" w:rsidRDefault="00924185" w:rsidP="00353C35">
      <w:pPr>
        <w:pStyle w:val="Paragraphedeliste"/>
        <w:widowControl w:val="0"/>
        <w:numPr>
          <w:ilvl w:val="0"/>
          <w:numId w:val="124"/>
        </w:numPr>
        <w:autoSpaceDE w:val="0"/>
        <w:autoSpaceDN w:val="0"/>
        <w:adjustRightInd w:val="0"/>
        <w:spacing w:after="300"/>
        <w:jc w:val="both"/>
        <w:rPr>
          <w:rFonts w:ascii="Times New Roman" w:hAnsi="Times New Roman" w:cs="Times New Roman"/>
          <w:color w:val="3E3E3E"/>
          <w:sz w:val="22"/>
          <w:szCs w:val="22"/>
        </w:rPr>
      </w:pPr>
      <w:r w:rsidRPr="00353C35">
        <w:rPr>
          <w:rFonts w:ascii="Times New Roman" w:hAnsi="Times New Roman" w:cs="Times New Roman"/>
          <w:color w:val="3E3E3E"/>
          <w:sz w:val="22"/>
          <w:szCs w:val="22"/>
        </w:rPr>
        <w:t>Cela figure à l’article 548(1) (a) C.cr.</w:t>
      </w:r>
    </w:p>
    <w:p w14:paraId="54D0A6F0"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§6. Renvoi au procès avec consentement</w:t>
      </w:r>
    </w:p>
    <w:p w14:paraId="63A11B81" w14:textId="07CA7892" w:rsidR="00D03E08" w:rsidRPr="00353C35" w:rsidRDefault="00353C35" w:rsidP="00353C35">
      <w:pPr>
        <w:pStyle w:val="Paragraphedeliste"/>
        <w:widowControl w:val="0"/>
        <w:numPr>
          <w:ilvl w:val="0"/>
          <w:numId w:val="124"/>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Voir l’article 549(1)C.cr.</w:t>
      </w:r>
    </w:p>
    <w:p w14:paraId="0D89A383" w14:textId="65EDE1FC"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§7. Révision</w:t>
      </w:r>
      <w:r w:rsidR="00353C35">
        <w:rPr>
          <w:rFonts w:ascii="Times New Roman" w:hAnsi="Times New Roman" w:cs="Times New Roman"/>
          <w:color w:val="3E3E3E"/>
          <w:sz w:val="22"/>
          <w:szCs w:val="22"/>
          <w:u w:val="single"/>
        </w:rPr>
        <w:t xml:space="preserve"> (p.21)</w:t>
      </w:r>
    </w:p>
    <w:p w14:paraId="3BF5F612" w14:textId="3F22556F" w:rsidR="00353C35" w:rsidRDefault="00353C35"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Deschamplain 2004 :</w:t>
      </w:r>
    </w:p>
    <w:p w14:paraId="2334512D" w14:textId="4CF299DD" w:rsidR="00353C35" w:rsidRPr="00353C35" w:rsidRDefault="00353C35" w:rsidP="00353C35">
      <w:pPr>
        <w:pStyle w:val="Paragraphedeliste"/>
        <w:widowControl w:val="0"/>
        <w:numPr>
          <w:ilvl w:val="0"/>
          <w:numId w:val="124"/>
        </w:numPr>
        <w:autoSpaceDE w:val="0"/>
        <w:autoSpaceDN w:val="0"/>
        <w:adjustRightInd w:val="0"/>
        <w:spacing w:after="300"/>
        <w:jc w:val="both"/>
        <w:rPr>
          <w:rFonts w:ascii="Times New Roman" w:hAnsi="Times New Roman" w:cs="Times New Roman"/>
          <w:color w:val="3E3E3E"/>
          <w:sz w:val="20"/>
          <w:szCs w:val="20"/>
        </w:rPr>
      </w:pPr>
      <w:r w:rsidRPr="00353C35">
        <w:rPr>
          <w:rFonts w:ascii="Times New Roman" w:hAnsi="Times New Roman" w:cs="Times New Roman"/>
          <w:sz w:val="20"/>
          <w:szCs w:val="20"/>
        </w:rPr>
        <w:t xml:space="preserve">Il ressort clairement des arrêts </w:t>
      </w:r>
      <w:r w:rsidRPr="00353C35">
        <w:rPr>
          <w:rFonts w:ascii="Times New Roman" w:hAnsi="Times New Roman" w:cs="Times New Roman"/>
          <w:i/>
          <w:iCs/>
          <w:sz w:val="20"/>
          <w:szCs w:val="20"/>
        </w:rPr>
        <w:t xml:space="preserve">Forsythe </w:t>
      </w:r>
      <w:r w:rsidRPr="00353C35">
        <w:rPr>
          <w:rFonts w:ascii="Times New Roman" w:hAnsi="Times New Roman" w:cs="Times New Roman"/>
          <w:sz w:val="20"/>
          <w:szCs w:val="20"/>
        </w:rPr>
        <w:t xml:space="preserve">et </w:t>
      </w:r>
      <w:r w:rsidRPr="00353C35">
        <w:rPr>
          <w:rFonts w:ascii="Times New Roman" w:hAnsi="Times New Roman" w:cs="Times New Roman"/>
          <w:i/>
          <w:iCs/>
          <w:sz w:val="20"/>
          <w:szCs w:val="20"/>
        </w:rPr>
        <w:t>Dubois</w:t>
      </w:r>
      <w:r w:rsidRPr="00353C35">
        <w:rPr>
          <w:rFonts w:ascii="Times New Roman" w:hAnsi="Times New Roman" w:cs="Times New Roman"/>
          <w:sz w:val="20"/>
          <w:szCs w:val="20"/>
        </w:rPr>
        <w:t xml:space="preserve"> que l’omission du juge de l’enquête préliminaire de se conformer à une disposition législative impérative touche à la compétence et justifie l’intervention d’une cour de révision [19]</w:t>
      </w:r>
    </w:p>
    <w:p w14:paraId="12058303" w14:textId="32EF1F27" w:rsidR="00353C35" w:rsidRDefault="00353C35" w:rsidP="00353C35">
      <w:pPr>
        <w:widowControl w:val="0"/>
        <w:autoSpaceDE w:val="0"/>
        <w:autoSpaceDN w:val="0"/>
        <w:adjustRightInd w:val="0"/>
        <w:spacing w:after="300"/>
        <w:jc w:val="both"/>
        <w:rPr>
          <w:rFonts w:ascii="Times New Roman" w:hAnsi="Times New Roman" w:cs="Times New Roman"/>
          <w:b/>
          <w:i/>
          <w:color w:val="3E3E3E"/>
          <w:sz w:val="20"/>
          <w:szCs w:val="20"/>
        </w:rPr>
      </w:pPr>
      <w:r>
        <w:rPr>
          <w:rFonts w:ascii="Times New Roman" w:hAnsi="Times New Roman" w:cs="Times New Roman"/>
          <w:b/>
          <w:i/>
          <w:color w:val="3E3E3E"/>
          <w:sz w:val="20"/>
          <w:szCs w:val="20"/>
        </w:rPr>
        <w:t>R. c. Russel 2001 CSC :</w:t>
      </w:r>
    </w:p>
    <w:p w14:paraId="1A8ADCA8" w14:textId="15169A50" w:rsidR="00353C35" w:rsidRPr="00353C35" w:rsidRDefault="00353C35" w:rsidP="00353C35">
      <w:pPr>
        <w:pStyle w:val="Paragraphedeliste"/>
        <w:widowControl w:val="0"/>
        <w:numPr>
          <w:ilvl w:val="0"/>
          <w:numId w:val="124"/>
        </w:numPr>
        <w:autoSpaceDE w:val="0"/>
        <w:autoSpaceDN w:val="0"/>
        <w:adjustRightInd w:val="0"/>
        <w:spacing w:after="300"/>
        <w:jc w:val="both"/>
        <w:rPr>
          <w:rFonts w:ascii="Times New Roman" w:hAnsi="Times New Roman" w:cs="Times New Roman"/>
          <w:color w:val="3E3E3E"/>
          <w:sz w:val="20"/>
          <w:szCs w:val="20"/>
        </w:rPr>
      </w:pPr>
      <w:r w:rsidRPr="00087340">
        <w:rPr>
          <w:rFonts w:ascii="Times New Roman" w:hAnsi="Times New Roman" w:cs="Times New Roman"/>
          <w:sz w:val="20"/>
          <w:szCs w:val="20"/>
        </w:rPr>
        <w:t xml:space="preserve">La portée de la révision par voie de </w:t>
      </w:r>
      <w:r w:rsidRPr="00087340">
        <w:rPr>
          <w:rFonts w:ascii="Times New Roman" w:hAnsi="Times New Roman" w:cs="Times New Roman"/>
          <w:i/>
          <w:iCs/>
          <w:sz w:val="20"/>
          <w:szCs w:val="20"/>
        </w:rPr>
        <w:t>certiorari</w:t>
      </w:r>
      <w:r w:rsidRPr="00087340">
        <w:rPr>
          <w:rFonts w:ascii="Times New Roman" w:hAnsi="Times New Roman" w:cs="Times New Roman"/>
          <w:sz w:val="20"/>
          <w:szCs w:val="20"/>
        </w:rPr>
        <w:t xml:space="preserve"> est très limitée.  Même si à certains moments de son histoire, le bref de </w:t>
      </w:r>
      <w:r w:rsidRPr="00087340">
        <w:rPr>
          <w:rFonts w:ascii="Times New Roman" w:hAnsi="Times New Roman" w:cs="Times New Roman"/>
          <w:i/>
          <w:iCs/>
          <w:sz w:val="20"/>
          <w:szCs w:val="20"/>
        </w:rPr>
        <w:t>certiorari</w:t>
      </w:r>
      <w:r w:rsidRPr="00087340">
        <w:rPr>
          <w:rFonts w:ascii="Times New Roman" w:hAnsi="Times New Roman" w:cs="Times New Roman"/>
          <w:sz w:val="20"/>
          <w:szCs w:val="20"/>
        </w:rPr>
        <w:t xml:space="preserve"> permettait une révision plus poussée, le </w:t>
      </w:r>
      <w:r w:rsidRPr="00087340">
        <w:rPr>
          <w:rFonts w:ascii="Times New Roman" w:hAnsi="Times New Roman" w:cs="Times New Roman"/>
          <w:i/>
          <w:iCs/>
          <w:sz w:val="20"/>
          <w:szCs w:val="20"/>
        </w:rPr>
        <w:t>certiorari</w:t>
      </w:r>
      <w:r w:rsidRPr="00087340">
        <w:rPr>
          <w:rFonts w:ascii="Times New Roman" w:hAnsi="Times New Roman" w:cs="Times New Roman"/>
          <w:sz w:val="20"/>
          <w:szCs w:val="20"/>
        </w:rPr>
        <w:t xml:space="preserve"> d’aujourd’hui « permet dans une large mesure d’obtenir qu’une cour supérieure contrôle la façon dont les tribunaux établis en vertu d’une loi exercent leur compétence; dans ce contexte, il s’agit de “compétence” au sens restreint ou strict » : </w:t>
      </w:r>
      <w:r w:rsidRPr="00087340">
        <w:rPr>
          <w:rFonts w:ascii="Times New Roman" w:hAnsi="Times New Roman" w:cs="Times New Roman"/>
          <w:i/>
          <w:iCs/>
          <w:sz w:val="20"/>
          <w:szCs w:val="20"/>
        </w:rPr>
        <w:t> Skogman c. La Reine</w:t>
      </w:r>
      <w:r w:rsidRPr="00087340">
        <w:rPr>
          <w:rFonts w:ascii="Times New Roman" w:hAnsi="Times New Roman" w:cs="Times New Roman"/>
          <w:sz w:val="20"/>
          <w:szCs w:val="20"/>
        </w:rPr>
        <w:t xml:space="preserve">, </w:t>
      </w:r>
      <w:hyperlink r:id="rId37" w:history="1">
        <w:r w:rsidRPr="00087340">
          <w:rPr>
            <w:rStyle w:val="Lienhypertexte"/>
            <w:rFonts w:ascii="Times New Roman" w:hAnsi="Times New Roman" w:cs="Times New Roman"/>
            <w:sz w:val="20"/>
            <w:szCs w:val="20"/>
          </w:rPr>
          <w:t>1984 CanLII 22 (CSC)</w:t>
        </w:r>
      </w:hyperlink>
      <w:r w:rsidRPr="00087340">
        <w:rPr>
          <w:rFonts w:ascii="Times New Roman" w:hAnsi="Times New Roman" w:cs="Times New Roman"/>
          <w:sz w:val="20"/>
          <w:szCs w:val="20"/>
        </w:rPr>
        <w:t xml:space="preserve">, [1984] 2 R.C.S. 93, p. 99.  Par conséquent, la révision par voie de </w:t>
      </w:r>
      <w:r w:rsidRPr="00087340">
        <w:rPr>
          <w:rFonts w:ascii="Times New Roman" w:hAnsi="Times New Roman" w:cs="Times New Roman"/>
          <w:i/>
          <w:iCs/>
          <w:sz w:val="20"/>
          <w:szCs w:val="20"/>
        </w:rPr>
        <w:t>certiorari</w:t>
      </w:r>
      <w:r w:rsidRPr="00087340">
        <w:rPr>
          <w:rFonts w:ascii="Times New Roman" w:hAnsi="Times New Roman" w:cs="Times New Roman"/>
          <w:sz w:val="20"/>
          <w:szCs w:val="20"/>
        </w:rPr>
        <w:t xml:space="preserve"> n’autorise pas une cour de révision à annuler la décision du tribunal constitué par la loi simplement parce que ce tribunal a commis une erreur de droit ou a tiré une conclusion différente de celle que la cour de révision aurait tirée.  Au contraire, le </w:t>
      </w:r>
      <w:r w:rsidRPr="00087340">
        <w:rPr>
          <w:rFonts w:ascii="Times New Roman" w:hAnsi="Times New Roman" w:cs="Times New Roman"/>
          <w:i/>
          <w:iCs/>
          <w:sz w:val="20"/>
          <w:szCs w:val="20"/>
        </w:rPr>
        <w:t>certiorari</w:t>
      </w:r>
      <w:r w:rsidRPr="00087340">
        <w:rPr>
          <w:rFonts w:ascii="Times New Roman" w:hAnsi="Times New Roman" w:cs="Times New Roman"/>
          <w:sz w:val="20"/>
          <w:szCs w:val="20"/>
        </w:rPr>
        <w:t xml:space="preserve"> permet la révision « seulement lorsqu’on reproche à ce tribunal d’avoir outrepassé la compétence qui lui a été attribuée par la loi ou d’avoir violé les principes de justice naturelle, ce qui, d’après la jurisprudence, équivaut à un abus de compétence » : </w:t>
      </w:r>
      <w:r w:rsidRPr="00087340">
        <w:rPr>
          <w:rFonts w:ascii="Times New Roman" w:hAnsi="Times New Roman" w:cs="Times New Roman"/>
          <w:i/>
          <w:iCs/>
          <w:sz w:val="20"/>
          <w:szCs w:val="20"/>
        </w:rPr>
        <w:t> Skogman</w:t>
      </w:r>
      <w:r w:rsidRPr="00087340">
        <w:rPr>
          <w:rFonts w:ascii="Times New Roman" w:hAnsi="Times New Roman" w:cs="Times New Roman"/>
          <w:sz w:val="20"/>
          <w:szCs w:val="20"/>
        </w:rPr>
        <w:t xml:space="preserve">, précité, p. 100 (citant l’arrêt </w:t>
      </w:r>
      <w:r w:rsidRPr="00087340">
        <w:rPr>
          <w:rFonts w:ascii="Times New Roman" w:hAnsi="Times New Roman" w:cs="Times New Roman"/>
          <w:i/>
          <w:iCs/>
          <w:sz w:val="20"/>
          <w:szCs w:val="20"/>
        </w:rPr>
        <w:t>Forsythe c. La Reine</w:t>
      </w:r>
      <w:r w:rsidRPr="00087340">
        <w:rPr>
          <w:rFonts w:ascii="Times New Roman" w:hAnsi="Times New Roman" w:cs="Times New Roman"/>
          <w:sz w:val="20"/>
          <w:szCs w:val="20"/>
        </w:rPr>
        <w:t xml:space="preserve">, </w:t>
      </w:r>
      <w:hyperlink r:id="rId38" w:history="1">
        <w:r w:rsidRPr="00087340">
          <w:rPr>
            <w:rStyle w:val="Lienhypertexte"/>
            <w:rFonts w:ascii="Times New Roman" w:hAnsi="Times New Roman" w:cs="Times New Roman"/>
            <w:sz w:val="20"/>
            <w:szCs w:val="20"/>
          </w:rPr>
          <w:t>1980 CanLII 15 (CSC)</w:t>
        </w:r>
      </w:hyperlink>
      <w:r w:rsidRPr="00087340">
        <w:rPr>
          <w:rFonts w:ascii="Times New Roman" w:hAnsi="Times New Roman" w:cs="Times New Roman"/>
          <w:sz w:val="20"/>
          <w:szCs w:val="20"/>
        </w:rPr>
        <w:t>, [1980] 2 R.C.S. 268</w:t>
      </w:r>
      <w:r>
        <w:rPr>
          <w:rFonts w:ascii="Times New Roman" w:hAnsi="Times New Roman" w:cs="Times New Roman"/>
          <w:sz w:val="20"/>
          <w:szCs w:val="20"/>
        </w:rPr>
        <w:t xml:space="preserve"> [19].</w:t>
      </w:r>
    </w:p>
    <w:p w14:paraId="1F2AA503" w14:textId="77777777" w:rsidR="00353C35" w:rsidRPr="00353C35" w:rsidRDefault="00353C35" w:rsidP="00353C35">
      <w:pPr>
        <w:pStyle w:val="Paragraphedeliste"/>
        <w:widowControl w:val="0"/>
        <w:autoSpaceDE w:val="0"/>
        <w:autoSpaceDN w:val="0"/>
        <w:adjustRightInd w:val="0"/>
        <w:spacing w:after="300"/>
        <w:jc w:val="both"/>
        <w:rPr>
          <w:rFonts w:ascii="Times New Roman" w:hAnsi="Times New Roman" w:cs="Times New Roman"/>
          <w:color w:val="3E3E3E"/>
          <w:sz w:val="20"/>
          <w:szCs w:val="20"/>
        </w:rPr>
      </w:pPr>
    </w:p>
    <w:p w14:paraId="74529534" w14:textId="2C1EC1F3"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A. Décisions prises au cours de l’enquête</w:t>
      </w:r>
      <w:r w:rsidR="00353C35">
        <w:rPr>
          <w:rFonts w:ascii="Times New Roman" w:hAnsi="Times New Roman" w:cs="Times New Roman"/>
          <w:color w:val="3E3E3E"/>
          <w:sz w:val="22"/>
          <w:szCs w:val="22"/>
          <w:u w:val="single"/>
        </w:rPr>
        <w:t xml:space="preserve"> (p.21)</w:t>
      </w:r>
    </w:p>
    <w:p w14:paraId="1F32EA12" w14:textId="4E0C2CCB" w:rsidR="00D03E08" w:rsidRDefault="00353C35"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Deschamplain 2004 :</w:t>
      </w:r>
    </w:p>
    <w:p w14:paraId="441F57B0" w14:textId="2F244692" w:rsidR="00353C35" w:rsidRPr="00353C35" w:rsidRDefault="00353C35" w:rsidP="00353C35">
      <w:pPr>
        <w:pStyle w:val="Paragraphedeliste"/>
        <w:widowControl w:val="0"/>
        <w:numPr>
          <w:ilvl w:val="0"/>
          <w:numId w:val="124"/>
        </w:numPr>
        <w:autoSpaceDE w:val="0"/>
        <w:autoSpaceDN w:val="0"/>
        <w:adjustRightInd w:val="0"/>
        <w:spacing w:after="300"/>
        <w:jc w:val="both"/>
        <w:rPr>
          <w:rFonts w:ascii="Times New Roman" w:hAnsi="Times New Roman" w:cs="Times New Roman"/>
          <w:color w:val="3E3E3E"/>
          <w:sz w:val="22"/>
          <w:szCs w:val="22"/>
          <w:u w:val="single"/>
        </w:rPr>
      </w:pPr>
      <w:r w:rsidRPr="00921A84">
        <w:rPr>
          <w:rFonts w:ascii="Times New Roman" w:hAnsi="Times New Roman" w:cs="Times New Roman"/>
          <w:sz w:val="20"/>
          <w:szCs w:val="20"/>
        </w:rPr>
        <w:t xml:space="preserve">L’intimé se demande pourquoi l’omission du juge qui préside une enquête préliminaire d’examiner la preuve présentée par le ministère public constitue une erreur de compétence, alors qu’il n’en va pas ainsi de l’exclusion erronée d’un élément de preuve à l’enquête préliminaire.  La réponse est simple.  Le juge de l’enquête préliminaire a compétence pour mener l’enquête conformément aux règles de preuve.   L’erreur dans l’application de ces règles qui ne constitue pas un déni de justice naturelle (lequel touche aussi la compétence : voir les arrêts </w:t>
      </w:r>
      <w:r w:rsidRPr="00921A84">
        <w:rPr>
          <w:rFonts w:ascii="Times New Roman" w:hAnsi="Times New Roman" w:cs="Times New Roman"/>
          <w:i/>
          <w:iCs/>
          <w:sz w:val="20"/>
          <w:szCs w:val="20"/>
        </w:rPr>
        <w:t>Dubois</w:t>
      </w:r>
      <w:r w:rsidRPr="00921A84">
        <w:rPr>
          <w:rFonts w:ascii="Times New Roman" w:hAnsi="Times New Roman" w:cs="Times New Roman"/>
          <w:sz w:val="20"/>
          <w:szCs w:val="20"/>
        </w:rPr>
        <w:t xml:space="preserve">, précité, p. 377, et </w:t>
      </w:r>
      <w:r w:rsidRPr="00921A84">
        <w:rPr>
          <w:rFonts w:ascii="Times New Roman" w:hAnsi="Times New Roman" w:cs="Times New Roman"/>
          <w:i/>
          <w:iCs/>
          <w:sz w:val="20"/>
          <w:szCs w:val="20"/>
        </w:rPr>
        <w:t>Forsythe</w:t>
      </w:r>
      <w:r w:rsidRPr="00921A84">
        <w:rPr>
          <w:rFonts w:ascii="Times New Roman" w:hAnsi="Times New Roman" w:cs="Times New Roman"/>
          <w:sz w:val="20"/>
          <w:szCs w:val="20"/>
        </w:rPr>
        <w:t xml:space="preserve">, précité, p. 272) reste une erreur de droit et ne devient pas une erreur de compétence.  Les erreurs de droit ne sont pas susceptibles de révision par voie de </w:t>
      </w:r>
      <w:r w:rsidRPr="00921A84">
        <w:rPr>
          <w:rFonts w:ascii="Times New Roman" w:hAnsi="Times New Roman" w:cs="Times New Roman"/>
          <w:i/>
          <w:iCs/>
          <w:sz w:val="20"/>
          <w:szCs w:val="20"/>
        </w:rPr>
        <w:t>certiorari</w:t>
      </w:r>
      <w:r w:rsidRPr="00921A84">
        <w:rPr>
          <w:rFonts w:ascii="Times New Roman" w:hAnsi="Times New Roman" w:cs="Times New Roman"/>
          <w:sz w:val="20"/>
          <w:szCs w:val="20"/>
        </w:rPr>
        <w:t>.</w:t>
      </w:r>
      <w:r>
        <w:rPr>
          <w:rFonts w:ascii="Times New Roman" w:hAnsi="Times New Roman" w:cs="Times New Roman"/>
          <w:sz w:val="20"/>
          <w:szCs w:val="20"/>
        </w:rPr>
        <w:t xml:space="preserve"> [17]</w:t>
      </w:r>
    </w:p>
    <w:p w14:paraId="7F4A89E1" w14:textId="3CFFD2B1"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B. Les décisions relatives au renvoi ou libération</w:t>
      </w:r>
      <w:r w:rsidR="00353C35">
        <w:rPr>
          <w:rFonts w:ascii="Times New Roman" w:hAnsi="Times New Roman" w:cs="Times New Roman"/>
          <w:color w:val="3E3E3E"/>
          <w:sz w:val="22"/>
          <w:szCs w:val="22"/>
          <w:u w:val="single"/>
        </w:rPr>
        <w:t xml:space="preserve"> (p.21)</w:t>
      </w:r>
    </w:p>
    <w:p w14:paraId="3D42A160" w14:textId="657651EE" w:rsidR="00353C35" w:rsidRDefault="00353C35"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Skogman c. R 1984 :</w:t>
      </w:r>
    </w:p>
    <w:p w14:paraId="22CA8ED3" w14:textId="77777777" w:rsidR="00353C35" w:rsidRPr="00353C35" w:rsidRDefault="00353C35" w:rsidP="00353C35">
      <w:pPr>
        <w:pStyle w:val="Paragraphedeliste"/>
        <w:numPr>
          <w:ilvl w:val="0"/>
          <w:numId w:val="124"/>
        </w:numPr>
        <w:jc w:val="both"/>
        <w:rPr>
          <w:rFonts w:ascii="Times New Roman" w:hAnsi="Times New Roman" w:cs="Times New Roman"/>
          <w:sz w:val="20"/>
          <w:szCs w:val="20"/>
        </w:rPr>
      </w:pPr>
      <w:r w:rsidRPr="00353C35">
        <w:rPr>
          <w:rFonts w:ascii="Times New Roman" w:hAnsi="Times New Roman" w:cs="Times New Roman"/>
          <w:sz w:val="20"/>
          <w:szCs w:val="20"/>
        </w:rPr>
        <w:t xml:space="preserve">Depuis l'arrêt </w:t>
      </w:r>
      <w:r w:rsidRPr="00353C35">
        <w:rPr>
          <w:rFonts w:ascii="Times New Roman" w:hAnsi="Times New Roman" w:cs="Times New Roman"/>
          <w:i/>
          <w:iCs/>
          <w:sz w:val="20"/>
          <w:szCs w:val="20"/>
        </w:rPr>
        <w:t xml:space="preserve">Martin, </w:t>
      </w:r>
      <w:r w:rsidRPr="00353C35">
        <w:rPr>
          <w:rFonts w:ascii="Times New Roman" w:hAnsi="Times New Roman" w:cs="Times New Roman"/>
          <w:sz w:val="20"/>
          <w:szCs w:val="20"/>
        </w:rPr>
        <w:t xml:space="preserve">précité, les tribunaux canadiens ont généralement adopté la règle selon laquelle le renvoi d'un accusé à son procès à l'issue d'une enquête préliminaire constitue, en l'absence d'éléments de preuve concernant un élément essentiel de l'accusation, une erreur de compétence susceptible de révision. Voir: </w:t>
      </w:r>
      <w:r w:rsidRPr="00353C35">
        <w:rPr>
          <w:rFonts w:ascii="Times New Roman" w:hAnsi="Times New Roman" w:cs="Times New Roman"/>
          <w:i/>
          <w:iCs/>
          <w:sz w:val="20"/>
          <w:szCs w:val="20"/>
        </w:rPr>
        <w:t xml:space="preserve">Re Guttman and The Queen </w:t>
      </w:r>
      <w:hyperlink r:id="rId39" w:history="1">
        <w:r w:rsidRPr="00353C35">
          <w:rPr>
            <w:rStyle w:val="Lienhypertexte"/>
            <w:rFonts w:ascii="Times New Roman" w:hAnsi="Times New Roman" w:cs="Times New Roman"/>
            <w:sz w:val="20"/>
            <w:szCs w:val="20"/>
          </w:rPr>
          <w:t>reflex</w:t>
        </w:r>
      </w:hyperlink>
      <w:r w:rsidRPr="00353C35">
        <w:rPr>
          <w:rFonts w:ascii="Times New Roman" w:hAnsi="Times New Roman" w:cs="Times New Roman"/>
          <w:sz w:val="20"/>
          <w:szCs w:val="20"/>
        </w:rPr>
        <w:t xml:space="preserve">, (1981), 64 C.C.C. (2d) 342 (C.S. Qué.); </w:t>
      </w:r>
      <w:r w:rsidRPr="00353C35">
        <w:rPr>
          <w:rFonts w:ascii="Times New Roman" w:hAnsi="Times New Roman" w:cs="Times New Roman"/>
          <w:i/>
          <w:iCs/>
          <w:sz w:val="20"/>
          <w:szCs w:val="20"/>
        </w:rPr>
        <w:t xml:space="preserve">Procureur général du Québec c. Poirier, </w:t>
      </w:r>
      <w:r w:rsidRPr="00353C35">
        <w:rPr>
          <w:rFonts w:ascii="Times New Roman" w:hAnsi="Times New Roman" w:cs="Times New Roman"/>
          <w:sz w:val="20"/>
          <w:szCs w:val="20"/>
        </w:rPr>
        <w:t xml:space="preserve">[1981] C.A. </w:t>
      </w:r>
      <w:r w:rsidRPr="00353C35">
        <w:rPr>
          <w:rFonts w:ascii="Times New Roman" w:hAnsi="Times New Roman" w:cs="Times New Roman"/>
          <w:i/>
          <w:iCs/>
          <w:sz w:val="20"/>
          <w:szCs w:val="20"/>
        </w:rPr>
        <w:t xml:space="preserve">228, sub nom. Re Poirier and The Queen </w:t>
      </w:r>
      <w:hyperlink r:id="rId40" w:history="1">
        <w:r w:rsidRPr="00353C35">
          <w:rPr>
            <w:rStyle w:val="Lienhypertexte"/>
            <w:rFonts w:ascii="Times New Roman" w:hAnsi="Times New Roman" w:cs="Times New Roman"/>
            <w:sz w:val="20"/>
            <w:szCs w:val="20"/>
          </w:rPr>
          <w:t>reflex</w:t>
        </w:r>
      </w:hyperlink>
      <w:r w:rsidRPr="00353C35">
        <w:rPr>
          <w:rFonts w:ascii="Times New Roman" w:hAnsi="Times New Roman" w:cs="Times New Roman"/>
          <w:sz w:val="20"/>
          <w:szCs w:val="20"/>
        </w:rPr>
        <w:t xml:space="preserve">, (1981), 62 C.C.C. (2d) 452; </w:t>
      </w:r>
      <w:r w:rsidRPr="00353C35">
        <w:rPr>
          <w:rFonts w:ascii="Times New Roman" w:hAnsi="Times New Roman" w:cs="Times New Roman"/>
          <w:i/>
          <w:iCs/>
          <w:sz w:val="20"/>
          <w:szCs w:val="20"/>
        </w:rPr>
        <w:t xml:space="preserve">Re Leroux and The Queen </w:t>
      </w:r>
      <w:r w:rsidRPr="00353C35">
        <w:rPr>
          <w:rFonts w:ascii="Times New Roman" w:hAnsi="Times New Roman" w:cs="Times New Roman"/>
          <w:sz w:val="20"/>
          <w:szCs w:val="20"/>
        </w:rPr>
        <w:t xml:space="preserve">(1978), 43 C.C.C. (2d) 398 (C.S. Qué.); </w:t>
      </w:r>
      <w:r w:rsidRPr="00353C35">
        <w:rPr>
          <w:rFonts w:ascii="Times New Roman" w:hAnsi="Times New Roman" w:cs="Times New Roman"/>
          <w:i/>
          <w:iCs/>
          <w:sz w:val="20"/>
          <w:szCs w:val="20"/>
        </w:rPr>
        <w:t xml:space="preserve">Re Robar and The Queen </w:t>
      </w:r>
      <w:r w:rsidRPr="00353C35">
        <w:rPr>
          <w:rFonts w:ascii="Times New Roman" w:hAnsi="Times New Roman" w:cs="Times New Roman"/>
          <w:sz w:val="20"/>
          <w:szCs w:val="20"/>
        </w:rPr>
        <w:t xml:space="preserve">(1978), 42 C.C.C. (2d) 133 (C.A. N.-É.), autorisation de pourvoi devant la Cour suprême du Canada refusée le 3 octobre 1978, [1978] 2 R.C.S. x; </w:t>
      </w:r>
      <w:r w:rsidRPr="00353C35">
        <w:rPr>
          <w:rFonts w:ascii="Times New Roman" w:hAnsi="Times New Roman" w:cs="Times New Roman"/>
          <w:i/>
          <w:iCs/>
          <w:sz w:val="20"/>
          <w:szCs w:val="20"/>
        </w:rPr>
        <w:t xml:space="preserve">Re Mackie and The Queen </w:t>
      </w:r>
      <w:r w:rsidRPr="00353C35">
        <w:rPr>
          <w:rFonts w:ascii="Times New Roman" w:hAnsi="Times New Roman" w:cs="Times New Roman"/>
          <w:sz w:val="20"/>
          <w:szCs w:val="20"/>
        </w:rPr>
        <w:t xml:space="preserve">(1978), 43 C.C.C. (2d) 269 (H.C. Ont.); </w:t>
      </w:r>
      <w:r w:rsidRPr="00353C35">
        <w:rPr>
          <w:rFonts w:ascii="Times New Roman" w:hAnsi="Times New Roman" w:cs="Times New Roman"/>
          <w:i/>
          <w:iCs/>
          <w:sz w:val="20"/>
          <w:szCs w:val="20"/>
        </w:rPr>
        <w:t xml:space="preserve">Stillo v. R., </w:t>
      </w:r>
      <w:r w:rsidRPr="00353C35">
        <w:rPr>
          <w:rFonts w:ascii="Times New Roman" w:hAnsi="Times New Roman" w:cs="Times New Roman"/>
          <w:sz w:val="20"/>
          <w:szCs w:val="20"/>
        </w:rPr>
        <w:t>précité. «L'absence d'éléments de preuve» concernant un élément essentiel de l'accusation portée contre l'accusé ne peut équivaloir à une «preuve suffisante» au sens de l'art. 475. A mon avis, c'est là l'état du droit au Canada sur cette question.</w:t>
      </w:r>
    </w:p>
    <w:p w14:paraId="5BC3EB15" w14:textId="0D619A3F" w:rsidR="00353C35" w:rsidRPr="00353C35" w:rsidRDefault="00353C35" w:rsidP="00353C35">
      <w:pPr>
        <w:pStyle w:val="Paragraphedeliste"/>
        <w:numPr>
          <w:ilvl w:val="0"/>
          <w:numId w:val="124"/>
        </w:numPr>
        <w:jc w:val="both"/>
        <w:rPr>
          <w:rFonts w:ascii="Times New Roman" w:hAnsi="Times New Roman" w:cs="Times New Roman"/>
          <w:sz w:val="20"/>
          <w:szCs w:val="20"/>
        </w:rPr>
      </w:pPr>
      <w:r w:rsidRPr="00353C35">
        <w:rPr>
          <w:rFonts w:ascii="Times New Roman" w:hAnsi="Times New Roman" w:cs="Times New Roman"/>
          <w:sz w:val="20"/>
          <w:szCs w:val="20"/>
        </w:rPr>
        <w:t xml:space="preserve">La preuve produite au cours d'une enquête préliminaire peut prendre la forme de témoignages oraux, de pièces ou d'aveux. Cette preuve a pour objet de permettre au juge d'exercer sa compétence en tirant des conclusions de fait, en appliquant les règles de droit à ces faits et, enfin, en exerçant son pouvoir discrétionnaire de renvoyer l'accusé à son procès ou de le libérer. Lorsque le dossier établi au cours de l'enquête préliminaire ne contient pas d'éléments de preuve concernant chaque élément essentiel de l'accusation portée contre l'accusé, le renvoi d'un accusé à son procès peut être soumis par voie de </w:t>
      </w:r>
      <w:r w:rsidRPr="00353C35">
        <w:rPr>
          <w:rFonts w:ascii="Times New Roman" w:hAnsi="Times New Roman" w:cs="Times New Roman"/>
          <w:i/>
          <w:iCs/>
          <w:sz w:val="20"/>
          <w:szCs w:val="20"/>
        </w:rPr>
        <w:t xml:space="preserve">certiorari </w:t>
      </w:r>
      <w:r w:rsidRPr="00353C35">
        <w:rPr>
          <w:rFonts w:ascii="Times New Roman" w:hAnsi="Times New Roman" w:cs="Times New Roman"/>
          <w:sz w:val="20"/>
          <w:szCs w:val="20"/>
        </w:rPr>
        <w:t>à une cour supérieure qui peut alors l'annuler. Cela m'amène donc à analyser l'incidence précise, sur les présentes procédures, de la reconnaissance faite par la poursuite en cette Cour et en Cour d'appel.</w:t>
      </w:r>
    </w:p>
    <w:p w14:paraId="07320695" w14:textId="77777777" w:rsidR="00353C35" w:rsidRDefault="00353C35" w:rsidP="00353C35">
      <w:pPr>
        <w:widowControl w:val="0"/>
        <w:autoSpaceDE w:val="0"/>
        <w:autoSpaceDN w:val="0"/>
        <w:adjustRightInd w:val="0"/>
        <w:spacing w:after="300"/>
        <w:jc w:val="both"/>
        <w:rPr>
          <w:rFonts w:ascii="Times New Roman" w:hAnsi="Times New Roman" w:cs="Times New Roman"/>
          <w:color w:val="3E3E3E"/>
          <w:sz w:val="22"/>
          <w:szCs w:val="22"/>
        </w:rPr>
      </w:pPr>
    </w:p>
    <w:p w14:paraId="743F17CB" w14:textId="7FBEC85E" w:rsidR="00353C35" w:rsidRDefault="00353C35" w:rsidP="00353C35">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Russel 2001 CSC 53 (p.22) :</w:t>
      </w:r>
    </w:p>
    <w:p w14:paraId="5519AC5E" w14:textId="2DFE8EC3" w:rsidR="00353C35" w:rsidRPr="00353C35" w:rsidRDefault="00353C35" w:rsidP="00353C35">
      <w:pPr>
        <w:pStyle w:val="Paragraphedeliste"/>
        <w:widowControl w:val="0"/>
        <w:numPr>
          <w:ilvl w:val="0"/>
          <w:numId w:val="125"/>
        </w:numPr>
        <w:autoSpaceDE w:val="0"/>
        <w:autoSpaceDN w:val="0"/>
        <w:adjustRightInd w:val="0"/>
        <w:spacing w:after="300"/>
        <w:jc w:val="both"/>
        <w:rPr>
          <w:rFonts w:ascii="Times New Roman" w:hAnsi="Times New Roman" w:cs="Times New Roman"/>
          <w:b/>
          <w:i/>
          <w:color w:val="3E3E3E"/>
          <w:sz w:val="20"/>
          <w:szCs w:val="20"/>
        </w:rPr>
      </w:pPr>
      <w:r w:rsidRPr="00353C35">
        <w:rPr>
          <w:rFonts w:ascii="Times New Roman" w:hAnsi="Times New Roman" w:cs="Times New Roman"/>
          <w:sz w:val="20"/>
          <w:szCs w:val="20"/>
        </w:rPr>
        <w:t xml:space="preserve">Comme nous l’avons mentionné dans l’arrêt </w:t>
      </w:r>
      <w:r w:rsidRPr="00353C35">
        <w:rPr>
          <w:rFonts w:ascii="Times New Roman" w:hAnsi="Times New Roman" w:cs="Times New Roman"/>
          <w:i/>
          <w:iCs/>
          <w:sz w:val="20"/>
          <w:szCs w:val="20"/>
        </w:rPr>
        <w:t>Skogman</w:t>
      </w:r>
      <w:r w:rsidRPr="00353C35">
        <w:rPr>
          <w:rFonts w:ascii="Times New Roman" w:hAnsi="Times New Roman" w:cs="Times New Roman"/>
          <w:sz w:val="20"/>
          <w:szCs w:val="20"/>
        </w:rPr>
        <w:t xml:space="preserve">, précité, </w:t>
      </w:r>
      <w:r w:rsidRPr="00353C35">
        <w:rPr>
          <w:rFonts w:ascii="Times New Roman" w:hAnsi="Times New Roman" w:cs="Times New Roman"/>
          <w:b/>
          <w:sz w:val="20"/>
          <w:szCs w:val="20"/>
        </w:rPr>
        <w:t>il faut montrer la plus grande retenue à l’égard de la conclusion du juge de l’enquête préliminaire selon laquelle il existe une preuve suffisante; c’est seulement s’il n’y a aucun élément de preuve quant à un élément de l’infraction ou à une condition essentielle du par. 231(5) qu’une cour de révision peut annuler le renvoi [48]</w:t>
      </w:r>
    </w:p>
    <w:p w14:paraId="35FFB63A" w14:textId="34B1E118" w:rsidR="00353C35" w:rsidRPr="00147312" w:rsidRDefault="00353C35" w:rsidP="00353C35">
      <w:pPr>
        <w:pStyle w:val="Paragraphedeliste"/>
        <w:widowControl w:val="0"/>
        <w:numPr>
          <w:ilvl w:val="0"/>
          <w:numId w:val="125"/>
        </w:numPr>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i/>
          <w:sz w:val="22"/>
          <w:szCs w:val="22"/>
        </w:rPr>
        <w:t>Voir notes professeur pour la suite de l’arrêt.</w:t>
      </w:r>
    </w:p>
    <w:p w14:paraId="6A12311E" w14:textId="5A1018F7" w:rsidR="00147312" w:rsidRDefault="00147312" w:rsidP="001473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Dubois c. La Reine 1986 CSC (p.23) :</w:t>
      </w:r>
    </w:p>
    <w:p w14:paraId="59A7FE85" w14:textId="21255E8E" w:rsidR="00147312" w:rsidRPr="00147312" w:rsidRDefault="00147312" w:rsidP="00147312">
      <w:pPr>
        <w:pStyle w:val="Paragraphedeliste"/>
        <w:numPr>
          <w:ilvl w:val="0"/>
          <w:numId w:val="126"/>
        </w:numPr>
        <w:jc w:val="both"/>
        <w:rPr>
          <w:rFonts w:ascii="Times New Roman" w:hAnsi="Times New Roman" w:cs="Times New Roman"/>
          <w:sz w:val="20"/>
          <w:szCs w:val="20"/>
        </w:rPr>
      </w:pPr>
      <w:r w:rsidRPr="00147312">
        <w:rPr>
          <w:rFonts w:ascii="Times New Roman" w:hAnsi="Times New Roman" w:cs="Times New Roman"/>
          <w:sz w:val="20"/>
          <w:szCs w:val="20"/>
        </w:rPr>
        <w:t xml:space="preserve">Il est établi que le seul motif qui permette la révision d'un renvoi à procès par le tribunal qui l'examine, c'est le défaut de compétence. Le même principe s'applique lorsqu'on demande un </w:t>
      </w:r>
      <w:r w:rsidRPr="00147312">
        <w:rPr>
          <w:rFonts w:ascii="Times New Roman" w:hAnsi="Times New Roman" w:cs="Times New Roman"/>
          <w:i/>
          <w:iCs/>
          <w:sz w:val="20"/>
          <w:szCs w:val="20"/>
        </w:rPr>
        <w:t>certiorari</w:t>
      </w:r>
      <w:r w:rsidRPr="00147312">
        <w:rPr>
          <w:rFonts w:ascii="Times New Roman" w:hAnsi="Times New Roman" w:cs="Times New Roman"/>
          <w:sz w:val="20"/>
          <w:szCs w:val="20"/>
        </w:rPr>
        <w:t xml:space="preserve"> pour réviser une libération. Une enquête préliminaire n'est pas destinée à déterminer si l'accusé est coupable ou innocent mais seulement s'il y a suffisamment de preuves contre lui pour justifier son renvoi à procès. Par conséquent, il n'est pas approprié de permettre que des moyens de contrôle exercés dans des procédures visant à annuler un renvoi à procès soient étendus de manière à corriger des erreurs de droit qui ont trait à des questions comme l'admission de preuve et la production de documents. Toutefois, les erreurs qui portent atteinte à la compétence du juge à l'enquête préliminaire sont différentes. Les cours supérieures ont toujours exercé leur compétence inhérente pour faire en sorte que les juridictions inférieures s'acquittent de leurs tâches d'une manière complète sans excéder leur compétence. Les deux parties à l'enquête préliminaire sont assujetties aux mêmes obligations et jouissent des mêmes droits visés </w:t>
      </w:r>
      <w:r>
        <w:rPr>
          <w:rFonts w:ascii="Times New Roman" w:hAnsi="Times New Roman" w:cs="Times New Roman"/>
          <w:sz w:val="20"/>
          <w:szCs w:val="20"/>
        </w:rPr>
        <w:t xml:space="preserve">par le critère de la compétence [...] </w:t>
      </w:r>
      <w:r w:rsidRPr="00147312">
        <w:rPr>
          <w:rFonts w:ascii="Times New Roman" w:hAnsi="Times New Roman" w:cs="Times New Roman"/>
          <w:sz w:val="20"/>
          <w:szCs w:val="20"/>
        </w:rPr>
        <w:t xml:space="preserve">Il y a erreur de compétence lorsque des "dispositions impératives" du </w:t>
      </w:r>
      <w:hyperlink r:id="rId41" w:history="1">
        <w:r w:rsidRPr="00147312">
          <w:rPr>
            <w:rStyle w:val="Lienhypertexte"/>
            <w:rFonts w:ascii="Times New Roman" w:hAnsi="Times New Roman" w:cs="Times New Roman"/>
            <w:i/>
            <w:iCs/>
            <w:sz w:val="20"/>
            <w:szCs w:val="20"/>
          </w:rPr>
          <w:t>Code criminel</w:t>
        </w:r>
      </w:hyperlink>
      <w:r w:rsidRPr="00147312">
        <w:rPr>
          <w:rFonts w:ascii="Times New Roman" w:hAnsi="Times New Roman" w:cs="Times New Roman"/>
          <w:sz w:val="20"/>
          <w:szCs w:val="20"/>
        </w:rPr>
        <w:t xml:space="preserve"> ne sont pas suivies et, dans le contexte de l'art. 475, la décision du juge de renvoyer à procès doit au moins trouver un certain fondement dans la preuve présentée. Lorsqu'il y a certains éléments de preuve, le juge a nettement compétence pour décider si ces éléments de preuve sont suffisants pour renvoyer à procès. Aucune erreur de compétence n'est commise lorsque le juge à l'enquête préliminaire décide à tort de l'admissibilité d'un élément de preuve à moins que sa décision n'ait un effet sur le droit de contre</w:t>
      </w:r>
      <w:r w:rsidRPr="00147312">
        <w:rPr>
          <w:rFonts w:ascii="Palatino" w:hAnsi="Palatino" w:cs="Palatino"/>
          <w:sz w:val="20"/>
          <w:szCs w:val="20"/>
        </w:rPr>
        <w:t>‑</w:t>
      </w:r>
      <w:r w:rsidRPr="00147312">
        <w:rPr>
          <w:rFonts w:ascii="Times New Roman" w:hAnsi="Times New Roman" w:cs="Times New Roman"/>
          <w:sz w:val="20"/>
          <w:szCs w:val="20"/>
        </w:rPr>
        <w:t>interroger ou de citer des témoins dans la mesure où elle entraîne une violation de la justice naturelle</w:t>
      </w:r>
      <w:r>
        <w:rPr>
          <w:rFonts w:ascii="Times New Roman" w:hAnsi="Times New Roman" w:cs="Times New Roman"/>
          <w:sz w:val="20"/>
          <w:szCs w:val="20"/>
        </w:rPr>
        <w:t xml:space="preserve"> [...] </w:t>
      </w:r>
      <w:r w:rsidRPr="00147312">
        <w:rPr>
          <w:rFonts w:ascii="Times New Roman" w:hAnsi="Times New Roman" w:cs="Times New Roman"/>
          <w:sz w:val="20"/>
          <w:szCs w:val="20"/>
        </w:rPr>
        <w:t>Il y a erreur de compétence en l'espèce. Le juge à l'enquête préliminaire par sa décision de ne pas renvoyer l'appelant à son procès, parce que la preuve ne l'a pas identifié hors de tout doute raisonnable, outrepassait sa compétence en vertu du mandat que lui a conféré le législateur par l'art. 475. L'erreur donnant lieu à révision ne découlait pas de l'adoption d'un mauvais critère mais de l'exercice d'une fonction que le législateur a réservé à une autre juridiction.</w:t>
      </w:r>
    </w:p>
    <w:p w14:paraId="369A9220" w14:textId="77777777" w:rsidR="00147312" w:rsidRDefault="00147312" w:rsidP="00147312">
      <w:pPr>
        <w:widowControl w:val="0"/>
        <w:autoSpaceDE w:val="0"/>
        <w:autoSpaceDN w:val="0"/>
        <w:adjustRightInd w:val="0"/>
        <w:spacing w:after="300"/>
        <w:jc w:val="both"/>
        <w:rPr>
          <w:rFonts w:ascii="Times New Roman" w:hAnsi="Times New Roman" w:cs="Times New Roman"/>
          <w:b/>
          <w:i/>
          <w:color w:val="3E3E3E"/>
          <w:sz w:val="22"/>
          <w:szCs w:val="22"/>
        </w:rPr>
      </w:pPr>
    </w:p>
    <w:p w14:paraId="5EE0794A" w14:textId="4B8D175A" w:rsidR="00147312" w:rsidRDefault="00147312" w:rsidP="001473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Deschamplain 2004 :</w:t>
      </w:r>
    </w:p>
    <w:p w14:paraId="2A72033D" w14:textId="7F5F86F4" w:rsidR="00147312" w:rsidRPr="00147312" w:rsidRDefault="00147312" w:rsidP="00147312">
      <w:pPr>
        <w:pStyle w:val="Paragraphedeliste"/>
        <w:numPr>
          <w:ilvl w:val="0"/>
          <w:numId w:val="126"/>
        </w:numPr>
        <w:jc w:val="both"/>
        <w:rPr>
          <w:rFonts w:ascii="Times New Roman" w:hAnsi="Times New Roman" w:cs="Times New Roman"/>
          <w:sz w:val="20"/>
          <w:szCs w:val="20"/>
        </w:rPr>
      </w:pPr>
      <w:r w:rsidRPr="00147312">
        <w:rPr>
          <w:rFonts w:ascii="Times New Roman" w:hAnsi="Times New Roman" w:cs="Times New Roman"/>
          <w:sz w:val="20"/>
          <w:szCs w:val="20"/>
        </w:rPr>
        <w:t>L’alinéa 548(1)</w:t>
      </w:r>
      <w:r w:rsidRPr="00147312">
        <w:rPr>
          <w:rFonts w:ascii="Times New Roman" w:hAnsi="Times New Roman" w:cs="Times New Roman"/>
          <w:i/>
          <w:iCs/>
          <w:sz w:val="20"/>
          <w:szCs w:val="20"/>
        </w:rPr>
        <w:t>b</w:t>
      </w:r>
      <w:r w:rsidRPr="00147312">
        <w:rPr>
          <w:rFonts w:ascii="Times New Roman" w:hAnsi="Times New Roman" w:cs="Times New Roman"/>
          <w:sz w:val="20"/>
          <w:szCs w:val="20"/>
        </w:rPr>
        <w:t xml:space="preserve">) oblige le juge de l’enquête préliminaire à examiner l’ensemble de la preuve « recueilli[e] » au cours de cette enquête.  L’enquête préliminaire a pour objet principal de « déterminer s’il existe suffisamment d’éléments de preuve pour justifier le renvoi de l’accusé à son procès » : </w:t>
      </w:r>
      <w:r w:rsidRPr="00147312">
        <w:rPr>
          <w:rFonts w:ascii="Times New Roman" w:hAnsi="Times New Roman" w:cs="Times New Roman"/>
          <w:i/>
          <w:iCs/>
          <w:sz w:val="20"/>
          <w:szCs w:val="20"/>
        </w:rPr>
        <w:t>R. c. Russell</w:t>
      </w:r>
      <w:r w:rsidRPr="00147312">
        <w:rPr>
          <w:rFonts w:ascii="Times New Roman" w:hAnsi="Times New Roman" w:cs="Times New Roman"/>
          <w:sz w:val="20"/>
          <w:szCs w:val="20"/>
        </w:rPr>
        <w:t xml:space="preserve">, </w:t>
      </w:r>
      <w:hyperlink r:id="rId42" w:history="1">
        <w:r w:rsidRPr="00147312">
          <w:rPr>
            <w:rStyle w:val="Lienhypertexte"/>
            <w:rFonts w:ascii="Times New Roman" w:hAnsi="Times New Roman" w:cs="Times New Roman"/>
            <w:sz w:val="20"/>
            <w:szCs w:val="20"/>
          </w:rPr>
          <w:t>2001 CSC 53 (CanLII)</w:t>
        </w:r>
      </w:hyperlink>
      <w:r w:rsidRPr="00147312">
        <w:rPr>
          <w:rFonts w:ascii="Times New Roman" w:hAnsi="Times New Roman" w:cs="Times New Roman"/>
          <w:sz w:val="20"/>
          <w:szCs w:val="20"/>
        </w:rPr>
        <w:t>, [2001] 2 R.C.S. 804, 2001 CSC 53, par. 20.  Le législateur n’a donc jamais voulu permettre que les décisions de libérer ou pas un accusé se prennent sans tenir compte pleinement de l’ensemble de la preuve.  À mon avis, commet une erreur de compétence le juge de l’enquête préliminaire qui n’examine pas l’ensemble de la preuve comme l’exige l’al. 548(1)</w:t>
      </w:r>
      <w:r w:rsidRPr="00147312">
        <w:rPr>
          <w:rFonts w:ascii="Times New Roman" w:hAnsi="Times New Roman" w:cs="Times New Roman"/>
          <w:i/>
          <w:iCs/>
          <w:sz w:val="20"/>
          <w:szCs w:val="20"/>
        </w:rPr>
        <w:t>b</w:t>
      </w:r>
      <w:r w:rsidRPr="00147312">
        <w:rPr>
          <w:rFonts w:ascii="Times New Roman" w:hAnsi="Times New Roman" w:cs="Times New Roman"/>
          <w:sz w:val="20"/>
          <w:szCs w:val="20"/>
        </w:rPr>
        <w:t>), et la Cour d’appel de l’Ontario a eu tort de conclure le contraire. [18]</w:t>
      </w:r>
    </w:p>
    <w:p w14:paraId="699878AB" w14:textId="4720FAB8" w:rsidR="00D03E08" w:rsidRPr="00147312" w:rsidRDefault="00147312" w:rsidP="00147312">
      <w:pPr>
        <w:pStyle w:val="Paragraphedeliste"/>
        <w:numPr>
          <w:ilvl w:val="0"/>
          <w:numId w:val="126"/>
        </w:numPr>
        <w:jc w:val="both"/>
        <w:rPr>
          <w:rFonts w:ascii="Times New Roman" w:hAnsi="Times New Roman" w:cs="Times New Roman"/>
          <w:sz w:val="22"/>
          <w:szCs w:val="22"/>
        </w:rPr>
      </w:pPr>
      <w:r w:rsidRPr="00147312">
        <w:rPr>
          <w:rFonts w:ascii="Times New Roman" w:hAnsi="Times New Roman" w:cs="Times New Roman"/>
          <w:sz w:val="20"/>
          <w:szCs w:val="20"/>
        </w:rPr>
        <w:t xml:space="preserve"> Il ressort clairement des arrêts </w:t>
      </w:r>
      <w:r w:rsidRPr="00147312">
        <w:rPr>
          <w:rFonts w:ascii="Times New Roman" w:hAnsi="Times New Roman" w:cs="Times New Roman"/>
          <w:i/>
          <w:iCs/>
          <w:sz w:val="20"/>
          <w:szCs w:val="20"/>
        </w:rPr>
        <w:t xml:space="preserve">Forsythe </w:t>
      </w:r>
      <w:r w:rsidRPr="00147312">
        <w:rPr>
          <w:rFonts w:ascii="Times New Roman" w:hAnsi="Times New Roman" w:cs="Times New Roman"/>
          <w:sz w:val="20"/>
          <w:szCs w:val="20"/>
        </w:rPr>
        <w:t xml:space="preserve">et </w:t>
      </w:r>
      <w:r w:rsidRPr="00147312">
        <w:rPr>
          <w:rFonts w:ascii="Times New Roman" w:hAnsi="Times New Roman" w:cs="Times New Roman"/>
          <w:i/>
          <w:iCs/>
          <w:sz w:val="20"/>
          <w:szCs w:val="20"/>
        </w:rPr>
        <w:t>Dubois</w:t>
      </w:r>
      <w:r w:rsidRPr="00147312">
        <w:rPr>
          <w:rFonts w:ascii="Times New Roman" w:hAnsi="Times New Roman" w:cs="Times New Roman"/>
          <w:sz w:val="20"/>
          <w:szCs w:val="20"/>
        </w:rPr>
        <w:t xml:space="preserve"> que l’omission du juge de l’enquête préliminaire de se conformer à une disposition législative impérative touche à la compétence et justifie l’intervention d’une cour de révision. [19]</w:t>
      </w:r>
    </w:p>
    <w:p w14:paraId="573F4FB1" w14:textId="77777777" w:rsidR="00147312" w:rsidRPr="00147312" w:rsidRDefault="00147312" w:rsidP="00147312">
      <w:pPr>
        <w:pStyle w:val="Paragraphedeliste"/>
        <w:jc w:val="both"/>
        <w:rPr>
          <w:rFonts w:ascii="Times New Roman" w:hAnsi="Times New Roman" w:cs="Times New Roman"/>
          <w:sz w:val="22"/>
          <w:szCs w:val="22"/>
        </w:rPr>
      </w:pPr>
    </w:p>
    <w:p w14:paraId="195A22BF" w14:textId="7FC4DC74"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C. Le délai</w:t>
      </w:r>
      <w:r w:rsidR="00147312">
        <w:rPr>
          <w:rFonts w:ascii="Times New Roman" w:hAnsi="Times New Roman" w:cs="Times New Roman"/>
          <w:color w:val="3E3E3E"/>
          <w:sz w:val="22"/>
          <w:szCs w:val="22"/>
          <w:u w:val="single"/>
        </w:rPr>
        <w:t xml:space="preserve"> (p.24)</w:t>
      </w:r>
    </w:p>
    <w:p w14:paraId="32E113E4" w14:textId="688F00A0" w:rsidR="00147312" w:rsidRDefault="00147312"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Chabot 1980 :</w:t>
      </w:r>
    </w:p>
    <w:p w14:paraId="578BC444" w14:textId="3DDD2987" w:rsidR="00147312" w:rsidRPr="00147312" w:rsidRDefault="00147312" w:rsidP="00147312">
      <w:pPr>
        <w:pStyle w:val="Paragraphedeliste"/>
        <w:numPr>
          <w:ilvl w:val="0"/>
          <w:numId w:val="127"/>
        </w:numPr>
        <w:jc w:val="both"/>
        <w:rPr>
          <w:rFonts w:ascii="Times New Roman" w:hAnsi="Times New Roman" w:cs="Times New Roman"/>
          <w:sz w:val="22"/>
          <w:szCs w:val="22"/>
        </w:rPr>
      </w:pPr>
      <w:r w:rsidRPr="00147312">
        <w:rPr>
          <w:rFonts w:ascii="Times New Roman" w:hAnsi="Times New Roman" w:cs="Times New Roman"/>
          <w:sz w:val="22"/>
          <w:szCs w:val="22"/>
        </w:rPr>
        <w:t>On pourrait croire que la question de savoir si l’acte d’accusation est présenté lorsqu’il est soumis au tribunal de première instance ou lorsque le prévenu a effectivement été interpellé sur l’accusation, est d’un intérêt purement théorique. Sous réserve des exceptions, la pratique générale est que le prévenu est interpellé lorsqu’il comparaît pour son procès. Cependant, pour éviter toute ambiguïté, je suis d’avis qu’un acte d’accusation fondé sur un renvoi à procès sans l’intervention d’un grand jury n’est pas «présenté» contre un prévenu tant qu’il n’est pas produit devant la cour de première instance à l’ouverture du procès du prévenu, et que la cour n’est pas prête à commencer le procès.</w:t>
      </w:r>
    </w:p>
    <w:p w14:paraId="3ACBA540" w14:textId="75F23D5C" w:rsidR="00147312" w:rsidRPr="00147312" w:rsidRDefault="00147312" w:rsidP="00147312">
      <w:pPr>
        <w:pStyle w:val="Paragraphedeliste"/>
        <w:numPr>
          <w:ilvl w:val="0"/>
          <w:numId w:val="127"/>
        </w:numPr>
        <w:jc w:val="both"/>
        <w:rPr>
          <w:rFonts w:ascii="Times New Roman" w:hAnsi="Times New Roman" w:cs="Times New Roman"/>
          <w:sz w:val="22"/>
          <w:szCs w:val="22"/>
        </w:rPr>
      </w:pPr>
      <w:r w:rsidRPr="00147312">
        <w:rPr>
          <w:rFonts w:ascii="Times New Roman" w:hAnsi="Times New Roman" w:cs="Times New Roman"/>
          <w:sz w:val="22"/>
          <w:szCs w:val="22"/>
        </w:rPr>
        <w:t xml:space="preserve">A l’époque du grand jury, le dépôt ne comportait pas l’étape de la lecture de l’acte d’accusation en présence du prévenu ni celle de son plaidoyer. Le dépôt était un acte unilatéral accompli par un corps accusatoire en l’absence du prévenu. A mon avis, il n’est pas sans importance de remarquer que le dépôt était fait en séance publique par le grand jury devant un juge du tribunal de première instance. Il est vrai que le dépôt n’était pas fait devant un juge constitué avec un petit jury pour connaître de l’accusation. Le ministère public prétend que la production de l’acte d’accusation devant un juge de la cour du rôle constitue un dépôt; avec égards, je ne peux accepter cette prétention. Si je comprends bien la pratique, un tel juge n’est pas une cour constituée pour connaître de l’accusation. Je partage l’opinion du juge Anderson dans </w:t>
      </w:r>
      <w:r w:rsidRPr="00147312">
        <w:rPr>
          <w:rFonts w:ascii="Times New Roman" w:hAnsi="Times New Roman" w:cs="Times New Roman"/>
          <w:i/>
          <w:iCs/>
          <w:sz w:val="22"/>
          <w:szCs w:val="22"/>
        </w:rPr>
        <w:t>R. v.</w:t>
      </w:r>
      <w:r w:rsidRPr="00147312">
        <w:rPr>
          <w:rFonts w:ascii="Times New Roman" w:hAnsi="Times New Roman" w:cs="Times New Roman"/>
          <w:sz w:val="22"/>
          <w:szCs w:val="22"/>
        </w:rPr>
        <w:t xml:space="preserve"> </w:t>
      </w:r>
      <w:r w:rsidRPr="00147312">
        <w:rPr>
          <w:rFonts w:ascii="Times New Roman" w:hAnsi="Times New Roman" w:cs="Times New Roman"/>
          <w:i/>
          <w:iCs/>
          <w:sz w:val="22"/>
          <w:szCs w:val="22"/>
        </w:rPr>
        <w:t xml:space="preserve">Hansen </w:t>
      </w:r>
      <w:r w:rsidRPr="00147312">
        <w:rPr>
          <w:rFonts w:ascii="Times New Roman" w:hAnsi="Times New Roman" w:cs="Times New Roman"/>
          <w:sz w:val="22"/>
          <w:szCs w:val="22"/>
        </w:rPr>
        <w:t>(jugement inédit de la Haute Cour de l’Ontario du 11 mars 1980) qui déclare [TRADUCTION] «il me semble très formaliste de dire que la simple présence de l’acte d’accusation et du prévenu devant un juge de la cour du rôle et de la cour de pratique suffit à priver le prévenu de son droit de demander l’annulation de son renvoi à procès. Un acte d’accusation est présenté lorsqu’il se trouve devant une cour qui a le pouvoir de connaître de l’accusation».</w:t>
      </w:r>
    </w:p>
    <w:p w14:paraId="318F4AB6" w14:textId="77777777" w:rsidR="00147312" w:rsidRPr="00147312" w:rsidRDefault="00147312" w:rsidP="00147312">
      <w:pPr>
        <w:pStyle w:val="Paragraphedeliste"/>
        <w:numPr>
          <w:ilvl w:val="0"/>
          <w:numId w:val="127"/>
        </w:numPr>
        <w:jc w:val="both"/>
        <w:rPr>
          <w:rFonts w:ascii="Times New Roman" w:hAnsi="Times New Roman" w:cs="Times New Roman"/>
          <w:sz w:val="22"/>
          <w:szCs w:val="22"/>
        </w:rPr>
      </w:pPr>
      <w:r w:rsidRPr="00147312">
        <w:rPr>
          <w:rFonts w:ascii="Times New Roman" w:hAnsi="Times New Roman" w:cs="Times New Roman"/>
          <w:sz w:val="22"/>
          <w:szCs w:val="22"/>
        </w:rPr>
        <w:t>Il s’ensuit qu’en l’espèce l’acte d’accusation n’a jamais été soumis à un tribunal de première instance constitué pour connaître de l’accusation et qu’il ne fait pas obstacle au droit de l’intimé de contester son renvoi à procès.</w:t>
      </w:r>
    </w:p>
    <w:p w14:paraId="2A86244A" w14:textId="77777777" w:rsidR="00147312" w:rsidRPr="00147312" w:rsidRDefault="00147312" w:rsidP="00147312">
      <w:pPr>
        <w:pStyle w:val="Paragraphedeliste"/>
        <w:widowControl w:val="0"/>
        <w:autoSpaceDE w:val="0"/>
        <w:autoSpaceDN w:val="0"/>
        <w:adjustRightInd w:val="0"/>
        <w:spacing w:after="300"/>
        <w:jc w:val="both"/>
        <w:rPr>
          <w:rFonts w:ascii="Times New Roman" w:hAnsi="Times New Roman" w:cs="Times New Roman"/>
          <w:color w:val="3E3E3E"/>
          <w:sz w:val="22"/>
          <w:szCs w:val="22"/>
        </w:rPr>
      </w:pPr>
    </w:p>
    <w:p w14:paraId="6B7FF2D2"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26936531" w14:textId="3C869D38"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§8. La reformulation d’accusation après libération consécutive à une erreur de compétence.</w:t>
      </w:r>
      <w:r w:rsidR="00147312">
        <w:rPr>
          <w:rFonts w:ascii="Times New Roman" w:hAnsi="Times New Roman" w:cs="Times New Roman"/>
          <w:color w:val="3E3E3E"/>
          <w:sz w:val="22"/>
          <w:szCs w:val="22"/>
          <w:u w:val="single"/>
        </w:rPr>
        <w:t xml:space="preserve"> (p.24)</w:t>
      </w:r>
    </w:p>
    <w:p w14:paraId="56CAC8CF" w14:textId="45F11A2A" w:rsidR="00147312" w:rsidRDefault="00147312" w:rsidP="00147312">
      <w:pPr>
        <w:pStyle w:val="Paragraphedeliste"/>
        <w:widowControl w:val="0"/>
        <w:numPr>
          <w:ilvl w:val="0"/>
          <w:numId w:val="128"/>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Prévue à l’article 577C.cr.</w:t>
      </w:r>
    </w:p>
    <w:p w14:paraId="4995D9FB" w14:textId="043BE453" w:rsidR="00147312" w:rsidRDefault="00147312" w:rsidP="00147312">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Russel 2001 :</w:t>
      </w:r>
    </w:p>
    <w:p w14:paraId="7CF34849" w14:textId="2801A77B" w:rsidR="00147312" w:rsidRPr="00147312" w:rsidRDefault="00147312" w:rsidP="00147312">
      <w:pPr>
        <w:pStyle w:val="Paragraphedeliste"/>
        <w:numPr>
          <w:ilvl w:val="0"/>
          <w:numId w:val="128"/>
        </w:numPr>
        <w:jc w:val="both"/>
        <w:rPr>
          <w:rFonts w:ascii="Times New Roman" w:hAnsi="Times New Roman" w:cs="Times New Roman"/>
          <w:b/>
          <w:sz w:val="20"/>
          <w:szCs w:val="20"/>
        </w:rPr>
      </w:pPr>
      <w:r w:rsidRPr="00147312">
        <w:rPr>
          <w:rFonts w:ascii="Times New Roman" w:hAnsi="Times New Roman" w:cs="Times New Roman"/>
          <w:sz w:val="20"/>
          <w:szCs w:val="20"/>
        </w:rPr>
        <w:t xml:space="preserve">La disparité qui cause un problème au ministère public, à mon avis, ne porte pas à conséquence.  Comme je l’ai mentionné précédemment, le principe applicable est le même, que l’erreur soit contestée par le ministère public ou par l’accusé.  Il est vrai qu’il </w:t>
      </w:r>
      <w:r w:rsidRPr="00147312">
        <w:rPr>
          <w:rFonts w:ascii="Times New Roman" w:hAnsi="Times New Roman" w:cs="Times New Roman"/>
          <w:sz w:val="20"/>
          <w:szCs w:val="20"/>
          <w:u w:val="single"/>
        </w:rPr>
        <w:t>découle</w:t>
      </w:r>
      <w:r w:rsidRPr="00147312">
        <w:rPr>
          <w:rFonts w:ascii="Times New Roman" w:hAnsi="Times New Roman" w:cs="Times New Roman"/>
          <w:sz w:val="20"/>
          <w:szCs w:val="20"/>
          <w:vertAlign w:val="superscript"/>
        </w:rPr>
        <w:t>*</w:t>
      </w:r>
      <w:r w:rsidRPr="00147312">
        <w:rPr>
          <w:rFonts w:ascii="Times New Roman" w:hAnsi="Times New Roman" w:cs="Times New Roman"/>
          <w:sz w:val="20"/>
          <w:szCs w:val="20"/>
        </w:rPr>
        <w:t xml:space="preserve"> de ce principe qu’en règle générale l’erreur portant sur des éléments constitutifs du crime n’est susceptible de révision que sur contestation par l’accusé, et non par le ministère public, mais cette disparité se justifie par le rapport des préjudices éventuels de part et d’autre :  une libération prononcée à tort ne peut aboutir à une violation de l’art. </w:t>
      </w:r>
      <w:hyperlink r:id="rId43" w:anchor="art7" w:history="1">
        <w:r w:rsidRPr="00147312">
          <w:rPr>
            <w:rStyle w:val="Lienhypertexte"/>
            <w:rFonts w:ascii="Times New Roman" w:hAnsi="Times New Roman" w:cs="Times New Roman"/>
            <w:sz w:val="20"/>
            <w:szCs w:val="20"/>
          </w:rPr>
          <w:t>7</w:t>
        </w:r>
      </w:hyperlink>
      <w:r w:rsidRPr="00147312">
        <w:rPr>
          <w:rFonts w:ascii="Times New Roman" w:hAnsi="Times New Roman" w:cs="Times New Roman"/>
          <w:sz w:val="20"/>
          <w:szCs w:val="20"/>
        </w:rPr>
        <w:t xml:space="preserve"> de la </w:t>
      </w:r>
      <w:r w:rsidRPr="00147312">
        <w:rPr>
          <w:rFonts w:ascii="Times New Roman" w:hAnsi="Times New Roman" w:cs="Times New Roman"/>
          <w:i/>
          <w:iCs/>
          <w:sz w:val="20"/>
          <w:szCs w:val="20"/>
        </w:rPr>
        <w:t>Charte canadienne des droits et libertés</w:t>
      </w:r>
      <w:r w:rsidRPr="00147312">
        <w:rPr>
          <w:rFonts w:ascii="Times New Roman" w:hAnsi="Times New Roman" w:cs="Times New Roman"/>
          <w:sz w:val="20"/>
          <w:szCs w:val="20"/>
        </w:rPr>
        <w:t xml:space="preserve">, alors qu’il est clair, à mon sens, que de renvoyer quelqu’un à procès sous un chef d’accusation dont l’un des éléments constitutifs ne s’appuie sur aucune preuve produite porterait atteinte aux principes de justice fondamentale. D’autant plus que dans des circonstances semblables à celles de l’affaire </w:t>
      </w:r>
      <w:r w:rsidRPr="00147312">
        <w:rPr>
          <w:rFonts w:ascii="Times New Roman" w:hAnsi="Times New Roman" w:cs="Times New Roman"/>
          <w:i/>
          <w:iCs/>
          <w:sz w:val="20"/>
          <w:szCs w:val="20"/>
        </w:rPr>
        <w:t>Tremblay</w:t>
      </w:r>
      <w:r w:rsidRPr="00147312">
        <w:rPr>
          <w:rFonts w:ascii="Times New Roman" w:hAnsi="Times New Roman" w:cs="Times New Roman"/>
          <w:sz w:val="20"/>
          <w:szCs w:val="20"/>
        </w:rPr>
        <w:t xml:space="preserve">, </w:t>
      </w:r>
      <w:r w:rsidRPr="00147312">
        <w:rPr>
          <w:rFonts w:ascii="Times New Roman" w:hAnsi="Times New Roman" w:cs="Times New Roman"/>
          <w:b/>
          <w:sz w:val="20"/>
          <w:szCs w:val="20"/>
        </w:rPr>
        <w:t>il est loisible au ministère public, sous réserve des conditions prévues à l’art. </w:t>
      </w:r>
      <w:hyperlink r:id="rId44" w:anchor="art577" w:history="1">
        <w:r w:rsidRPr="00147312">
          <w:rPr>
            <w:rStyle w:val="Lienhypertexte"/>
            <w:rFonts w:ascii="Times New Roman" w:hAnsi="Times New Roman" w:cs="Times New Roman"/>
            <w:b/>
            <w:sz w:val="20"/>
            <w:szCs w:val="20"/>
          </w:rPr>
          <w:t>577</w:t>
        </w:r>
      </w:hyperlink>
      <w:r w:rsidRPr="00147312">
        <w:rPr>
          <w:rFonts w:ascii="Times New Roman" w:hAnsi="Times New Roman" w:cs="Times New Roman"/>
          <w:b/>
          <w:sz w:val="20"/>
          <w:szCs w:val="20"/>
        </w:rPr>
        <w:t xml:space="preserve"> du </w:t>
      </w:r>
      <w:r w:rsidRPr="00147312">
        <w:rPr>
          <w:rFonts w:ascii="Times New Roman" w:hAnsi="Times New Roman" w:cs="Times New Roman"/>
          <w:b/>
          <w:i/>
          <w:iCs/>
          <w:sz w:val="20"/>
          <w:szCs w:val="20"/>
        </w:rPr>
        <w:t>Code criminel</w:t>
      </w:r>
      <w:r w:rsidRPr="00147312">
        <w:rPr>
          <w:rFonts w:ascii="Times New Roman" w:hAnsi="Times New Roman" w:cs="Times New Roman"/>
          <w:b/>
          <w:sz w:val="20"/>
          <w:szCs w:val="20"/>
        </w:rPr>
        <w:t>, de déposer une nouvelle dénonciation ou de procéder par mise en accusation.  De son côté, l’accusé ne dispose d’aucun moyen de redressement de ce genre.</w:t>
      </w:r>
      <w:r>
        <w:rPr>
          <w:rFonts w:ascii="Times New Roman" w:hAnsi="Times New Roman" w:cs="Times New Roman"/>
          <w:b/>
          <w:sz w:val="20"/>
          <w:szCs w:val="20"/>
        </w:rPr>
        <w:t xml:space="preserve"> [29]</w:t>
      </w:r>
    </w:p>
    <w:p w14:paraId="7F9DC8DC"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p>
    <w:p w14:paraId="632FABBC" w14:textId="6282D58D"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§9.  Le futur de l’enquête préliminaire</w:t>
      </w:r>
      <w:r w:rsidR="00147312">
        <w:rPr>
          <w:rFonts w:ascii="Times New Roman" w:hAnsi="Times New Roman" w:cs="Times New Roman"/>
          <w:color w:val="3E3E3E"/>
          <w:sz w:val="22"/>
          <w:szCs w:val="22"/>
          <w:u w:val="single"/>
        </w:rPr>
        <w:t xml:space="preserve"> (p.25)</w:t>
      </w:r>
    </w:p>
    <w:p w14:paraId="36DC4967" w14:textId="26DDD0BE" w:rsidR="00D03E08" w:rsidRDefault="00C315AA" w:rsidP="00D03E08">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S.J.L. 2009 :</w:t>
      </w:r>
    </w:p>
    <w:p w14:paraId="269DD7B3" w14:textId="3EDC6887" w:rsidR="00C315AA" w:rsidRPr="00C315AA" w:rsidRDefault="00C315AA" w:rsidP="00C315AA">
      <w:pPr>
        <w:pStyle w:val="Paragraphedeliste"/>
        <w:widowControl w:val="0"/>
        <w:numPr>
          <w:ilvl w:val="0"/>
          <w:numId w:val="128"/>
        </w:numPr>
        <w:autoSpaceDE w:val="0"/>
        <w:autoSpaceDN w:val="0"/>
        <w:adjustRightInd w:val="0"/>
        <w:spacing w:after="300"/>
        <w:jc w:val="both"/>
        <w:rPr>
          <w:rFonts w:ascii="Times New Roman" w:hAnsi="Times New Roman" w:cs="Times New Roman"/>
          <w:b/>
          <w:i/>
          <w:color w:val="3E3E3E"/>
          <w:sz w:val="20"/>
          <w:szCs w:val="20"/>
        </w:rPr>
      </w:pPr>
      <w:r w:rsidRPr="00C315AA">
        <w:rPr>
          <w:rFonts w:ascii="Times New Roman" w:hAnsi="Times New Roman" w:cs="Times New Roman"/>
          <w:sz w:val="20"/>
          <w:szCs w:val="20"/>
        </w:rPr>
        <w:t xml:space="preserve">En outre, depuis les arrêts </w:t>
      </w:r>
      <w:r w:rsidRPr="00C315AA">
        <w:rPr>
          <w:rFonts w:ascii="Times New Roman" w:hAnsi="Times New Roman" w:cs="Times New Roman"/>
          <w:i/>
          <w:iCs/>
          <w:sz w:val="20"/>
          <w:szCs w:val="20"/>
        </w:rPr>
        <w:t>R. c. Stinchcombe</w:t>
      </w:r>
      <w:r w:rsidRPr="00C315AA">
        <w:rPr>
          <w:rFonts w:ascii="Times New Roman" w:hAnsi="Times New Roman" w:cs="Times New Roman"/>
          <w:sz w:val="20"/>
          <w:szCs w:val="20"/>
        </w:rPr>
        <w:t xml:space="preserve">, </w:t>
      </w:r>
      <w:hyperlink r:id="rId45" w:history="1">
        <w:r w:rsidRPr="00C315AA">
          <w:rPr>
            <w:rStyle w:val="Lienhypertexte"/>
            <w:rFonts w:ascii="Times New Roman" w:hAnsi="Times New Roman" w:cs="Times New Roman"/>
            <w:sz w:val="20"/>
            <w:szCs w:val="20"/>
          </w:rPr>
          <w:t>1991 CanLII 45 (CSC)</w:t>
        </w:r>
      </w:hyperlink>
      <w:r w:rsidRPr="00C315AA">
        <w:rPr>
          <w:rFonts w:ascii="Times New Roman" w:hAnsi="Times New Roman" w:cs="Times New Roman"/>
          <w:sz w:val="20"/>
          <w:szCs w:val="20"/>
        </w:rPr>
        <w:t xml:space="preserve">, [1991] 3 R.C.S. 326, </w:t>
      </w:r>
      <w:r w:rsidRPr="00C315AA">
        <w:rPr>
          <w:rFonts w:ascii="Times New Roman" w:hAnsi="Times New Roman" w:cs="Times New Roman"/>
          <w:i/>
          <w:iCs/>
          <w:sz w:val="20"/>
          <w:szCs w:val="20"/>
        </w:rPr>
        <w:t>R. c. Egger</w:t>
      </w:r>
      <w:r w:rsidRPr="00C315AA">
        <w:rPr>
          <w:rFonts w:ascii="Times New Roman" w:hAnsi="Times New Roman" w:cs="Times New Roman"/>
          <w:sz w:val="20"/>
          <w:szCs w:val="20"/>
        </w:rPr>
        <w:t xml:space="preserve">, </w:t>
      </w:r>
      <w:hyperlink r:id="rId46" w:history="1">
        <w:r w:rsidRPr="00C315AA">
          <w:rPr>
            <w:rStyle w:val="Lienhypertexte"/>
            <w:rFonts w:ascii="Times New Roman" w:hAnsi="Times New Roman" w:cs="Times New Roman"/>
            <w:sz w:val="20"/>
            <w:szCs w:val="20"/>
          </w:rPr>
          <w:t>1993 CanLII 98 (CSC)</w:t>
        </w:r>
      </w:hyperlink>
      <w:r w:rsidRPr="00C315AA">
        <w:rPr>
          <w:rFonts w:ascii="Times New Roman" w:hAnsi="Times New Roman" w:cs="Times New Roman"/>
          <w:sz w:val="20"/>
          <w:szCs w:val="20"/>
        </w:rPr>
        <w:t xml:space="preserve">, [1993] 2 R.C.S. 451, </w:t>
      </w:r>
      <w:r w:rsidRPr="00C315AA">
        <w:rPr>
          <w:rFonts w:ascii="Times New Roman" w:hAnsi="Times New Roman" w:cs="Times New Roman"/>
          <w:i/>
          <w:iCs/>
          <w:sz w:val="20"/>
          <w:szCs w:val="20"/>
        </w:rPr>
        <w:t>R. c. O’Connor</w:t>
      </w:r>
      <w:r w:rsidRPr="00C315AA">
        <w:rPr>
          <w:rFonts w:ascii="Times New Roman" w:hAnsi="Times New Roman" w:cs="Times New Roman"/>
          <w:sz w:val="20"/>
          <w:szCs w:val="20"/>
        </w:rPr>
        <w:t xml:space="preserve">, </w:t>
      </w:r>
      <w:hyperlink r:id="rId47" w:history="1">
        <w:r w:rsidRPr="00C315AA">
          <w:rPr>
            <w:rStyle w:val="Lienhypertexte"/>
            <w:rFonts w:ascii="Times New Roman" w:hAnsi="Times New Roman" w:cs="Times New Roman"/>
            <w:sz w:val="20"/>
            <w:szCs w:val="20"/>
          </w:rPr>
          <w:t>1995 CanLII 51 (CSC)</w:t>
        </w:r>
      </w:hyperlink>
      <w:r w:rsidRPr="00C315AA">
        <w:rPr>
          <w:rFonts w:ascii="Times New Roman" w:hAnsi="Times New Roman" w:cs="Times New Roman"/>
          <w:sz w:val="20"/>
          <w:szCs w:val="20"/>
        </w:rPr>
        <w:t xml:space="preserve">, [1995] 4 R.C.S. 411, </w:t>
      </w:r>
      <w:r w:rsidRPr="00C315AA">
        <w:rPr>
          <w:rFonts w:ascii="Times New Roman" w:hAnsi="Times New Roman" w:cs="Times New Roman"/>
          <w:i/>
          <w:iCs/>
          <w:sz w:val="20"/>
          <w:szCs w:val="20"/>
        </w:rPr>
        <w:t>R. c. La</w:t>
      </w:r>
      <w:r w:rsidRPr="00C315AA">
        <w:rPr>
          <w:rFonts w:ascii="Times New Roman" w:hAnsi="Times New Roman" w:cs="Times New Roman"/>
          <w:sz w:val="20"/>
          <w:szCs w:val="20"/>
        </w:rPr>
        <w:t>,</w:t>
      </w:r>
      <w:r w:rsidRPr="00C315AA">
        <w:rPr>
          <w:rFonts w:ascii="Times New Roman" w:hAnsi="Times New Roman" w:cs="Times New Roman"/>
          <w:i/>
          <w:iCs/>
          <w:sz w:val="20"/>
          <w:szCs w:val="20"/>
        </w:rPr>
        <w:t xml:space="preserve"> </w:t>
      </w:r>
      <w:hyperlink r:id="rId48" w:history="1">
        <w:r w:rsidRPr="00C315AA">
          <w:rPr>
            <w:rStyle w:val="Lienhypertexte"/>
            <w:rFonts w:ascii="Times New Roman" w:hAnsi="Times New Roman" w:cs="Times New Roman"/>
            <w:sz w:val="20"/>
            <w:szCs w:val="20"/>
          </w:rPr>
          <w:t>1997 CanLII 309 (CSC)</w:t>
        </w:r>
      </w:hyperlink>
      <w:r w:rsidRPr="00C315AA">
        <w:rPr>
          <w:rFonts w:ascii="Times New Roman" w:hAnsi="Times New Roman" w:cs="Times New Roman"/>
          <w:sz w:val="20"/>
          <w:szCs w:val="20"/>
        </w:rPr>
        <w:t xml:space="preserve">, [1997] 2 R.C.S. 680, </w:t>
      </w:r>
      <w:r w:rsidRPr="00C315AA">
        <w:rPr>
          <w:rFonts w:ascii="Times New Roman" w:hAnsi="Times New Roman" w:cs="Times New Roman"/>
          <w:i/>
          <w:iCs/>
          <w:sz w:val="20"/>
          <w:szCs w:val="20"/>
        </w:rPr>
        <w:t>R. c. Dixon</w:t>
      </w:r>
      <w:r w:rsidRPr="00C315AA">
        <w:rPr>
          <w:rFonts w:ascii="Times New Roman" w:hAnsi="Times New Roman" w:cs="Times New Roman"/>
          <w:sz w:val="20"/>
          <w:szCs w:val="20"/>
        </w:rPr>
        <w:t xml:space="preserve">, </w:t>
      </w:r>
      <w:hyperlink r:id="rId49" w:history="1">
        <w:r w:rsidRPr="00C315AA">
          <w:rPr>
            <w:rStyle w:val="Lienhypertexte"/>
            <w:rFonts w:ascii="Times New Roman" w:hAnsi="Times New Roman" w:cs="Times New Roman"/>
            <w:sz w:val="20"/>
            <w:szCs w:val="20"/>
          </w:rPr>
          <w:t>1998 CanLII 805 (CSC)</w:t>
        </w:r>
      </w:hyperlink>
      <w:r w:rsidRPr="00C315AA">
        <w:rPr>
          <w:rFonts w:ascii="Times New Roman" w:hAnsi="Times New Roman" w:cs="Times New Roman"/>
          <w:sz w:val="20"/>
          <w:szCs w:val="20"/>
        </w:rPr>
        <w:t>, [1998] 1 R.C.S. 244, et</w:t>
      </w:r>
      <w:r w:rsidRPr="00C315AA">
        <w:rPr>
          <w:rFonts w:ascii="Times New Roman" w:hAnsi="Times New Roman" w:cs="Times New Roman"/>
          <w:i/>
          <w:iCs/>
          <w:sz w:val="20"/>
          <w:szCs w:val="20"/>
        </w:rPr>
        <w:t xml:space="preserve"> R. c. Taillefer</w:t>
      </w:r>
      <w:r w:rsidRPr="00C315AA">
        <w:rPr>
          <w:rFonts w:ascii="Times New Roman" w:hAnsi="Times New Roman" w:cs="Times New Roman"/>
          <w:sz w:val="20"/>
          <w:szCs w:val="20"/>
        </w:rPr>
        <w:t xml:space="preserve">, </w:t>
      </w:r>
      <w:hyperlink r:id="rId50" w:history="1">
        <w:r w:rsidRPr="00C315AA">
          <w:rPr>
            <w:rStyle w:val="Lienhypertexte"/>
            <w:rFonts w:ascii="Times New Roman" w:hAnsi="Times New Roman" w:cs="Times New Roman"/>
            <w:sz w:val="20"/>
            <w:szCs w:val="20"/>
          </w:rPr>
          <w:t>2003 CSC 70 (CanLII)</w:t>
        </w:r>
      </w:hyperlink>
      <w:r w:rsidRPr="00C315AA">
        <w:rPr>
          <w:rFonts w:ascii="Times New Roman" w:hAnsi="Times New Roman" w:cs="Times New Roman"/>
          <w:sz w:val="20"/>
          <w:szCs w:val="20"/>
        </w:rPr>
        <w:t xml:space="preserve">, 2003 CSC 70, [2003] 3 R.C.S. 307, l’accusé a droit, en vertu de la Constitution, à la communication de tous les renseignements pertinents, droit par ailleurs distinct du droit à une enquête préliminaire. L’obligation qui incombe à la poursuite ne va toutefois pas jusqu’à contraindre celle-ci à produire un témoin pour un interrogatoire préalable : </w:t>
      </w:r>
      <w:r w:rsidRPr="00C315AA">
        <w:rPr>
          <w:rFonts w:ascii="Times New Roman" w:hAnsi="Times New Roman" w:cs="Times New Roman"/>
          <w:i/>
          <w:iCs/>
          <w:sz w:val="20"/>
          <w:szCs w:val="20"/>
        </w:rPr>
        <w:t>R. c. Khela</w:t>
      </w:r>
      <w:r w:rsidRPr="00C315AA">
        <w:rPr>
          <w:rFonts w:ascii="Times New Roman" w:hAnsi="Times New Roman" w:cs="Times New Roman"/>
          <w:sz w:val="20"/>
          <w:szCs w:val="20"/>
        </w:rPr>
        <w:t xml:space="preserve">, </w:t>
      </w:r>
      <w:hyperlink r:id="rId51" w:history="1">
        <w:r w:rsidRPr="00C315AA">
          <w:rPr>
            <w:rStyle w:val="Lienhypertexte"/>
            <w:rFonts w:ascii="Times New Roman" w:hAnsi="Times New Roman" w:cs="Times New Roman"/>
            <w:sz w:val="20"/>
            <w:szCs w:val="20"/>
          </w:rPr>
          <w:t>1995 CanLII 46 (CSC)</w:t>
        </w:r>
      </w:hyperlink>
      <w:r w:rsidRPr="00C315AA">
        <w:rPr>
          <w:rFonts w:ascii="Times New Roman" w:hAnsi="Times New Roman" w:cs="Times New Roman"/>
          <w:sz w:val="20"/>
          <w:szCs w:val="20"/>
        </w:rPr>
        <w:t xml:space="preserve">, [1995] 4 R.C.S. 201, par. 18.  </w:t>
      </w:r>
      <w:r w:rsidRPr="00C315AA">
        <w:rPr>
          <w:rFonts w:ascii="Times New Roman" w:hAnsi="Times New Roman" w:cs="Times New Roman"/>
          <w:b/>
          <w:sz w:val="20"/>
          <w:szCs w:val="20"/>
        </w:rPr>
        <w:t>Par conséquent, la fonction incidente de l’enquête préliminaire comme mécanisme de communication de la preuve a perdu une grande partie de sa pertinence</w:t>
      </w:r>
      <w:r w:rsidRPr="00C315AA">
        <w:rPr>
          <w:rFonts w:ascii="Times New Roman" w:hAnsi="Times New Roman" w:cs="Times New Roman"/>
          <w:sz w:val="20"/>
          <w:szCs w:val="20"/>
        </w:rPr>
        <w:t> : ministère de la Justice du Canada,</w:t>
      </w:r>
      <w:r w:rsidRPr="00C315AA">
        <w:rPr>
          <w:rFonts w:ascii="Times New Roman" w:hAnsi="Times New Roman" w:cs="Times New Roman"/>
          <w:i/>
          <w:iCs/>
          <w:sz w:val="20"/>
          <w:szCs w:val="20"/>
        </w:rPr>
        <w:t xml:space="preserve"> </w:t>
      </w:r>
      <w:r w:rsidRPr="00C315AA">
        <w:rPr>
          <w:rFonts w:ascii="Times New Roman" w:hAnsi="Times New Roman" w:cs="Times New Roman"/>
          <w:sz w:val="20"/>
          <w:szCs w:val="20"/>
        </w:rPr>
        <w:t>document de travail préparé par D. Pomerant et G. Gilmour,</w:t>
      </w:r>
      <w:r w:rsidRPr="00C315AA">
        <w:rPr>
          <w:rFonts w:ascii="Times New Roman" w:hAnsi="Times New Roman" w:cs="Times New Roman"/>
          <w:i/>
          <w:iCs/>
          <w:sz w:val="20"/>
          <w:szCs w:val="20"/>
        </w:rPr>
        <w:t xml:space="preserve"> Étude de l’enquête préliminaire au Canada</w:t>
      </w:r>
      <w:r w:rsidRPr="00C315AA">
        <w:rPr>
          <w:rFonts w:ascii="Times New Roman" w:hAnsi="Times New Roman" w:cs="Times New Roman"/>
          <w:sz w:val="20"/>
          <w:szCs w:val="20"/>
        </w:rPr>
        <w:t xml:space="preserve"> (avril 1993), p. ix et 40, et G. A. Martin et J. W. Irving, </w:t>
      </w:r>
      <w:r w:rsidRPr="00C315AA">
        <w:rPr>
          <w:rFonts w:ascii="Times New Roman" w:hAnsi="Times New Roman" w:cs="Times New Roman"/>
          <w:i/>
          <w:iCs/>
          <w:sz w:val="20"/>
          <w:szCs w:val="20"/>
        </w:rPr>
        <w:t>G. Arthur Martin : Essays on Aspects of Criminal Practice</w:t>
      </w:r>
      <w:r w:rsidRPr="00C315AA">
        <w:rPr>
          <w:rFonts w:ascii="Times New Roman" w:hAnsi="Times New Roman" w:cs="Times New Roman"/>
          <w:sz w:val="20"/>
          <w:szCs w:val="20"/>
        </w:rPr>
        <w:t xml:space="preserve"> (1997), p. 78</w:t>
      </w:r>
    </w:p>
    <w:p w14:paraId="3BF8C2CB" w14:textId="7937F440" w:rsidR="00D03E08" w:rsidRPr="00C315AA" w:rsidRDefault="00C315AA" w:rsidP="00D03E08">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Voir aussi l’article 715C.cr.</w:t>
      </w:r>
    </w:p>
    <w:p w14:paraId="5155BF6F"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Section III. L’acte d’accusation</w:t>
      </w:r>
    </w:p>
    <w:p w14:paraId="02F6E3DF" w14:textId="77777777" w:rsidR="00D03E08" w:rsidRPr="00005DA9"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§1. Fonctionnement</w:t>
      </w:r>
    </w:p>
    <w:p w14:paraId="54908920" w14:textId="5D68F890" w:rsidR="00D03E08" w:rsidRPr="00C315AA" w:rsidRDefault="00C315AA" w:rsidP="00C315AA">
      <w:pPr>
        <w:pStyle w:val="Paragraphedeliste"/>
        <w:widowControl w:val="0"/>
        <w:numPr>
          <w:ilvl w:val="0"/>
          <w:numId w:val="128"/>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Art. 548(2) C.cr.</w:t>
      </w:r>
    </w:p>
    <w:p w14:paraId="1F148B79" w14:textId="72376EA8" w:rsidR="00C315AA" w:rsidRPr="00C315AA" w:rsidRDefault="00C315AA" w:rsidP="00C315AA">
      <w:pPr>
        <w:pStyle w:val="Paragraphedeliste"/>
        <w:widowControl w:val="0"/>
        <w:numPr>
          <w:ilvl w:val="0"/>
          <w:numId w:val="128"/>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Art. 580 C.cr.</w:t>
      </w:r>
    </w:p>
    <w:p w14:paraId="539D0ABB" w14:textId="7ECB0544" w:rsidR="00C315AA" w:rsidRPr="00C315AA" w:rsidRDefault="00C315AA" w:rsidP="00C315AA">
      <w:pPr>
        <w:pStyle w:val="Paragraphedeliste"/>
        <w:widowControl w:val="0"/>
        <w:numPr>
          <w:ilvl w:val="0"/>
          <w:numId w:val="128"/>
        </w:numPr>
        <w:autoSpaceDE w:val="0"/>
        <w:autoSpaceDN w:val="0"/>
        <w:adjustRightInd w:val="0"/>
        <w:spacing w:after="300"/>
        <w:jc w:val="both"/>
        <w:rPr>
          <w:rFonts w:ascii="Times New Roman" w:hAnsi="Times New Roman" w:cs="Times New Roman"/>
          <w:color w:val="3E3E3E"/>
          <w:sz w:val="22"/>
          <w:szCs w:val="22"/>
          <w:u w:val="single"/>
        </w:rPr>
      </w:pPr>
      <w:r>
        <w:rPr>
          <w:rFonts w:ascii="Times New Roman" w:hAnsi="Times New Roman" w:cs="Times New Roman"/>
          <w:color w:val="3E3E3E"/>
          <w:sz w:val="22"/>
          <w:szCs w:val="22"/>
        </w:rPr>
        <w:t xml:space="preserve">Et l’acte d’accusation contient les choses en </w:t>
      </w:r>
      <w:r>
        <w:rPr>
          <w:rFonts w:ascii="Times New Roman" w:hAnsi="Times New Roman" w:cs="Times New Roman"/>
          <w:b/>
          <w:color w:val="3E3E3E"/>
          <w:sz w:val="22"/>
          <w:szCs w:val="22"/>
        </w:rPr>
        <w:t>566C.cr.</w:t>
      </w:r>
    </w:p>
    <w:p w14:paraId="47E9636C" w14:textId="450EE78F" w:rsidR="00D03E08" w:rsidRDefault="00D03E08" w:rsidP="00D03E08">
      <w:pPr>
        <w:widowControl w:val="0"/>
        <w:autoSpaceDE w:val="0"/>
        <w:autoSpaceDN w:val="0"/>
        <w:adjustRightInd w:val="0"/>
        <w:spacing w:after="300"/>
        <w:jc w:val="both"/>
        <w:rPr>
          <w:rFonts w:ascii="Times New Roman" w:hAnsi="Times New Roman" w:cs="Times New Roman"/>
          <w:color w:val="3E3E3E"/>
          <w:sz w:val="22"/>
          <w:szCs w:val="22"/>
          <w:u w:val="single"/>
        </w:rPr>
      </w:pPr>
      <w:r w:rsidRPr="00005DA9">
        <w:rPr>
          <w:rFonts w:ascii="Times New Roman" w:hAnsi="Times New Roman" w:cs="Times New Roman"/>
          <w:color w:val="3E3E3E"/>
          <w:sz w:val="22"/>
          <w:szCs w:val="22"/>
          <w:u w:val="single"/>
        </w:rPr>
        <w:t>§2. Les accusations qui peuvent être mentionnées</w:t>
      </w:r>
      <w:r w:rsidR="00DF420D">
        <w:rPr>
          <w:rFonts w:ascii="Times New Roman" w:hAnsi="Times New Roman" w:cs="Times New Roman"/>
          <w:color w:val="3E3E3E"/>
          <w:sz w:val="22"/>
          <w:szCs w:val="22"/>
          <w:u w:val="single"/>
        </w:rPr>
        <w:t xml:space="preserve"> (p.27)</w:t>
      </w:r>
    </w:p>
    <w:p w14:paraId="5F980C0F" w14:textId="028D1EFE" w:rsidR="00D03E08" w:rsidRPr="00DF420D" w:rsidRDefault="00DF420D" w:rsidP="00D03E08">
      <w:pPr>
        <w:pStyle w:val="Paragraphedeliste"/>
        <w:widowControl w:val="0"/>
        <w:numPr>
          <w:ilvl w:val="0"/>
          <w:numId w:val="129"/>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Voir article 574(1)C.cr.</w:t>
      </w:r>
    </w:p>
    <w:p w14:paraId="1E3B0BBD" w14:textId="671395E1" w:rsidR="00D03E08" w:rsidRPr="00005DA9" w:rsidRDefault="00D03E08" w:rsidP="00D03E08">
      <w:pPr>
        <w:widowControl w:val="0"/>
        <w:autoSpaceDE w:val="0"/>
        <w:autoSpaceDN w:val="0"/>
        <w:adjustRightInd w:val="0"/>
        <w:spacing w:after="300"/>
        <w:rPr>
          <w:rFonts w:ascii="Times New Roman" w:hAnsi="Times New Roman" w:cs="Times New Roman"/>
          <w:b/>
          <w:color w:val="3E3E3E"/>
          <w:sz w:val="22"/>
          <w:szCs w:val="22"/>
          <w:u w:val="single"/>
        </w:rPr>
      </w:pPr>
      <w:r w:rsidRPr="00005DA9">
        <w:rPr>
          <w:rFonts w:ascii="Times New Roman" w:hAnsi="Times New Roman" w:cs="Times New Roman"/>
          <w:color w:val="3E3E3E"/>
          <w:sz w:val="22"/>
          <w:szCs w:val="22"/>
          <w:u w:val="single"/>
        </w:rPr>
        <w:t>§3. Acte d’accusation direct</w:t>
      </w:r>
    </w:p>
    <w:p w14:paraId="2DB18155" w14:textId="460666FA" w:rsidR="00083B0E" w:rsidRDefault="00DF420D" w:rsidP="00DF420D">
      <w:pPr>
        <w:pStyle w:val="Paragraphedeliste"/>
        <w:widowControl w:val="0"/>
        <w:numPr>
          <w:ilvl w:val="0"/>
          <w:numId w:val="129"/>
        </w:numPr>
        <w:pBdr>
          <w:bottom w:val="single" w:sz="6" w:space="1" w:color="auto"/>
        </w:pBd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Voir article 577C.cr.</w:t>
      </w:r>
    </w:p>
    <w:p w14:paraId="6E9C166E" w14:textId="46F1AC89" w:rsidR="002D6010" w:rsidRPr="002D6010" w:rsidRDefault="002D6010" w:rsidP="002D6010">
      <w:pPr>
        <w:widowControl w:val="0"/>
        <w:autoSpaceDE w:val="0"/>
        <w:autoSpaceDN w:val="0"/>
        <w:adjustRightInd w:val="0"/>
        <w:spacing w:after="300"/>
        <w:jc w:val="center"/>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Partie III- Le procès</w:t>
      </w:r>
    </w:p>
    <w:p w14:paraId="6A6D8CE7" w14:textId="77777777" w:rsidR="002A6136" w:rsidRDefault="002D6010" w:rsidP="002D6010">
      <w:pPr>
        <w:widowControl w:val="0"/>
        <w:autoSpaceDE w:val="0"/>
        <w:autoSpaceDN w:val="0"/>
        <w:adjustRightInd w:val="0"/>
        <w:spacing w:after="300"/>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Chapitre I. Dénonciation et acte d’accusation et requêtes préliminaires</w:t>
      </w:r>
      <w:r w:rsidRPr="002D6010">
        <w:rPr>
          <w:rFonts w:ascii="Times New Roman" w:hAnsi="Times New Roman" w:cs="Times New Roman"/>
          <w:color w:val="3E3E3E"/>
          <w:sz w:val="22"/>
          <w:szCs w:val="22"/>
        </w:rPr>
        <w:t> </w:t>
      </w:r>
    </w:p>
    <w:p w14:paraId="6D5F74E7" w14:textId="6E995156" w:rsidR="002A6136" w:rsidRDefault="002A6136" w:rsidP="002D6010">
      <w:pPr>
        <w:widowControl w:val="0"/>
        <w:autoSpaceDE w:val="0"/>
        <w:autoSpaceDN w:val="0"/>
        <w:adjustRightInd w:val="0"/>
        <w:spacing w:after="300"/>
        <w:rPr>
          <w:rFonts w:ascii="Times New Roman" w:hAnsi="Times New Roman" w:cs="Times New Roman"/>
          <w:i/>
          <w:color w:val="3E3E3E"/>
          <w:sz w:val="22"/>
          <w:szCs w:val="22"/>
        </w:rPr>
      </w:pPr>
      <w:r>
        <w:rPr>
          <w:rFonts w:ascii="Times New Roman" w:hAnsi="Times New Roman" w:cs="Times New Roman"/>
          <w:i/>
          <w:color w:val="3E3E3E"/>
          <w:sz w:val="22"/>
          <w:szCs w:val="22"/>
        </w:rPr>
        <w:t>Rappel :</w:t>
      </w:r>
    </w:p>
    <w:p w14:paraId="0AD2516D" w14:textId="3415CD41" w:rsidR="002A6136" w:rsidRPr="002A6136" w:rsidRDefault="002A6136" w:rsidP="002A6136">
      <w:pPr>
        <w:pStyle w:val="Paragraphedeliste"/>
        <w:widowControl w:val="0"/>
        <w:numPr>
          <w:ilvl w:val="0"/>
          <w:numId w:val="129"/>
        </w:numPr>
        <w:autoSpaceDE w:val="0"/>
        <w:autoSpaceDN w:val="0"/>
        <w:adjustRightInd w:val="0"/>
        <w:spacing w:after="300"/>
        <w:rPr>
          <w:rFonts w:ascii="Times New Roman" w:hAnsi="Times New Roman" w:cs="Times New Roman"/>
          <w:i/>
          <w:color w:val="3E3E3E"/>
          <w:sz w:val="22"/>
          <w:szCs w:val="22"/>
        </w:rPr>
      </w:pPr>
      <w:r>
        <w:rPr>
          <w:rFonts w:ascii="Times New Roman" w:hAnsi="Times New Roman" w:cs="Times New Roman"/>
          <w:color w:val="3E3E3E"/>
          <w:sz w:val="22"/>
          <w:szCs w:val="22"/>
        </w:rPr>
        <w:t>La dénonciation et l’acte d’accusation sont les deux documents utilisés au procès pour délimités les accusations dont fait l’objet le prévenu.</w:t>
      </w:r>
    </w:p>
    <w:p w14:paraId="4370109A" w14:textId="61F30CEA" w:rsidR="002A6136" w:rsidRDefault="002A6136" w:rsidP="002A6136">
      <w:pPr>
        <w:widowControl w:val="0"/>
        <w:autoSpaceDE w:val="0"/>
        <w:autoSpaceDN w:val="0"/>
        <w:adjustRightInd w:val="0"/>
        <w:spacing w:after="300"/>
        <w:rPr>
          <w:rFonts w:ascii="Times New Roman" w:hAnsi="Times New Roman" w:cs="Times New Roman"/>
          <w:i/>
          <w:color w:val="3E3E3E"/>
          <w:sz w:val="22"/>
          <w:szCs w:val="22"/>
        </w:rPr>
      </w:pPr>
      <w:r>
        <w:rPr>
          <w:rFonts w:ascii="Times New Roman" w:hAnsi="Times New Roman" w:cs="Times New Roman"/>
          <w:i/>
          <w:color w:val="3E3E3E"/>
          <w:sz w:val="22"/>
          <w:szCs w:val="22"/>
        </w:rPr>
        <w:t>Souvenez-vous, une poursuite commence comme suit :</w:t>
      </w:r>
    </w:p>
    <w:p w14:paraId="44434B7E" w14:textId="177A1C77" w:rsidR="002A6136" w:rsidRPr="002A6136" w:rsidRDefault="002A6136" w:rsidP="002A6136">
      <w:pPr>
        <w:pStyle w:val="Paragraphedeliste"/>
        <w:widowControl w:val="0"/>
        <w:numPr>
          <w:ilvl w:val="0"/>
          <w:numId w:val="129"/>
        </w:numPr>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 xml:space="preserve">Un policier va voir un juge avec un document appelé </w:t>
      </w:r>
      <w:r>
        <w:rPr>
          <w:rFonts w:ascii="Times New Roman" w:hAnsi="Times New Roman" w:cs="Times New Roman"/>
          <w:b/>
          <w:color w:val="3E3E3E"/>
          <w:sz w:val="22"/>
          <w:szCs w:val="22"/>
        </w:rPr>
        <w:t>la dénonciation</w:t>
      </w:r>
      <w:r>
        <w:rPr>
          <w:rFonts w:ascii="Times New Roman" w:hAnsi="Times New Roman" w:cs="Times New Roman"/>
          <w:color w:val="3E3E3E"/>
          <w:sz w:val="22"/>
          <w:szCs w:val="22"/>
        </w:rPr>
        <w:t xml:space="preserve"> (formule 2). L’article 504C.cr. édicte cette procédure.</w:t>
      </w:r>
    </w:p>
    <w:p w14:paraId="72B12950" w14:textId="2DCFDD91" w:rsidR="002A6136" w:rsidRDefault="002A6136" w:rsidP="002A6136">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Ainsi :</w:t>
      </w:r>
    </w:p>
    <w:p w14:paraId="1A73D31A" w14:textId="5EA6CA0D" w:rsidR="002A6136" w:rsidRDefault="002A6136" w:rsidP="002A6136">
      <w:pPr>
        <w:pStyle w:val="Paragraphedeliste"/>
        <w:widowControl w:val="0"/>
        <w:numPr>
          <w:ilvl w:val="0"/>
          <w:numId w:val="129"/>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Pour les infractions jugées devant la Cour Pénale (infractions sommaires ou actes criminels), c’est</w:t>
      </w:r>
      <w:r w:rsidR="005065AA">
        <w:rPr>
          <w:rFonts w:ascii="Times New Roman" w:hAnsi="Times New Roman" w:cs="Times New Roman"/>
          <w:color w:val="3E3E3E"/>
          <w:sz w:val="22"/>
          <w:szCs w:val="22"/>
        </w:rPr>
        <w:t xml:space="preserve"> la dénonciation qui fixe les accusations au procès.</w:t>
      </w:r>
    </w:p>
    <w:p w14:paraId="7317445E" w14:textId="58920CC2" w:rsidR="005065AA" w:rsidRDefault="005065AA" w:rsidP="005065A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 xml:space="preserve">Art. 553C.cr. </w:t>
      </w:r>
      <w:r>
        <w:rPr>
          <w:rFonts w:ascii="Times New Roman" w:hAnsi="Times New Roman" w:cs="Times New Roman"/>
          <w:color w:val="3E3E3E"/>
          <w:sz w:val="22"/>
          <w:szCs w:val="22"/>
        </w:rPr>
        <w:t>(De la juridiction absolue de la CP)</w:t>
      </w:r>
    </w:p>
    <w:p w14:paraId="7BE6993F" w14:textId="1BC092C1" w:rsidR="005065AA" w:rsidRDefault="005065AA" w:rsidP="005065A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 554C.cr.</w:t>
      </w:r>
      <w:r>
        <w:rPr>
          <w:rFonts w:ascii="Times New Roman" w:hAnsi="Times New Roman" w:cs="Times New Roman"/>
          <w:color w:val="3E3E3E"/>
          <w:sz w:val="22"/>
          <w:szCs w:val="22"/>
        </w:rPr>
        <w:t xml:space="preserve"> (Actes criminels mais l’accusé a opté pour la CP)</w:t>
      </w:r>
    </w:p>
    <w:p w14:paraId="3561D49A" w14:textId="1891C209" w:rsidR="005065AA" w:rsidRDefault="005065AA" w:rsidP="005065AA">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 788.1 C.cr. (</w:t>
      </w:r>
      <w:r>
        <w:rPr>
          <w:rFonts w:ascii="Times New Roman" w:hAnsi="Times New Roman" w:cs="Times New Roman"/>
          <w:color w:val="3E3E3E"/>
          <w:sz w:val="22"/>
          <w:szCs w:val="22"/>
        </w:rPr>
        <w:t>Infractions sommaires)</w:t>
      </w:r>
    </w:p>
    <w:p w14:paraId="2ACD8D6A" w14:textId="47AA2C1C" w:rsidR="005065AA" w:rsidRDefault="005065AA" w:rsidP="005065AA">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Concernant la Cour supérieure :</w:t>
      </w:r>
    </w:p>
    <w:p w14:paraId="666AF760" w14:textId="20B0DAA7" w:rsidR="005065AA" w:rsidRPr="005065AA" w:rsidRDefault="005065AA" w:rsidP="005065AA">
      <w:pPr>
        <w:pStyle w:val="Paragraphedeliste"/>
        <w:widowControl w:val="0"/>
        <w:numPr>
          <w:ilvl w:val="0"/>
          <w:numId w:val="129"/>
        </w:numPr>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 xml:space="preserve">Pour les procès devant la CS, la dénonciation est remplacée par un acte d’accusation. À cet effet, voir </w:t>
      </w:r>
      <w:r>
        <w:rPr>
          <w:rFonts w:ascii="Times New Roman" w:hAnsi="Times New Roman" w:cs="Times New Roman"/>
          <w:b/>
          <w:color w:val="3E3E3E"/>
          <w:sz w:val="22"/>
          <w:szCs w:val="22"/>
        </w:rPr>
        <w:t xml:space="preserve">l’article 566C.cr. </w:t>
      </w:r>
      <w:r>
        <w:rPr>
          <w:rFonts w:ascii="Times New Roman" w:hAnsi="Times New Roman" w:cs="Times New Roman"/>
          <w:color w:val="3E3E3E"/>
          <w:sz w:val="22"/>
          <w:szCs w:val="22"/>
        </w:rPr>
        <w:t xml:space="preserve">L’acte d’accusation est préparé et signé par la Couronne, généralement après que l’accusé soit renvoyé au procès. À cet effet, voir les articles </w:t>
      </w:r>
      <w:r>
        <w:rPr>
          <w:rFonts w:ascii="Times New Roman" w:hAnsi="Times New Roman" w:cs="Times New Roman"/>
          <w:b/>
          <w:color w:val="3E3E3E"/>
          <w:sz w:val="22"/>
          <w:szCs w:val="22"/>
        </w:rPr>
        <w:t xml:space="preserve">566(1), 574(1), 580C.cr. </w:t>
      </w:r>
      <w:r>
        <w:rPr>
          <w:rFonts w:ascii="Times New Roman" w:hAnsi="Times New Roman" w:cs="Times New Roman"/>
          <w:color w:val="3E3E3E"/>
          <w:sz w:val="22"/>
          <w:szCs w:val="22"/>
        </w:rPr>
        <w:t>ainsi que la Formule 4 du C.cr.</w:t>
      </w:r>
    </w:p>
    <w:p w14:paraId="6DACFE9E" w14:textId="2D4009BF" w:rsidR="005065AA" w:rsidRPr="005065AA" w:rsidRDefault="005065AA" w:rsidP="005065AA">
      <w:pPr>
        <w:pStyle w:val="Paragraphedeliste"/>
        <w:widowControl w:val="0"/>
        <w:numPr>
          <w:ilvl w:val="0"/>
          <w:numId w:val="129"/>
        </w:numPr>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 xml:space="preserve">Il ne faut pas oublier que la Couronne peut procéder </w:t>
      </w:r>
      <w:r w:rsidRPr="005065AA">
        <w:rPr>
          <w:rFonts w:ascii="Times New Roman" w:hAnsi="Times New Roman" w:cs="Times New Roman"/>
          <w:b/>
          <w:color w:val="3E3E3E"/>
          <w:sz w:val="22"/>
          <w:szCs w:val="22"/>
        </w:rPr>
        <w:t>par voie d’accusation directe</w:t>
      </w:r>
      <w:r>
        <w:rPr>
          <w:rFonts w:ascii="Times New Roman" w:hAnsi="Times New Roman" w:cs="Times New Roman"/>
          <w:color w:val="3E3E3E"/>
          <w:sz w:val="22"/>
          <w:szCs w:val="22"/>
        </w:rPr>
        <w:t xml:space="preserve"> pour toute infraction, et ce, même si le prévenu ne s’est pas vu donner l’opportunité de demander une enquête préliminaire. Pour les détails, voir l’</w:t>
      </w:r>
      <w:r>
        <w:rPr>
          <w:rFonts w:ascii="Times New Roman" w:hAnsi="Times New Roman" w:cs="Times New Roman"/>
          <w:b/>
          <w:color w:val="3E3E3E"/>
          <w:sz w:val="22"/>
          <w:szCs w:val="22"/>
        </w:rPr>
        <w:t>article 577C.cr.</w:t>
      </w:r>
    </w:p>
    <w:p w14:paraId="0CC2B9CF" w14:textId="1900D3B4" w:rsidR="005065AA" w:rsidRDefault="005065AA" w:rsidP="005065AA">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En bref :</w:t>
      </w:r>
    </w:p>
    <w:p w14:paraId="4FC660D4" w14:textId="1A0E6107" w:rsidR="005065AA" w:rsidRPr="001158B4" w:rsidRDefault="005065AA"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color w:val="3E3E3E"/>
          <w:sz w:val="22"/>
          <w:szCs w:val="22"/>
        </w:rPr>
        <w:t>Quelque soit la forme de l’acte contenant les accusations (dénonciation ou acte d’accusation), il a pour objet de signifier au défendeur des accusations qui pèsent contre lui</w:t>
      </w:r>
      <w:r w:rsidR="001158B4">
        <w:rPr>
          <w:rFonts w:ascii="Times New Roman" w:hAnsi="Times New Roman" w:cs="Times New Roman"/>
          <w:color w:val="3E3E3E"/>
          <w:sz w:val="22"/>
          <w:szCs w:val="22"/>
        </w:rPr>
        <w:t>.</w:t>
      </w:r>
    </w:p>
    <w:p w14:paraId="2EA20E61" w14:textId="5A54C3F6" w:rsidR="001158B4" w:rsidRDefault="001158B4" w:rsidP="001158B4">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b/>
          <w:i/>
          <w:color w:val="3E3E3E"/>
          <w:sz w:val="22"/>
          <w:szCs w:val="22"/>
        </w:rPr>
        <w:t>R. c. G.R. 2005 CSC 45 (</w:t>
      </w:r>
      <w:r>
        <w:rPr>
          <w:rFonts w:ascii="Times New Roman" w:hAnsi="Times New Roman" w:cs="Times New Roman"/>
          <w:i/>
          <w:color w:val="3E3E3E"/>
          <w:sz w:val="22"/>
          <w:szCs w:val="22"/>
        </w:rPr>
        <w:t>p.2) :</w:t>
      </w:r>
    </w:p>
    <w:p w14:paraId="00EE8B23" w14:textId="14718ABD" w:rsidR="001158B4" w:rsidRPr="001158B4" w:rsidRDefault="001158B4"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0"/>
          <w:szCs w:val="20"/>
        </w:rPr>
      </w:pPr>
      <w:r w:rsidRPr="001158B4">
        <w:rPr>
          <w:rFonts w:ascii="Times New Roman" w:hAnsi="Times New Roman" w:cs="Times New Roman"/>
          <w:b/>
          <w:sz w:val="20"/>
          <w:szCs w:val="20"/>
        </w:rPr>
        <w:t>Une fonction importante d’un acte d’accusation est de notifier formellement à l’accusé le risque qu’il court sur le plan juridique</w:t>
      </w:r>
      <w:r w:rsidRPr="001158B4">
        <w:rPr>
          <w:rFonts w:ascii="Times New Roman" w:hAnsi="Times New Roman" w:cs="Times New Roman"/>
          <w:sz w:val="20"/>
          <w:szCs w:val="20"/>
        </w:rPr>
        <w:t>.  Il est, bien sûr, tout aussi important que, lorsque le ministère public est en mesure d’établir l’existence d’une partie seulement des faits décrits dans l’acte d’accusation ou énoncés dans la définition légale de l’infraction et qu’une telle preuve partielle établit l’existence des éléments constitutifs d’une infraction moindre et incluse, il y ait non pas acquittement mais plutôt déclaration de culpabilité à l’égard de l’infraction incluse</w:t>
      </w:r>
      <w:r>
        <w:rPr>
          <w:rFonts w:ascii="Times New Roman" w:hAnsi="Times New Roman" w:cs="Times New Roman"/>
          <w:sz w:val="20"/>
          <w:szCs w:val="20"/>
        </w:rPr>
        <w:t xml:space="preserve"> [11].</w:t>
      </w:r>
    </w:p>
    <w:p w14:paraId="52F5E478" w14:textId="510DDC19" w:rsidR="001158B4" w:rsidRPr="001158B4" w:rsidRDefault="001158B4"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0"/>
          <w:szCs w:val="20"/>
        </w:rPr>
      </w:pPr>
      <w:r w:rsidRPr="00411727">
        <w:rPr>
          <w:rFonts w:ascii="Times New Roman" w:hAnsi="Times New Roman" w:cs="Times New Roman"/>
          <w:sz w:val="20"/>
          <w:szCs w:val="20"/>
        </w:rPr>
        <w:t xml:space="preserve">En d’autres termes, les mêmes faits peuvent donner lieu à des accusations différentes.  Un accusé a le droit de savoir quelles accusations, parmi celles qui peuvent être portées, il devra repousser.  L’acte d’accusation est un écrit qui joue ce rôle.  L’article 662 du </w:t>
      </w:r>
      <w:r w:rsidRPr="00411727">
        <w:rPr>
          <w:rFonts w:ascii="Times New Roman" w:hAnsi="Times New Roman" w:cs="Times New Roman"/>
          <w:i/>
          <w:iCs/>
          <w:sz w:val="20"/>
          <w:szCs w:val="20"/>
        </w:rPr>
        <w:t>Code</w:t>
      </w:r>
      <w:r w:rsidRPr="00411727">
        <w:rPr>
          <w:rFonts w:ascii="Times New Roman" w:hAnsi="Times New Roman" w:cs="Times New Roman"/>
          <w:sz w:val="20"/>
          <w:szCs w:val="20"/>
        </w:rPr>
        <w:t xml:space="preserve"> énonce les règles applicables pour déterminer quelles accusations sont « comprise[s] » dans « l’infraction imputée, telle qu’elle est décrite dans la disposition qui la crée ou telle qu’elle est portée dans le chef d’accusation </w:t>
      </w:r>
      <w:r>
        <w:rPr>
          <w:rFonts w:ascii="Times New Roman" w:hAnsi="Times New Roman" w:cs="Times New Roman"/>
          <w:sz w:val="20"/>
          <w:szCs w:val="20"/>
        </w:rPr>
        <w:t xml:space="preserve"> [13].</w:t>
      </w:r>
    </w:p>
    <w:p w14:paraId="33C01A77" w14:textId="5B83A03F" w:rsidR="001158B4" w:rsidRPr="001158B4" w:rsidRDefault="001158B4"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0"/>
          <w:szCs w:val="20"/>
        </w:rPr>
      </w:pPr>
      <w:r w:rsidRPr="00411727">
        <w:rPr>
          <w:rFonts w:ascii="Times New Roman" w:hAnsi="Times New Roman" w:cs="Times New Roman"/>
          <w:sz w:val="20"/>
          <w:szCs w:val="20"/>
        </w:rPr>
        <w:t>Comme le souligne ma collègue, l’acte d’accusation doit faire plus que simplement mentionner l’infraction reprochée.  L’acte d’accusation doit « contenir, à l’égard des circonstances de l’infraction présumée, des détails suffisants pour renseigner raisonnablement le prévenu sur l’acte ou omission à prouver contre lui, et pour identifier l’affaire mentionnée » (</w:t>
      </w:r>
      <w:hyperlink r:id="rId52" w:anchor="art581par3_smooth" w:history="1">
        <w:r w:rsidRPr="00411727">
          <w:rPr>
            <w:rStyle w:val="Lienhypertexte"/>
            <w:rFonts w:ascii="Times New Roman" w:hAnsi="Times New Roman" w:cs="Times New Roman"/>
            <w:sz w:val="20"/>
            <w:szCs w:val="20"/>
          </w:rPr>
          <w:t>par. 581(3)</w:t>
        </w:r>
      </w:hyperlink>
      <w:r w:rsidRPr="00411727">
        <w:rPr>
          <w:rFonts w:ascii="Times New Roman" w:hAnsi="Times New Roman" w:cs="Times New Roman"/>
          <w:sz w:val="20"/>
          <w:szCs w:val="20"/>
        </w:rPr>
        <w:t xml:space="preserve"> du </w:t>
      </w:r>
      <w:r w:rsidRPr="00411727">
        <w:rPr>
          <w:rFonts w:ascii="Times New Roman" w:hAnsi="Times New Roman" w:cs="Times New Roman"/>
          <w:i/>
          <w:iCs/>
          <w:sz w:val="20"/>
          <w:szCs w:val="20"/>
        </w:rPr>
        <w:t>Code</w:t>
      </w:r>
      <w:r w:rsidRPr="00411727">
        <w:rPr>
          <w:rFonts w:ascii="Times New Roman" w:hAnsi="Times New Roman" w:cs="Times New Roman"/>
          <w:sz w:val="20"/>
          <w:szCs w:val="20"/>
        </w:rPr>
        <w:t>). </w:t>
      </w:r>
      <w:r>
        <w:rPr>
          <w:rFonts w:ascii="Times New Roman" w:hAnsi="Times New Roman" w:cs="Times New Roman"/>
          <w:sz w:val="20"/>
          <w:szCs w:val="20"/>
        </w:rPr>
        <w:t>[14]</w:t>
      </w:r>
    </w:p>
    <w:p w14:paraId="05C4779F" w14:textId="3D006CAC" w:rsidR="001158B4" w:rsidRPr="001158B4" w:rsidRDefault="001158B4"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0"/>
          <w:szCs w:val="20"/>
        </w:rPr>
      </w:pPr>
      <w:r w:rsidRPr="00411727">
        <w:rPr>
          <w:rFonts w:ascii="Times New Roman" w:hAnsi="Times New Roman" w:cs="Times New Roman"/>
          <w:sz w:val="20"/>
          <w:szCs w:val="20"/>
        </w:rPr>
        <w:t>Il importe de ne pas confondre l’obligation de mentionner l’accusation avec la nécessité de donner des détails suffisants à l’égard de l’affaire ou des circonstances à l’origine de l’accusation</w:t>
      </w:r>
      <w:r>
        <w:rPr>
          <w:rFonts w:ascii="Times New Roman" w:hAnsi="Times New Roman" w:cs="Times New Roman"/>
          <w:sz w:val="20"/>
          <w:szCs w:val="20"/>
        </w:rPr>
        <w:t xml:space="preserve"> [15]</w:t>
      </w:r>
    </w:p>
    <w:p w14:paraId="4344A1C3" w14:textId="24891CDC" w:rsidR="001158B4" w:rsidRPr="001158B4" w:rsidRDefault="001158B4" w:rsidP="00E46B40">
      <w:pPr>
        <w:pStyle w:val="Paragraphedeliste"/>
        <w:widowControl w:val="0"/>
        <w:numPr>
          <w:ilvl w:val="0"/>
          <w:numId w:val="130"/>
        </w:numPr>
        <w:autoSpaceDE w:val="0"/>
        <w:autoSpaceDN w:val="0"/>
        <w:adjustRightInd w:val="0"/>
        <w:spacing w:after="300"/>
        <w:jc w:val="both"/>
        <w:rPr>
          <w:rFonts w:ascii="Times New Roman" w:hAnsi="Times New Roman" w:cs="Times New Roman"/>
          <w:i/>
          <w:color w:val="3E3E3E"/>
          <w:sz w:val="20"/>
          <w:szCs w:val="20"/>
        </w:rPr>
      </w:pPr>
      <w:r>
        <w:rPr>
          <w:rFonts w:ascii="Times New Roman" w:hAnsi="Times New Roman" w:cs="Times New Roman"/>
          <w:sz w:val="20"/>
          <w:szCs w:val="20"/>
        </w:rPr>
        <w:t>)</w:t>
      </w:r>
      <w:r w:rsidRPr="00411727">
        <w:rPr>
          <w:rFonts w:ascii="Times New Roman" w:hAnsi="Times New Roman" w:cs="Times New Roman"/>
          <w:sz w:val="20"/>
          <w:szCs w:val="20"/>
        </w:rPr>
        <w:t xml:space="preserve">Depuis l’arrêt </w:t>
      </w:r>
      <w:r w:rsidRPr="00411727">
        <w:rPr>
          <w:rFonts w:ascii="Times New Roman" w:hAnsi="Times New Roman" w:cs="Times New Roman"/>
          <w:i/>
          <w:iCs/>
          <w:sz w:val="20"/>
          <w:szCs w:val="20"/>
        </w:rPr>
        <w:t>Brodie</w:t>
      </w:r>
      <w:r w:rsidRPr="00411727">
        <w:rPr>
          <w:rFonts w:ascii="Times New Roman" w:hAnsi="Times New Roman" w:cs="Times New Roman"/>
          <w:sz w:val="20"/>
          <w:szCs w:val="20"/>
        </w:rPr>
        <w:t xml:space="preserve">, les tribunaux, encouragés par les modifications apportées au </w:t>
      </w:r>
      <w:hyperlink r:id="rId53" w:history="1">
        <w:r w:rsidRPr="00411727">
          <w:rPr>
            <w:rStyle w:val="Lienhypertexte"/>
            <w:rFonts w:ascii="Times New Roman" w:hAnsi="Times New Roman" w:cs="Times New Roman"/>
            <w:i/>
            <w:iCs/>
            <w:sz w:val="20"/>
            <w:szCs w:val="20"/>
          </w:rPr>
          <w:t>Code criminel</w:t>
        </w:r>
      </w:hyperlink>
      <w:r w:rsidRPr="00411727">
        <w:rPr>
          <w:rFonts w:ascii="Times New Roman" w:hAnsi="Times New Roman" w:cs="Times New Roman"/>
          <w:sz w:val="20"/>
          <w:szCs w:val="20"/>
        </w:rPr>
        <w:t xml:space="preserve">, ont interprété de manière plus large le caractère suffisant et l’exercice de leurs pouvoirs de modification, mais un tel assouplissement n’a aucun rapport avec l’exigence fondamentale que l’infraction imputée (décrite dans la disposition qui la crée, portée dans le chef d’accusation ou qualifiée expressément d’infraction incluse dans le </w:t>
      </w:r>
      <w:hyperlink r:id="rId54" w:history="1">
        <w:r w:rsidRPr="00411727">
          <w:rPr>
            <w:rStyle w:val="Lienhypertexte"/>
            <w:rFonts w:ascii="Times New Roman" w:hAnsi="Times New Roman" w:cs="Times New Roman"/>
            <w:i/>
            <w:iCs/>
            <w:sz w:val="20"/>
            <w:szCs w:val="20"/>
          </w:rPr>
          <w:t>Code criminel</w:t>
        </w:r>
      </w:hyperlink>
      <w:r w:rsidRPr="00411727">
        <w:rPr>
          <w:rFonts w:ascii="Times New Roman" w:hAnsi="Times New Roman" w:cs="Times New Roman"/>
          <w:sz w:val="20"/>
          <w:szCs w:val="20"/>
        </w:rPr>
        <w:t xml:space="preserve"> lui</w:t>
      </w:r>
      <w:r w:rsidRPr="00411727">
        <w:rPr>
          <w:rFonts w:ascii="Palatino" w:hAnsi="Palatino" w:cs="Palatino"/>
          <w:sz w:val="20"/>
          <w:szCs w:val="20"/>
        </w:rPr>
        <w:t>‑</w:t>
      </w:r>
      <w:r w:rsidRPr="00411727">
        <w:rPr>
          <w:rFonts w:ascii="Times New Roman" w:hAnsi="Times New Roman" w:cs="Times New Roman"/>
          <w:sz w:val="20"/>
          <w:szCs w:val="20"/>
        </w:rPr>
        <w:t>même) renseigne clairement l’accusé sur les accusations à l’égard desquelles il risque d’être déclaré coupable</w:t>
      </w:r>
      <w:r>
        <w:rPr>
          <w:rFonts w:ascii="Times New Roman" w:hAnsi="Times New Roman" w:cs="Times New Roman"/>
          <w:sz w:val="20"/>
          <w:szCs w:val="20"/>
        </w:rPr>
        <w:t>. [15]</w:t>
      </w:r>
    </w:p>
    <w:p w14:paraId="3B24DB12" w14:textId="796E6C00" w:rsidR="001158B4" w:rsidRPr="000705FD" w:rsidRDefault="001158B4" w:rsidP="001158B4">
      <w:pPr>
        <w:widowControl w:val="0"/>
        <w:autoSpaceDE w:val="0"/>
        <w:autoSpaceDN w:val="0"/>
        <w:adjustRightInd w:val="0"/>
        <w:spacing w:after="300"/>
        <w:jc w:val="both"/>
        <w:rPr>
          <w:rFonts w:ascii="Times New Roman" w:hAnsi="Times New Roman" w:cs="Times New Roman"/>
          <w:color w:val="3E3E3E"/>
          <w:sz w:val="22"/>
          <w:szCs w:val="22"/>
        </w:rPr>
      </w:pPr>
      <w:r w:rsidRPr="000705FD">
        <w:rPr>
          <w:rFonts w:ascii="Times New Roman" w:hAnsi="Times New Roman" w:cs="Times New Roman"/>
          <w:color w:val="3E3E3E"/>
          <w:sz w:val="22"/>
          <w:szCs w:val="22"/>
        </w:rPr>
        <w:t>Selon le professeur Stylios, on appelle cela la «golden rule».</w:t>
      </w:r>
    </w:p>
    <w:p w14:paraId="2065B8C7" w14:textId="5231189B" w:rsidR="001158B4" w:rsidRPr="000705FD" w:rsidRDefault="001158B4" w:rsidP="001158B4">
      <w:pPr>
        <w:widowControl w:val="0"/>
        <w:autoSpaceDE w:val="0"/>
        <w:autoSpaceDN w:val="0"/>
        <w:adjustRightInd w:val="0"/>
        <w:spacing w:after="300"/>
        <w:jc w:val="both"/>
        <w:rPr>
          <w:rFonts w:ascii="Times New Roman" w:hAnsi="Times New Roman" w:cs="Times New Roman"/>
          <w:b/>
          <w:i/>
          <w:color w:val="3E3E3E"/>
          <w:sz w:val="22"/>
          <w:szCs w:val="22"/>
        </w:rPr>
      </w:pPr>
      <w:r w:rsidRPr="000705FD">
        <w:rPr>
          <w:rFonts w:ascii="Times New Roman" w:hAnsi="Times New Roman" w:cs="Times New Roman"/>
          <w:b/>
          <w:i/>
          <w:color w:val="3E3E3E"/>
          <w:sz w:val="22"/>
          <w:szCs w:val="22"/>
        </w:rPr>
        <w:t>La Reine c. Côté [1978] 1 RCS 8 (p.3) :</w:t>
      </w:r>
    </w:p>
    <w:p w14:paraId="4089DDD5" w14:textId="4108E537" w:rsidR="001158B4" w:rsidRPr="000705FD" w:rsidRDefault="000705FD"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0"/>
          <w:szCs w:val="20"/>
        </w:rPr>
      </w:pPr>
      <w:r w:rsidRPr="000705FD">
        <w:rPr>
          <w:rFonts w:ascii="Times New Roman" w:hAnsi="Times New Roman" w:cs="Times New Roman"/>
          <w:sz w:val="20"/>
          <w:szCs w:val="20"/>
        </w:rPr>
        <w:t>la règle par excellence est que l’accusé doit être raisonnablement informé de l’infraction qu’on lui impute, pour lui donner ainsi la possibilité d’une défense complète et d’un procès équitable</w:t>
      </w:r>
      <w:r>
        <w:rPr>
          <w:rFonts w:ascii="Times New Roman" w:hAnsi="Times New Roman" w:cs="Times New Roman"/>
          <w:sz w:val="20"/>
          <w:szCs w:val="20"/>
        </w:rPr>
        <w:t>.</w:t>
      </w:r>
    </w:p>
    <w:p w14:paraId="168D2D20" w14:textId="4F45AF2C" w:rsidR="000705FD" w:rsidRDefault="000705FD" w:rsidP="000705FD">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À une certaine époque, lorsque l’acte d’accusation ou la dénonciation était imprécis, l’accusation objet de cette imprécision était cassée. Ce n’est plus le cas aujourd’hui depuis l’affaire </w:t>
      </w:r>
      <w:r>
        <w:rPr>
          <w:rFonts w:ascii="Times New Roman" w:hAnsi="Times New Roman" w:cs="Times New Roman"/>
          <w:b/>
          <w:color w:val="3E3E3E"/>
          <w:sz w:val="22"/>
          <w:szCs w:val="22"/>
        </w:rPr>
        <w:t>Sault-Ste-Marie 1978 (p.3) :</w:t>
      </w:r>
    </w:p>
    <w:p w14:paraId="5C06B6AA" w14:textId="51760BDD" w:rsidR="000705FD" w:rsidRPr="000705FD" w:rsidRDefault="000705FD"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b/>
          <w:color w:val="3E3E3E"/>
          <w:sz w:val="22"/>
          <w:szCs w:val="22"/>
        </w:rPr>
      </w:pPr>
      <w:r w:rsidRPr="00B151D0">
        <w:rPr>
          <w:rFonts w:ascii="Times New Roman" w:hAnsi="Times New Roman" w:cs="Times New Roman"/>
          <w:sz w:val="20"/>
          <w:szCs w:val="20"/>
        </w:rPr>
        <w:t xml:space="preserve">Le Parlement a clairement démontré, dans les articles du </w:t>
      </w:r>
      <w:r w:rsidRPr="00B151D0">
        <w:rPr>
          <w:rFonts w:ascii="Times New Roman" w:hAnsi="Times New Roman" w:cs="Times New Roman"/>
          <w:i/>
          <w:iCs/>
          <w:sz w:val="20"/>
          <w:szCs w:val="20"/>
        </w:rPr>
        <w:t xml:space="preserve">Code criminel </w:t>
      </w:r>
      <w:r w:rsidRPr="00B151D0">
        <w:rPr>
          <w:rFonts w:ascii="Times New Roman" w:hAnsi="Times New Roman" w:cs="Times New Roman"/>
          <w:sz w:val="20"/>
          <w:szCs w:val="20"/>
        </w:rPr>
        <w:t>relatifs à la forme des actes d’accusation et des dénonciations, que nous n’étions plus liés par le formalisme pointilleux d’antan. Nous devons examiner le fond des choses et non pas des formalités insignifiantes</w:t>
      </w:r>
      <w:r>
        <w:rPr>
          <w:rFonts w:ascii="Times New Roman" w:hAnsi="Times New Roman" w:cs="Times New Roman"/>
          <w:sz w:val="20"/>
          <w:szCs w:val="20"/>
        </w:rPr>
        <w:t>.</w:t>
      </w:r>
    </w:p>
    <w:p w14:paraId="38B1EC7C" w14:textId="77777777" w:rsidR="000705FD" w:rsidRPr="000705FD" w:rsidRDefault="000705FD" w:rsidP="000705FD">
      <w:pPr>
        <w:pStyle w:val="Paragraphedeliste"/>
        <w:widowControl w:val="0"/>
        <w:autoSpaceDE w:val="0"/>
        <w:autoSpaceDN w:val="0"/>
        <w:adjustRightInd w:val="0"/>
        <w:spacing w:after="300"/>
        <w:jc w:val="both"/>
        <w:rPr>
          <w:rFonts w:ascii="Times New Roman" w:hAnsi="Times New Roman" w:cs="Times New Roman"/>
          <w:b/>
          <w:color w:val="3E3E3E"/>
          <w:sz w:val="22"/>
          <w:szCs w:val="22"/>
        </w:rPr>
      </w:pPr>
    </w:p>
    <w:p w14:paraId="0624A474" w14:textId="1CCA2AAA" w:rsidR="002D6010" w:rsidRPr="002D6010" w:rsidRDefault="002D6010" w:rsidP="002D6010">
      <w:pPr>
        <w:widowControl w:val="0"/>
        <w:autoSpaceDE w:val="0"/>
        <w:autoSpaceDN w:val="0"/>
        <w:adjustRightInd w:val="0"/>
        <w:spacing w:after="300"/>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Section I. Structure et contenu</w:t>
      </w:r>
      <w:r w:rsidRPr="002D6010">
        <w:rPr>
          <w:rFonts w:ascii="Times New Roman" w:hAnsi="Times New Roman" w:cs="Times New Roman"/>
          <w:color w:val="3E3E3E"/>
          <w:sz w:val="22"/>
          <w:szCs w:val="22"/>
        </w:rPr>
        <w:t> </w:t>
      </w:r>
      <w:r w:rsidR="000705FD">
        <w:rPr>
          <w:rFonts w:ascii="Times New Roman" w:hAnsi="Times New Roman" w:cs="Times New Roman"/>
          <w:color w:val="3E3E3E"/>
          <w:sz w:val="22"/>
          <w:szCs w:val="22"/>
        </w:rPr>
        <w:t>(p.4)</w:t>
      </w:r>
    </w:p>
    <w:p w14:paraId="292E16E1" w14:textId="32BC8308"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§1. Structure des accusations (Réunion des chefs d’accusation)</w:t>
      </w:r>
      <w:r w:rsidRPr="002D6010">
        <w:rPr>
          <w:rFonts w:ascii="Times New Roman" w:hAnsi="Times New Roman" w:cs="Times New Roman"/>
          <w:color w:val="3E3E3E"/>
          <w:sz w:val="22"/>
          <w:szCs w:val="22"/>
        </w:rPr>
        <w:t> </w:t>
      </w:r>
    </w:p>
    <w:p w14:paraId="12D37887" w14:textId="594F420D" w:rsidR="000705FD" w:rsidRDefault="000705FD"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Tant la police que la Couronne disposent d’une certaine flexibilité dans la manière de structurer les accusations dans une dénonciation ou dans un acte d’accusation.</w:t>
      </w:r>
    </w:p>
    <w:p w14:paraId="287CDDA1" w14:textId="06C465B1" w:rsidR="000705FD" w:rsidRDefault="000705FD" w:rsidP="002D6010">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Last 2009 :</w:t>
      </w:r>
    </w:p>
    <w:p w14:paraId="377DD8CB" w14:textId="5B69C96F" w:rsidR="000705FD" w:rsidRPr="000705FD" w:rsidRDefault="000705FD"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B151D0">
        <w:rPr>
          <w:rFonts w:ascii="Times New Roman" w:hAnsi="Times New Roman" w:cs="Times New Roman"/>
          <w:b/>
          <w:sz w:val="20"/>
          <w:szCs w:val="20"/>
        </w:rPr>
        <w:t>Le ministère public jouit d’un vaste pouvoir discrétionnaire pour décider d’inclure plus d’un chef d’accusation dans un acte d’accusation</w:t>
      </w:r>
      <w:r w:rsidRPr="00B151D0">
        <w:rPr>
          <w:rFonts w:ascii="Times New Roman" w:hAnsi="Times New Roman" w:cs="Times New Roman"/>
          <w:sz w:val="20"/>
          <w:szCs w:val="20"/>
        </w:rPr>
        <w:t xml:space="preserve"> (</w:t>
      </w:r>
      <w:hyperlink r:id="rId55" w:anchor="art591par1_smooth" w:history="1">
        <w:r w:rsidRPr="00B151D0">
          <w:rPr>
            <w:rStyle w:val="Lienhypertexte"/>
            <w:rFonts w:ascii="Times New Roman" w:hAnsi="Times New Roman" w:cs="Times New Roman"/>
            <w:sz w:val="20"/>
            <w:szCs w:val="20"/>
          </w:rPr>
          <w:t>par. 591(1)</w:t>
        </w:r>
      </w:hyperlink>
      <w:r w:rsidRPr="00B151D0">
        <w:rPr>
          <w:rFonts w:ascii="Times New Roman" w:hAnsi="Times New Roman" w:cs="Times New Roman"/>
          <w:sz w:val="20"/>
          <w:szCs w:val="20"/>
        </w:rPr>
        <w:t xml:space="preserve"> du </w:t>
      </w:r>
      <w:hyperlink r:id="rId56" w:history="1">
        <w:r w:rsidRPr="00B151D0">
          <w:rPr>
            <w:rStyle w:val="Lienhypertexte"/>
            <w:rFonts w:ascii="Times New Roman" w:hAnsi="Times New Roman" w:cs="Times New Roman"/>
            <w:i/>
            <w:iCs/>
            <w:sz w:val="20"/>
            <w:szCs w:val="20"/>
          </w:rPr>
          <w:t>Code criminel</w:t>
        </w:r>
        <w:r w:rsidRPr="00B151D0">
          <w:rPr>
            <w:rStyle w:val="Lienhypertexte"/>
            <w:rFonts w:ascii="Times New Roman" w:hAnsi="Times New Roman" w:cs="Times New Roman"/>
            <w:sz w:val="20"/>
            <w:szCs w:val="20"/>
          </w:rPr>
          <w:t>, L.R.C. 1985, ch. C</w:t>
        </w:r>
        <w:r w:rsidRPr="00B151D0">
          <w:rPr>
            <w:rStyle w:val="Lienhypertexte"/>
            <w:rFonts w:ascii="Palatino" w:hAnsi="Palatino" w:cs="Palatino"/>
            <w:sz w:val="20"/>
            <w:szCs w:val="20"/>
          </w:rPr>
          <w:t>‑</w:t>
        </w:r>
        <w:r w:rsidRPr="00B151D0">
          <w:rPr>
            <w:rStyle w:val="Lienhypertexte"/>
            <w:rFonts w:ascii="Times New Roman" w:hAnsi="Times New Roman" w:cs="Times New Roman"/>
            <w:sz w:val="20"/>
            <w:szCs w:val="20"/>
          </w:rPr>
          <w:t>46</w:t>
        </w:r>
      </w:hyperlink>
      <w:r w:rsidRPr="00B151D0">
        <w:rPr>
          <w:rFonts w:ascii="Times New Roman" w:hAnsi="Times New Roman" w:cs="Times New Roman"/>
          <w:sz w:val="20"/>
          <w:szCs w:val="20"/>
        </w:rPr>
        <w:t>).  Dans le cadre d’une demande de séparation des chefs d’accusation compris dans un acte d’accusation, les intérêts de la justice constituent le critère primordial</w:t>
      </w:r>
      <w:r>
        <w:rPr>
          <w:rFonts w:ascii="Times New Roman" w:hAnsi="Times New Roman" w:cs="Times New Roman"/>
          <w:sz w:val="20"/>
          <w:szCs w:val="20"/>
        </w:rPr>
        <w:t>.</w:t>
      </w:r>
    </w:p>
    <w:p w14:paraId="04618CDB" w14:textId="59591BDB" w:rsidR="000705FD" w:rsidRDefault="000705FD" w:rsidP="000705FD">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Le document peut contenir plusieurs accusations</w:t>
      </w:r>
    </w:p>
    <w:p w14:paraId="65C1DD71" w14:textId="4638AC3C" w:rsidR="000705FD" w:rsidRPr="000705FD" w:rsidRDefault="000705FD"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Article 591(1) C.cr.</w:t>
      </w:r>
    </w:p>
    <w:p w14:paraId="42AEC7ED" w14:textId="3FE847C0" w:rsidR="000705FD" w:rsidRDefault="000705FD" w:rsidP="000705FD">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De la même façon, des accusations peuvent figurer sur deux documents différents, mais il aura des procès séparés pour chaque document d’accusations. S’il y a plusieurs co-défendeurs, un seul document d’accusation pourrait suffire.</w:t>
      </w:r>
    </w:p>
    <w:p w14:paraId="3112F907" w14:textId="26C77F64" w:rsidR="000705FD" w:rsidRDefault="000705FD" w:rsidP="000705FD">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S.J.L. 2009 (p.4) :</w:t>
      </w:r>
    </w:p>
    <w:p w14:paraId="4E6EED07" w14:textId="16719992" w:rsidR="000705FD" w:rsidRPr="000705FD" w:rsidRDefault="000705FD"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B151D0">
        <w:rPr>
          <w:rFonts w:ascii="Times New Roman" w:hAnsi="Times New Roman" w:cs="Times New Roman"/>
          <w:sz w:val="20"/>
          <w:szCs w:val="20"/>
        </w:rPr>
        <w:t>La règle suivant laquelle plusieurs accusés peuvent être jugés conjointement est issue de la common law. Elle permet de poursuivre plusieurs accusés au moyen d’un seul acte d’accusation ou d’une seule dénonciation, ou de réunir pour un même procès des accusés poursuivis sur le fondement d’actes d’accusation ou de dénonciations distincts, lorsque ces personnes ont commis ensemble une infraction (</w:t>
      </w:r>
      <w:r w:rsidRPr="00B151D0">
        <w:rPr>
          <w:rFonts w:ascii="Times New Roman" w:hAnsi="Times New Roman" w:cs="Times New Roman"/>
          <w:i/>
          <w:iCs/>
          <w:sz w:val="20"/>
          <w:szCs w:val="20"/>
        </w:rPr>
        <w:t>Phillips c. La Reine</w:t>
      </w:r>
      <w:r w:rsidRPr="00B151D0">
        <w:rPr>
          <w:rFonts w:ascii="Times New Roman" w:hAnsi="Times New Roman" w:cs="Times New Roman"/>
          <w:sz w:val="20"/>
          <w:szCs w:val="20"/>
        </w:rPr>
        <w:t xml:space="preserve">, </w:t>
      </w:r>
      <w:r>
        <w:rPr>
          <w:rFonts w:ascii="Times New Roman" w:hAnsi="Times New Roman" w:cs="Times New Roman"/>
          <w:sz w:val="20"/>
          <w:szCs w:val="20"/>
        </w:rPr>
        <w:t>1983</w:t>
      </w:r>
      <w:r w:rsidRPr="00B151D0">
        <w:rPr>
          <w:rFonts w:ascii="Times New Roman" w:hAnsi="Times New Roman" w:cs="Times New Roman"/>
          <w:sz w:val="20"/>
          <w:szCs w:val="20"/>
        </w:rPr>
        <w:t xml:space="preserve"> [1983] 2 R.C.S. 161, p. 164-165; </w:t>
      </w:r>
      <w:r w:rsidRPr="00B151D0">
        <w:rPr>
          <w:rFonts w:ascii="Times New Roman" w:hAnsi="Times New Roman" w:cs="Times New Roman"/>
          <w:i/>
          <w:iCs/>
          <w:sz w:val="20"/>
          <w:szCs w:val="20"/>
        </w:rPr>
        <w:t>R. c. Clunas</w:t>
      </w:r>
      <w:r w:rsidRPr="00B151D0">
        <w:rPr>
          <w:rFonts w:ascii="Times New Roman" w:hAnsi="Times New Roman" w:cs="Times New Roman"/>
          <w:sz w:val="20"/>
          <w:szCs w:val="20"/>
        </w:rPr>
        <w:t xml:space="preserve"> [1992] 1 R.C.S. 595, p. 610-611</w:t>
      </w:r>
      <w:r>
        <w:rPr>
          <w:rFonts w:ascii="Times New Roman" w:hAnsi="Times New Roman" w:cs="Times New Roman"/>
          <w:sz w:val="20"/>
          <w:szCs w:val="20"/>
        </w:rPr>
        <w:t xml:space="preserve"> [48].</w:t>
      </w:r>
    </w:p>
    <w:p w14:paraId="192E0B3B" w14:textId="09A41D2D" w:rsidR="000705FD" w:rsidRDefault="000705FD" w:rsidP="000705FD">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Dans la situation de l’arrêt précité, il y aura procès conjoint. Cependant, on doit faire</w:t>
      </w:r>
      <w:r>
        <w:rPr>
          <w:rFonts w:ascii="Times New Roman" w:hAnsi="Times New Roman" w:cs="Times New Roman"/>
          <w:b/>
          <w:color w:val="3E3E3E"/>
          <w:sz w:val="22"/>
          <w:szCs w:val="22"/>
        </w:rPr>
        <w:t xml:space="preserve"> attention</w:t>
      </w:r>
      <w:r>
        <w:rPr>
          <w:rFonts w:ascii="Times New Roman" w:hAnsi="Times New Roman" w:cs="Times New Roman"/>
          <w:color w:val="3E3E3E"/>
          <w:sz w:val="22"/>
          <w:szCs w:val="22"/>
        </w:rPr>
        <w:t xml:space="preserve"> dans le cas du </w:t>
      </w:r>
      <w:r>
        <w:rPr>
          <w:rFonts w:ascii="Times New Roman" w:hAnsi="Times New Roman" w:cs="Times New Roman"/>
          <w:b/>
          <w:color w:val="3E3E3E"/>
          <w:sz w:val="22"/>
          <w:szCs w:val="22"/>
        </w:rPr>
        <w:t>meurtre</w:t>
      </w:r>
      <w:r>
        <w:rPr>
          <w:rFonts w:ascii="Times New Roman" w:hAnsi="Times New Roman" w:cs="Times New Roman"/>
          <w:color w:val="3E3E3E"/>
          <w:sz w:val="22"/>
          <w:szCs w:val="22"/>
        </w:rPr>
        <w:t xml:space="preserve">. Voir l’article </w:t>
      </w:r>
      <w:r w:rsidRPr="000705FD">
        <w:rPr>
          <w:rFonts w:ascii="Times New Roman" w:hAnsi="Times New Roman" w:cs="Times New Roman"/>
          <w:b/>
          <w:color w:val="3E3E3E"/>
          <w:sz w:val="22"/>
          <w:szCs w:val="22"/>
        </w:rPr>
        <w:t>589C.cr</w:t>
      </w:r>
      <w:r>
        <w:rPr>
          <w:rFonts w:ascii="Times New Roman" w:hAnsi="Times New Roman" w:cs="Times New Roman"/>
          <w:color w:val="3E3E3E"/>
          <w:sz w:val="22"/>
          <w:szCs w:val="22"/>
        </w:rPr>
        <w:t>. à cet effet.</w:t>
      </w:r>
    </w:p>
    <w:p w14:paraId="27109B66" w14:textId="0CAB0008" w:rsidR="005E0955" w:rsidRDefault="005E0955" w:rsidP="000705FD">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Par contre, s’il y a une infraction sommaire dans le lot, elle ne peut être jugée par un juge et jury (devant la CS), et ce, même si elle a été commise dans le cadre d’une même transaction criminelle comprenant un acte criminel.</w:t>
      </w:r>
    </w:p>
    <w:p w14:paraId="29384033" w14:textId="1C7D9DEF" w:rsidR="005E0955" w:rsidRDefault="005E0955" w:rsidP="000705FD">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S.J.L. 2009 (p.5)</w:t>
      </w:r>
    </w:p>
    <w:p w14:paraId="6E03A27E" w14:textId="5BD7E2EC" w:rsidR="005E0955" w:rsidRPr="005E0955" w:rsidRDefault="005E0955"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F06663">
        <w:rPr>
          <w:rFonts w:ascii="Times New Roman" w:hAnsi="Times New Roman" w:cs="Times New Roman"/>
          <w:sz w:val="20"/>
          <w:szCs w:val="20"/>
        </w:rPr>
        <w:t xml:space="preserve">Peu de temps après cet arrêt, notre Cour rendait sa décision dans l’affaire </w:t>
      </w:r>
      <w:r w:rsidRPr="00F06663">
        <w:rPr>
          <w:rFonts w:ascii="Times New Roman" w:hAnsi="Times New Roman" w:cs="Times New Roman"/>
          <w:i/>
          <w:iCs/>
          <w:sz w:val="20"/>
          <w:szCs w:val="20"/>
        </w:rPr>
        <w:t>Clunas</w:t>
      </w:r>
      <w:r w:rsidRPr="00F06663">
        <w:rPr>
          <w:rFonts w:ascii="Times New Roman" w:hAnsi="Times New Roman" w:cs="Times New Roman"/>
          <w:sz w:val="20"/>
          <w:szCs w:val="20"/>
        </w:rPr>
        <w:t xml:space="preserve"> et ouvrait la porte à la tenue de procès portant à la fois sur des infractions sommaires et des actes criminels dans les cas où le procès doit se dérouler soit devant la Cour provinciale soit devant un juge sans jury et sans qu’il y ait d’enquête préliminaire, lorsque l’accusé y consent ou que cela sert les intérêts de la justice. Rejetant une approche formaliste, la Cour s’est fondée sur le libellé du </w:t>
      </w:r>
      <w:hyperlink r:id="rId57" w:anchor="art591par1_smooth" w:history="1">
        <w:r w:rsidRPr="00F06663">
          <w:rPr>
            <w:rStyle w:val="Lienhypertexte"/>
            <w:rFonts w:ascii="Times New Roman" w:hAnsi="Times New Roman" w:cs="Times New Roman"/>
            <w:sz w:val="20"/>
            <w:szCs w:val="20"/>
          </w:rPr>
          <w:t>par. 591(1)</w:t>
        </w:r>
      </w:hyperlink>
      <w:r w:rsidRPr="00F06663">
        <w:rPr>
          <w:rFonts w:ascii="Times New Roman" w:hAnsi="Times New Roman" w:cs="Times New Roman"/>
          <w:sz w:val="20"/>
          <w:szCs w:val="20"/>
        </w:rPr>
        <w:t xml:space="preserve"> </w:t>
      </w:r>
      <w:hyperlink r:id="rId58" w:history="1">
        <w:r w:rsidRPr="00F06663">
          <w:rPr>
            <w:rStyle w:val="Lienhypertexte"/>
            <w:rFonts w:ascii="Times New Roman" w:hAnsi="Times New Roman" w:cs="Times New Roman"/>
            <w:i/>
            <w:iCs/>
            <w:sz w:val="20"/>
            <w:szCs w:val="20"/>
          </w:rPr>
          <w:t>C. cr</w:t>
        </w:r>
      </w:hyperlink>
      <w:r w:rsidRPr="00F06663">
        <w:rPr>
          <w:rFonts w:ascii="Times New Roman" w:hAnsi="Times New Roman" w:cs="Times New Roman"/>
          <w:i/>
          <w:iCs/>
          <w:sz w:val="20"/>
          <w:szCs w:val="20"/>
        </w:rPr>
        <w:t>.</w:t>
      </w:r>
      <w:r w:rsidRPr="00F06663">
        <w:rPr>
          <w:rFonts w:ascii="Times New Roman" w:hAnsi="Times New Roman" w:cs="Times New Roman"/>
          <w:sz w:val="20"/>
          <w:szCs w:val="20"/>
        </w:rPr>
        <w:t xml:space="preserve">, qui vise les « infractions » de façon générale. Si l’on peut inscrire les deux types d’infractions sur un même acte, on peut alors les juger en même temps. Quant aux conflits qui pourraient surgir lors de l’application de la procédure prescrite par la partie XXVII du </w:t>
      </w:r>
      <w:hyperlink r:id="rId59" w:history="1">
        <w:r w:rsidRPr="00F06663">
          <w:rPr>
            <w:rStyle w:val="Lienhypertexte"/>
            <w:rFonts w:ascii="Times New Roman" w:hAnsi="Times New Roman" w:cs="Times New Roman"/>
            <w:i/>
            <w:iCs/>
            <w:sz w:val="20"/>
            <w:szCs w:val="20"/>
          </w:rPr>
          <w:t>C. cr</w:t>
        </w:r>
      </w:hyperlink>
      <w:r w:rsidRPr="00F06663">
        <w:rPr>
          <w:rFonts w:ascii="Times New Roman" w:hAnsi="Times New Roman" w:cs="Times New Roman"/>
          <w:i/>
          <w:iCs/>
          <w:sz w:val="20"/>
          <w:szCs w:val="20"/>
        </w:rPr>
        <w:t>.</w:t>
      </w:r>
      <w:r w:rsidRPr="00F06663">
        <w:rPr>
          <w:rFonts w:ascii="Times New Roman" w:hAnsi="Times New Roman" w:cs="Times New Roman"/>
          <w:sz w:val="20"/>
          <w:szCs w:val="20"/>
        </w:rPr>
        <w:t xml:space="preserve"> et celle prescrite pour les actes criminels, la Cour a mentionné que « c’est celle prévue pour les actes criminels qu’il faut retenir » (p. 612).</w:t>
      </w:r>
    </w:p>
    <w:p w14:paraId="04296B5A" w14:textId="69CA3F67" w:rsidR="005E0955" w:rsidRDefault="005E0955" w:rsidP="005E0955">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Comme on le constate, pour les procès sans jury, l’acte criminel et l’infraction sommaire peuvent faire l’Objet du même procès. C’est la procédure par accusation qui sera alors suivie. Voir l’affaire </w:t>
      </w:r>
      <w:r>
        <w:rPr>
          <w:rFonts w:ascii="Times New Roman" w:hAnsi="Times New Roman" w:cs="Times New Roman"/>
          <w:b/>
          <w:color w:val="3E3E3E"/>
          <w:sz w:val="22"/>
          <w:szCs w:val="22"/>
        </w:rPr>
        <w:t>R. c. Clunas 1992</w:t>
      </w:r>
      <w:r>
        <w:rPr>
          <w:rFonts w:ascii="Times New Roman" w:hAnsi="Times New Roman" w:cs="Times New Roman"/>
          <w:color w:val="3E3E3E"/>
          <w:sz w:val="22"/>
          <w:szCs w:val="22"/>
        </w:rPr>
        <w:t xml:space="preserve"> sur ce sujet :</w:t>
      </w:r>
    </w:p>
    <w:p w14:paraId="0EEF3E2B" w14:textId="757FF32F" w:rsidR="005E0955" w:rsidRPr="00253D9B" w:rsidRDefault="00253D9B"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CF6DD4">
        <w:rPr>
          <w:rFonts w:ascii="Times New Roman" w:hAnsi="Times New Roman" w:cs="Times New Roman"/>
          <w:sz w:val="20"/>
          <w:szCs w:val="20"/>
        </w:rPr>
        <w:t>Par conséquent, s'il est possible d'inclure dans un seul acte d'accusation infractions punissables sur déclaration de culpabilité par procédure sommaire et actes criminels, il devrait être possible, pour les raisons exposées ci</w:t>
      </w:r>
      <w:r w:rsidRPr="00CF6DD4">
        <w:rPr>
          <w:rFonts w:ascii="Palatino" w:hAnsi="Palatino" w:cs="Palatino"/>
          <w:sz w:val="20"/>
          <w:szCs w:val="20"/>
        </w:rPr>
        <w:t>‑</w:t>
      </w:r>
      <w:r w:rsidRPr="00CF6DD4">
        <w:rPr>
          <w:rFonts w:ascii="Times New Roman" w:hAnsi="Times New Roman" w:cs="Times New Roman"/>
          <w:sz w:val="20"/>
          <w:szCs w:val="20"/>
        </w:rPr>
        <w:t>dessus, de juger ces infractions conjointement lorsqu'elles figurent dans deux dénonciations distinctes.  Il faut souligner en outre qu'aux termes de l'</w:t>
      </w:r>
      <w:hyperlink r:id="rId60" w:anchor="art795_smooth" w:history="1">
        <w:r w:rsidRPr="00CF6DD4">
          <w:rPr>
            <w:rStyle w:val="Lienhypertexte"/>
            <w:rFonts w:ascii="Times New Roman" w:hAnsi="Times New Roman" w:cs="Times New Roman"/>
            <w:sz w:val="20"/>
            <w:szCs w:val="20"/>
          </w:rPr>
          <w:t>art. 795</w:t>
        </w:r>
      </w:hyperlink>
      <w:r w:rsidRPr="00CF6DD4">
        <w:rPr>
          <w:rFonts w:ascii="Times New Roman" w:hAnsi="Times New Roman" w:cs="Times New Roman"/>
          <w:sz w:val="20"/>
          <w:szCs w:val="20"/>
        </w:rPr>
        <w:t xml:space="preserve"> du </w:t>
      </w:r>
      <w:hyperlink r:id="rId61" w:history="1">
        <w:r w:rsidRPr="00CF6DD4">
          <w:rPr>
            <w:rStyle w:val="Lienhypertexte"/>
            <w:rFonts w:ascii="Times New Roman" w:hAnsi="Times New Roman" w:cs="Times New Roman"/>
            <w:i/>
            <w:iCs/>
            <w:sz w:val="20"/>
            <w:szCs w:val="20"/>
          </w:rPr>
          <w:t>Code criminel</w:t>
        </w:r>
      </w:hyperlink>
      <w:r w:rsidRPr="00CF6DD4">
        <w:rPr>
          <w:rFonts w:ascii="Times New Roman" w:hAnsi="Times New Roman" w:cs="Times New Roman"/>
          <w:sz w:val="20"/>
          <w:szCs w:val="20"/>
        </w:rPr>
        <w:t xml:space="preserve">, le </w:t>
      </w:r>
      <w:hyperlink r:id="rId62" w:anchor="art591par1_smooth" w:history="1">
        <w:r w:rsidRPr="00CF6DD4">
          <w:rPr>
            <w:rStyle w:val="Lienhypertexte"/>
            <w:rFonts w:ascii="Times New Roman" w:hAnsi="Times New Roman" w:cs="Times New Roman"/>
            <w:sz w:val="20"/>
            <w:szCs w:val="20"/>
          </w:rPr>
          <w:t>par. 591(1)</w:t>
        </w:r>
      </w:hyperlink>
      <w:r w:rsidRPr="00CF6DD4">
        <w:rPr>
          <w:rFonts w:ascii="Times New Roman" w:hAnsi="Times New Roman" w:cs="Times New Roman"/>
          <w:sz w:val="20"/>
          <w:szCs w:val="20"/>
        </w:rPr>
        <w:t xml:space="preserve"> s'applique aux procédures sommaires.  Il n'y a rien à redire à cela. Nous devons néanmoins nous rappeler la différence qui existe, quant à la procédure, entre les actes criminels et les infractions punissables sur déclaration de culpabilité par procédure sommaire.  De toute évidence, le fait que les actes criminels doivent dans certains cas, et peuvent dans d'autres, êtres instruits par un juge et un jury constitue un empêchement à ce que le même tribunal instruise alors en même temps une infraction punissable sur déclaration de culpabilité par procédure sommaire</w:t>
      </w:r>
      <w:r>
        <w:rPr>
          <w:rFonts w:ascii="Times New Roman" w:hAnsi="Times New Roman" w:cs="Times New Roman"/>
          <w:sz w:val="20"/>
          <w:szCs w:val="20"/>
        </w:rPr>
        <w:t>.</w:t>
      </w:r>
    </w:p>
    <w:p w14:paraId="666616A7" w14:textId="5F5EEDAE" w:rsidR="00253D9B" w:rsidRPr="00253D9B" w:rsidRDefault="00253D9B"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CF6DD4">
        <w:rPr>
          <w:rFonts w:ascii="Times New Roman" w:hAnsi="Times New Roman" w:cs="Times New Roman"/>
          <w:sz w:val="20"/>
          <w:szCs w:val="20"/>
        </w:rPr>
        <w:t>Ensuite, le fait qu'il peut y avoir une enquête préliminaire dans le cas de la plupart des actes criminels fait également obstacle à la réunion des procès</w:t>
      </w:r>
      <w:r>
        <w:rPr>
          <w:rFonts w:ascii="Times New Roman" w:hAnsi="Times New Roman" w:cs="Times New Roman"/>
          <w:sz w:val="20"/>
          <w:szCs w:val="20"/>
        </w:rPr>
        <w:t>.</w:t>
      </w:r>
    </w:p>
    <w:p w14:paraId="43744A9B" w14:textId="2CA57D07" w:rsidR="00253D9B" w:rsidRPr="00253D9B" w:rsidRDefault="00253D9B" w:rsidP="00E46B40">
      <w:pPr>
        <w:pStyle w:val="Paragraphedeliste"/>
        <w:widowControl w:val="0"/>
        <w:numPr>
          <w:ilvl w:val="0"/>
          <w:numId w:val="131"/>
        </w:numPr>
        <w:autoSpaceDE w:val="0"/>
        <w:autoSpaceDN w:val="0"/>
        <w:adjustRightInd w:val="0"/>
        <w:spacing w:after="300"/>
        <w:jc w:val="both"/>
        <w:rPr>
          <w:rFonts w:ascii="Times New Roman" w:hAnsi="Times New Roman" w:cs="Times New Roman"/>
          <w:color w:val="3E3E3E"/>
          <w:sz w:val="22"/>
          <w:szCs w:val="22"/>
        </w:rPr>
      </w:pPr>
      <w:r w:rsidRPr="00CF6DD4">
        <w:rPr>
          <w:rFonts w:ascii="Times New Roman" w:hAnsi="Times New Roman" w:cs="Times New Roman"/>
          <w:sz w:val="20"/>
          <w:szCs w:val="20"/>
        </w:rPr>
        <w:t>Comme l'indique la Commission de réforme du droit, en cas de conflit quant à la procédure applicable, c'est celle prévue pour les actes criminels qu'il faut retenir, et les crimes susceptibles d'être instruits devant un jury peuvent être réunis à ceux qui ne le sont pas (ou qui ne donnent pas lieu à une enquête préliminaire), pourvu que l'accusé ait consenti à ce que les deux soient instruits sans jury ni enquête préliminaire</w:t>
      </w:r>
      <w:r>
        <w:rPr>
          <w:rFonts w:ascii="Times New Roman" w:hAnsi="Times New Roman" w:cs="Times New Roman"/>
          <w:sz w:val="20"/>
          <w:szCs w:val="20"/>
        </w:rPr>
        <w:t>.</w:t>
      </w:r>
    </w:p>
    <w:p w14:paraId="74A8333D" w14:textId="54304AF2" w:rsidR="00253D9B" w:rsidRPr="00253D9B" w:rsidRDefault="00253D9B" w:rsidP="00E46B40">
      <w:pPr>
        <w:pStyle w:val="Paragraphedeliste"/>
        <w:numPr>
          <w:ilvl w:val="0"/>
          <w:numId w:val="131"/>
        </w:numPr>
        <w:jc w:val="both"/>
        <w:rPr>
          <w:rFonts w:ascii="Times New Roman" w:hAnsi="Times New Roman" w:cs="Times New Roman"/>
          <w:sz w:val="20"/>
          <w:szCs w:val="20"/>
        </w:rPr>
      </w:pPr>
      <w:r w:rsidRPr="00253D9B">
        <w:rPr>
          <w:rFonts w:ascii="Times New Roman" w:hAnsi="Times New Roman" w:cs="Times New Roman"/>
          <w:sz w:val="20"/>
          <w:szCs w:val="20"/>
        </w:rPr>
        <w:t xml:space="preserve">Il a été résolu en effet que le </w:t>
      </w:r>
      <w:hyperlink r:id="rId63" w:history="1">
        <w:r w:rsidRPr="00253D9B">
          <w:rPr>
            <w:rStyle w:val="Lienhypertexte"/>
            <w:rFonts w:ascii="Times New Roman" w:hAnsi="Times New Roman" w:cs="Times New Roman"/>
            <w:i/>
            <w:iCs/>
            <w:sz w:val="20"/>
            <w:szCs w:val="20"/>
          </w:rPr>
          <w:t>Code criminel</w:t>
        </w:r>
      </w:hyperlink>
      <w:r w:rsidRPr="00253D9B">
        <w:rPr>
          <w:rFonts w:ascii="Times New Roman" w:hAnsi="Times New Roman" w:cs="Times New Roman"/>
          <w:sz w:val="20"/>
          <w:szCs w:val="20"/>
        </w:rPr>
        <w:t xml:space="preserve"> soit modifié de manière à permettre la réunion d'infractions punissables sur déclaration de culpabilité par procédure sommaire et d'actes criminels, auquel cas la procédure applicable serait celle prévue pour les actes criminels.</w:t>
      </w:r>
    </w:p>
    <w:p w14:paraId="6654D3FE" w14:textId="77777777" w:rsidR="00253D9B" w:rsidRDefault="00253D9B" w:rsidP="00253D9B">
      <w:pPr>
        <w:widowControl w:val="0"/>
        <w:autoSpaceDE w:val="0"/>
        <w:autoSpaceDN w:val="0"/>
        <w:adjustRightInd w:val="0"/>
        <w:spacing w:after="300"/>
        <w:jc w:val="both"/>
        <w:rPr>
          <w:rFonts w:ascii="Times New Roman" w:hAnsi="Times New Roman" w:cs="Times New Roman"/>
          <w:color w:val="3E3E3E"/>
          <w:sz w:val="22"/>
          <w:szCs w:val="22"/>
        </w:rPr>
      </w:pPr>
    </w:p>
    <w:p w14:paraId="5F55A950" w14:textId="4E61658B" w:rsidR="00253D9B" w:rsidRDefault="00253D9B" w:rsidP="00253D9B">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Concernant la question de l’appel, voir les articles </w:t>
      </w:r>
      <w:r>
        <w:rPr>
          <w:rFonts w:ascii="Times New Roman" w:hAnsi="Times New Roman" w:cs="Times New Roman"/>
          <w:b/>
          <w:color w:val="3E3E3E"/>
          <w:sz w:val="22"/>
          <w:szCs w:val="22"/>
        </w:rPr>
        <w:t>675(1.1) et 676(1.1) C.cr.</w:t>
      </w:r>
    </w:p>
    <w:p w14:paraId="09816376" w14:textId="77777777" w:rsidR="00253D9B" w:rsidRPr="00253D9B" w:rsidRDefault="00253D9B" w:rsidP="00253D9B">
      <w:pPr>
        <w:widowControl w:val="0"/>
        <w:autoSpaceDE w:val="0"/>
        <w:autoSpaceDN w:val="0"/>
        <w:adjustRightInd w:val="0"/>
        <w:spacing w:after="300"/>
        <w:jc w:val="both"/>
        <w:rPr>
          <w:rFonts w:ascii="Times New Roman" w:hAnsi="Times New Roman" w:cs="Times New Roman"/>
          <w:b/>
          <w:color w:val="3E3E3E"/>
          <w:sz w:val="22"/>
          <w:szCs w:val="22"/>
        </w:rPr>
      </w:pPr>
    </w:p>
    <w:p w14:paraId="683090C6" w14:textId="5015A562"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§2. Le contenu des chefs d’accusation</w:t>
      </w:r>
      <w:r w:rsidR="00253D9B">
        <w:rPr>
          <w:rFonts w:ascii="Times New Roman" w:hAnsi="Times New Roman" w:cs="Times New Roman"/>
          <w:b/>
          <w:bCs/>
          <w:color w:val="3E3E3E"/>
          <w:sz w:val="22"/>
          <w:szCs w:val="22"/>
        </w:rPr>
        <w:t xml:space="preserve"> (p.6)</w:t>
      </w:r>
    </w:p>
    <w:p w14:paraId="43D150CD" w14:textId="42B23D42" w:rsidR="00253D9B" w:rsidRDefault="00253D9B" w:rsidP="002D6010">
      <w:pPr>
        <w:widowControl w:val="0"/>
        <w:autoSpaceDE w:val="0"/>
        <w:autoSpaceDN w:val="0"/>
        <w:adjustRightInd w:val="0"/>
        <w:spacing w:after="300"/>
        <w:jc w:val="both"/>
        <w:rPr>
          <w:rFonts w:ascii="Times New Roman" w:hAnsi="Times New Roman" w:cs="Times New Roman"/>
          <w:bCs/>
          <w:color w:val="3E3E3E"/>
          <w:sz w:val="22"/>
          <w:szCs w:val="22"/>
        </w:rPr>
      </w:pPr>
      <w:r>
        <w:rPr>
          <w:rFonts w:ascii="Times New Roman" w:hAnsi="Times New Roman" w:cs="Times New Roman"/>
          <w:bCs/>
          <w:color w:val="3E3E3E"/>
          <w:sz w:val="22"/>
          <w:szCs w:val="22"/>
        </w:rPr>
        <w:t>Pour le format des chefs d’accusation, voir la formule 2 C.cr. pour la dénonciation et la formule 4 C.cr. pour l’acte d’accusation.</w:t>
      </w:r>
      <w:r w:rsidR="00805543">
        <w:rPr>
          <w:rFonts w:ascii="Times New Roman" w:hAnsi="Times New Roman" w:cs="Times New Roman"/>
          <w:bCs/>
          <w:color w:val="3E3E3E"/>
          <w:sz w:val="22"/>
          <w:szCs w:val="22"/>
        </w:rPr>
        <w:t xml:space="preserve"> L’article </w:t>
      </w:r>
      <w:r w:rsidR="00805543">
        <w:rPr>
          <w:rFonts w:ascii="Times New Roman" w:hAnsi="Times New Roman" w:cs="Times New Roman"/>
          <w:b/>
          <w:bCs/>
          <w:color w:val="3E3E3E"/>
          <w:sz w:val="22"/>
          <w:szCs w:val="22"/>
        </w:rPr>
        <w:t>581 C.cr.</w:t>
      </w:r>
      <w:r w:rsidR="00805543">
        <w:rPr>
          <w:rFonts w:ascii="Times New Roman" w:hAnsi="Times New Roman" w:cs="Times New Roman"/>
          <w:bCs/>
          <w:color w:val="3E3E3E"/>
          <w:sz w:val="22"/>
          <w:szCs w:val="22"/>
        </w:rPr>
        <w:t xml:space="preserve"> quant à lui est une disposition générale d’un chef d’accusation.</w:t>
      </w:r>
    </w:p>
    <w:p w14:paraId="4AE4E458" w14:textId="3FDC23A3" w:rsidR="00805543" w:rsidRDefault="00805543" w:rsidP="002D6010">
      <w:pPr>
        <w:widowControl w:val="0"/>
        <w:autoSpaceDE w:val="0"/>
        <w:autoSpaceDN w:val="0"/>
        <w:adjustRightInd w:val="0"/>
        <w:spacing w:after="300"/>
        <w:jc w:val="both"/>
        <w:rPr>
          <w:rFonts w:ascii="Times New Roman" w:hAnsi="Times New Roman" w:cs="Times New Roman"/>
          <w:b/>
          <w:bCs/>
          <w:color w:val="3E3E3E"/>
          <w:sz w:val="22"/>
          <w:szCs w:val="22"/>
        </w:rPr>
      </w:pPr>
      <w:r>
        <w:rPr>
          <w:rFonts w:ascii="Times New Roman" w:hAnsi="Times New Roman" w:cs="Times New Roman"/>
          <w:bCs/>
          <w:color w:val="3E3E3E"/>
          <w:sz w:val="22"/>
          <w:szCs w:val="22"/>
        </w:rPr>
        <w:t xml:space="preserve">Pour ce qui est </w:t>
      </w:r>
      <w:r>
        <w:rPr>
          <w:rFonts w:ascii="Times New Roman" w:hAnsi="Times New Roman" w:cs="Times New Roman"/>
          <w:b/>
          <w:bCs/>
          <w:color w:val="3E3E3E"/>
          <w:sz w:val="22"/>
          <w:szCs w:val="22"/>
        </w:rPr>
        <w:t>des détails suffisants</w:t>
      </w:r>
      <w:r>
        <w:rPr>
          <w:rFonts w:ascii="Times New Roman" w:hAnsi="Times New Roman" w:cs="Times New Roman"/>
          <w:bCs/>
          <w:color w:val="3E3E3E"/>
          <w:sz w:val="22"/>
          <w:szCs w:val="22"/>
        </w:rPr>
        <w:t xml:space="preserve"> inscrit dans le chef d’accusation, voir l’affaire </w:t>
      </w:r>
      <w:r>
        <w:rPr>
          <w:rFonts w:ascii="Times New Roman" w:hAnsi="Times New Roman" w:cs="Times New Roman"/>
          <w:b/>
          <w:bCs/>
          <w:color w:val="3E3E3E"/>
          <w:sz w:val="22"/>
          <w:szCs w:val="22"/>
        </w:rPr>
        <w:t>R. c. G.R. 2005 (p.7) :</w:t>
      </w:r>
    </w:p>
    <w:p w14:paraId="7B500C96" w14:textId="1A3DE4B9" w:rsidR="00805543" w:rsidRPr="00805543" w:rsidRDefault="00805543" w:rsidP="00E46B40">
      <w:pPr>
        <w:pStyle w:val="Paragraphedeliste"/>
        <w:widowControl w:val="0"/>
        <w:numPr>
          <w:ilvl w:val="0"/>
          <w:numId w:val="132"/>
        </w:numPr>
        <w:autoSpaceDE w:val="0"/>
        <w:autoSpaceDN w:val="0"/>
        <w:adjustRightInd w:val="0"/>
        <w:spacing w:after="300"/>
        <w:jc w:val="both"/>
        <w:rPr>
          <w:rFonts w:ascii="Times New Roman" w:hAnsi="Times New Roman" w:cs="Times New Roman"/>
          <w:b/>
          <w:color w:val="3E3E3E"/>
          <w:sz w:val="22"/>
          <w:szCs w:val="22"/>
        </w:rPr>
      </w:pPr>
      <w:r w:rsidRPr="00A9407B">
        <w:rPr>
          <w:rFonts w:ascii="Times New Roman" w:hAnsi="Times New Roman" w:cs="Times New Roman"/>
          <w:sz w:val="20"/>
          <w:szCs w:val="20"/>
        </w:rPr>
        <w:t>Il importe de ne pas confondre l’obligation de mentionner l’accusation avec la nécessité de donner des détails suffisants à l’égard de l’affaire ou des circonstances à l’origine de l’accusation</w:t>
      </w:r>
      <w:r>
        <w:rPr>
          <w:rFonts w:ascii="Times New Roman" w:hAnsi="Times New Roman" w:cs="Times New Roman"/>
          <w:sz w:val="20"/>
          <w:szCs w:val="20"/>
        </w:rPr>
        <w:t xml:space="preserve"> [...]</w:t>
      </w:r>
      <w:r w:rsidRPr="00A9407B">
        <w:rPr>
          <w:rFonts w:ascii="Times New Roman" w:hAnsi="Times New Roman" w:cs="Times New Roman"/>
          <w:sz w:val="20"/>
          <w:szCs w:val="20"/>
        </w:rPr>
        <w:t xml:space="preserve">Depuis l’arrêt </w:t>
      </w:r>
      <w:r w:rsidRPr="00A9407B">
        <w:rPr>
          <w:rFonts w:ascii="Times New Roman" w:hAnsi="Times New Roman" w:cs="Times New Roman"/>
          <w:i/>
          <w:iCs/>
          <w:sz w:val="20"/>
          <w:szCs w:val="20"/>
        </w:rPr>
        <w:t>Brodie</w:t>
      </w:r>
      <w:r w:rsidRPr="00A9407B">
        <w:rPr>
          <w:rFonts w:ascii="Times New Roman" w:hAnsi="Times New Roman" w:cs="Times New Roman"/>
          <w:sz w:val="20"/>
          <w:szCs w:val="20"/>
        </w:rPr>
        <w:t xml:space="preserve">, les tribunaux, encouragés par les modifications apportées au </w:t>
      </w:r>
      <w:hyperlink r:id="rId64" w:history="1">
        <w:r w:rsidRPr="00A9407B">
          <w:rPr>
            <w:rStyle w:val="Lienhypertexte"/>
            <w:rFonts w:ascii="Times New Roman" w:hAnsi="Times New Roman" w:cs="Times New Roman"/>
            <w:i/>
            <w:iCs/>
            <w:sz w:val="20"/>
            <w:szCs w:val="20"/>
          </w:rPr>
          <w:t>Code criminel</w:t>
        </w:r>
      </w:hyperlink>
      <w:r w:rsidRPr="00A9407B">
        <w:rPr>
          <w:rFonts w:ascii="Times New Roman" w:hAnsi="Times New Roman" w:cs="Times New Roman"/>
          <w:sz w:val="20"/>
          <w:szCs w:val="20"/>
        </w:rPr>
        <w:t xml:space="preserve">, ont interprété de manière plus large le caractère suffisant et l’exercice de leurs pouvoirs de modification, mais un tel assouplissement n’a aucun rapport avec l’exigence fondamentale que l’infraction imputée (décrite dans la disposition qui la crée, portée dans le chef d’accusation ou qualifiée expressément d’infraction incluse dans le </w:t>
      </w:r>
      <w:hyperlink r:id="rId65" w:history="1">
        <w:r w:rsidRPr="00A9407B">
          <w:rPr>
            <w:rStyle w:val="Lienhypertexte"/>
            <w:rFonts w:ascii="Times New Roman" w:hAnsi="Times New Roman" w:cs="Times New Roman"/>
            <w:i/>
            <w:iCs/>
            <w:sz w:val="20"/>
            <w:szCs w:val="20"/>
          </w:rPr>
          <w:t>Code criminel</w:t>
        </w:r>
      </w:hyperlink>
      <w:r w:rsidRPr="00A9407B">
        <w:rPr>
          <w:rFonts w:ascii="Times New Roman" w:hAnsi="Times New Roman" w:cs="Times New Roman"/>
          <w:sz w:val="20"/>
          <w:szCs w:val="20"/>
        </w:rPr>
        <w:t xml:space="preserve"> lui</w:t>
      </w:r>
      <w:r w:rsidRPr="00A9407B">
        <w:rPr>
          <w:rFonts w:ascii="Palatino" w:hAnsi="Palatino" w:cs="Palatino"/>
          <w:sz w:val="20"/>
          <w:szCs w:val="20"/>
        </w:rPr>
        <w:t>‑</w:t>
      </w:r>
      <w:r w:rsidRPr="00A9407B">
        <w:rPr>
          <w:rFonts w:ascii="Times New Roman" w:hAnsi="Times New Roman" w:cs="Times New Roman"/>
          <w:sz w:val="20"/>
          <w:szCs w:val="20"/>
        </w:rPr>
        <w:t>même) renseigne clairement l’accusé sur les accusations à l’égard desquelles il risque d’être déclaré coupable</w:t>
      </w:r>
      <w:r>
        <w:rPr>
          <w:rFonts w:ascii="Times New Roman" w:hAnsi="Times New Roman" w:cs="Times New Roman"/>
          <w:sz w:val="20"/>
          <w:szCs w:val="20"/>
        </w:rPr>
        <w:t xml:space="preserve"> [...]</w:t>
      </w:r>
      <w:r w:rsidRPr="00A9407B">
        <w:rPr>
          <w:rFonts w:ascii="Times New Roman" w:hAnsi="Times New Roman" w:cs="Times New Roman"/>
          <w:sz w:val="20"/>
          <w:szCs w:val="20"/>
        </w:rPr>
        <w:t>il importe de garder séparées et distinctes la question de l’infraction ou des infractions reprochées et celle du caractère suffisant de la notification des circonstances ou de l’affaire à l’origine de l’accusation ou des accusations</w:t>
      </w:r>
      <w:r>
        <w:rPr>
          <w:rFonts w:ascii="Times New Roman" w:hAnsi="Times New Roman" w:cs="Times New Roman"/>
          <w:sz w:val="20"/>
          <w:szCs w:val="20"/>
        </w:rPr>
        <w:t xml:space="preserve"> [15].</w:t>
      </w:r>
    </w:p>
    <w:p w14:paraId="4B0CACBC" w14:textId="7E2AAD27"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A.    Précisons juridiques suffisantes : une infraction connue en droit</w:t>
      </w:r>
      <w:r w:rsidR="000D37C6">
        <w:rPr>
          <w:rFonts w:ascii="Times New Roman" w:hAnsi="Times New Roman" w:cs="Times New Roman"/>
          <w:b/>
          <w:bCs/>
          <w:color w:val="3E3E3E"/>
          <w:sz w:val="22"/>
          <w:szCs w:val="22"/>
        </w:rPr>
        <w:t xml:space="preserve"> (p.7).</w:t>
      </w:r>
    </w:p>
    <w:p w14:paraId="34D0D11C"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L’infraction imputée (décrite dans la disposition qui la crée, portée dans le chef d’accusation ou qualifiée expressément d’infraction incluse dans le </w:t>
      </w:r>
      <w:hyperlink r:id="rId66" w:history="1">
        <w:r w:rsidRPr="00C86382">
          <w:rPr>
            <w:rStyle w:val="Lienhypertexte"/>
            <w:rFonts w:ascii="Times New Roman" w:hAnsi="Times New Roman" w:cs="Times New Roman"/>
            <w:i/>
            <w:iCs/>
            <w:sz w:val="22"/>
            <w:szCs w:val="22"/>
          </w:rPr>
          <w:t>Code criminel</w:t>
        </w:r>
      </w:hyperlink>
      <w:r w:rsidRPr="00C86382">
        <w:rPr>
          <w:rFonts w:ascii="Times New Roman" w:hAnsi="Times New Roman" w:cs="Times New Roman"/>
          <w:sz w:val="22"/>
          <w:szCs w:val="22"/>
        </w:rPr>
        <w:t xml:space="preserve"> lui</w:t>
      </w:r>
      <w:r w:rsidRPr="00C86382">
        <w:rPr>
          <w:rFonts w:ascii="Palatino" w:hAnsi="Palatino" w:cs="Palatino"/>
          <w:sz w:val="22"/>
          <w:szCs w:val="22"/>
        </w:rPr>
        <w:t>‑</w:t>
      </w:r>
      <w:r w:rsidRPr="00C86382">
        <w:rPr>
          <w:rFonts w:ascii="Times New Roman" w:hAnsi="Times New Roman" w:cs="Times New Roman"/>
          <w:sz w:val="22"/>
          <w:szCs w:val="22"/>
        </w:rPr>
        <w:t>même) renseigne clairement l’accusé sur les accusations à l’égard desquelles il risque d’être déclaré coupable. </w:t>
      </w:r>
    </w:p>
    <w:p w14:paraId="49F2F87C" w14:textId="77777777" w:rsidR="000D37C6" w:rsidRPr="00C86382" w:rsidRDefault="000D37C6" w:rsidP="000D37C6">
      <w:pPr>
        <w:jc w:val="both"/>
        <w:rPr>
          <w:rFonts w:ascii="Times New Roman" w:hAnsi="Times New Roman" w:cs="Times New Roman"/>
          <w:sz w:val="22"/>
          <w:szCs w:val="22"/>
        </w:rPr>
      </w:pPr>
    </w:p>
    <w:p w14:paraId="09339AAC" w14:textId="77777777" w:rsidR="000D37C6" w:rsidRPr="000D37C6" w:rsidRDefault="000D37C6" w:rsidP="000D37C6">
      <w:pPr>
        <w:jc w:val="both"/>
        <w:rPr>
          <w:rFonts w:ascii="Times New Roman" w:hAnsi="Times New Roman" w:cs="Times New Roman"/>
          <w:b/>
          <w:sz w:val="22"/>
          <w:szCs w:val="22"/>
        </w:rPr>
      </w:pPr>
      <w:r w:rsidRPr="00C86382">
        <w:rPr>
          <w:rFonts w:ascii="Times New Roman" w:hAnsi="Times New Roman" w:cs="Times New Roman"/>
          <w:sz w:val="22"/>
          <w:szCs w:val="22"/>
        </w:rPr>
        <w:t xml:space="preserve">Le paragraphe </w:t>
      </w:r>
      <w:r w:rsidRPr="000D37C6">
        <w:rPr>
          <w:rFonts w:ascii="Times New Roman" w:hAnsi="Times New Roman" w:cs="Times New Roman"/>
          <w:b/>
          <w:sz w:val="22"/>
          <w:szCs w:val="22"/>
        </w:rPr>
        <w:t>581(1)</w:t>
      </w:r>
      <w:r w:rsidRPr="00C86382">
        <w:rPr>
          <w:rFonts w:ascii="Times New Roman" w:hAnsi="Times New Roman" w:cs="Times New Roman"/>
          <w:sz w:val="22"/>
          <w:szCs w:val="22"/>
        </w:rPr>
        <w:t xml:space="preserve"> précise qu'un chef d'accusation "doit contenir en substance une déclaration portant que l'accusé ou le défendeur a commis l'infraction qui y est mentionnée". </w:t>
      </w:r>
      <w:r w:rsidRPr="000D37C6">
        <w:rPr>
          <w:rFonts w:ascii="Times New Roman" w:hAnsi="Times New Roman" w:cs="Times New Roman"/>
          <w:b/>
          <w:sz w:val="22"/>
          <w:szCs w:val="22"/>
        </w:rPr>
        <w:t>Le chef doit donc reprocher une infraction connue en droit.</w:t>
      </w:r>
    </w:p>
    <w:p w14:paraId="1BC161FF" w14:textId="77777777" w:rsidR="000D37C6" w:rsidRPr="00C86382" w:rsidRDefault="000D37C6" w:rsidP="000D37C6">
      <w:pPr>
        <w:jc w:val="both"/>
        <w:rPr>
          <w:rFonts w:ascii="Times New Roman" w:hAnsi="Times New Roman" w:cs="Times New Roman"/>
          <w:sz w:val="22"/>
          <w:szCs w:val="22"/>
        </w:rPr>
      </w:pPr>
    </w:p>
    <w:p w14:paraId="64D93F3D" w14:textId="77777777" w:rsidR="000D37C6" w:rsidRPr="000D37C6" w:rsidRDefault="000D37C6" w:rsidP="00E46B40">
      <w:pPr>
        <w:pStyle w:val="Paragraphedeliste"/>
        <w:numPr>
          <w:ilvl w:val="0"/>
          <w:numId w:val="132"/>
        </w:numPr>
        <w:jc w:val="both"/>
        <w:rPr>
          <w:rFonts w:ascii="Times New Roman" w:hAnsi="Times New Roman" w:cs="Times New Roman"/>
          <w:b/>
          <w:sz w:val="20"/>
          <w:szCs w:val="20"/>
        </w:rPr>
      </w:pPr>
      <w:r w:rsidRPr="000D37C6">
        <w:rPr>
          <w:rFonts w:ascii="Times New Roman" w:hAnsi="Times New Roman" w:cs="Times New Roman"/>
          <w:b/>
          <w:sz w:val="20"/>
          <w:szCs w:val="20"/>
        </w:rPr>
        <w:t>En principe, cela implique que le chef doit énoncer tous les éléments constitutifs de l'infraction</w:t>
      </w:r>
      <w:r w:rsidRPr="000D37C6">
        <w:rPr>
          <w:rFonts w:ascii="Times New Roman" w:hAnsi="Times New Roman" w:cs="Times New Roman"/>
          <w:sz w:val="20"/>
          <w:szCs w:val="20"/>
        </w:rPr>
        <w:t xml:space="preserve">. Le Code permet toutefois certains assouplissements à cette règle. Ainsi, le paragraphe </w:t>
      </w:r>
      <w:r w:rsidRPr="000D37C6">
        <w:rPr>
          <w:rFonts w:ascii="Times New Roman" w:hAnsi="Times New Roman" w:cs="Times New Roman"/>
          <w:b/>
          <w:sz w:val="20"/>
          <w:szCs w:val="20"/>
        </w:rPr>
        <w:t xml:space="preserve">581(5) précise qu'on "peut se référer à tout article, paragraphe, alinéa ou sous-alinéa de la disposition qui crée l'infraction" et qu'on peut tenir compte d'un tel renvoi pour déterminer la validité du chef d'accusation. </w:t>
      </w:r>
    </w:p>
    <w:p w14:paraId="7D5BEB90" w14:textId="77777777" w:rsidR="000D37C6" w:rsidRPr="00C86382" w:rsidRDefault="000D37C6" w:rsidP="000D37C6">
      <w:pPr>
        <w:jc w:val="both"/>
        <w:rPr>
          <w:rFonts w:ascii="Times New Roman" w:hAnsi="Times New Roman" w:cs="Times New Roman"/>
          <w:sz w:val="22"/>
          <w:szCs w:val="22"/>
        </w:rPr>
      </w:pPr>
    </w:p>
    <w:p w14:paraId="4A68DC70" w14:textId="77777777" w:rsidR="000D37C6" w:rsidRDefault="000D37C6" w:rsidP="00E46B40">
      <w:pPr>
        <w:pStyle w:val="Paragraphedeliste"/>
        <w:numPr>
          <w:ilvl w:val="0"/>
          <w:numId w:val="132"/>
        </w:numPr>
        <w:jc w:val="both"/>
        <w:rPr>
          <w:rFonts w:ascii="Times New Roman" w:hAnsi="Times New Roman" w:cs="Times New Roman"/>
          <w:sz w:val="20"/>
          <w:szCs w:val="20"/>
        </w:rPr>
      </w:pPr>
      <w:r w:rsidRPr="000D37C6">
        <w:rPr>
          <w:rFonts w:ascii="Times New Roman" w:hAnsi="Times New Roman" w:cs="Times New Roman"/>
          <w:sz w:val="20"/>
          <w:szCs w:val="20"/>
        </w:rPr>
        <w:t xml:space="preserve">De même, le paragraphe </w:t>
      </w:r>
      <w:r w:rsidRPr="000D37C6">
        <w:rPr>
          <w:rFonts w:ascii="Times New Roman" w:hAnsi="Times New Roman" w:cs="Times New Roman"/>
          <w:b/>
          <w:sz w:val="20"/>
          <w:szCs w:val="20"/>
        </w:rPr>
        <w:t>581(2)b</w:t>
      </w:r>
      <w:r w:rsidRPr="000D37C6">
        <w:rPr>
          <w:rFonts w:ascii="Times New Roman" w:hAnsi="Times New Roman" w:cs="Times New Roman"/>
          <w:sz w:val="20"/>
          <w:szCs w:val="20"/>
        </w:rPr>
        <w:t xml:space="preserve">) prévoit que "la déclaration mentionnée au paragraphe (1) peut être faite [...] dans les termes mêmes de la disposition qui décrit l'infraction ou déclare que le fait imputé est un acte criminel". Cela implique que, lorsqu'un acte criminel est défini dans un texte de loi et créé dans un autre, il n'est pas nécessaire de mentionner tous les allégués. C'est notamment le cas du vol, qui est défini dans toutes ses modalités aux articles 322, 324 et 330 à 332, alors que l'article 334 prévoit que ces divers comportements constituent le crime de vol. </w:t>
      </w:r>
    </w:p>
    <w:p w14:paraId="3A97D11F" w14:textId="77777777" w:rsidR="000D37C6" w:rsidRPr="000D37C6" w:rsidRDefault="000D37C6" w:rsidP="000D37C6">
      <w:pPr>
        <w:jc w:val="both"/>
        <w:rPr>
          <w:rFonts w:ascii="Times New Roman" w:hAnsi="Times New Roman" w:cs="Times New Roman"/>
          <w:sz w:val="20"/>
          <w:szCs w:val="20"/>
        </w:rPr>
      </w:pPr>
    </w:p>
    <w:p w14:paraId="692E91AF" w14:textId="77777777" w:rsidR="000D37C6" w:rsidRPr="000D37C6" w:rsidRDefault="000D37C6" w:rsidP="000D37C6">
      <w:pPr>
        <w:pStyle w:val="Paragraphedeliste"/>
        <w:jc w:val="both"/>
        <w:rPr>
          <w:rFonts w:ascii="Times New Roman" w:hAnsi="Times New Roman" w:cs="Times New Roman"/>
          <w:sz w:val="20"/>
          <w:szCs w:val="20"/>
        </w:rPr>
      </w:pPr>
    </w:p>
    <w:p w14:paraId="33DD8889" w14:textId="77777777" w:rsidR="000D37C6" w:rsidRPr="000D37C6" w:rsidRDefault="000D37C6" w:rsidP="000D37C6">
      <w:pPr>
        <w:jc w:val="both"/>
        <w:rPr>
          <w:rFonts w:ascii="Times New Roman" w:hAnsi="Times New Roman" w:cs="Times New Roman"/>
          <w:sz w:val="22"/>
          <w:szCs w:val="22"/>
          <w:u w:val="single"/>
        </w:rPr>
      </w:pPr>
      <w:r w:rsidRPr="000D37C6">
        <w:rPr>
          <w:rFonts w:ascii="Times New Roman" w:hAnsi="Times New Roman" w:cs="Times New Roman"/>
          <w:bCs/>
          <w:sz w:val="22"/>
          <w:szCs w:val="22"/>
          <w:u w:val="single"/>
        </w:rPr>
        <w:t>Une transaction criminelle doit pour être identifiée</w:t>
      </w:r>
    </w:p>
    <w:p w14:paraId="568A15E1" w14:textId="77777777" w:rsidR="00256AFA" w:rsidRDefault="00256AFA" w:rsidP="000D37C6">
      <w:pPr>
        <w:jc w:val="both"/>
        <w:rPr>
          <w:rFonts w:ascii="Times New Roman" w:hAnsi="Times New Roman" w:cs="Times New Roman"/>
          <w:sz w:val="22"/>
          <w:szCs w:val="22"/>
        </w:rPr>
      </w:pPr>
    </w:p>
    <w:p w14:paraId="24BB089E"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L'alinéa 11a) de la Charte prévoit de plus que "[t]out inculpé a le droit d'être informé sans délai anormal de l'infraction précise qu'on lui reproche". </w:t>
      </w:r>
      <w:r w:rsidRPr="00256AFA">
        <w:rPr>
          <w:rFonts w:ascii="Times New Roman" w:hAnsi="Times New Roman" w:cs="Times New Roman"/>
          <w:b/>
          <w:sz w:val="22"/>
          <w:szCs w:val="22"/>
        </w:rPr>
        <w:t>La jurisprudence a indiqué que cette garantie élève à un niveau constitutionnel les exigences du paragraphe 581(3) du Code criminel, le fondement étant que l'accusé doit être informé de l'accusation portée contre lui afin de pouvoir préparer une défense pleine et entière et d'obtenir un procès équitable</w:t>
      </w:r>
      <w:r w:rsidRPr="00C86382">
        <w:rPr>
          <w:rFonts w:ascii="Times New Roman" w:hAnsi="Times New Roman" w:cs="Times New Roman"/>
          <w:sz w:val="22"/>
          <w:szCs w:val="22"/>
        </w:rPr>
        <w:t xml:space="preserve"> (R. c. Delaronde, [1996] R.J.Q. 591, 599 (C.A.), confirmé à [1997] 1 R.C.S. 213). </w:t>
      </w:r>
    </w:p>
    <w:p w14:paraId="36466C04" w14:textId="77777777" w:rsidR="000D37C6" w:rsidRPr="00C86382" w:rsidRDefault="000D37C6" w:rsidP="000D37C6">
      <w:pPr>
        <w:jc w:val="both"/>
        <w:rPr>
          <w:rFonts w:ascii="Times New Roman" w:hAnsi="Times New Roman" w:cs="Times New Roman"/>
          <w:sz w:val="22"/>
          <w:szCs w:val="22"/>
        </w:rPr>
      </w:pPr>
    </w:p>
    <w:p w14:paraId="46AAAE65" w14:textId="77777777" w:rsidR="000D37C6" w:rsidRPr="00256AFA" w:rsidRDefault="000D37C6" w:rsidP="00E46B40">
      <w:pPr>
        <w:pStyle w:val="Paragraphedeliste"/>
        <w:numPr>
          <w:ilvl w:val="0"/>
          <w:numId w:val="133"/>
        </w:numPr>
        <w:jc w:val="both"/>
        <w:rPr>
          <w:rFonts w:ascii="Times New Roman" w:hAnsi="Times New Roman" w:cs="Times New Roman"/>
          <w:sz w:val="20"/>
          <w:szCs w:val="20"/>
        </w:rPr>
      </w:pPr>
      <w:r w:rsidRPr="00256AFA">
        <w:rPr>
          <w:rFonts w:ascii="Times New Roman" w:hAnsi="Times New Roman" w:cs="Times New Roman"/>
          <w:sz w:val="20"/>
          <w:szCs w:val="20"/>
        </w:rPr>
        <w:t xml:space="preserve">Cette disposition prévoit que le chef d'accusation doit contenir des détails suffisants pour renseigner raisonnablement le prévenu sur l'acte ou l'omission à prouver contre lui et pour identifier l'affaire mentionnée. L'alinéa 11a) a en sus pour effet d'exiger que cette information soit transmise sans délai. </w:t>
      </w:r>
    </w:p>
    <w:p w14:paraId="1CF12379" w14:textId="77777777" w:rsidR="000D37C6" w:rsidRPr="00C86382" w:rsidRDefault="000D37C6" w:rsidP="000D37C6">
      <w:pPr>
        <w:jc w:val="both"/>
        <w:rPr>
          <w:rFonts w:ascii="Times New Roman" w:hAnsi="Times New Roman" w:cs="Times New Roman"/>
          <w:b/>
          <w:bCs/>
          <w:sz w:val="22"/>
          <w:szCs w:val="22"/>
        </w:rPr>
      </w:pPr>
    </w:p>
    <w:p w14:paraId="69EA9712" w14:textId="77777777" w:rsidR="000D37C6" w:rsidRDefault="000D37C6" w:rsidP="000D37C6">
      <w:pPr>
        <w:jc w:val="both"/>
        <w:rPr>
          <w:rFonts w:ascii="Times New Roman" w:hAnsi="Times New Roman" w:cs="Times New Roman"/>
          <w:bCs/>
          <w:sz w:val="22"/>
          <w:szCs w:val="22"/>
          <w:u w:val="single"/>
        </w:rPr>
      </w:pPr>
      <w:r w:rsidRPr="00256AFA">
        <w:rPr>
          <w:rFonts w:ascii="Times New Roman" w:hAnsi="Times New Roman" w:cs="Times New Roman"/>
          <w:bCs/>
          <w:sz w:val="22"/>
          <w:szCs w:val="22"/>
          <w:u w:val="single"/>
        </w:rPr>
        <w:t>Le droit d'être informé sans délai anormal</w:t>
      </w:r>
    </w:p>
    <w:p w14:paraId="32CF5203" w14:textId="77777777" w:rsidR="00256AFA" w:rsidRPr="00256AFA" w:rsidRDefault="00256AFA" w:rsidP="000D37C6">
      <w:pPr>
        <w:jc w:val="both"/>
        <w:rPr>
          <w:rFonts w:ascii="Times New Roman" w:hAnsi="Times New Roman" w:cs="Times New Roman"/>
          <w:sz w:val="22"/>
          <w:szCs w:val="22"/>
          <w:u w:val="single"/>
        </w:rPr>
      </w:pPr>
    </w:p>
    <w:p w14:paraId="67B27DA1" w14:textId="77777777" w:rsidR="000D37C6" w:rsidRPr="00C86382" w:rsidRDefault="000D37C6" w:rsidP="000D37C6">
      <w:pPr>
        <w:jc w:val="both"/>
        <w:rPr>
          <w:rFonts w:ascii="Times New Roman" w:hAnsi="Times New Roman" w:cs="Times New Roman"/>
          <w:sz w:val="22"/>
          <w:szCs w:val="22"/>
        </w:rPr>
      </w:pPr>
      <w:r w:rsidRPr="00256AFA">
        <w:rPr>
          <w:rFonts w:ascii="Times New Roman" w:hAnsi="Times New Roman" w:cs="Times New Roman"/>
          <w:b/>
          <w:sz w:val="22"/>
          <w:szCs w:val="22"/>
        </w:rPr>
        <w:t>Dans l'arrêt Delaronde</w:t>
      </w:r>
      <w:r w:rsidRPr="00C86382">
        <w:rPr>
          <w:rFonts w:ascii="Times New Roman" w:hAnsi="Times New Roman" w:cs="Times New Roman"/>
          <w:sz w:val="22"/>
          <w:szCs w:val="22"/>
        </w:rPr>
        <w:t>, la Cour suprême a indiqué que, comme c'est le cas en vertu de l'alinéa 11b), la personne devient inculpée au moment du dépôt de la dénonciation. Elle a cependant décidé que, sur le plan formel, cette disposition a une portée différente de celle du Code en matière d'acte d'accusation, alors que l'inculpé apprend la nature de l'accusation par la signification de la sommation ou l'exécution du mandat d'arrestation. Dans cette affaire, le ministère public voulait justifier un délai de 20 mois entre le dépôt de la dénonciation et l'exécution du mandat d'arrestation par le fait qu'il était impossible d'entrer de façon sécuritaire dans une réserve amérindienne. Prenant acte que les forces de l'ordre de la réserve n'avaient pas été mises à contribution, la juge Otis, dont la Cour a entériné l'opinion, a déclaré qu'on aurait pu notamment transmettre par voie électronique le contenu de la dénonciation. En effet, "[l]e droit à l'information prévu à l'article 11a) ne commandait certainement pas l'exécution du mandat d'arrestation"3.</w:t>
      </w:r>
    </w:p>
    <w:p w14:paraId="458A7F80" w14:textId="77777777" w:rsidR="000D37C6" w:rsidRPr="00C86382" w:rsidRDefault="000D37C6" w:rsidP="000D37C6">
      <w:pPr>
        <w:jc w:val="both"/>
        <w:rPr>
          <w:rFonts w:ascii="Times New Roman" w:hAnsi="Times New Roman" w:cs="Times New Roman"/>
          <w:sz w:val="22"/>
          <w:szCs w:val="22"/>
        </w:rPr>
      </w:pPr>
    </w:p>
    <w:p w14:paraId="6D4A2E8F" w14:textId="77777777" w:rsidR="000D37C6" w:rsidRPr="00C86382" w:rsidRDefault="000D37C6" w:rsidP="000D37C6">
      <w:pPr>
        <w:jc w:val="both"/>
        <w:rPr>
          <w:rFonts w:ascii="Times New Roman" w:hAnsi="Times New Roman" w:cs="Times New Roman"/>
          <w:sz w:val="22"/>
          <w:szCs w:val="22"/>
        </w:rPr>
      </w:pPr>
      <w:r w:rsidRPr="00256AFA">
        <w:rPr>
          <w:rFonts w:ascii="Times New Roman" w:hAnsi="Times New Roman" w:cs="Times New Roman"/>
          <w:b/>
          <w:sz w:val="22"/>
          <w:szCs w:val="22"/>
        </w:rPr>
        <w:t>Quant au délai qui est prévu pour transmettre l'information, la jurisprudence a décidé qu'il faut se référer aux mêmes critères que ceux utilisés en vertu du paragraphe 11b) pour en apprécier la raisonnabilité</w:t>
      </w:r>
      <w:r w:rsidRPr="00C86382">
        <w:rPr>
          <w:rFonts w:ascii="Times New Roman" w:hAnsi="Times New Roman" w:cs="Times New Roman"/>
          <w:sz w:val="22"/>
          <w:szCs w:val="22"/>
        </w:rPr>
        <w:t>. Cela étant, la situation en matière de préjudice est différente. Dans l'arrêt Delaronde, la Cour d'appel du Québec a indiqué que dans la mesure où l'accusé ne subit pas d'atteinte à sa liberté en attendant l'accusation et qu'il ne vit pas d'angoisse ou de vexations de nature à porter atteinte à sa sécurité, le seul préjudice qu'il peut invoquer est celui à son droit à un procès équitable. Il doit alors en faire la preuve. La Cour suprême a confirmé la décision de la Cour d'appel mais en précisant que l'accusé peut également faire la preuve d'un préjudice économique qu'il a pu subir, par exemple du fait qu'il a pris une décision d'ordre financier sans savoir qu'une accusation viendrait contrecarrer ses plans. Bien que la Cour ne l'ait pas précisé, on doit comprendre qu'un tel préjudice, que l'accusé doit prouver, porte sur son droit à la sécurité, n'ayant rien à faire avec sa liberté et avec sa capacité de faire valoir une défense pleine et entière.</w:t>
      </w:r>
    </w:p>
    <w:p w14:paraId="51E914B7" w14:textId="77777777" w:rsidR="000D37C6" w:rsidRPr="00C86382" w:rsidRDefault="000D37C6" w:rsidP="000D37C6">
      <w:pPr>
        <w:jc w:val="both"/>
        <w:rPr>
          <w:rFonts w:ascii="Times New Roman" w:hAnsi="Times New Roman" w:cs="Times New Roman"/>
          <w:sz w:val="22"/>
          <w:szCs w:val="22"/>
        </w:rPr>
      </w:pPr>
    </w:p>
    <w:p w14:paraId="75CC988E" w14:textId="6129FD8B" w:rsidR="000D37C6" w:rsidRPr="00256AFA" w:rsidRDefault="000D37C6" w:rsidP="00E46B40">
      <w:pPr>
        <w:pStyle w:val="Paragraphedeliste"/>
        <w:numPr>
          <w:ilvl w:val="0"/>
          <w:numId w:val="133"/>
        </w:numPr>
        <w:jc w:val="both"/>
        <w:rPr>
          <w:rFonts w:ascii="Times New Roman" w:hAnsi="Times New Roman" w:cs="Times New Roman"/>
          <w:sz w:val="20"/>
          <w:szCs w:val="20"/>
        </w:rPr>
      </w:pPr>
      <w:r w:rsidRPr="00256AFA">
        <w:rPr>
          <w:rFonts w:ascii="Times New Roman" w:hAnsi="Times New Roman" w:cs="Times New Roman"/>
          <w:sz w:val="20"/>
          <w:szCs w:val="20"/>
        </w:rPr>
        <w:t>Par ailleurs, on ne peut pour autant conclure, comme c'est le cas lors d'une violation de l'alinéa 11b), que l'arrêt des procédures est alors la seule réparation appropriée. En effet, il existe alors une raison logique d'exiger l'arrêt des procédures en ce que leur continuation constitue une prolongation de la violation</w:t>
      </w:r>
      <w:r w:rsidR="00256AFA">
        <w:rPr>
          <w:rFonts w:ascii="Times New Roman" w:hAnsi="Times New Roman" w:cs="Times New Roman"/>
          <w:sz w:val="20"/>
          <w:szCs w:val="20"/>
        </w:rPr>
        <w:t>.</w:t>
      </w:r>
    </w:p>
    <w:p w14:paraId="450564E4" w14:textId="77777777" w:rsidR="000D37C6" w:rsidRPr="00C86382" w:rsidRDefault="000D37C6" w:rsidP="000D37C6">
      <w:pPr>
        <w:jc w:val="both"/>
        <w:rPr>
          <w:rFonts w:ascii="Times New Roman" w:hAnsi="Times New Roman" w:cs="Times New Roman"/>
          <w:sz w:val="22"/>
          <w:szCs w:val="22"/>
        </w:rPr>
      </w:pPr>
    </w:p>
    <w:p w14:paraId="7AFC487B" w14:textId="77777777" w:rsidR="000D37C6" w:rsidRPr="00256AFA" w:rsidRDefault="000D37C6" w:rsidP="000D37C6">
      <w:pPr>
        <w:jc w:val="both"/>
        <w:rPr>
          <w:rFonts w:ascii="Times New Roman" w:hAnsi="Times New Roman" w:cs="Times New Roman"/>
          <w:sz w:val="22"/>
          <w:szCs w:val="22"/>
          <w:u w:val="single"/>
        </w:rPr>
      </w:pPr>
      <w:r w:rsidRPr="00256AFA">
        <w:rPr>
          <w:rFonts w:ascii="Times New Roman" w:hAnsi="Times New Roman" w:cs="Times New Roman"/>
          <w:bCs/>
          <w:sz w:val="22"/>
          <w:szCs w:val="22"/>
          <w:u w:val="single"/>
        </w:rPr>
        <w:t>La nature de l'information à transmettre</w:t>
      </w:r>
    </w:p>
    <w:p w14:paraId="3B7585BA" w14:textId="77777777" w:rsidR="000D37C6" w:rsidRPr="00C86382" w:rsidRDefault="000D37C6" w:rsidP="000D37C6">
      <w:pPr>
        <w:jc w:val="both"/>
        <w:rPr>
          <w:rFonts w:ascii="Times New Roman" w:hAnsi="Times New Roman" w:cs="Times New Roman"/>
          <w:sz w:val="22"/>
          <w:szCs w:val="22"/>
        </w:rPr>
      </w:pPr>
    </w:p>
    <w:p w14:paraId="269811E7"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Si le chef n'est pas suffisant pour identifier la transaction criminelle, </w:t>
      </w:r>
      <w:r w:rsidRPr="00256AFA">
        <w:rPr>
          <w:rFonts w:ascii="Times New Roman" w:hAnsi="Times New Roman" w:cs="Times New Roman"/>
          <w:b/>
          <w:sz w:val="22"/>
          <w:szCs w:val="22"/>
        </w:rPr>
        <w:t>comme l'exige le paragraphe 581(3</w:t>
      </w:r>
      <w:r w:rsidRPr="00C86382">
        <w:rPr>
          <w:rFonts w:ascii="Times New Roman" w:hAnsi="Times New Roman" w:cs="Times New Roman"/>
          <w:sz w:val="22"/>
          <w:szCs w:val="22"/>
        </w:rPr>
        <w:t xml:space="preserve">), il est insuffisant et sera déclaré nul, à moins qu'il puisse faire l'objet d'une modification selon les règles que nous avons vues précédemment. </w:t>
      </w:r>
    </w:p>
    <w:p w14:paraId="32F3A2E3" w14:textId="77777777" w:rsidR="000D37C6" w:rsidRPr="00C86382" w:rsidRDefault="000D37C6" w:rsidP="000D37C6">
      <w:pPr>
        <w:jc w:val="both"/>
        <w:rPr>
          <w:rFonts w:ascii="Times New Roman" w:hAnsi="Times New Roman" w:cs="Times New Roman"/>
          <w:sz w:val="22"/>
          <w:szCs w:val="22"/>
        </w:rPr>
      </w:pPr>
    </w:p>
    <w:p w14:paraId="47BC9B62" w14:textId="77777777" w:rsidR="000D37C6" w:rsidRPr="00C86382" w:rsidRDefault="000D37C6" w:rsidP="000D37C6">
      <w:pPr>
        <w:jc w:val="both"/>
        <w:rPr>
          <w:rFonts w:ascii="Times New Roman" w:hAnsi="Times New Roman" w:cs="Times New Roman"/>
          <w:sz w:val="22"/>
          <w:szCs w:val="22"/>
        </w:rPr>
      </w:pPr>
    </w:p>
    <w:p w14:paraId="29A1CBEE"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Le paragraphe </w:t>
      </w:r>
      <w:r w:rsidRPr="00256AFA">
        <w:rPr>
          <w:rFonts w:ascii="Times New Roman" w:hAnsi="Times New Roman" w:cs="Times New Roman"/>
          <w:b/>
          <w:sz w:val="22"/>
          <w:szCs w:val="22"/>
        </w:rPr>
        <w:t>601(2)</w:t>
      </w:r>
      <w:r w:rsidRPr="00C86382">
        <w:rPr>
          <w:rFonts w:ascii="Times New Roman" w:hAnsi="Times New Roman" w:cs="Times New Roman"/>
          <w:sz w:val="22"/>
          <w:szCs w:val="22"/>
        </w:rPr>
        <w:t xml:space="preserve"> prévoit également qu'un chef d'accusation peut être modifié pour le rendre conforme à la preuve. Ce pouvoir de modification est différent de celui prévu au paragraphe (3). Ce dernier vise à remédier à l'insuffisance du chef et permet seulement à un tribunal de modifier un chef d'accusation lorsqu'il s'agit d'un détail de l'infraction. Le paragraphe (2) s'applique lorsqu'un chef intrinsèquement suffisant s'avère non conforme à la preuve faite. </w:t>
      </w:r>
    </w:p>
    <w:p w14:paraId="68D67DEB" w14:textId="77777777" w:rsidR="000D37C6" w:rsidRPr="00C86382" w:rsidRDefault="000D37C6" w:rsidP="000D37C6">
      <w:pPr>
        <w:jc w:val="both"/>
        <w:rPr>
          <w:rFonts w:ascii="Times New Roman" w:hAnsi="Times New Roman" w:cs="Times New Roman"/>
          <w:sz w:val="22"/>
          <w:szCs w:val="22"/>
        </w:rPr>
      </w:pPr>
    </w:p>
    <w:p w14:paraId="07A99E7B" w14:textId="77777777" w:rsidR="000D37C6" w:rsidRPr="00C86382" w:rsidRDefault="000D37C6" w:rsidP="000D37C6">
      <w:pPr>
        <w:jc w:val="both"/>
        <w:rPr>
          <w:rFonts w:ascii="Times New Roman" w:hAnsi="Times New Roman" w:cs="Times New Roman"/>
          <w:b/>
          <w:bCs/>
          <w:sz w:val="22"/>
          <w:szCs w:val="22"/>
        </w:rPr>
      </w:pPr>
    </w:p>
    <w:p w14:paraId="11317CB3" w14:textId="77777777" w:rsidR="000D37C6" w:rsidRPr="00256AFA" w:rsidRDefault="000D37C6" w:rsidP="000D37C6">
      <w:pPr>
        <w:jc w:val="both"/>
        <w:rPr>
          <w:rFonts w:ascii="Times New Roman" w:hAnsi="Times New Roman" w:cs="Times New Roman"/>
          <w:sz w:val="22"/>
          <w:szCs w:val="22"/>
          <w:u w:val="single"/>
        </w:rPr>
      </w:pPr>
      <w:r w:rsidRPr="00256AFA">
        <w:rPr>
          <w:rFonts w:ascii="Times New Roman" w:hAnsi="Times New Roman" w:cs="Times New Roman"/>
          <w:bCs/>
          <w:sz w:val="22"/>
          <w:szCs w:val="22"/>
          <w:u w:val="single"/>
        </w:rPr>
        <w:t>Une seule transaction criminelle reprochée</w:t>
      </w:r>
    </w:p>
    <w:p w14:paraId="3289925B" w14:textId="77777777" w:rsidR="000D37C6" w:rsidRPr="00C86382" w:rsidRDefault="000D37C6" w:rsidP="000D37C6">
      <w:pPr>
        <w:jc w:val="both"/>
        <w:rPr>
          <w:rFonts w:ascii="Times New Roman" w:hAnsi="Times New Roman" w:cs="Times New Roman"/>
          <w:sz w:val="22"/>
          <w:szCs w:val="22"/>
        </w:rPr>
      </w:pPr>
    </w:p>
    <w:p w14:paraId="62C070CB"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Le paragraphe 581(1) du Code énonce la règle de la "transaction unique" lorsqu'il précise que "[c]haque chef dans un acte d'accusation s'applique, en général, à une seule affaire". À cet égard, le paragraphe 591(1) précise qu'il doit être rédigé des chefs distincts pour chacune des infractions.</w:t>
      </w:r>
    </w:p>
    <w:p w14:paraId="0BB3FD62" w14:textId="77777777" w:rsidR="000D37C6" w:rsidRPr="00C86382" w:rsidRDefault="000D37C6" w:rsidP="000D37C6">
      <w:pPr>
        <w:jc w:val="both"/>
        <w:rPr>
          <w:rFonts w:ascii="Times New Roman" w:hAnsi="Times New Roman" w:cs="Times New Roman"/>
          <w:sz w:val="22"/>
          <w:szCs w:val="22"/>
        </w:rPr>
      </w:pPr>
    </w:p>
    <w:p w14:paraId="130C3FB8" w14:textId="77777777" w:rsidR="000D37C6" w:rsidRPr="00256AFA" w:rsidRDefault="000D37C6" w:rsidP="00E46B40">
      <w:pPr>
        <w:pStyle w:val="Paragraphedeliste"/>
        <w:numPr>
          <w:ilvl w:val="0"/>
          <w:numId w:val="133"/>
        </w:numPr>
        <w:jc w:val="both"/>
        <w:rPr>
          <w:rFonts w:ascii="Times New Roman" w:hAnsi="Times New Roman" w:cs="Times New Roman"/>
          <w:sz w:val="20"/>
          <w:szCs w:val="20"/>
        </w:rPr>
      </w:pPr>
      <w:r w:rsidRPr="00256AFA">
        <w:rPr>
          <w:rFonts w:ascii="Times New Roman" w:hAnsi="Times New Roman" w:cs="Times New Roman"/>
          <w:sz w:val="20"/>
          <w:szCs w:val="20"/>
        </w:rPr>
        <w:t>Dans un premier temps, il faut souligner qu'un chef peut être double ou multiple du fait qu'il reproche la même infraction à plus d'une reprise ou du fait qu'il reproche plus d'une infraction.</w:t>
      </w:r>
    </w:p>
    <w:p w14:paraId="57F52246" w14:textId="77777777" w:rsidR="000D37C6" w:rsidRPr="00C86382" w:rsidRDefault="000D37C6" w:rsidP="000D37C6">
      <w:pPr>
        <w:jc w:val="both"/>
        <w:rPr>
          <w:rFonts w:ascii="Times New Roman" w:hAnsi="Times New Roman" w:cs="Times New Roman"/>
          <w:sz w:val="22"/>
          <w:szCs w:val="22"/>
        </w:rPr>
      </w:pPr>
    </w:p>
    <w:p w14:paraId="7230CC9D" w14:textId="77777777" w:rsidR="000D37C6" w:rsidRPr="00256AFA" w:rsidRDefault="000D37C6" w:rsidP="00E46B40">
      <w:pPr>
        <w:pStyle w:val="Paragraphedeliste"/>
        <w:numPr>
          <w:ilvl w:val="0"/>
          <w:numId w:val="133"/>
        </w:numPr>
        <w:jc w:val="both"/>
        <w:rPr>
          <w:rFonts w:ascii="Times New Roman" w:hAnsi="Times New Roman" w:cs="Times New Roman"/>
          <w:sz w:val="22"/>
          <w:szCs w:val="22"/>
        </w:rPr>
      </w:pPr>
      <w:r w:rsidRPr="00256AFA">
        <w:rPr>
          <w:rFonts w:ascii="Times New Roman" w:hAnsi="Times New Roman" w:cs="Times New Roman"/>
          <w:sz w:val="22"/>
          <w:szCs w:val="22"/>
        </w:rPr>
        <w:t xml:space="preserve">L'interdiction de reprocher la même infraction à plus d'une reprise n'empêche pas cependant de la reprocher d'une manière continue. C'est souvent le cas en matière d'abus sexuels sur des enfants alors qu'il est possible d'alléguer, dans un seul chef, que l'accusé a commis l'infraction durant une longue période de temps même si l'acte reproché a été posé plus d'une fois. Il suffira de prouver qu'à au moins une reprise, il a commis un acte abusif. </w:t>
      </w:r>
    </w:p>
    <w:p w14:paraId="5526A689" w14:textId="77777777" w:rsidR="000D37C6" w:rsidRPr="00C86382" w:rsidRDefault="000D37C6" w:rsidP="000D37C6">
      <w:pPr>
        <w:jc w:val="both"/>
        <w:rPr>
          <w:rFonts w:ascii="Times New Roman" w:hAnsi="Times New Roman" w:cs="Times New Roman"/>
          <w:sz w:val="22"/>
          <w:szCs w:val="22"/>
        </w:rPr>
      </w:pPr>
    </w:p>
    <w:p w14:paraId="46CFA737"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En fait, l'expression une "seule affaire" ou une "transaction unique" peut vouloir dire une série d'infractions commises avec un modus operandi général - general scheme of operation - qui ne constitueraient, dans les faits, qu'une seule infraction continue. Il peut en effet s'agir d'un équivalent fonctionnel d'une infraction continue. Le poursuivant a entière discrétion de qualifier une série d'infractions comme étant une "seule affaire".</w:t>
      </w:r>
    </w:p>
    <w:p w14:paraId="274ED3D4" w14:textId="77777777" w:rsidR="000D37C6" w:rsidRPr="00C86382" w:rsidRDefault="000D37C6" w:rsidP="000D37C6">
      <w:pPr>
        <w:jc w:val="both"/>
        <w:rPr>
          <w:rFonts w:ascii="Times New Roman" w:hAnsi="Times New Roman" w:cs="Times New Roman"/>
          <w:sz w:val="22"/>
          <w:szCs w:val="22"/>
        </w:rPr>
      </w:pPr>
    </w:p>
    <w:p w14:paraId="1621469B"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Dans le cas de l'interdiction de reprocher deux ou plusieurs infractions différentes, il faut, dans un premier temps, distinguer un chef multiple et un chef alternatif, c'est-à-dire qui reproche la même infraction selon des modalités alternatives. Le paragraphe 590(1) du Code fait allusion à ces deux concepts. En pratique, ce problème ne se pose pas lorsqu'un chef d'accusation réfère à des comportements décrits dans plusieurs dispositions législatives distinctes. Il survient dans le cas où une même disposition prévoit diverses prohibitions. </w:t>
      </w:r>
    </w:p>
    <w:p w14:paraId="159E72F1" w14:textId="77777777" w:rsidR="000D37C6" w:rsidRPr="00C86382" w:rsidRDefault="000D37C6" w:rsidP="000D37C6">
      <w:pPr>
        <w:jc w:val="both"/>
        <w:rPr>
          <w:rFonts w:ascii="Times New Roman" w:hAnsi="Times New Roman" w:cs="Times New Roman"/>
          <w:sz w:val="22"/>
          <w:szCs w:val="22"/>
        </w:rPr>
      </w:pPr>
    </w:p>
    <w:p w14:paraId="7AAC37BA" w14:textId="77777777" w:rsidR="000D37C6" w:rsidRPr="00256AFA" w:rsidRDefault="000D37C6" w:rsidP="00E46B40">
      <w:pPr>
        <w:pStyle w:val="Paragraphedeliste"/>
        <w:numPr>
          <w:ilvl w:val="0"/>
          <w:numId w:val="134"/>
        </w:numPr>
        <w:jc w:val="both"/>
        <w:rPr>
          <w:rFonts w:ascii="Times New Roman" w:hAnsi="Times New Roman" w:cs="Times New Roman"/>
          <w:sz w:val="20"/>
          <w:szCs w:val="20"/>
        </w:rPr>
      </w:pPr>
      <w:r w:rsidRPr="00256AFA">
        <w:rPr>
          <w:rFonts w:ascii="Times New Roman" w:hAnsi="Times New Roman" w:cs="Times New Roman"/>
          <w:sz w:val="20"/>
          <w:szCs w:val="20"/>
        </w:rPr>
        <w:t xml:space="preserve">Traditionnellement, on considérait qu'un chef était double lorsqu'il reprochait deux comportements susceptibles d'être commis indépendamment l'un de l'autre. </w:t>
      </w:r>
      <w:r w:rsidRPr="00256AFA">
        <w:rPr>
          <w:rFonts w:ascii="Times New Roman" w:hAnsi="Times New Roman" w:cs="Times New Roman"/>
          <w:b/>
          <w:sz w:val="20"/>
          <w:szCs w:val="20"/>
        </w:rPr>
        <w:t>Dans l'arrêt Sault Ste-Marie</w:t>
      </w:r>
      <w:r w:rsidRPr="00256AFA">
        <w:rPr>
          <w:rFonts w:ascii="Times New Roman" w:hAnsi="Times New Roman" w:cs="Times New Roman"/>
          <w:sz w:val="20"/>
          <w:szCs w:val="20"/>
        </w:rPr>
        <w:t>, la Cour suprême a écarté cette règle technique. Dans cette affaire, on reprochait à l'accusé d'avoir déversé un polluant, toléré qu'on le déversât ou permis qu'on le déversât. Le juge Dickson a indiqué que, sur le plan générique, un seul comportement est reproché à l'accusé, la pollution, qui est l'essence de l'infraction. Dans la mesure où le prévenu en est suffisamment informé et qu'il ne subit pas de préjudice, le chef n'est pas multiple.</w:t>
      </w:r>
    </w:p>
    <w:p w14:paraId="3BE2D2E8" w14:textId="77777777" w:rsidR="000D37C6" w:rsidRPr="00C86382" w:rsidRDefault="000D37C6" w:rsidP="000D37C6">
      <w:pPr>
        <w:jc w:val="both"/>
        <w:rPr>
          <w:rFonts w:ascii="Times New Roman" w:hAnsi="Times New Roman" w:cs="Times New Roman"/>
          <w:sz w:val="22"/>
          <w:szCs w:val="22"/>
        </w:rPr>
      </w:pPr>
    </w:p>
    <w:p w14:paraId="07C1DD56" w14:textId="77777777" w:rsidR="000D37C6" w:rsidRPr="00C86382" w:rsidRDefault="000D37C6" w:rsidP="000D37C6">
      <w:pPr>
        <w:jc w:val="both"/>
        <w:rPr>
          <w:rFonts w:ascii="Times New Roman" w:hAnsi="Times New Roman" w:cs="Times New Roman"/>
          <w:sz w:val="22"/>
          <w:szCs w:val="22"/>
        </w:rPr>
      </w:pPr>
      <w:r w:rsidRPr="00C86382">
        <w:rPr>
          <w:rFonts w:ascii="Times New Roman" w:hAnsi="Times New Roman" w:cs="Times New Roman"/>
          <w:sz w:val="22"/>
          <w:szCs w:val="22"/>
        </w:rPr>
        <w:t xml:space="preserve">En cas de multiplicité, la common law n'exigeait pas l'annulation du chef. Les paragraphes (1) et (2) de </w:t>
      </w:r>
      <w:r w:rsidRPr="00256AFA">
        <w:rPr>
          <w:rFonts w:ascii="Times New Roman" w:hAnsi="Times New Roman" w:cs="Times New Roman"/>
          <w:b/>
          <w:sz w:val="22"/>
          <w:szCs w:val="22"/>
        </w:rPr>
        <w:t>l'article 590,</w:t>
      </w:r>
      <w:r w:rsidRPr="00C86382">
        <w:rPr>
          <w:rFonts w:ascii="Times New Roman" w:hAnsi="Times New Roman" w:cs="Times New Roman"/>
          <w:sz w:val="22"/>
          <w:szCs w:val="22"/>
        </w:rPr>
        <w:t xml:space="preserve"> qui permettent la division du chef, reflètent cette règle. </w:t>
      </w:r>
    </w:p>
    <w:p w14:paraId="2CBDBF86" w14:textId="7CBB5D7D"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B.    Précisions factuelles suffisantes</w:t>
      </w:r>
      <w:r w:rsidRPr="002D6010">
        <w:rPr>
          <w:rFonts w:ascii="Times New Roman" w:hAnsi="Times New Roman" w:cs="Times New Roman"/>
          <w:color w:val="3E3E3E"/>
          <w:sz w:val="22"/>
          <w:szCs w:val="22"/>
        </w:rPr>
        <w:t> </w:t>
      </w:r>
      <w:r w:rsidR="00256AFA">
        <w:rPr>
          <w:rFonts w:ascii="Times New Roman" w:hAnsi="Times New Roman" w:cs="Times New Roman"/>
          <w:color w:val="3E3E3E"/>
          <w:sz w:val="22"/>
          <w:szCs w:val="22"/>
        </w:rPr>
        <w:t xml:space="preserve"> (p.10)</w:t>
      </w:r>
    </w:p>
    <w:p w14:paraId="4A781B47" w14:textId="0F8B5EFA" w:rsidR="00256AFA" w:rsidRDefault="00256AFA" w:rsidP="00E46B40">
      <w:pPr>
        <w:pStyle w:val="Paragraphedeliste"/>
        <w:widowControl w:val="0"/>
        <w:numPr>
          <w:ilvl w:val="0"/>
          <w:numId w:val="134"/>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Article 581(1) C.cr.</w:t>
      </w:r>
    </w:p>
    <w:p w14:paraId="70C753AA" w14:textId="29E19F77" w:rsidR="00256AFA" w:rsidRDefault="00256AFA" w:rsidP="00E46B40">
      <w:pPr>
        <w:pStyle w:val="Paragraphedeliste"/>
        <w:widowControl w:val="0"/>
        <w:numPr>
          <w:ilvl w:val="0"/>
          <w:numId w:val="134"/>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Article 583C.cr.</w:t>
      </w:r>
    </w:p>
    <w:p w14:paraId="13DE2615" w14:textId="77777777" w:rsidR="00256AFA" w:rsidRPr="00256AFA" w:rsidRDefault="00256AFA" w:rsidP="00256AFA">
      <w:pPr>
        <w:widowControl w:val="0"/>
        <w:autoSpaceDE w:val="0"/>
        <w:autoSpaceDN w:val="0"/>
        <w:adjustRightInd w:val="0"/>
        <w:spacing w:after="300"/>
        <w:jc w:val="both"/>
        <w:rPr>
          <w:rFonts w:ascii="Times New Roman" w:hAnsi="Times New Roman" w:cs="Times New Roman"/>
          <w:color w:val="3E3E3E"/>
          <w:sz w:val="22"/>
          <w:szCs w:val="22"/>
        </w:rPr>
      </w:pPr>
    </w:p>
    <w:p w14:paraId="0669502D" w14:textId="35E0AA17"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§3. Les sanctions</w:t>
      </w:r>
      <w:r w:rsidR="00134D1E">
        <w:rPr>
          <w:rFonts w:ascii="Times New Roman" w:hAnsi="Times New Roman" w:cs="Times New Roman"/>
          <w:b/>
          <w:bCs/>
          <w:color w:val="3E3E3E"/>
          <w:sz w:val="22"/>
          <w:szCs w:val="22"/>
        </w:rPr>
        <w:t xml:space="preserve"> (p.10)</w:t>
      </w:r>
    </w:p>
    <w:p w14:paraId="6F2D178C" w14:textId="02075C88"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A.    pour les détails</w:t>
      </w:r>
      <w:r w:rsidRPr="002D6010">
        <w:rPr>
          <w:rFonts w:ascii="Times New Roman" w:hAnsi="Times New Roman" w:cs="Times New Roman"/>
          <w:color w:val="3E3E3E"/>
          <w:sz w:val="22"/>
          <w:szCs w:val="22"/>
        </w:rPr>
        <w:t> </w:t>
      </w:r>
    </w:p>
    <w:p w14:paraId="06E9F792" w14:textId="139FD666" w:rsidR="00134D1E" w:rsidRPr="00134D1E" w:rsidRDefault="00134D1E" w:rsidP="00E46B40">
      <w:pPr>
        <w:pStyle w:val="Paragraphedeliste"/>
        <w:widowControl w:val="0"/>
        <w:numPr>
          <w:ilvl w:val="0"/>
          <w:numId w:val="13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Article 587C.cr.</w:t>
      </w:r>
    </w:p>
    <w:p w14:paraId="3AEF64E5" w14:textId="6D5D8BEB"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B.    Annulation et Amendements </w:t>
      </w:r>
      <w:r w:rsidR="00134D1E">
        <w:rPr>
          <w:rFonts w:ascii="Times New Roman" w:hAnsi="Times New Roman" w:cs="Times New Roman"/>
          <w:b/>
          <w:bCs/>
          <w:color w:val="3E3E3E"/>
          <w:sz w:val="22"/>
          <w:szCs w:val="22"/>
        </w:rPr>
        <w:t>(p.11)</w:t>
      </w:r>
    </w:p>
    <w:p w14:paraId="788106DC" w14:textId="77777777" w:rsidR="00134D1E" w:rsidRDefault="00134D1E" w:rsidP="00E46B40">
      <w:pPr>
        <w:pStyle w:val="Paragraphedeliste"/>
        <w:widowControl w:val="0"/>
        <w:numPr>
          <w:ilvl w:val="0"/>
          <w:numId w:val="135"/>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Article 601 C.cr.</w:t>
      </w:r>
    </w:p>
    <w:p w14:paraId="14509C8A" w14:textId="08F11797" w:rsidR="00134D1E" w:rsidRPr="00134D1E" w:rsidRDefault="00134D1E" w:rsidP="00134D1E">
      <w:pPr>
        <w:widowControl w:val="0"/>
        <w:autoSpaceDE w:val="0"/>
        <w:autoSpaceDN w:val="0"/>
        <w:adjustRightInd w:val="0"/>
        <w:spacing w:after="300"/>
        <w:jc w:val="both"/>
        <w:rPr>
          <w:rFonts w:ascii="Times New Roman" w:hAnsi="Times New Roman" w:cs="Times New Roman"/>
          <w:color w:val="3E3E3E"/>
          <w:sz w:val="22"/>
          <w:szCs w:val="22"/>
        </w:rPr>
      </w:pPr>
      <w:r w:rsidRPr="00134D1E">
        <w:rPr>
          <w:rFonts w:ascii="Times New Roman" w:hAnsi="Times New Roman" w:cs="Times New Roman"/>
          <w:sz w:val="22"/>
          <w:szCs w:val="22"/>
        </w:rPr>
        <w:t xml:space="preserve">Si le chef ne reproche pas une infraction connue en droit, il peut, aux termes du paragraphe (1) et des sous-alinéas (3)b)(i) et (ii) de l'article 601, être annulé ou faire l'objet d'une modification pour le rendre conforme aux exigences du Code. </w:t>
      </w:r>
      <w:r w:rsidRPr="00134D1E">
        <w:rPr>
          <w:rFonts w:ascii="Times New Roman" w:hAnsi="Times New Roman" w:cs="Times New Roman"/>
          <w:i/>
          <w:sz w:val="22"/>
          <w:szCs w:val="22"/>
        </w:rPr>
        <w:t>Toute la question est évidemment de déterminer quelle solution doit être retenue, l'accusé favorisant toujours la première et le poursuivant, la seconde</w:t>
      </w:r>
      <w:r w:rsidRPr="00134D1E">
        <w:rPr>
          <w:rFonts w:ascii="Times New Roman" w:hAnsi="Times New Roman" w:cs="Times New Roman"/>
          <w:sz w:val="22"/>
          <w:szCs w:val="22"/>
        </w:rPr>
        <w:t>.</w:t>
      </w:r>
    </w:p>
    <w:p w14:paraId="44ADF084" w14:textId="77777777" w:rsidR="00134D1E" w:rsidRPr="00134D1E" w:rsidRDefault="00134D1E" w:rsidP="00134D1E">
      <w:pPr>
        <w:jc w:val="both"/>
        <w:rPr>
          <w:rFonts w:ascii="Times New Roman" w:hAnsi="Times New Roman" w:cs="Times New Roman"/>
          <w:sz w:val="22"/>
          <w:szCs w:val="22"/>
        </w:rPr>
      </w:pPr>
      <w:r w:rsidRPr="00134D1E">
        <w:rPr>
          <w:rFonts w:ascii="Times New Roman" w:hAnsi="Times New Roman" w:cs="Times New Roman"/>
          <w:b/>
          <w:sz w:val="22"/>
          <w:szCs w:val="22"/>
        </w:rPr>
        <w:t>D'entrée de jeu, il faut mentionner qu'aux termes de l'alinéa b) in fine, la modification est impossible si l'élément à ajouter n'a pas été révélé par la preuve</w:t>
      </w:r>
      <w:r w:rsidRPr="00134D1E">
        <w:rPr>
          <w:rFonts w:ascii="Times New Roman" w:hAnsi="Times New Roman" w:cs="Times New Roman"/>
          <w:sz w:val="22"/>
          <w:szCs w:val="22"/>
        </w:rPr>
        <w:t>. Il ne peut donc y avoir d'amendement si la requête pour annuler est présentée au début de l'enquête préliminaire ou au début d'un procès qui n'a pas été précédé de la tenue d'une telle procédure. Par ailleurs, le juge ne saurait refuser de l'ordonner lorsque l'élément est révélé par la preuve, que l'accusé n'a pas été trompé dans sa défense et qu'il ne subit pas de préjudice. Il peut l'ordonner proprio motu.</w:t>
      </w:r>
    </w:p>
    <w:p w14:paraId="5FC040E0" w14:textId="77777777" w:rsidR="00134D1E" w:rsidRPr="00134D1E" w:rsidRDefault="00134D1E" w:rsidP="00134D1E">
      <w:pPr>
        <w:widowControl w:val="0"/>
        <w:autoSpaceDE w:val="0"/>
        <w:autoSpaceDN w:val="0"/>
        <w:adjustRightInd w:val="0"/>
        <w:spacing w:after="300"/>
        <w:jc w:val="both"/>
        <w:rPr>
          <w:rFonts w:ascii="Times New Roman" w:hAnsi="Times New Roman" w:cs="Times New Roman"/>
          <w:color w:val="3E3E3E"/>
          <w:sz w:val="22"/>
          <w:szCs w:val="22"/>
        </w:rPr>
      </w:pPr>
    </w:p>
    <w:p w14:paraId="17682998" w14:textId="19F434E1"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Section II. Les requêtes préliminaires </w:t>
      </w:r>
      <w:r w:rsidR="00134D1E">
        <w:rPr>
          <w:rFonts w:ascii="Times New Roman" w:hAnsi="Times New Roman" w:cs="Times New Roman"/>
          <w:b/>
          <w:bCs/>
          <w:color w:val="3E3E3E"/>
          <w:sz w:val="22"/>
          <w:szCs w:val="22"/>
        </w:rPr>
        <w:t xml:space="preserve"> (p.11)</w:t>
      </w:r>
    </w:p>
    <w:p w14:paraId="489D6C5D" w14:textId="5A530759" w:rsidR="00134D1E" w:rsidRPr="00134D1E" w:rsidRDefault="00134D1E"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Cs/>
          <w:color w:val="3E3E3E"/>
          <w:sz w:val="22"/>
          <w:szCs w:val="22"/>
        </w:rPr>
        <w:t xml:space="preserve">Cette partie est issue de la </w:t>
      </w:r>
      <w:r w:rsidRPr="00134D1E">
        <w:rPr>
          <w:rFonts w:ascii="Times New Roman" w:hAnsi="Times New Roman" w:cs="Times New Roman"/>
          <w:bCs/>
          <w:i/>
          <w:color w:val="3E3E3E"/>
          <w:sz w:val="22"/>
          <w:szCs w:val="22"/>
        </w:rPr>
        <w:t>Collection du Barreau du Québec</w:t>
      </w:r>
    </w:p>
    <w:p w14:paraId="121068EA" w14:textId="46DE9AFC"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A- La requête pour détails</w:t>
      </w:r>
      <w:r w:rsidR="00134D1E">
        <w:rPr>
          <w:rFonts w:ascii="Times New Roman" w:hAnsi="Times New Roman" w:cs="Times New Roman"/>
          <w:b/>
          <w:bCs/>
          <w:color w:val="3E3E3E"/>
          <w:sz w:val="22"/>
          <w:szCs w:val="22"/>
        </w:rPr>
        <w:t xml:space="preserve"> (p.11)</w:t>
      </w:r>
    </w:p>
    <w:p w14:paraId="61EAE27E" w14:textId="77777777" w:rsidR="00134D1E" w:rsidRPr="00134D1E" w:rsidRDefault="00134D1E" w:rsidP="00E46B40">
      <w:pPr>
        <w:pStyle w:val="Paragraphedeliste"/>
        <w:numPr>
          <w:ilvl w:val="0"/>
          <w:numId w:val="135"/>
        </w:numPr>
        <w:jc w:val="both"/>
        <w:rPr>
          <w:rFonts w:ascii="Times New Roman" w:hAnsi="Times New Roman" w:cs="Times New Roman"/>
          <w:sz w:val="22"/>
          <w:szCs w:val="22"/>
        </w:rPr>
      </w:pPr>
      <w:r w:rsidRPr="00134D1E">
        <w:rPr>
          <w:rFonts w:ascii="Times New Roman" w:hAnsi="Times New Roman" w:cs="Times New Roman"/>
          <w:sz w:val="22"/>
          <w:szCs w:val="22"/>
        </w:rPr>
        <w:t>Un accusé peut présenter une requête pour obtenir des détails suffisants pour lui assurer une défense pleine et entière.</w:t>
      </w:r>
    </w:p>
    <w:p w14:paraId="0AFFE1FB" w14:textId="77777777" w:rsidR="00134D1E" w:rsidRPr="00C86382" w:rsidRDefault="00134D1E" w:rsidP="00134D1E">
      <w:pPr>
        <w:jc w:val="both"/>
        <w:rPr>
          <w:rFonts w:ascii="Times New Roman" w:hAnsi="Times New Roman" w:cs="Times New Roman"/>
          <w:sz w:val="22"/>
          <w:szCs w:val="22"/>
        </w:rPr>
      </w:pPr>
    </w:p>
    <w:p w14:paraId="158D045F" w14:textId="77777777" w:rsidR="00134D1E" w:rsidRPr="00134D1E" w:rsidRDefault="00134D1E" w:rsidP="00E46B40">
      <w:pPr>
        <w:pStyle w:val="Paragraphedeliste"/>
        <w:numPr>
          <w:ilvl w:val="0"/>
          <w:numId w:val="135"/>
        </w:numPr>
        <w:jc w:val="both"/>
        <w:rPr>
          <w:rFonts w:ascii="Times New Roman" w:hAnsi="Times New Roman" w:cs="Times New Roman"/>
          <w:sz w:val="22"/>
          <w:szCs w:val="22"/>
        </w:rPr>
      </w:pPr>
      <w:r w:rsidRPr="00134D1E">
        <w:rPr>
          <w:rFonts w:ascii="Times New Roman" w:hAnsi="Times New Roman" w:cs="Times New Roman"/>
          <w:sz w:val="22"/>
          <w:szCs w:val="22"/>
        </w:rPr>
        <w:t>La présentation de la requête se fait généralement de façon orale. L’accusé ou son procureur, après la lecture de l’acte d’accusation, présente sa requête et fait une preuve ou présente les arguments à l’appui de sa requête.</w:t>
      </w:r>
    </w:p>
    <w:p w14:paraId="5DED6E1A" w14:textId="77777777" w:rsidR="00134D1E" w:rsidRPr="00C86382" w:rsidRDefault="00134D1E" w:rsidP="00134D1E">
      <w:pPr>
        <w:jc w:val="both"/>
        <w:rPr>
          <w:rFonts w:ascii="Times New Roman" w:hAnsi="Times New Roman" w:cs="Times New Roman"/>
          <w:sz w:val="22"/>
          <w:szCs w:val="22"/>
        </w:rPr>
      </w:pPr>
    </w:p>
    <w:p w14:paraId="78A5C11F" w14:textId="77777777" w:rsidR="00134D1E" w:rsidRPr="00134D1E" w:rsidRDefault="00134D1E" w:rsidP="00E46B40">
      <w:pPr>
        <w:pStyle w:val="Paragraphedeliste"/>
        <w:numPr>
          <w:ilvl w:val="0"/>
          <w:numId w:val="135"/>
        </w:numPr>
        <w:jc w:val="both"/>
        <w:rPr>
          <w:rFonts w:ascii="Times New Roman" w:hAnsi="Times New Roman" w:cs="Times New Roman"/>
          <w:sz w:val="22"/>
          <w:szCs w:val="22"/>
        </w:rPr>
      </w:pPr>
      <w:r w:rsidRPr="00134D1E">
        <w:rPr>
          <w:rFonts w:ascii="Times New Roman" w:hAnsi="Times New Roman" w:cs="Times New Roman"/>
          <w:sz w:val="22"/>
          <w:szCs w:val="22"/>
        </w:rPr>
        <w:t>Il appartient au requérant de faire la preuve que, sans ces détails, il ne peut subir un procès juste et équitable et que ces détails lui permettront une défense pleine et entière.</w:t>
      </w:r>
    </w:p>
    <w:p w14:paraId="09EEAEC3" w14:textId="77777777" w:rsidR="00134D1E" w:rsidRPr="00C86382" w:rsidRDefault="00134D1E" w:rsidP="00134D1E">
      <w:pPr>
        <w:jc w:val="both"/>
        <w:rPr>
          <w:rFonts w:ascii="Times New Roman" w:hAnsi="Times New Roman" w:cs="Times New Roman"/>
          <w:sz w:val="22"/>
          <w:szCs w:val="22"/>
        </w:rPr>
      </w:pPr>
    </w:p>
    <w:p w14:paraId="3E4DB9D3" w14:textId="57FDF4DE" w:rsidR="00134D1E" w:rsidRDefault="00134D1E" w:rsidP="00E46B40">
      <w:pPr>
        <w:pStyle w:val="Paragraphedeliste"/>
        <w:numPr>
          <w:ilvl w:val="0"/>
          <w:numId w:val="135"/>
        </w:numPr>
        <w:jc w:val="both"/>
        <w:rPr>
          <w:rFonts w:ascii="Times New Roman" w:hAnsi="Times New Roman" w:cs="Times New Roman"/>
          <w:sz w:val="22"/>
          <w:szCs w:val="22"/>
        </w:rPr>
      </w:pPr>
      <w:r w:rsidRPr="00134D1E">
        <w:rPr>
          <w:rFonts w:ascii="Times New Roman" w:hAnsi="Times New Roman" w:cs="Times New Roman"/>
          <w:sz w:val="22"/>
          <w:szCs w:val="22"/>
        </w:rPr>
        <w:t>Lorsque la cour ordonne que les détails soient communiqués à l’accusé, une copie doit en être donnée gratuitement à l’accusé et à son avocat et les détails doivent être portés au dossier de la cause (art. 587 (3) C.cr.).</w:t>
      </w:r>
    </w:p>
    <w:p w14:paraId="71FFB10A" w14:textId="77777777" w:rsidR="00134D1E" w:rsidRPr="00134D1E" w:rsidRDefault="00134D1E" w:rsidP="00134D1E">
      <w:pPr>
        <w:jc w:val="both"/>
        <w:rPr>
          <w:rFonts w:ascii="Times New Roman" w:hAnsi="Times New Roman" w:cs="Times New Roman"/>
          <w:sz w:val="22"/>
          <w:szCs w:val="22"/>
        </w:rPr>
      </w:pPr>
    </w:p>
    <w:p w14:paraId="44A7BCB8" w14:textId="77777777" w:rsidR="00134D1E" w:rsidRPr="00134D1E" w:rsidRDefault="00134D1E" w:rsidP="00134D1E">
      <w:pPr>
        <w:pStyle w:val="Paragraphedeliste"/>
        <w:jc w:val="both"/>
        <w:rPr>
          <w:rFonts w:ascii="Times New Roman" w:hAnsi="Times New Roman" w:cs="Times New Roman"/>
          <w:sz w:val="22"/>
          <w:szCs w:val="22"/>
        </w:rPr>
      </w:pPr>
    </w:p>
    <w:p w14:paraId="76F8FA2E" w14:textId="775719C1"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B- La requête pour division</w:t>
      </w:r>
      <w:r w:rsidR="00134D1E">
        <w:rPr>
          <w:rFonts w:ascii="Times New Roman" w:hAnsi="Times New Roman" w:cs="Times New Roman"/>
          <w:b/>
          <w:bCs/>
          <w:color w:val="3E3E3E"/>
          <w:sz w:val="22"/>
          <w:szCs w:val="22"/>
        </w:rPr>
        <w:t xml:space="preserve"> (p.11)</w:t>
      </w:r>
    </w:p>
    <w:p w14:paraId="1C19CB7C" w14:textId="77777777" w:rsidR="00134D1E" w:rsidRPr="00134D1E" w:rsidRDefault="00134D1E" w:rsidP="00E46B40">
      <w:pPr>
        <w:pStyle w:val="Paragraphedeliste"/>
        <w:numPr>
          <w:ilvl w:val="0"/>
          <w:numId w:val="136"/>
        </w:numPr>
        <w:jc w:val="both"/>
        <w:rPr>
          <w:rFonts w:ascii="Times New Roman" w:hAnsi="Times New Roman" w:cs="Times New Roman"/>
          <w:sz w:val="22"/>
          <w:szCs w:val="22"/>
        </w:rPr>
      </w:pPr>
      <w:r w:rsidRPr="00134D1E">
        <w:rPr>
          <w:rFonts w:ascii="Times New Roman" w:hAnsi="Times New Roman" w:cs="Times New Roman"/>
          <w:sz w:val="22"/>
          <w:szCs w:val="22"/>
        </w:rPr>
        <w:t>L’accusé peut aussi présenter une requête pour obtenir la division d’un chef d’accusation. Ainsi, lorsque la cour est convaincue que les fins de la justice l’exigent, elle ordonne qu’un chef d’accusation soit divisé en deux ou plusieurs chefs (art. 590 C.cr.).</w:t>
      </w:r>
    </w:p>
    <w:p w14:paraId="24A01AEE" w14:textId="77777777" w:rsidR="00134D1E" w:rsidRPr="00C86382" w:rsidRDefault="00134D1E" w:rsidP="00134D1E">
      <w:pPr>
        <w:jc w:val="both"/>
        <w:rPr>
          <w:rFonts w:ascii="Times New Roman" w:hAnsi="Times New Roman" w:cs="Times New Roman"/>
          <w:sz w:val="22"/>
          <w:szCs w:val="22"/>
        </w:rPr>
      </w:pPr>
    </w:p>
    <w:p w14:paraId="73D2C186" w14:textId="68822C51" w:rsidR="00134D1E" w:rsidRPr="00134D1E" w:rsidRDefault="00134D1E" w:rsidP="00E46B40">
      <w:pPr>
        <w:pStyle w:val="Paragraphedeliste"/>
        <w:widowControl w:val="0"/>
        <w:numPr>
          <w:ilvl w:val="0"/>
          <w:numId w:val="136"/>
        </w:numPr>
        <w:autoSpaceDE w:val="0"/>
        <w:autoSpaceDN w:val="0"/>
        <w:adjustRightInd w:val="0"/>
        <w:spacing w:after="300"/>
        <w:jc w:val="both"/>
        <w:rPr>
          <w:rFonts w:ascii="Times New Roman" w:hAnsi="Times New Roman" w:cs="Times New Roman"/>
          <w:color w:val="3E3E3E"/>
          <w:sz w:val="22"/>
          <w:szCs w:val="22"/>
        </w:rPr>
      </w:pPr>
      <w:r w:rsidRPr="00134D1E">
        <w:rPr>
          <w:rFonts w:ascii="Times New Roman" w:hAnsi="Times New Roman" w:cs="Times New Roman"/>
          <w:sz w:val="22"/>
          <w:szCs w:val="22"/>
        </w:rPr>
        <w:t>Il appartient donc à l’accusé de démontrer qu’il est lésé par un chef d’accusation lui reprochant des choses sous des formes alternatives ou un chef d’accusation qui serait double ou multiple. On doit démontrer que le chef d’accusation est formulé de telle façon qu’il entrave ou embarrasse l’accusé dans sa défense</w:t>
      </w:r>
      <w:r>
        <w:rPr>
          <w:rFonts w:ascii="Times New Roman" w:hAnsi="Times New Roman" w:cs="Times New Roman"/>
          <w:sz w:val="22"/>
          <w:szCs w:val="22"/>
        </w:rPr>
        <w:t>.</w:t>
      </w:r>
    </w:p>
    <w:p w14:paraId="45B986FB" w14:textId="77777777" w:rsidR="00134D1E" w:rsidRDefault="002D6010" w:rsidP="00134D1E">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C- La requête pour procès distinct</w:t>
      </w:r>
      <w:r w:rsidR="00134D1E">
        <w:rPr>
          <w:rFonts w:ascii="Times New Roman" w:hAnsi="Times New Roman" w:cs="Times New Roman"/>
          <w:b/>
          <w:bCs/>
          <w:color w:val="3E3E3E"/>
          <w:sz w:val="22"/>
          <w:szCs w:val="22"/>
        </w:rPr>
        <w:t xml:space="preserve"> (p.12)</w:t>
      </w:r>
    </w:p>
    <w:p w14:paraId="5B30678C" w14:textId="797C1E20" w:rsidR="00134D1E" w:rsidRPr="00134D1E" w:rsidRDefault="00134D1E" w:rsidP="00E46B40">
      <w:pPr>
        <w:pStyle w:val="Paragraphedeliste"/>
        <w:widowControl w:val="0"/>
        <w:numPr>
          <w:ilvl w:val="0"/>
          <w:numId w:val="137"/>
        </w:numPr>
        <w:autoSpaceDE w:val="0"/>
        <w:autoSpaceDN w:val="0"/>
        <w:adjustRightInd w:val="0"/>
        <w:spacing w:after="300"/>
        <w:jc w:val="both"/>
        <w:rPr>
          <w:rFonts w:ascii="Times New Roman" w:hAnsi="Times New Roman" w:cs="Times New Roman"/>
          <w:b/>
          <w:bCs/>
          <w:color w:val="3E3E3E"/>
          <w:sz w:val="22"/>
          <w:szCs w:val="22"/>
        </w:rPr>
      </w:pPr>
      <w:r w:rsidRPr="00134D1E">
        <w:rPr>
          <w:rFonts w:ascii="Times New Roman" w:hAnsi="Times New Roman" w:cs="Times New Roman"/>
          <w:sz w:val="22"/>
          <w:szCs w:val="22"/>
        </w:rPr>
        <w:t>L’accusé peut aussi présenter une requête pour obtenir un procès distinct. La poursuite peut réunir dans un seul acte d’accusation plusieurs chefs d’accusation. Le législateur a permis à la cour d’ordonner qu’un accusé subisse des procès distincts sur un ou plusieurs chefs d’accusation lorsqu’un acte d’accusation en contient plusieurs (art. 591 (3) a) C.cr.).</w:t>
      </w:r>
    </w:p>
    <w:p w14:paraId="0698DDC7" w14:textId="77777777" w:rsidR="00134D1E" w:rsidRPr="00134D1E" w:rsidRDefault="00134D1E" w:rsidP="00134D1E">
      <w:pPr>
        <w:pStyle w:val="Paragraphedeliste"/>
        <w:widowControl w:val="0"/>
        <w:autoSpaceDE w:val="0"/>
        <w:autoSpaceDN w:val="0"/>
        <w:adjustRightInd w:val="0"/>
        <w:spacing w:after="300"/>
        <w:jc w:val="both"/>
        <w:rPr>
          <w:rFonts w:ascii="Times New Roman" w:hAnsi="Times New Roman" w:cs="Times New Roman"/>
          <w:b/>
          <w:bCs/>
          <w:color w:val="3E3E3E"/>
          <w:sz w:val="22"/>
          <w:szCs w:val="22"/>
        </w:rPr>
      </w:pPr>
    </w:p>
    <w:p w14:paraId="6B0158A6" w14:textId="77777777" w:rsidR="00134D1E" w:rsidRPr="00134D1E" w:rsidRDefault="00134D1E" w:rsidP="00E46B40">
      <w:pPr>
        <w:pStyle w:val="Paragraphedeliste"/>
        <w:numPr>
          <w:ilvl w:val="0"/>
          <w:numId w:val="137"/>
        </w:numPr>
        <w:jc w:val="both"/>
        <w:rPr>
          <w:rFonts w:ascii="Times New Roman" w:hAnsi="Times New Roman" w:cs="Times New Roman"/>
          <w:sz w:val="22"/>
          <w:szCs w:val="22"/>
        </w:rPr>
      </w:pPr>
      <w:r w:rsidRPr="00134D1E">
        <w:rPr>
          <w:rFonts w:ascii="Times New Roman" w:hAnsi="Times New Roman" w:cs="Times New Roman"/>
          <w:sz w:val="22"/>
          <w:szCs w:val="22"/>
        </w:rPr>
        <w:t>L’accusé peut avoir intérêt à ne pas subir son procès sur toutes les infractions contenues dans l’acte d’accusation.</w:t>
      </w:r>
    </w:p>
    <w:p w14:paraId="2DB2BCA3" w14:textId="77777777" w:rsidR="00134D1E" w:rsidRPr="00C86382" w:rsidRDefault="00134D1E" w:rsidP="00134D1E">
      <w:pPr>
        <w:jc w:val="both"/>
        <w:rPr>
          <w:rFonts w:ascii="Times New Roman" w:hAnsi="Times New Roman" w:cs="Times New Roman"/>
          <w:sz w:val="22"/>
          <w:szCs w:val="22"/>
        </w:rPr>
      </w:pPr>
    </w:p>
    <w:p w14:paraId="3CFB7515" w14:textId="77777777" w:rsidR="00134D1E" w:rsidRPr="00134D1E" w:rsidRDefault="00134D1E" w:rsidP="00E46B40">
      <w:pPr>
        <w:pStyle w:val="Paragraphedeliste"/>
        <w:numPr>
          <w:ilvl w:val="0"/>
          <w:numId w:val="137"/>
        </w:numPr>
        <w:jc w:val="both"/>
        <w:rPr>
          <w:rFonts w:ascii="Times New Roman" w:hAnsi="Times New Roman" w:cs="Times New Roman"/>
          <w:sz w:val="22"/>
          <w:szCs w:val="22"/>
        </w:rPr>
      </w:pPr>
      <w:r w:rsidRPr="00134D1E">
        <w:rPr>
          <w:rFonts w:ascii="Times New Roman" w:hAnsi="Times New Roman" w:cs="Times New Roman"/>
          <w:sz w:val="22"/>
          <w:szCs w:val="22"/>
        </w:rPr>
        <w:t>Ainsi, on pourrait reprocher à un accusé différentes infractions présumées commises sur une courte période, dans des chefs d’accusation différents. L’acte d’accusation comprenant ces divers chefs pourrait influencer le jury et l’accusé peut avoir intérêt à ne pas subir son procès sur toutes ces infractions.</w:t>
      </w:r>
    </w:p>
    <w:p w14:paraId="15C7857E" w14:textId="77777777" w:rsidR="00134D1E" w:rsidRPr="00C86382" w:rsidRDefault="00134D1E" w:rsidP="00134D1E">
      <w:pPr>
        <w:jc w:val="both"/>
        <w:rPr>
          <w:rFonts w:ascii="Times New Roman" w:hAnsi="Times New Roman" w:cs="Times New Roman"/>
          <w:sz w:val="22"/>
          <w:szCs w:val="22"/>
        </w:rPr>
      </w:pPr>
    </w:p>
    <w:p w14:paraId="2258E49A" w14:textId="77777777" w:rsidR="00134D1E" w:rsidRPr="00134D1E" w:rsidRDefault="00134D1E" w:rsidP="00E46B40">
      <w:pPr>
        <w:pStyle w:val="Paragraphedeliste"/>
        <w:numPr>
          <w:ilvl w:val="0"/>
          <w:numId w:val="137"/>
        </w:numPr>
        <w:jc w:val="both"/>
        <w:rPr>
          <w:rFonts w:ascii="Times New Roman" w:hAnsi="Times New Roman" w:cs="Times New Roman"/>
          <w:sz w:val="22"/>
          <w:szCs w:val="22"/>
        </w:rPr>
      </w:pPr>
      <w:r w:rsidRPr="00134D1E">
        <w:rPr>
          <w:rFonts w:ascii="Times New Roman" w:hAnsi="Times New Roman" w:cs="Times New Roman"/>
          <w:sz w:val="22"/>
          <w:szCs w:val="22"/>
        </w:rPr>
        <w:t>Le tribunal devra alors considérer chacune des circonstances particulières relatives à chaque affaire et se demander si les fins de la justice sont respectées. Cette ordonnance est discrétionnaire, elle ne doit pas causer d’injustice ou de préjudice tant au ministère public qu’à l’accusé.</w:t>
      </w:r>
    </w:p>
    <w:p w14:paraId="4746B9C4" w14:textId="77777777" w:rsidR="00134D1E" w:rsidRPr="00C86382" w:rsidRDefault="00134D1E" w:rsidP="00134D1E">
      <w:pPr>
        <w:jc w:val="both"/>
        <w:rPr>
          <w:rFonts w:ascii="Times New Roman" w:hAnsi="Times New Roman" w:cs="Times New Roman"/>
          <w:sz w:val="22"/>
          <w:szCs w:val="22"/>
        </w:rPr>
      </w:pPr>
    </w:p>
    <w:p w14:paraId="7F517B87" w14:textId="5C567D84" w:rsidR="00134D1E" w:rsidRDefault="00134D1E" w:rsidP="00134D1E">
      <w:pPr>
        <w:jc w:val="both"/>
        <w:rPr>
          <w:rFonts w:ascii="Times New Roman" w:hAnsi="Times New Roman" w:cs="Times New Roman"/>
          <w:sz w:val="22"/>
          <w:szCs w:val="22"/>
        </w:rPr>
      </w:pPr>
      <w:r w:rsidRPr="00E46B40">
        <w:rPr>
          <w:rFonts w:ascii="Times New Roman" w:hAnsi="Times New Roman" w:cs="Times New Roman"/>
          <w:b/>
          <w:sz w:val="22"/>
          <w:szCs w:val="22"/>
        </w:rPr>
        <w:t xml:space="preserve">Dans l’arrêt </w:t>
      </w:r>
      <w:r w:rsidRPr="00E46B40">
        <w:rPr>
          <w:rFonts w:ascii="Times New Roman" w:hAnsi="Times New Roman" w:cs="Times New Roman"/>
          <w:b/>
          <w:i/>
          <w:iCs/>
          <w:sz w:val="22"/>
          <w:szCs w:val="22"/>
        </w:rPr>
        <w:t>R. c. Last</w:t>
      </w:r>
      <w:r w:rsidRPr="00E46B40">
        <w:rPr>
          <w:rFonts w:ascii="Times New Roman" w:hAnsi="Times New Roman" w:cs="Times New Roman"/>
          <w:b/>
          <w:bCs/>
          <w:sz w:val="22"/>
          <w:szCs w:val="22"/>
          <w:vertAlign w:val="superscript"/>
        </w:rPr>
        <w:t>,</w:t>
      </w:r>
      <w:r w:rsidRPr="00C86382">
        <w:rPr>
          <w:rFonts w:ascii="Times New Roman" w:hAnsi="Times New Roman" w:cs="Times New Roman"/>
          <w:sz w:val="22"/>
          <w:szCs w:val="22"/>
        </w:rPr>
        <w:t xml:space="preserve"> particulièrement aux paragraphes 16, 17 et 18, la Cour suprême du Canada synthétise les principes reconnus pa</w:t>
      </w:r>
      <w:r w:rsidR="00E46B40">
        <w:rPr>
          <w:rFonts w:ascii="Times New Roman" w:hAnsi="Times New Roman" w:cs="Times New Roman"/>
          <w:sz w:val="22"/>
          <w:szCs w:val="22"/>
        </w:rPr>
        <w:t>r la jurisprudence sur ce point :</w:t>
      </w:r>
    </w:p>
    <w:p w14:paraId="7D1A0D56" w14:textId="4A9D69C2" w:rsidR="00E46B40" w:rsidRPr="00E46B40" w:rsidRDefault="00E46B40" w:rsidP="00E46B40">
      <w:pPr>
        <w:pStyle w:val="Paragraphedeliste"/>
        <w:numPr>
          <w:ilvl w:val="0"/>
          <w:numId w:val="138"/>
        </w:numPr>
        <w:jc w:val="both"/>
        <w:rPr>
          <w:rFonts w:ascii="Times New Roman" w:hAnsi="Times New Roman" w:cs="Times New Roman"/>
          <w:sz w:val="22"/>
          <w:szCs w:val="22"/>
        </w:rPr>
      </w:pPr>
      <w:r w:rsidRPr="00EF3158">
        <w:rPr>
          <w:rFonts w:ascii="Times New Roman" w:hAnsi="Times New Roman" w:cs="Times New Roman"/>
          <w:sz w:val="20"/>
          <w:szCs w:val="20"/>
        </w:rPr>
        <w:t xml:space="preserve">Selon le par. 591(3) du </w:t>
      </w:r>
      <w:r w:rsidRPr="00EF3158">
        <w:rPr>
          <w:rFonts w:ascii="Times New Roman" w:hAnsi="Times New Roman" w:cs="Times New Roman"/>
          <w:i/>
          <w:iCs/>
          <w:sz w:val="20"/>
          <w:szCs w:val="20"/>
        </w:rPr>
        <w:t>Code</w:t>
      </w:r>
      <w:r w:rsidRPr="00EF3158">
        <w:rPr>
          <w:rFonts w:ascii="Times New Roman" w:hAnsi="Times New Roman" w:cs="Times New Roman"/>
          <w:sz w:val="20"/>
          <w:szCs w:val="20"/>
        </w:rPr>
        <w:t>, l’ultime question à laquelle se trouve confronté le juge de première instance lorsqu’il s’agit de décider s’il y a lieu de donner suite à une demande de séparation de chefs d’accusation est celle de savoir si les intérêts de la justice exigent une telle séparation.  Les intérêts de la justice englobent le droit de l’accusé d’être jugé en fonction de la preuve admissible contre lui, ainsi que l’intérêt de la société à ce que justice soit rendue d’une manière raisonnablement efficace, compte tenu des coûts</w:t>
      </w:r>
      <w:r>
        <w:rPr>
          <w:rFonts w:ascii="Times New Roman" w:hAnsi="Times New Roman" w:cs="Times New Roman"/>
          <w:sz w:val="20"/>
          <w:szCs w:val="20"/>
        </w:rPr>
        <w:t xml:space="preserve"> [16].</w:t>
      </w:r>
    </w:p>
    <w:p w14:paraId="48FDC5E3" w14:textId="164DF124" w:rsidR="00E46B40" w:rsidRPr="00E46B40" w:rsidRDefault="00E46B40" w:rsidP="00E46B40">
      <w:pPr>
        <w:pStyle w:val="Paragraphedeliste"/>
        <w:numPr>
          <w:ilvl w:val="0"/>
          <w:numId w:val="138"/>
        </w:numPr>
        <w:jc w:val="both"/>
        <w:rPr>
          <w:rFonts w:ascii="Times New Roman" w:hAnsi="Times New Roman" w:cs="Times New Roman"/>
          <w:sz w:val="22"/>
          <w:szCs w:val="22"/>
        </w:rPr>
      </w:pPr>
      <w:r w:rsidRPr="00EF3158">
        <w:rPr>
          <w:rFonts w:ascii="Times New Roman" w:hAnsi="Times New Roman" w:cs="Times New Roman"/>
          <w:sz w:val="20"/>
          <w:szCs w:val="20"/>
        </w:rPr>
        <w:t>Les facteurs relevés par les tribunaux ne sont pas exhaustifs.  Ils aident seulement à dégager la façon dont les intérêts de la justice peuvent être servis dans un cas particulier et à éviter qu’une injustice soit commise.  Les facteurs que les tribunaux utilisent à bon droit sont notamment les suivants : le préjudice causé à l’accusé, le lien juridique et factuel entre les chefs d’accusation, la complexité de la preuve, la question de savoir si l’accusé entend témoigner à l’égard d’un chef d’accusation, mais pas à l’égard d’un autre, la possibilité de verdicts incompatibles, le désir d’éviter multiplicité des instances, l’utilisation de la preuve de faits similaires au procès, la durée du procès compte tenu de la preuve à produire, le préjudice que l’accusé risque de subir quant au droit d’être jugé dans un délai raisonnable et l’existence de moyens de défense diamétralement opposés entre coaccusés </w:t>
      </w:r>
      <w:r>
        <w:rPr>
          <w:rFonts w:ascii="Times New Roman" w:hAnsi="Times New Roman" w:cs="Times New Roman"/>
          <w:sz w:val="20"/>
          <w:szCs w:val="20"/>
        </w:rPr>
        <w:t>[18].</w:t>
      </w:r>
    </w:p>
    <w:p w14:paraId="58E64E12" w14:textId="77777777" w:rsidR="00E46B40" w:rsidRDefault="00E46B40" w:rsidP="00E46B40">
      <w:pPr>
        <w:jc w:val="both"/>
        <w:rPr>
          <w:rFonts w:ascii="Times New Roman" w:hAnsi="Times New Roman" w:cs="Times New Roman"/>
          <w:sz w:val="22"/>
          <w:szCs w:val="22"/>
        </w:rPr>
      </w:pPr>
    </w:p>
    <w:p w14:paraId="1B496069"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Selon l’article 591 (3) du Code, l’ultime question à laquelle se trouve confronté le juge de première instance lorsqu’il s’agit de décider s’il y a lieu de donner suite à une demande de séparation de chefs d’accusation est celle de savoir si les intérêts de la justice exigent une telle séparation. Les intérêts de la justice englobent le droit de l’accusé d’être jugé en fonction de la preuve admissible contre lui, ainsi que l’intérêt de la société à ce que justice soit rendue d’une manière raisonnablement efficace compte tenu des coûts. Le risque évident que comporte l’instruction des chefs d’accusation réunis est que la preuve admissible à l’égard d’un chef influencera le verdict sur un chef non lié.</w:t>
      </w:r>
    </w:p>
    <w:p w14:paraId="69045098" w14:textId="77777777" w:rsidR="00E46B40" w:rsidRPr="00C86382" w:rsidRDefault="00E46B40" w:rsidP="00E46B40">
      <w:pPr>
        <w:jc w:val="both"/>
        <w:rPr>
          <w:rFonts w:ascii="Times New Roman" w:hAnsi="Times New Roman" w:cs="Times New Roman"/>
          <w:sz w:val="22"/>
          <w:szCs w:val="22"/>
        </w:rPr>
      </w:pPr>
    </w:p>
    <w:p w14:paraId="6594B6C0"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 xml:space="preserve">Les tribunaux ont concrétisé les critères généraux établis au paragraphe 591 (3) et ont dégagé des facteurs qui peuvent être appréciés quand il s’agit de décider de séparer ou non les chefs d’accusation. L’exercice d’appréciation permet d’établir un équilibre raisonnable entre le risque de préjudice pour l’accusé et l’intérêt de la société à ce qu’il y ait un seul procès. Il importe de rappeler que les intérêts de la justice exigent souvent la tenue d’une instruction conjointe. L’arrêt </w:t>
      </w:r>
      <w:r w:rsidRPr="00C86382">
        <w:rPr>
          <w:rFonts w:ascii="Times New Roman" w:hAnsi="Times New Roman" w:cs="Times New Roman"/>
          <w:i/>
          <w:iCs/>
          <w:sz w:val="22"/>
          <w:szCs w:val="22"/>
        </w:rPr>
        <w:t>Litchfield</w:t>
      </w:r>
      <w:r w:rsidRPr="00C86382">
        <w:rPr>
          <w:rFonts w:ascii="Times New Roman" w:hAnsi="Times New Roman" w:cs="Times New Roman"/>
          <w:sz w:val="22"/>
          <w:szCs w:val="22"/>
        </w:rPr>
        <w:t>, dans lequel le ministère public a été empêché de plaider la cause de façon appropriée en raison d’une ordonnance de séparation contraire aux normes judiciaires, est un exemple. La séparation peut nuire non seulement à l’efficacité, mais aussi à la fonction de recherche de la vérité du procès.</w:t>
      </w:r>
    </w:p>
    <w:p w14:paraId="1533D44C" w14:textId="77777777" w:rsidR="00E46B40" w:rsidRPr="00C86382" w:rsidRDefault="00E46B40" w:rsidP="00E46B40">
      <w:pPr>
        <w:jc w:val="both"/>
        <w:rPr>
          <w:rFonts w:ascii="Times New Roman" w:hAnsi="Times New Roman" w:cs="Times New Roman"/>
          <w:sz w:val="22"/>
          <w:szCs w:val="22"/>
        </w:rPr>
      </w:pPr>
    </w:p>
    <w:p w14:paraId="00641459"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Les facteurs relevés par les tribunaux ne sont pas exhaustifs. Ils aident seulement à dégager la façon dont les intérêts de la justice peuvent être servis dans un cas particulier et à éviter qu’une injustice soit commise. Les facteurs que les tribunaux utilisent à bon droit sont notamment les suivants : le préjudice causé à l’accusé, le lien juridique et factuel entre les chefs d’accusation, la complexité de la preuve, la question de savoir si l’accusé entend témoigner à l’égard d’un chef d’accusation, mais pas à l’égard d’un autre, la possibilité de verdicts incompatibles, le désir d’éviter la multiplicité des instances, l’utilisation de la preuve de faits similaires au procès, la durée du procès compte tenu de la preuve à produire, le préjudice que l’accusé risque de subir quant au droit d’être jugé dans un délai raisonnable et l’existence de moyens de défense diamétralement opposés entre coaccusés.</w:t>
      </w:r>
    </w:p>
    <w:p w14:paraId="5B42658C" w14:textId="77777777" w:rsidR="00134D1E" w:rsidRPr="002D6010" w:rsidRDefault="00134D1E" w:rsidP="002D6010">
      <w:pPr>
        <w:widowControl w:val="0"/>
        <w:autoSpaceDE w:val="0"/>
        <w:autoSpaceDN w:val="0"/>
        <w:adjustRightInd w:val="0"/>
        <w:spacing w:after="300"/>
        <w:jc w:val="both"/>
        <w:rPr>
          <w:rFonts w:ascii="Times New Roman" w:hAnsi="Times New Roman" w:cs="Times New Roman"/>
          <w:color w:val="3E3E3E"/>
          <w:sz w:val="22"/>
          <w:szCs w:val="22"/>
        </w:rPr>
      </w:pPr>
    </w:p>
    <w:p w14:paraId="3F98CF26" w14:textId="327267BF" w:rsidR="00E46B40" w:rsidRDefault="002D6010" w:rsidP="002D6010">
      <w:pPr>
        <w:widowControl w:val="0"/>
        <w:autoSpaceDE w:val="0"/>
        <w:autoSpaceDN w:val="0"/>
        <w:adjustRightInd w:val="0"/>
        <w:spacing w:after="300"/>
        <w:jc w:val="both"/>
        <w:rPr>
          <w:rFonts w:ascii="Times New Roman" w:hAnsi="Times New Roman" w:cs="Times New Roman"/>
          <w:bCs/>
          <w:color w:val="3E3E3E"/>
          <w:sz w:val="22"/>
          <w:szCs w:val="22"/>
        </w:rPr>
      </w:pPr>
      <w:r w:rsidRPr="002D6010">
        <w:rPr>
          <w:rFonts w:ascii="Times New Roman" w:hAnsi="Times New Roman" w:cs="Times New Roman"/>
          <w:b/>
          <w:bCs/>
          <w:color w:val="3E3E3E"/>
          <w:sz w:val="22"/>
          <w:szCs w:val="22"/>
        </w:rPr>
        <w:t>D- La requête pour procès séparé</w:t>
      </w:r>
      <w:r w:rsidR="00E46B40">
        <w:rPr>
          <w:rFonts w:ascii="Times New Roman" w:hAnsi="Times New Roman" w:cs="Times New Roman"/>
          <w:b/>
          <w:bCs/>
          <w:color w:val="3E3E3E"/>
          <w:sz w:val="22"/>
          <w:szCs w:val="22"/>
        </w:rPr>
        <w:t xml:space="preserve"> (p.13)</w:t>
      </w:r>
    </w:p>
    <w:p w14:paraId="0B9E5AE2"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L’accusé peut aussi présenter une requête pour obtenir un procès séparé lorsqu’il est accusé conjointement avec d’autres personnes. Cette requête tire son origine de la common law (art. 591 (3) b) C.cr.).</w:t>
      </w:r>
    </w:p>
    <w:p w14:paraId="551153E9" w14:textId="77777777" w:rsidR="00E46B40" w:rsidRPr="00C86382" w:rsidRDefault="00E46B40" w:rsidP="00E46B40">
      <w:pPr>
        <w:jc w:val="both"/>
        <w:rPr>
          <w:rFonts w:ascii="Times New Roman" w:hAnsi="Times New Roman" w:cs="Times New Roman"/>
          <w:sz w:val="22"/>
          <w:szCs w:val="22"/>
        </w:rPr>
      </w:pPr>
    </w:p>
    <w:p w14:paraId="14CCFA3F"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En principe, les prévenus qui ont participé à une aventure commune ou à un délit commun doivent être accusés conjointement et être jugés ensemble</w:t>
      </w:r>
      <w:r w:rsidRPr="00C86382">
        <w:rPr>
          <w:rFonts w:ascii="Times New Roman" w:hAnsi="Times New Roman" w:cs="Times New Roman"/>
          <w:b/>
          <w:bCs/>
          <w:sz w:val="22"/>
          <w:szCs w:val="22"/>
          <w:vertAlign w:val="superscript"/>
        </w:rPr>
        <w:t>34</w:t>
      </w:r>
      <w:r w:rsidRPr="00C86382">
        <w:rPr>
          <w:rFonts w:ascii="Times New Roman" w:hAnsi="Times New Roman" w:cs="Times New Roman"/>
          <w:sz w:val="22"/>
          <w:szCs w:val="22"/>
        </w:rPr>
        <w:t>.</w:t>
      </w:r>
    </w:p>
    <w:p w14:paraId="16A90C3F" w14:textId="77777777" w:rsidR="00E46B40" w:rsidRPr="00C86382" w:rsidRDefault="00E46B40" w:rsidP="00E46B40">
      <w:pPr>
        <w:jc w:val="both"/>
        <w:rPr>
          <w:rFonts w:ascii="Times New Roman" w:hAnsi="Times New Roman" w:cs="Times New Roman"/>
          <w:sz w:val="22"/>
          <w:szCs w:val="22"/>
        </w:rPr>
      </w:pPr>
    </w:p>
    <w:p w14:paraId="6E4779B1"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Il n’existe aucune règle précise de droit, déterminant les cas pour lesquels un procès séparé doit être ordonné, relativement à des coaccusés d’une même infraction.</w:t>
      </w:r>
    </w:p>
    <w:p w14:paraId="47146CF8"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La jurisprudence a cependant reconnu cinq motifs permettant d’accueillir une requête pour procès séparé :</w:t>
      </w:r>
    </w:p>
    <w:p w14:paraId="75A52EB2" w14:textId="77777777" w:rsidR="00E46B40" w:rsidRPr="00C86382" w:rsidRDefault="00E46B40" w:rsidP="00E46B40">
      <w:pPr>
        <w:ind w:left="720"/>
        <w:jc w:val="both"/>
        <w:rPr>
          <w:rFonts w:ascii="Times New Roman" w:hAnsi="Times New Roman" w:cs="Times New Roman"/>
          <w:sz w:val="22"/>
          <w:szCs w:val="22"/>
        </w:rPr>
      </w:pPr>
    </w:p>
    <w:p w14:paraId="5CFD633D" w14:textId="77777777" w:rsidR="00E46B40" w:rsidRPr="00E46B40" w:rsidRDefault="00E46B40" w:rsidP="00E46B40">
      <w:pPr>
        <w:pStyle w:val="Paragraphedeliste"/>
        <w:numPr>
          <w:ilvl w:val="0"/>
          <w:numId w:val="139"/>
        </w:numPr>
        <w:jc w:val="both"/>
        <w:rPr>
          <w:rFonts w:ascii="Times New Roman" w:hAnsi="Times New Roman" w:cs="Times New Roman"/>
          <w:sz w:val="22"/>
          <w:szCs w:val="22"/>
        </w:rPr>
      </w:pPr>
      <w:r w:rsidRPr="00E46B40">
        <w:rPr>
          <w:rFonts w:ascii="Times New Roman" w:hAnsi="Times New Roman" w:cs="Times New Roman"/>
          <w:sz w:val="22"/>
          <w:szCs w:val="22"/>
        </w:rPr>
        <w:t>le requérant a une défense opposée à celle des autres coaccusés; la défense opposée signifie non seulement une défense différente, mais une défense qui pourrait incriminer les autres coaccusés;</w:t>
      </w:r>
    </w:p>
    <w:p w14:paraId="7FD50FAC" w14:textId="77777777" w:rsidR="00E46B40" w:rsidRPr="00C86382" w:rsidRDefault="00E46B40" w:rsidP="00E46B40">
      <w:pPr>
        <w:ind w:left="720"/>
        <w:jc w:val="both"/>
        <w:rPr>
          <w:rFonts w:ascii="Times New Roman" w:hAnsi="Times New Roman" w:cs="Times New Roman"/>
          <w:sz w:val="22"/>
          <w:szCs w:val="22"/>
        </w:rPr>
      </w:pPr>
    </w:p>
    <w:p w14:paraId="2BC724A2" w14:textId="77777777" w:rsidR="00E46B40" w:rsidRPr="00E46B40" w:rsidRDefault="00E46B40" w:rsidP="00E46B40">
      <w:pPr>
        <w:pStyle w:val="Paragraphedeliste"/>
        <w:numPr>
          <w:ilvl w:val="0"/>
          <w:numId w:val="139"/>
        </w:numPr>
        <w:jc w:val="both"/>
        <w:rPr>
          <w:rFonts w:ascii="Times New Roman" w:hAnsi="Times New Roman" w:cs="Times New Roman"/>
          <w:sz w:val="22"/>
          <w:szCs w:val="22"/>
        </w:rPr>
      </w:pPr>
      <w:r w:rsidRPr="00E46B40">
        <w:rPr>
          <w:rFonts w:ascii="Times New Roman" w:hAnsi="Times New Roman" w:cs="Times New Roman"/>
          <w:sz w:val="22"/>
          <w:szCs w:val="22"/>
        </w:rPr>
        <w:t>une preuve importante en faveur d’un des coaccusés ne sera admissible que s’il obtient un procès séparé tel le témoignage de l’épouse de l’un des accusés;</w:t>
      </w:r>
    </w:p>
    <w:p w14:paraId="11D52B1A" w14:textId="77777777" w:rsidR="00E46B40" w:rsidRPr="00C86382" w:rsidRDefault="00E46B40" w:rsidP="00E46B40">
      <w:pPr>
        <w:ind w:left="720"/>
        <w:jc w:val="both"/>
        <w:rPr>
          <w:rFonts w:ascii="Times New Roman" w:hAnsi="Times New Roman" w:cs="Times New Roman"/>
          <w:sz w:val="22"/>
          <w:szCs w:val="22"/>
        </w:rPr>
      </w:pPr>
    </w:p>
    <w:p w14:paraId="39E34C87" w14:textId="77777777" w:rsidR="00E46B40" w:rsidRPr="00E46B40" w:rsidRDefault="00E46B40" w:rsidP="00E46B40">
      <w:pPr>
        <w:pStyle w:val="Paragraphedeliste"/>
        <w:numPr>
          <w:ilvl w:val="0"/>
          <w:numId w:val="139"/>
        </w:numPr>
        <w:jc w:val="both"/>
        <w:rPr>
          <w:rFonts w:ascii="Times New Roman" w:hAnsi="Times New Roman" w:cs="Times New Roman"/>
          <w:sz w:val="22"/>
          <w:szCs w:val="22"/>
        </w:rPr>
      </w:pPr>
      <w:r w:rsidRPr="00E46B40">
        <w:rPr>
          <w:rFonts w:ascii="Times New Roman" w:hAnsi="Times New Roman" w:cs="Times New Roman"/>
          <w:sz w:val="22"/>
          <w:szCs w:val="22"/>
        </w:rPr>
        <w:t>lorsque la poursuite veut faire contre un accusé une preuve qui est inadmissible contre un coaccusé et qui risque de porter préjudice à ce dernier (par exemple, une écoute électronique);</w:t>
      </w:r>
    </w:p>
    <w:p w14:paraId="5FFBA6D7" w14:textId="77777777" w:rsidR="00E46B40" w:rsidRPr="00C86382" w:rsidRDefault="00E46B40" w:rsidP="00E46B40">
      <w:pPr>
        <w:ind w:left="720"/>
        <w:jc w:val="both"/>
        <w:rPr>
          <w:rFonts w:ascii="Times New Roman" w:hAnsi="Times New Roman" w:cs="Times New Roman"/>
          <w:sz w:val="22"/>
          <w:szCs w:val="22"/>
        </w:rPr>
      </w:pPr>
    </w:p>
    <w:p w14:paraId="543C711A" w14:textId="77777777" w:rsidR="00E46B40" w:rsidRPr="00E46B40" w:rsidRDefault="00E46B40" w:rsidP="00E46B40">
      <w:pPr>
        <w:pStyle w:val="Paragraphedeliste"/>
        <w:numPr>
          <w:ilvl w:val="0"/>
          <w:numId w:val="139"/>
        </w:numPr>
        <w:jc w:val="both"/>
        <w:rPr>
          <w:rFonts w:ascii="Times New Roman" w:hAnsi="Times New Roman" w:cs="Times New Roman"/>
          <w:sz w:val="22"/>
          <w:szCs w:val="22"/>
        </w:rPr>
      </w:pPr>
      <w:r w:rsidRPr="00E46B40">
        <w:rPr>
          <w:rFonts w:ascii="Times New Roman" w:hAnsi="Times New Roman" w:cs="Times New Roman"/>
          <w:sz w:val="22"/>
          <w:szCs w:val="22"/>
        </w:rPr>
        <w:t>lorsque la poursuite veut faire la preuve de la confession faite par un des coaccusés, cette preuve étant de nature à préjuger les jurés contre les autres coaccusés;</w:t>
      </w:r>
    </w:p>
    <w:p w14:paraId="2DCBDAF9" w14:textId="77777777" w:rsidR="00E46B40" w:rsidRPr="00C86382" w:rsidRDefault="00E46B40" w:rsidP="00E46B40">
      <w:pPr>
        <w:ind w:left="720"/>
        <w:jc w:val="both"/>
        <w:rPr>
          <w:rFonts w:ascii="Times New Roman" w:hAnsi="Times New Roman" w:cs="Times New Roman"/>
          <w:sz w:val="22"/>
          <w:szCs w:val="22"/>
        </w:rPr>
      </w:pPr>
    </w:p>
    <w:p w14:paraId="009C44D9" w14:textId="77777777" w:rsidR="00E46B40" w:rsidRDefault="00E46B40" w:rsidP="00E46B40">
      <w:pPr>
        <w:pStyle w:val="Paragraphedeliste"/>
        <w:numPr>
          <w:ilvl w:val="0"/>
          <w:numId w:val="139"/>
        </w:numPr>
        <w:jc w:val="both"/>
        <w:rPr>
          <w:rFonts w:ascii="Times New Roman" w:hAnsi="Times New Roman" w:cs="Times New Roman"/>
          <w:sz w:val="22"/>
          <w:szCs w:val="22"/>
        </w:rPr>
      </w:pPr>
      <w:r w:rsidRPr="00E46B40">
        <w:rPr>
          <w:rFonts w:ascii="Times New Roman" w:hAnsi="Times New Roman" w:cs="Times New Roman"/>
          <w:sz w:val="22"/>
          <w:szCs w:val="22"/>
        </w:rPr>
        <w:t>s’il y a un procès distinct, un des coaccusés sera un témoin compétent et contraignable et pourra témoigner en faveur des autres coaccusés ou contre eux.</w:t>
      </w:r>
    </w:p>
    <w:p w14:paraId="30CC6D8D" w14:textId="77777777" w:rsidR="00E46B40" w:rsidRPr="00E46B40" w:rsidRDefault="00E46B40" w:rsidP="00E46B40">
      <w:pPr>
        <w:jc w:val="both"/>
        <w:rPr>
          <w:rFonts w:ascii="Times New Roman" w:hAnsi="Times New Roman" w:cs="Times New Roman"/>
          <w:sz w:val="22"/>
          <w:szCs w:val="22"/>
        </w:rPr>
      </w:pPr>
    </w:p>
    <w:p w14:paraId="22075BCE" w14:textId="77777777" w:rsidR="00E46B40" w:rsidRPr="00C86382" w:rsidRDefault="00E46B40" w:rsidP="00E46B40">
      <w:pPr>
        <w:jc w:val="both"/>
        <w:rPr>
          <w:rFonts w:ascii="Times New Roman" w:hAnsi="Times New Roman" w:cs="Times New Roman"/>
          <w:sz w:val="22"/>
          <w:szCs w:val="22"/>
        </w:rPr>
      </w:pPr>
      <w:r w:rsidRPr="00C86382">
        <w:rPr>
          <w:rFonts w:ascii="Times New Roman" w:hAnsi="Times New Roman" w:cs="Times New Roman"/>
          <w:sz w:val="22"/>
          <w:szCs w:val="22"/>
        </w:rPr>
        <w:t>L’accusé peut présenter cette requête pour procès séparé avant le plaidoyer. Cependant, règle générale elle n’est présentée que lorsque la poursuite déclare sa preuve close.</w:t>
      </w:r>
    </w:p>
    <w:p w14:paraId="0F59B1F3" w14:textId="77777777" w:rsidR="00E46B40" w:rsidRPr="00C86382" w:rsidRDefault="00E46B40" w:rsidP="00E46B40">
      <w:pPr>
        <w:jc w:val="both"/>
        <w:rPr>
          <w:rFonts w:ascii="Times New Roman" w:hAnsi="Times New Roman" w:cs="Times New Roman"/>
          <w:sz w:val="22"/>
          <w:szCs w:val="22"/>
        </w:rPr>
      </w:pPr>
    </w:p>
    <w:p w14:paraId="1BFC155E" w14:textId="77777777" w:rsidR="00E46B40" w:rsidRPr="00E46B40" w:rsidRDefault="00E46B40" w:rsidP="00E46B40">
      <w:pPr>
        <w:jc w:val="both"/>
        <w:rPr>
          <w:rFonts w:ascii="Times New Roman" w:hAnsi="Times New Roman" w:cs="Times New Roman"/>
          <w:sz w:val="22"/>
          <w:szCs w:val="22"/>
        </w:rPr>
      </w:pPr>
    </w:p>
    <w:p w14:paraId="293A63E0" w14:textId="3A116F41"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Chapitre II. Compétences territoriales et limites temporelles et requêtes préliminaires</w:t>
      </w:r>
      <w:r w:rsidR="000B1B0B">
        <w:rPr>
          <w:rFonts w:ascii="Times New Roman" w:hAnsi="Times New Roman" w:cs="Times New Roman"/>
          <w:b/>
          <w:bCs/>
          <w:color w:val="3E3E3E"/>
          <w:sz w:val="22"/>
          <w:szCs w:val="22"/>
        </w:rPr>
        <w:t xml:space="preserve"> (p.14)</w:t>
      </w:r>
    </w:p>
    <w:p w14:paraId="30A104C1" w14:textId="6C030433"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Section I. La compétence territoriale</w:t>
      </w:r>
    </w:p>
    <w:p w14:paraId="3771F203" w14:textId="77777777"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§1. Limites extra-territoriales</w:t>
      </w:r>
    </w:p>
    <w:p w14:paraId="40574908" w14:textId="71642C5B"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A. Principes</w:t>
      </w:r>
    </w:p>
    <w:p w14:paraId="49E5D4CC" w14:textId="72E9ABE1" w:rsidR="000B1B0B" w:rsidRDefault="000B1B0B" w:rsidP="002D6010">
      <w:pPr>
        <w:widowControl w:val="0"/>
        <w:autoSpaceDE w:val="0"/>
        <w:autoSpaceDN w:val="0"/>
        <w:adjustRightInd w:val="0"/>
        <w:spacing w:after="300"/>
        <w:jc w:val="both"/>
        <w:rPr>
          <w:rFonts w:ascii="Times New Roman" w:hAnsi="Times New Roman" w:cs="Times New Roman"/>
          <w:bCs/>
          <w:color w:val="3E3E3E"/>
          <w:sz w:val="22"/>
          <w:szCs w:val="22"/>
        </w:rPr>
      </w:pPr>
      <w:r>
        <w:rPr>
          <w:rFonts w:ascii="Times New Roman" w:hAnsi="Times New Roman" w:cs="Times New Roman"/>
          <w:bCs/>
          <w:color w:val="3E3E3E"/>
          <w:sz w:val="22"/>
          <w:szCs w:val="22"/>
        </w:rPr>
        <w:t xml:space="preserve">De nombreux articles du C.cr. traitent de la compétence territoriale. L’article </w:t>
      </w:r>
      <w:r>
        <w:rPr>
          <w:rFonts w:ascii="Times New Roman" w:hAnsi="Times New Roman" w:cs="Times New Roman"/>
          <w:b/>
          <w:bCs/>
          <w:color w:val="3E3E3E"/>
          <w:sz w:val="22"/>
          <w:szCs w:val="22"/>
        </w:rPr>
        <w:t>6(2) C.cr.</w:t>
      </w:r>
      <w:r>
        <w:rPr>
          <w:rFonts w:ascii="Times New Roman" w:hAnsi="Times New Roman" w:cs="Times New Roman"/>
          <w:bCs/>
          <w:color w:val="3E3E3E"/>
          <w:sz w:val="22"/>
          <w:szCs w:val="22"/>
        </w:rPr>
        <w:t xml:space="preserve"> est le point de départ</w:t>
      </w:r>
    </w:p>
    <w:p w14:paraId="0973B9DF" w14:textId="35005913" w:rsidR="000B1B0B" w:rsidRDefault="000B1B0B" w:rsidP="000B1B0B">
      <w:pPr>
        <w:pStyle w:val="Paragraphedeliste"/>
        <w:widowControl w:val="0"/>
        <w:numPr>
          <w:ilvl w:val="0"/>
          <w:numId w:val="140"/>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C’est un principe de territorialité bien connu en droit international</w:t>
      </w:r>
    </w:p>
    <w:p w14:paraId="364FF896" w14:textId="1E00EBD7" w:rsidR="000B1B0B" w:rsidRDefault="000B1B0B" w:rsidP="000B1B0B">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Finta 1994 (p.14) :</w:t>
      </w:r>
    </w:p>
    <w:p w14:paraId="24646C00" w14:textId="137E61B1" w:rsidR="000B1B0B" w:rsidRPr="000B1B0B" w:rsidRDefault="000B1B0B" w:rsidP="000B1B0B">
      <w:pPr>
        <w:pStyle w:val="Paragraphedeliste"/>
        <w:widowControl w:val="0"/>
        <w:numPr>
          <w:ilvl w:val="0"/>
          <w:numId w:val="140"/>
        </w:numPr>
        <w:autoSpaceDE w:val="0"/>
        <w:autoSpaceDN w:val="0"/>
        <w:adjustRightInd w:val="0"/>
        <w:spacing w:after="300"/>
        <w:jc w:val="both"/>
        <w:rPr>
          <w:rFonts w:ascii="Times New Roman" w:hAnsi="Times New Roman" w:cs="Times New Roman"/>
          <w:b/>
          <w:i/>
          <w:color w:val="3E3E3E"/>
          <w:sz w:val="22"/>
          <w:szCs w:val="22"/>
        </w:rPr>
      </w:pPr>
      <w:r w:rsidRPr="00214C7F">
        <w:rPr>
          <w:rFonts w:ascii="Times New Roman" w:hAnsi="Times New Roman" w:cs="Times New Roman"/>
          <w:sz w:val="20"/>
          <w:szCs w:val="20"/>
        </w:rPr>
        <w:t>Cette règle reflète le principe de l'intégrité souveraine, suivant lequel un État est le seul à pouvoir exercer sa souveraineté à l'égard de toutes les personnes, citoyens ou étrangers, et de tous les biens, mobiliers ou immobiliers, situés sur son propre territoire</w:t>
      </w:r>
      <w:r>
        <w:rPr>
          <w:rFonts w:ascii="Times New Roman" w:hAnsi="Times New Roman" w:cs="Times New Roman"/>
          <w:sz w:val="20"/>
          <w:szCs w:val="20"/>
        </w:rPr>
        <w:t>.</w:t>
      </w:r>
    </w:p>
    <w:p w14:paraId="72768563" w14:textId="1BFFCF03" w:rsidR="000B1B0B" w:rsidRPr="000B1B0B" w:rsidRDefault="000B1B0B" w:rsidP="000B1B0B">
      <w:pPr>
        <w:pStyle w:val="Paragraphedeliste"/>
        <w:widowControl w:val="0"/>
        <w:numPr>
          <w:ilvl w:val="0"/>
          <w:numId w:val="140"/>
        </w:numPr>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i/>
          <w:sz w:val="20"/>
          <w:szCs w:val="20"/>
        </w:rPr>
        <w:t xml:space="preserve">Voir aussi, </w:t>
      </w:r>
      <w:r>
        <w:rPr>
          <w:rFonts w:ascii="Times New Roman" w:hAnsi="Times New Roman" w:cs="Times New Roman"/>
          <w:b/>
          <w:i/>
          <w:sz w:val="20"/>
          <w:szCs w:val="20"/>
        </w:rPr>
        <w:t>Libman c. R 1985</w:t>
      </w:r>
      <w:r>
        <w:rPr>
          <w:rFonts w:ascii="Times New Roman" w:hAnsi="Times New Roman" w:cs="Times New Roman"/>
          <w:sz w:val="20"/>
          <w:szCs w:val="20"/>
        </w:rPr>
        <w:t xml:space="preserve"> sur cette question.</w:t>
      </w:r>
    </w:p>
    <w:p w14:paraId="5A32F6D6" w14:textId="77777777" w:rsidR="000B1B0B" w:rsidRDefault="000B1B0B" w:rsidP="000B1B0B">
      <w:pPr>
        <w:jc w:val="both"/>
        <w:rPr>
          <w:rFonts w:ascii="Times New Roman" w:hAnsi="Times New Roman" w:cs="Times New Roman"/>
          <w:sz w:val="22"/>
          <w:szCs w:val="22"/>
        </w:rPr>
      </w:pPr>
      <w:r w:rsidRPr="000B1B0B">
        <w:rPr>
          <w:rFonts w:ascii="Times New Roman" w:hAnsi="Times New Roman" w:cs="Times New Roman"/>
          <w:sz w:val="22"/>
          <w:szCs w:val="22"/>
        </w:rPr>
        <w:t>Cela suppose en revanche que pour qu’une juridiction criminelle canadienne soit compétente, il faut une part importante des activités criminelles et qui constitue l’infraction ait lieu au Canada.</w:t>
      </w:r>
    </w:p>
    <w:p w14:paraId="0F29D6E8" w14:textId="77777777" w:rsidR="000B1B0B" w:rsidRDefault="000B1B0B" w:rsidP="000B1B0B">
      <w:pPr>
        <w:jc w:val="both"/>
        <w:rPr>
          <w:rFonts w:ascii="Times New Roman" w:hAnsi="Times New Roman" w:cs="Times New Roman"/>
          <w:sz w:val="22"/>
          <w:szCs w:val="22"/>
        </w:rPr>
      </w:pPr>
    </w:p>
    <w:p w14:paraId="53263FCC" w14:textId="731E698A" w:rsidR="000B1B0B" w:rsidRDefault="000B1B0B" w:rsidP="000B1B0B">
      <w:pPr>
        <w:jc w:val="both"/>
        <w:rPr>
          <w:rFonts w:ascii="Times New Roman" w:hAnsi="Times New Roman" w:cs="Times New Roman"/>
          <w:b/>
          <w:i/>
          <w:sz w:val="22"/>
          <w:szCs w:val="22"/>
        </w:rPr>
      </w:pPr>
      <w:r>
        <w:rPr>
          <w:rFonts w:ascii="Times New Roman" w:hAnsi="Times New Roman" w:cs="Times New Roman"/>
          <w:b/>
          <w:i/>
          <w:sz w:val="22"/>
          <w:szCs w:val="22"/>
        </w:rPr>
        <w:t>R. c. Larche 2006 :</w:t>
      </w:r>
    </w:p>
    <w:p w14:paraId="0B93CB89" w14:textId="343611CE" w:rsidR="000B1B0B" w:rsidRPr="000B1B0B" w:rsidRDefault="000B1B0B" w:rsidP="000B1B0B">
      <w:pPr>
        <w:pStyle w:val="Paragraphedeliste"/>
        <w:numPr>
          <w:ilvl w:val="0"/>
          <w:numId w:val="141"/>
        </w:numPr>
        <w:jc w:val="both"/>
        <w:rPr>
          <w:rFonts w:ascii="Times New Roman" w:hAnsi="Times New Roman" w:cs="Times New Roman"/>
          <w:sz w:val="20"/>
          <w:szCs w:val="20"/>
        </w:rPr>
      </w:pPr>
      <w:r w:rsidRPr="000B1B0B">
        <w:rPr>
          <w:rFonts w:ascii="Times New Roman" w:hAnsi="Times New Roman" w:cs="Times New Roman"/>
          <w:sz w:val="20"/>
          <w:szCs w:val="20"/>
        </w:rPr>
        <w:t xml:space="preserve">Selon l’arrêt </w:t>
      </w:r>
      <w:r w:rsidRPr="000B1B0B">
        <w:rPr>
          <w:rFonts w:ascii="Times New Roman" w:hAnsi="Times New Roman" w:cs="Times New Roman"/>
          <w:i/>
          <w:iCs/>
          <w:sz w:val="20"/>
          <w:szCs w:val="20"/>
        </w:rPr>
        <w:t>Libman c. La Reine</w:t>
      </w:r>
      <w:r w:rsidRPr="000B1B0B">
        <w:rPr>
          <w:rFonts w:ascii="Times New Roman" w:hAnsi="Times New Roman" w:cs="Times New Roman"/>
          <w:sz w:val="20"/>
          <w:szCs w:val="20"/>
        </w:rPr>
        <w:t>,</w:t>
      </w:r>
      <w:r>
        <w:rPr>
          <w:rFonts w:ascii="Times New Roman" w:hAnsi="Times New Roman" w:cs="Times New Roman"/>
          <w:sz w:val="20"/>
          <w:szCs w:val="20"/>
        </w:rPr>
        <w:t xml:space="preserve"> [</w:t>
      </w:r>
      <w:r w:rsidRPr="000B1B0B">
        <w:rPr>
          <w:rFonts w:ascii="Times New Roman" w:hAnsi="Times New Roman" w:cs="Times New Roman"/>
          <w:sz w:val="20"/>
          <w:szCs w:val="20"/>
        </w:rPr>
        <w:t>1985] 2 R.C.S. 178, le critère de la compétence territoriale est fondé sur le « lien réel et important » avec le Canada (</w:t>
      </w:r>
      <w:r w:rsidRPr="000B1B0B">
        <w:rPr>
          <w:rFonts w:ascii="Times New Roman" w:hAnsi="Times New Roman" w:cs="Times New Roman"/>
          <w:i/>
          <w:iCs/>
          <w:sz w:val="20"/>
          <w:szCs w:val="20"/>
        </w:rPr>
        <w:t>États</w:t>
      </w:r>
      <w:r w:rsidRPr="000B1B0B">
        <w:rPr>
          <w:rFonts w:ascii="Palatino" w:hAnsi="Palatino" w:cs="Palatino"/>
          <w:i/>
          <w:iCs/>
          <w:sz w:val="20"/>
          <w:szCs w:val="20"/>
        </w:rPr>
        <w:t>‑</w:t>
      </w:r>
      <w:r w:rsidRPr="000B1B0B">
        <w:rPr>
          <w:rFonts w:ascii="Times New Roman" w:hAnsi="Times New Roman" w:cs="Times New Roman"/>
          <w:i/>
          <w:iCs/>
          <w:sz w:val="20"/>
          <w:szCs w:val="20"/>
        </w:rPr>
        <w:t>Unis d’Amérique c. Lépine</w:t>
      </w:r>
      <w:r>
        <w:rPr>
          <w:rFonts w:ascii="Times New Roman" w:hAnsi="Times New Roman" w:cs="Times New Roman"/>
          <w:sz w:val="20"/>
          <w:szCs w:val="20"/>
        </w:rPr>
        <w:t xml:space="preserve"> </w:t>
      </w:r>
      <w:r w:rsidRPr="000B1B0B">
        <w:rPr>
          <w:rFonts w:ascii="Times New Roman" w:hAnsi="Times New Roman" w:cs="Times New Roman"/>
          <w:sz w:val="20"/>
          <w:szCs w:val="20"/>
        </w:rPr>
        <w:t xml:space="preserve">[1994] 1 R.C.S. 286).  Les faits « liés à la perpétration de l’infraction » ont </w:t>
      </w:r>
      <w:r w:rsidRPr="000B1B0B">
        <w:rPr>
          <w:rFonts w:ascii="Times New Roman" w:hAnsi="Times New Roman" w:cs="Times New Roman"/>
          <w:i/>
          <w:iCs/>
          <w:sz w:val="20"/>
          <w:szCs w:val="20"/>
        </w:rPr>
        <w:t>souvent</w:t>
      </w:r>
      <w:r w:rsidRPr="000B1B0B">
        <w:rPr>
          <w:rFonts w:ascii="Times New Roman" w:hAnsi="Times New Roman" w:cs="Times New Roman"/>
          <w:sz w:val="20"/>
          <w:szCs w:val="20"/>
        </w:rPr>
        <w:t xml:space="preserve"> — mais pas </w:t>
      </w:r>
      <w:r w:rsidRPr="000B1B0B">
        <w:rPr>
          <w:rFonts w:ascii="Times New Roman" w:hAnsi="Times New Roman" w:cs="Times New Roman"/>
          <w:i/>
          <w:iCs/>
          <w:sz w:val="20"/>
          <w:szCs w:val="20"/>
        </w:rPr>
        <w:t>toujours</w:t>
      </w:r>
      <w:r w:rsidRPr="000B1B0B">
        <w:rPr>
          <w:rFonts w:ascii="Times New Roman" w:hAnsi="Times New Roman" w:cs="Times New Roman"/>
          <w:sz w:val="20"/>
          <w:szCs w:val="20"/>
        </w:rPr>
        <w:t> — un lien réel et important avec le Canada.  Les membres de phrase ne sont ni synonymes ni de même portée, même si les enquêtes qu’ils commandent peuvent parfois se chevaucher.  Ainsi, ma conclusion antérieure que la troisième note concerne des faits liés à la perpétration de l’infraction ne signifie pas pour autant que celle</w:t>
      </w:r>
      <w:r w:rsidRPr="000B1B0B">
        <w:rPr>
          <w:rFonts w:ascii="Palatino" w:hAnsi="Palatino" w:cs="Palatino"/>
          <w:sz w:val="20"/>
          <w:szCs w:val="20"/>
        </w:rPr>
        <w:t>‑</w:t>
      </w:r>
      <w:r w:rsidRPr="000B1B0B">
        <w:rPr>
          <w:rFonts w:ascii="Times New Roman" w:hAnsi="Times New Roman" w:cs="Times New Roman"/>
          <w:sz w:val="20"/>
          <w:szCs w:val="20"/>
        </w:rPr>
        <w:t>ci répond également au critère du « lien réel et important » avec le Canada.</w:t>
      </w:r>
      <w:r>
        <w:rPr>
          <w:rFonts w:ascii="Times New Roman" w:hAnsi="Times New Roman" w:cs="Times New Roman"/>
          <w:sz w:val="20"/>
          <w:szCs w:val="20"/>
        </w:rPr>
        <w:t xml:space="preserve"> [59]</w:t>
      </w:r>
    </w:p>
    <w:p w14:paraId="5C71FCE5" w14:textId="77777777" w:rsidR="000B1B0B" w:rsidRPr="000B1B0B" w:rsidRDefault="000B1B0B" w:rsidP="000B1B0B">
      <w:pPr>
        <w:widowControl w:val="0"/>
        <w:autoSpaceDE w:val="0"/>
        <w:autoSpaceDN w:val="0"/>
        <w:adjustRightInd w:val="0"/>
        <w:spacing w:after="300"/>
        <w:jc w:val="both"/>
        <w:rPr>
          <w:rFonts w:ascii="Times New Roman" w:hAnsi="Times New Roman" w:cs="Times New Roman"/>
          <w:color w:val="3E3E3E"/>
          <w:sz w:val="22"/>
          <w:szCs w:val="22"/>
        </w:rPr>
      </w:pPr>
    </w:p>
    <w:p w14:paraId="6F45B767" w14:textId="448CCCAF"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B. Les exceptions</w:t>
      </w:r>
      <w:r w:rsidRPr="002D6010">
        <w:rPr>
          <w:rFonts w:ascii="Times New Roman" w:hAnsi="Times New Roman" w:cs="Times New Roman"/>
          <w:color w:val="3E3E3E"/>
          <w:sz w:val="22"/>
          <w:szCs w:val="22"/>
        </w:rPr>
        <w:t> </w:t>
      </w:r>
      <w:r w:rsidR="000B1B0B">
        <w:rPr>
          <w:rFonts w:ascii="Times New Roman" w:hAnsi="Times New Roman" w:cs="Times New Roman"/>
          <w:color w:val="3E3E3E"/>
          <w:sz w:val="22"/>
          <w:szCs w:val="22"/>
        </w:rPr>
        <w:t xml:space="preserve"> (p.15)</w:t>
      </w:r>
    </w:p>
    <w:p w14:paraId="68952BAA" w14:textId="3E63608F" w:rsidR="000B1B0B" w:rsidRDefault="000B1B0B"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Il existe des exceptions liées à la nationalité et au principe d’universalité. </w:t>
      </w:r>
      <w:r>
        <w:rPr>
          <w:rFonts w:ascii="Times New Roman" w:hAnsi="Times New Roman" w:cs="Times New Roman"/>
          <w:i/>
          <w:color w:val="3E3E3E"/>
          <w:sz w:val="22"/>
          <w:szCs w:val="22"/>
        </w:rPr>
        <w:t>Voir le cours de droit pénale international sur cette question.</w:t>
      </w:r>
    </w:p>
    <w:p w14:paraId="057C15A9" w14:textId="661B1664" w:rsidR="000B1B0B" w:rsidRPr="000B1B0B" w:rsidRDefault="000B1B0B" w:rsidP="000B1B0B">
      <w:pPr>
        <w:pStyle w:val="Paragraphedeliste"/>
        <w:widowControl w:val="0"/>
        <w:numPr>
          <w:ilvl w:val="0"/>
          <w:numId w:val="14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Article 7 C.cr.</w:t>
      </w:r>
    </w:p>
    <w:p w14:paraId="0C0FA468" w14:textId="1068C105"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§2</w:t>
      </w:r>
      <w:r w:rsidR="000B1B0B">
        <w:rPr>
          <w:rFonts w:ascii="Times New Roman" w:hAnsi="Times New Roman" w:cs="Times New Roman"/>
          <w:b/>
          <w:bCs/>
          <w:color w:val="3E3E3E"/>
          <w:sz w:val="22"/>
          <w:szCs w:val="22"/>
        </w:rPr>
        <w:t>. Les limites interprovinciales (p.15)</w:t>
      </w:r>
    </w:p>
    <w:p w14:paraId="4F22F3F6" w14:textId="4839C7EC" w:rsidR="002D6010" w:rsidRDefault="000B1B0B" w:rsidP="002D6010">
      <w:pPr>
        <w:widowControl w:val="0"/>
        <w:autoSpaceDE w:val="0"/>
        <w:autoSpaceDN w:val="0"/>
        <w:adjustRightInd w:val="0"/>
        <w:spacing w:after="300"/>
        <w:jc w:val="both"/>
        <w:rPr>
          <w:rFonts w:ascii="Times New Roman" w:hAnsi="Times New Roman" w:cs="Times New Roman"/>
          <w:b/>
          <w:bCs/>
          <w:color w:val="3E3E3E"/>
          <w:sz w:val="22"/>
          <w:szCs w:val="22"/>
        </w:rPr>
      </w:pPr>
      <w:r>
        <w:rPr>
          <w:rFonts w:ascii="Times New Roman" w:hAnsi="Times New Roman" w:cs="Times New Roman"/>
          <w:b/>
          <w:bCs/>
          <w:color w:val="3E3E3E"/>
          <w:sz w:val="22"/>
          <w:szCs w:val="22"/>
        </w:rPr>
        <w:t>A. Le principe</w:t>
      </w:r>
    </w:p>
    <w:p w14:paraId="48DFAE98" w14:textId="7DA1908C" w:rsidR="000B1B0B" w:rsidRPr="000B1B0B" w:rsidRDefault="000B1B0B"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Cs/>
          <w:color w:val="3E3E3E"/>
          <w:sz w:val="22"/>
          <w:szCs w:val="22"/>
        </w:rPr>
        <w:t xml:space="preserve">Exposé à l’article </w:t>
      </w:r>
      <w:r>
        <w:rPr>
          <w:rFonts w:ascii="Times New Roman" w:hAnsi="Times New Roman" w:cs="Times New Roman"/>
          <w:b/>
          <w:bCs/>
          <w:color w:val="3E3E3E"/>
          <w:sz w:val="22"/>
          <w:szCs w:val="22"/>
        </w:rPr>
        <w:t>478(1) C.cr.</w:t>
      </w:r>
    </w:p>
    <w:p w14:paraId="146F6864" w14:textId="2F6027A0"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B. Les exceptions</w:t>
      </w:r>
      <w:r w:rsidR="000B1B0B">
        <w:rPr>
          <w:rFonts w:ascii="Times New Roman" w:hAnsi="Times New Roman" w:cs="Times New Roman"/>
          <w:color w:val="3E3E3E"/>
          <w:sz w:val="22"/>
          <w:szCs w:val="22"/>
        </w:rPr>
        <w:t> (p.15)</w:t>
      </w:r>
    </w:p>
    <w:p w14:paraId="5E20E78E" w14:textId="5860CF83" w:rsidR="000B1B0B" w:rsidRDefault="000B1B0B"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Cela concerne les infractions commises entre deux ou à la limite de deux ou plus d’une «circonscriptions» territoriales</w:t>
      </w:r>
    </w:p>
    <w:p w14:paraId="4F7F0E9F" w14:textId="702C7221" w:rsidR="000B1B0B" w:rsidRPr="000B1B0B" w:rsidRDefault="000B1B0B" w:rsidP="000B1B0B">
      <w:pPr>
        <w:pStyle w:val="Paragraphedeliste"/>
        <w:widowControl w:val="0"/>
        <w:numPr>
          <w:ilvl w:val="0"/>
          <w:numId w:val="14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b/>
          <w:color w:val="3E3E3E"/>
          <w:sz w:val="22"/>
          <w:szCs w:val="22"/>
        </w:rPr>
        <w:t>Art. 476C.cr.</w:t>
      </w:r>
    </w:p>
    <w:p w14:paraId="74234675" w14:textId="727607FF" w:rsidR="000B1B0B" w:rsidRPr="000B1B0B" w:rsidRDefault="000B1B0B" w:rsidP="000B1B0B">
      <w:pPr>
        <w:pStyle w:val="Paragraphedeliste"/>
        <w:widowControl w:val="0"/>
        <w:numPr>
          <w:ilvl w:val="0"/>
          <w:numId w:val="141"/>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Le professeur Stylios nous suggère de bien lire </w:t>
      </w:r>
      <w:r>
        <w:rPr>
          <w:rFonts w:ascii="Times New Roman" w:hAnsi="Times New Roman" w:cs="Times New Roman"/>
          <w:b/>
          <w:color w:val="3E3E3E"/>
          <w:sz w:val="22"/>
          <w:szCs w:val="22"/>
        </w:rPr>
        <w:t>467(b) C.cr.</w:t>
      </w:r>
    </w:p>
    <w:p w14:paraId="72DF723B" w14:textId="51490AC9"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C. Le transfert d’un plaidoyer de culpabilité</w:t>
      </w:r>
      <w:r w:rsidRPr="002D6010">
        <w:rPr>
          <w:rFonts w:ascii="Times New Roman" w:hAnsi="Times New Roman" w:cs="Times New Roman"/>
          <w:color w:val="3E3E3E"/>
          <w:sz w:val="22"/>
          <w:szCs w:val="22"/>
        </w:rPr>
        <w:t> </w:t>
      </w:r>
      <w:r w:rsidR="000B1B0B">
        <w:rPr>
          <w:rFonts w:ascii="Times New Roman" w:hAnsi="Times New Roman" w:cs="Times New Roman"/>
          <w:color w:val="3E3E3E"/>
          <w:sz w:val="22"/>
          <w:szCs w:val="22"/>
        </w:rPr>
        <w:t>(p.15)</w:t>
      </w:r>
    </w:p>
    <w:p w14:paraId="351DBF84" w14:textId="18AFCB59" w:rsidR="000B1B0B" w:rsidRDefault="000B1B0B" w:rsidP="002D6010">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Exposé à l’article </w:t>
      </w:r>
      <w:r>
        <w:rPr>
          <w:rFonts w:ascii="Times New Roman" w:hAnsi="Times New Roman" w:cs="Times New Roman"/>
          <w:b/>
          <w:color w:val="3E3E3E"/>
          <w:sz w:val="22"/>
          <w:szCs w:val="22"/>
        </w:rPr>
        <w:t>478(3) C.cr.</w:t>
      </w:r>
    </w:p>
    <w:p w14:paraId="2B18CCB5" w14:textId="77777777" w:rsidR="000B1B0B" w:rsidRPr="000B1B0B" w:rsidRDefault="000B1B0B" w:rsidP="002D6010">
      <w:pPr>
        <w:widowControl w:val="0"/>
        <w:autoSpaceDE w:val="0"/>
        <w:autoSpaceDN w:val="0"/>
        <w:adjustRightInd w:val="0"/>
        <w:spacing w:after="300"/>
        <w:jc w:val="both"/>
        <w:rPr>
          <w:rFonts w:ascii="Times New Roman" w:hAnsi="Times New Roman" w:cs="Times New Roman"/>
          <w:color w:val="3E3E3E"/>
          <w:sz w:val="22"/>
          <w:szCs w:val="22"/>
        </w:rPr>
      </w:pPr>
    </w:p>
    <w:p w14:paraId="64263827" w14:textId="7171F825"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§3. Les limites intra-provinciales</w:t>
      </w:r>
      <w:r w:rsidR="000B1B0B">
        <w:rPr>
          <w:rFonts w:ascii="Times New Roman" w:hAnsi="Times New Roman" w:cs="Times New Roman"/>
          <w:b/>
          <w:bCs/>
          <w:color w:val="3E3E3E"/>
          <w:sz w:val="22"/>
          <w:szCs w:val="22"/>
        </w:rPr>
        <w:t xml:space="preserve"> (p.15)</w:t>
      </w:r>
    </w:p>
    <w:p w14:paraId="5BFF04EF" w14:textId="2E9015CF"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A. Le principe</w:t>
      </w:r>
      <w:r w:rsidRPr="002D6010">
        <w:rPr>
          <w:rFonts w:ascii="Times New Roman" w:hAnsi="Times New Roman" w:cs="Times New Roman"/>
          <w:color w:val="3E3E3E"/>
          <w:sz w:val="22"/>
          <w:szCs w:val="22"/>
        </w:rPr>
        <w:t> </w:t>
      </w:r>
    </w:p>
    <w:p w14:paraId="3C498CB7" w14:textId="3877B5E5" w:rsidR="000B1B0B" w:rsidRPr="002D6010" w:rsidRDefault="000B1B0B"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La règle étant : une personne doit être jugée là où l’infraction a été commise. Mais selon le professeur Stylios, cela n’est plus tellement vrai aujourd’hui.</w:t>
      </w:r>
    </w:p>
    <w:p w14:paraId="34CD93F2" w14:textId="567989FF"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B. La compétences territoriales des tribunaux dans les provinces : Art. 470 C. cr.</w:t>
      </w:r>
      <w:r w:rsidR="00893BC0">
        <w:rPr>
          <w:rFonts w:ascii="Times New Roman" w:hAnsi="Times New Roman" w:cs="Times New Roman"/>
          <w:b/>
          <w:bCs/>
          <w:color w:val="3E3E3E"/>
          <w:sz w:val="22"/>
          <w:szCs w:val="22"/>
        </w:rPr>
        <w:t xml:space="preserve"> (p.15).</w:t>
      </w:r>
    </w:p>
    <w:p w14:paraId="155F97EC" w14:textId="2AF61DFE" w:rsidR="000C5E53" w:rsidRDefault="000C5E53" w:rsidP="002D6010">
      <w:pPr>
        <w:widowControl w:val="0"/>
        <w:autoSpaceDE w:val="0"/>
        <w:autoSpaceDN w:val="0"/>
        <w:adjustRightInd w:val="0"/>
        <w:spacing w:after="300"/>
        <w:jc w:val="both"/>
        <w:rPr>
          <w:rFonts w:ascii="Times New Roman" w:hAnsi="Times New Roman" w:cs="Times New Roman"/>
          <w:b/>
          <w:color w:val="3E3E3E"/>
          <w:sz w:val="22"/>
          <w:szCs w:val="22"/>
        </w:rPr>
      </w:pPr>
      <w:r>
        <w:rPr>
          <w:rFonts w:ascii="Times New Roman" w:hAnsi="Times New Roman" w:cs="Times New Roman"/>
          <w:color w:val="3E3E3E"/>
          <w:sz w:val="22"/>
          <w:szCs w:val="22"/>
        </w:rPr>
        <w:t xml:space="preserve">Avec l’article 470C.cr., il faut faire un parallèle avec l’article </w:t>
      </w:r>
      <w:r>
        <w:rPr>
          <w:rFonts w:ascii="Times New Roman" w:hAnsi="Times New Roman" w:cs="Times New Roman"/>
          <w:b/>
          <w:color w:val="3E3E3E"/>
          <w:sz w:val="22"/>
          <w:szCs w:val="22"/>
        </w:rPr>
        <w:t>504C.cr.</w:t>
      </w:r>
    </w:p>
    <w:p w14:paraId="5A594278" w14:textId="3FC672D6" w:rsidR="000C5E53" w:rsidRPr="000C5E53" w:rsidRDefault="000C5E53" w:rsidP="000C5E53">
      <w:pPr>
        <w:pStyle w:val="Paragraphedeliste"/>
        <w:numPr>
          <w:ilvl w:val="0"/>
          <w:numId w:val="142"/>
        </w:numPr>
        <w:jc w:val="both"/>
        <w:rPr>
          <w:rFonts w:ascii="Times New Roman" w:hAnsi="Times New Roman" w:cs="Times New Roman"/>
          <w:sz w:val="22"/>
          <w:szCs w:val="22"/>
        </w:rPr>
      </w:pPr>
      <w:r w:rsidRPr="000C5E53">
        <w:rPr>
          <w:rFonts w:ascii="Times New Roman" w:hAnsi="Times New Roman" w:cs="Times New Roman"/>
          <w:sz w:val="22"/>
          <w:szCs w:val="22"/>
        </w:rPr>
        <w:t xml:space="preserve">Cet art. 504 C. cr. est très large. Le juge peut recevoir une dénonciation pour une </w:t>
      </w:r>
      <w:r>
        <w:rPr>
          <w:rFonts w:ascii="Times New Roman" w:hAnsi="Times New Roman" w:cs="Times New Roman"/>
          <w:sz w:val="22"/>
          <w:szCs w:val="22"/>
        </w:rPr>
        <w:t>infraction commise n’importe où</w:t>
      </w:r>
      <w:r w:rsidRPr="000C5E53">
        <w:rPr>
          <w:rFonts w:ascii="Times New Roman" w:hAnsi="Times New Roman" w:cs="Times New Roman"/>
          <w:sz w:val="22"/>
          <w:szCs w:val="22"/>
        </w:rPr>
        <w:t xml:space="preserve"> sur le territoire de la province. Le seul critère c’est le lieu d’habitation du juge.</w:t>
      </w:r>
    </w:p>
    <w:p w14:paraId="2D57DF05" w14:textId="77777777" w:rsidR="000C5E53" w:rsidRPr="00C86382" w:rsidRDefault="000C5E53" w:rsidP="000C5E53">
      <w:pPr>
        <w:jc w:val="both"/>
        <w:rPr>
          <w:rFonts w:ascii="Times New Roman" w:hAnsi="Times New Roman" w:cs="Times New Roman"/>
          <w:sz w:val="22"/>
          <w:szCs w:val="22"/>
        </w:rPr>
      </w:pPr>
    </w:p>
    <w:p w14:paraId="1F138C19" w14:textId="77777777" w:rsidR="000C5E53" w:rsidRPr="00C86382" w:rsidRDefault="000C5E53" w:rsidP="000C5E53">
      <w:pPr>
        <w:jc w:val="both"/>
        <w:rPr>
          <w:rFonts w:ascii="Times New Roman" w:hAnsi="Times New Roman" w:cs="Times New Roman"/>
          <w:sz w:val="22"/>
          <w:szCs w:val="22"/>
        </w:rPr>
      </w:pPr>
      <w:r w:rsidRPr="00C86382">
        <w:rPr>
          <w:rFonts w:ascii="Times New Roman" w:hAnsi="Times New Roman" w:cs="Times New Roman"/>
          <w:sz w:val="22"/>
          <w:szCs w:val="22"/>
        </w:rPr>
        <w:t>S’agissant de l’article 470 C. cr., il existe en jurisprudence deux possibilités de lire les dispositions de l’article 470(a).</w:t>
      </w:r>
    </w:p>
    <w:p w14:paraId="4BF26749" w14:textId="77777777" w:rsidR="000C5E53" w:rsidRPr="00C86382" w:rsidRDefault="000C5E53" w:rsidP="000C5E53">
      <w:pPr>
        <w:jc w:val="both"/>
        <w:rPr>
          <w:rFonts w:ascii="Times New Roman" w:hAnsi="Times New Roman" w:cs="Times New Roman"/>
          <w:sz w:val="22"/>
          <w:szCs w:val="22"/>
        </w:rPr>
      </w:pPr>
    </w:p>
    <w:p w14:paraId="2D712AF2" w14:textId="77777777" w:rsidR="000C5E53" w:rsidRPr="000C5E53" w:rsidRDefault="000C5E53" w:rsidP="000C5E53">
      <w:pPr>
        <w:pStyle w:val="Paragraphedeliste"/>
        <w:numPr>
          <w:ilvl w:val="0"/>
          <w:numId w:val="142"/>
        </w:numPr>
        <w:jc w:val="both"/>
        <w:rPr>
          <w:rFonts w:ascii="Times New Roman" w:hAnsi="Times New Roman" w:cs="Times New Roman"/>
          <w:sz w:val="22"/>
          <w:szCs w:val="22"/>
        </w:rPr>
      </w:pPr>
      <w:r w:rsidRPr="000C5E53">
        <w:rPr>
          <w:rFonts w:ascii="Times New Roman" w:hAnsi="Times New Roman" w:cs="Times New Roman"/>
          <w:sz w:val="22"/>
          <w:szCs w:val="22"/>
        </w:rPr>
        <w:t xml:space="preserve">La grande majorité des décisions l’interprètent de manière littérale. </w:t>
      </w:r>
    </w:p>
    <w:p w14:paraId="69894E11" w14:textId="77777777" w:rsidR="000C5E53" w:rsidRPr="000C5E53" w:rsidRDefault="000C5E53" w:rsidP="000C5E53">
      <w:pPr>
        <w:pStyle w:val="Paragraphedeliste"/>
        <w:numPr>
          <w:ilvl w:val="0"/>
          <w:numId w:val="142"/>
        </w:numPr>
        <w:jc w:val="both"/>
        <w:rPr>
          <w:rFonts w:ascii="Times New Roman" w:hAnsi="Times New Roman" w:cs="Times New Roman"/>
          <w:sz w:val="22"/>
          <w:szCs w:val="22"/>
        </w:rPr>
      </w:pPr>
      <w:r w:rsidRPr="000C5E53">
        <w:rPr>
          <w:rFonts w:ascii="Times New Roman" w:hAnsi="Times New Roman" w:cs="Times New Roman"/>
          <w:sz w:val="22"/>
          <w:szCs w:val="22"/>
        </w:rPr>
        <w:t>Toute juridiction criminelle est compétente pour juger un accusé à l’égard de cette infraction dans l’un ou l’autre des cas suivants :</w:t>
      </w:r>
    </w:p>
    <w:p w14:paraId="5384DF4E" w14:textId="77777777" w:rsidR="000C5E53" w:rsidRPr="00C86382" w:rsidRDefault="000C5E53" w:rsidP="000C5E53">
      <w:pPr>
        <w:jc w:val="both"/>
        <w:rPr>
          <w:rFonts w:ascii="Times New Roman" w:hAnsi="Times New Roman" w:cs="Times New Roman"/>
          <w:sz w:val="22"/>
          <w:szCs w:val="22"/>
        </w:rPr>
      </w:pPr>
      <w:r w:rsidRPr="00C86382">
        <w:rPr>
          <w:rFonts w:ascii="Times New Roman" w:hAnsi="Times New Roman" w:cs="Times New Roman"/>
          <w:i/>
          <w:iCs/>
          <w:sz w:val="22"/>
          <w:szCs w:val="22"/>
        </w:rPr>
        <w:t>a</w:t>
      </w:r>
      <w:r w:rsidRPr="00C86382">
        <w:rPr>
          <w:rFonts w:ascii="Times New Roman" w:hAnsi="Times New Roman" w:cs="Times New Roman"/>
          <w:sz w:val="22"/>
          <w:szCs w:val="22"/>
        </w:rPr>
        <w:t>) le prévenu est trouvé, arrêté ou sous garde dans la juridiction territoriale du tribunal;</w:t>
      </w:r>
    </w:p>
    <w:p w14:paraId="2B779A37" w14:textId="77777777" w:rsidR="000C5E53" w:rsidRPr="00C86382" w:rsidRDefault="000C5E53" w:rsidP="000C5E53">
      <w:pPr>
        <w:jc w:val="both"/>
        <w:rPr>
          <w:rFonts w:ascii="Times New Roman" w:hAnsi="Times New Roman" w:cs="Times New Roman"/>
          <w:sz w:val="22"/>
          <w:szCs w:val="22"/>
        </w:rPr>
      </w:pPr>
    </w:p>
    <w:p w14:paraId="2663F285" w14:textId="77777777" w:rsidR="000C5E53" w:rsidRPr="00C86382" w:rsidRDefault="000C5E53" w:rsidP="000C5E53">
      <w:pPr>
        <w:jc w:val="both"/>
        <w:rPr>
          <w:rFonts w:ascii="Times New Roman" w:hAnsi="Times New Roman" w:cs="Times New Roman"/>
          <w:sz w:val="22"/>
          <w:szCs w:val="22"/>
        </w:rPr>
      </w:pPr>
      <w:r w:rsidRPr="00C86382">
        <w:rPr>
          <w:rFonts w:ascii="Times New Roman" w:hAnsi="Times New Roman" w:cs="Times New Roman"/>
          <w:sz w:val="22"/>
          <w:szCs w:val="22"/>
        </w:rPr>
        <w:t>et ce quel que soit le lieu de commission de l’infraction.</w:t>
      </w:r>
    </w:p>
    <w:p w14:paraId="635B972E" w14:textId="77777777" w:rsidR="000C5E53" w:rsidRPr="00C86382" w:rsidRDefault="000C5E53" w:rsidP="000C5E53">
      <w:pPr>
        <w:jc w:val="both"/>
        <w:rPr>
          <w:rFonts w:ascii="Times New Roman" w:hAnsi="Times New Roman" w:cs="Times New Roman"/>
          <w:sz w:val="22"/>
          <w:szCs w:val="22"/>
        </w:rPr>
      </w:pPr>
    </w:p>
    <w:p w14:paraId="3DE37701" w14:textId="4BC3A8C3" w:rsidR="000C5E53" w:rsidRPr="000C5E53" w:rsidRDefault="000C5E53" w:rsidP="000C5E53">
      <w:pPr>
        <w:widowControl w:val="0"/>
        <w:autoSpaceDE w:val="0"/>
        <w:autoSpaceDN w:val="0"/>
        <w:adjustRightInd w:val="0"/>
        <w:spacing w:after="300"/>
        <w:jc w:val="both"/>
        <w:rPr>
          <w:rFonts w:ascii="Times New Roman" w:hAnsi="Times New Roman" w:cs="Times New Roman"/>
          <w:b/>
          <w:color w:val="3E3E3E"/>
          <w:sz w:val="22"/>
          <w:szCs w:val="22"/>
        </w:rPr>
      </w:pPr>
      <w:r w:rsidRPr="00C86382">
        <w:rPr>
          <w:rFonts w:ascii="Times New Roman" w:hAnsi="Times New Roman" w:cs="Times New Roman"/>
          <w:sz w:val="22"/>
          <w:szCs w:val="22"/>
        </w:rPr>
        <w:t>Un courant minoritaire toutefois préfère la règle de common law (i.e., le lieu de commission de l’infraction) car sinon on permettrait à la Couronne de choisir son tribunal</w:t>
      </w:r>
    </w:p>
    <w:p w14:paraId="2B591327" w14:textId="5913E720"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B. Le transfert de plaidoyers de culpabilité</w:t>
      </w:r>
      <w:r w:rsidRPr="002D6010">
        <w:rPr>
          <w:rFonts w:ascii="Times New Roman" w:hAnsi="Times New Roman" w:cs="Times New Roman"/>
          <w:color w:val="3E3E3E"/>
          <w:sz w:val="22"/>
          <w:szCs w:val="22"/>
        </w:rPr>
        <w:t> </w:t>
      </w:r>
      <w:r w:rsidR="000C5E53">
        <w:rPr>
          <w:rFonts w:ascii="Times New Roman" w:hAnsi="Times New Roman" w:cs="Times New Roman"/>
          <w:color w:val="3E3E3E"/>
          <w:sz w:val="22"/>
          <w:szCs w:val="22"/>
        </w:rPr>
        <w:t>(p.16)</w:t>
      </w:r>
    </w:p>
    <w:p w14:paraId="35C4C705" w14:textId="5E5316C5" w:rsidR="000C5E53" w:rsidRPr="000C5E53" w:rsidRDefault="000C5E53" w:rsidP="002D6010">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Exposé à l’article 479C.cr.</w:t>
      </w:r>
    </w:p>
    <w:p w14:paraId="2E85C70F" w14:textId="181A4228"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C. Le changement de venue (requête en changement de venue)</w:t>
      </w:r>
      <w:r w:rsidRPr="002D6010">
        <w:rPr>
          <w:rFonts w:ascii="Times New Roman" w:hAnsi="Times New Roman" w:cs="Times New Roman"/>
          <w:color w:val="3E3E3E"/>
          <w:sz w:val="22"/>
          <w:szCs w:val="22"/>
        </w:rPr>
        <w:t> </w:t>
      </w:r>
      <w:r w:rsidR="000C5E53">
        <w:rPr>
          <w:rFonts w:ascii="Times New Roman" w:hAnsi="Times New Roman" w:cs="Times New Roman"/>
          <w:color w:val="3E3E3E"/>
          <w:sz w:val="22"/>
          <w:szCs w:val="22"/>
        </w:rPr>
        <w:t>(p.16)</w:t>
      </w:r>
    </w:p>
    <w:p w14:paraId="349D783B" w14:textId="108B1B1E" w:rsidR="000C5E53" w:rsidRPr="000C5E53" w:rsidRDefault="000C5E53" w:rsidP="000C5E53">
      <w:pPr>
        <w:jc w:val="both"/>
        <w:rPr>
          <w:rFonts w:ascii="Times New Roman" w:hAnsi="Times New Roman" w:cs="Times New Roman"/>
          <w:sz w:val="22"/>
          <w:szCs w:val="22"/>
        </w:rPr>
      </w:pPr>
      <w:r w:rsidRPr="00C86382">
        <w:rPr>
          <w:rFonts w:ascii="Times New Roman" w:hAnsi="Times New Roman" w:cs="Times New Roman"/>
          <w:sz w:val="22"/>
          <w:szCs w:val="22"/>
        </w:rPr>
        <w:t>Dans la majorité des cas, la Couronne et l’accusé préfèrent que le procès ait lieu là où la poursuite a commencé, car généralement les témoins, la famille de l’accusé… s’y trouve déjà.</w:t>
      </w:r>
      <w:r>
        <w:rPr>
          <w:rFonts w:ascii="Times New Roman" w:hAnsi="Times New Roman" w:cs="Times New Roman"/>
          <w:sz w:val="22"/>
          <w:szCs w:val="22"/>
        </w:rPr>
        <w:t xml:space="preserve"> </w:t>
      </w:r>
      <w:r w:rsidRPr="00C86382">
        <w:rPr>
          <w:rFonts w:ascii="Times New Roman" w:hAnsi="Times New Roman" w:cs="Times New Roman"/>
          <w:sz w:val="22"/>
          <w:szCs w:val="22"/>
        </w:rPr>
        <w:t>Parfois cependant, on a intérêt à ce que le lieu du procès ait lieu autre part en raiso</w:t>
      </w:r>
      <w:r>
        <w:rPr>
          <w:rFonts w:ascii="Times New Roman" w:hAnsi="Times New Roman" w:cs="Times New Roman"/>
          <w:sz w:val="22"/>
          <w:szCs w:val="22"/>
        </w:rPr>
        <w:t xml:space="preserve">n de la mauvaise publicité faite à l’affaire </w:t>
      </w:r>
      <w:r w:rsidRPr="00C86382">
        <w:rPr>
          <w:rFonts w:ascii="Times New Roman" w:hAnsi="Times New Roman" w:cs="Times New Roman"/>
          <w:sz w:val="22"/>
          <w:szCs w:val="22"/>
        </w:rPr>
        <w:t>pour des raisons pratiques également.</w:t>
      </w:r>
      <w:r>
        <w:rPr>
          <w:rFonts w:ascii="Times New Roman" w:hAnsi="Times New Roman" w:cs="Times New Roman"/>
          <w:sz w:val="22"/>
          <w:szCs w:val="22"/>
        </w:rPr>
        <w:t xml:space="preserve"> Voir </w:t>
      </w:r>
      <w:r w:rsidRPr="000C5E53">
        <w:rPr>
          <w:rFonts w:ascii="Times New Roman" w:hAnsi="Times New Roman" w:cs="Times New Roman"/>
          <w:b/>
          <w:sz w:val="22"/>
          <w:szCs w:val="22"/>
        </w:rPr>
        <w:t>l’art. 599 C. cr</w:t>
      </w:r>
    </w:p>
    <w:p w14:paraId="18553521" w14:textId="77777777" w:rsidR="000C5E53" w:rsidRDefault="000C5E53" w:rsidP="000C5E53">
      <w:pPr>
        <w:jc w:val="both"/>
        <w:rPr>
          <w:rFonts w:ascii="Times New Roman" w:hAnsi="Times New Roman" w:cs="Times New Roman"/>
          <w:b/>
          <w:sz w:val="22"/>
          <w:szCs w:val="22"/>
        </w:rPr>
      </w:pPr>
    </w:p>
    <w:p w14:paraId="1F96D7AD" w14:textId="77777777" w:rsidR="000C5E53" w:rsidRPr="000C5E53" w:rsidRDefault="000C5E53" w:rsidP="000C5E53">
      <w:pPr>
        <w:pStyle w:val="Paragraphedeliste"/>
        <w:numPr>
          <w:ilvl w:val="0"/>
          <w:numId w:val="143"/>
        </w:numPr>
        <w:jc w:val="both"/>
        <w:rPr>
          <w:rFonts w:ascii="Times New Roman" w:hAnsi="Times New Roman" w:cs="Times New Roman"/>
          <w:sz w:val="22"/>
          <w:szCs w:val="22"/>
        </w:rPr>
      </w:pPr>
      <w:r w:rsidRPr="000C5E53">
        <w:rPr>
          <w:rFonts w:ascii="Times New Roman" w:hAnsi="Times New Roman" w:cs="Times New Roman"/>
          <w:sz w:val="22"/>
          <w:szCs w:val="22"/>
        </w:rPr>
        <w:t xml:space="preserve">Généralement c’est l’accusé qui va demander que le procès ait lieu dans un autre district. Il doit faire la preuve qu’il lui est impossible d’obtenir un procès juste et équitable, dans le district où il doit subir son procès. </w:t>
      </w:r>
      <w:r w:rsidRPr="000C5E53">
        <w:rPr>
          <w:rFonts w:ascii="Times New Roman" w:hAnsi="Times New Roman" w:cs="Times New Roman"/>
          <w:b/>
          <w:sz w:val="22"/>
          <w:szCs w:val="22"/>
        </w:rPr>
        <w:t>L’accusé doit alors présenter une requête pour changement de venue</w:t>
      </w:r>
      <w:r w:rsidRPr="000C5E53">
        <w:rPr>
          <w:rFonts w:ascii="Times New Roman" w:hAnsi="Times New Roman" w:cs="Times New Roman"/>
          <w:sz w:val="22"/>
          <w:szCs w:val="22"/>
        </w:rPr>
        <w:t>.</w:t>
      </w:r>
    </w:p>
    <w:p w14:paraId="78DCD698" w14:textId="77777777" w:rsidR="000C5E53" w:rsidRPr="00C86382" w:rsidRDefault="000C5E53" w:rsidP="000C5E53">
      <w:pPr>
        <w:jc w:val="both"/>
        <w:rPr>
          <w:rFonts w:ascii="Times New Roman" w:hAnsi="Times New Roman" w:cs="Times New Roman"/>
          <w:sz w:val="22"/>
          <w:szCs w:val="22"/>
        </w:rPr>
      </w:pPr>
    </w:p>
    <w:p w14:paraId="4B2181C0" w14:textId="77777777" w:rsidR="000C5E53" w:rsidRPr="00C86382" w:rsidRDefault="000C5E53" w:rsidP="000C5E53">
      <w:pPr>
        <w:jc w:val="both"/>
        <w:rPr>
          <w:rFonts w:ascii="Times New Roman" w:hAnsi="Times New Roman" w:cs="Times New Roman"/>
          <w:sz w:val="22"/>
          <w:szCs w:val="22"/>
        </w:rPr>
      </w:pPr>
      <w:r w:rsidRPr="00C86382">
        <w:rPr>
          <w:rFonts w:ascii="Times New Roman" w:hAnsi="Times New Roman" w:cs="Times New Roman"/>
          <w:sz w:val="22"/>
          <w:szCs w:val="22"/>
        </w:rPr>
        <w:t>Ces requêtes sont généralement présentées lorsque le requérant croit qu’il ne peut avoir un procès juste et équitable parce que la publicité ayant entouré l’infraction fait qu’il est impossible de constituer un jury qui ne serait pas au courant des éléments de preuve ou de défense ou que le crime a eu un impact médiatique important dans la région.</w:t>
      </w:r>
    </w:p>
    <w:p w14:paraId="5F7B7864" w14:textId="77777777" w:rsidR="000C5E53" w:rsidRPr="00C86382" w:rsidRDefault="000C5E53" w:rsidP="000C5E53">
      <w:pPr>
        <w:jc w:val="both"/>
        <w:rPr>
          <w:rFonts w:ascii="Times New Roman" w:hAnsi="Times New Roman" w:cs="Times New Roman"/>
          <w:sz w:val="22"/>
          <w:szCs w:val="22"/>
        </w:rPr>
      </w:pPr>
    </w:p>
    <w:p w14:paraId="1EC685C6" w14:textId="77777777" w:rsidR="000C5E53" w:rsidRPr="000C5E53" w:rsidRDefault="000C5E53" w:rsidP="000C5E53">
      <w:pPr>
        <w:pStyle w:val="Paragraphedeliste"/>
        <w:numPr>
          <w:ilvl w:val="0"/>
          <w:numId w:val="143"/>
        </w:numPr>
        <w:jc w:val="both"/>
        <w:rPr>
          <w:rFonts w:ascii="Times New Roman" w:hAnsi="Times New Roman" w:cs="Times New Roman"/>
          <w:b/>
          <w:sz w:val="22"/>
          <w:szCs w:val="22"/>
        </w:rPr>
      </w:pPr>
      <w:r w:rsidRPr="000C5E53">
        <w:rPr>
          <w:rFonts w:ascii="Times New Roman" w:hAnsi="Times New Roman" w:cs="Times New Roman"/>
          <w:sz w:val="22"/>
          <w:szCs w:val="22"/>
        </w:rPr>
        <w:t xml:space="preserve">Pour obtenir le changement du lieu du procès, </w:t>
      </w:r>
      <w:r w:rsidRPr="000C5E53">
        <w:rPr>
          <w:rFonts w:ascii="Times New Roman" w:hAnsi="Times New Roman" w:cs="Times New Roman"/>
          <w:b/>
          <w:sz w:val="22"/>
          <w:szCs w:val="22"/>
        </w:rPr>
        <w:t>le requérant doit démontrer que la chose est nécessaire aux fins de la justice, c’est-à-dire qu’il ne peut pas avoir un procès équitable et impartial à l’endroit fixé pour son procès.</w:t>
      </w:r>
    </w:p>
    <w:p w14:paraId="4106B08E" w14:textId="77777777" w:rsidR="000C5E53" w:rsidRPr="00C86382" w:rsidRDefault="000C5E53" w:rsidP="000C5E53">
      <w:pPr>
        <w:jc w:val="both"/>
        <w:rPr>
          <w:rFonts w:ascii="Times New Roman" w:hAnsi="Times New Roman" w:cs="Times New Roman"/>
          <w:sz w:val="22"/>
          <w:szCs w:val="22"/>
        </w:rPr>
      </w:pPr>
    </w:p>
    <w:p w14:paraId="38B01732" w14:textId="77777777" w:rsidR="000C5E53" w:rsidRPr="000C5E53" w:rsidRDefault="000C5E53" w:rsidP="000C5E53">
      <w:pPr>
        <w:pStyle w:val="Paragraphedeliste"/>
        <w:numPr>
          <w:ilvl w:val="0"/>
          <w:numId w:val="143"/>
        </w:numPr>
        <w:jc w:val="both"/>
        <w:rPr>
          <w:rFonts w:ascii="Times New Roman" w:hAnsi="Times New Roman" w:cs="Times New Roman"/>
          <w:sz w:val="22"/>
          <w:szCs w:val="22"/>
        </w:rPr>
      </w:pPr>
      <w:r w:rsidRPr="000C5E53">
        <w:rPr>
          <w:rFonts w:ascii="Times New Roman" w:hAnsi="Times New Roman" w:cs="Times New Roman"/>
          <w:sz w:val="22"/>
          <w:szCs w:val="22"/>
        </w:rPr>
        <w:t>Il n’est pas suffisant de démontrer qu’il subirait un préjudice du seul fait de la nature de l’infraction ou du seul fait que l’infraction ou l’acte criminel a été hautement publicisé.</w:t>
      </w:r>
    </w:p>
    <w:p w14:paraId="5676AA4F" w14:textId="77777777" w:rsidR="000C5E53" w:rsidRPr="00C86382" w:rsidRDefault="000C5E53" w:rsidP="000C5E53">
      <w:pPr>
        <w:jc w:val="both"/>
        <w:rPr>
          <w:rFonts w:ascii="Times New Roman" w:hAnsi="Times New Roman" w:cs="Times New Roman"/>
          <w:sz w:val="22"/>
          <w:szCs w:val="22"/>
        </w:rPr>
      </w:pPr>
    </w:p>
    <w:p w14:paraId="21708E0A" w14:textId="77777777" w:rsidR="000C5E53" w:rsidRPr="00C86382" w:rsidRDefault="000C5E53" w:rsidP="000C5E53">
      <w:pPr>
        <w:jc w:val="both"/>
        <w:rPr>
          <w:rFonts w:ascii="Times New Roman" w:hAnsi="Times New Roman" w:cs="Times New Roman"/>
          <w:sz w:val="22"/>
          <w:szCs w:val="22"/>
        </w:rPr>
      </w:pPr>
      <w:r w:rsidRPr="000C5E53">
        <w:rPr>
          <w:rFonts w:ascii="Times New Roman" w:hAnsi="Times New Roman" w:cs="Times New Roman"/>
          <w:b/>
          <w:sz w:val="22"/>
          <w:szCs w:val="22"/>
        </w:rPr>
        <w:t>Le juge dispose d’un pouvoir discrétionnaire pour faire droit à la requête</w:t>
      </w:r>
      <w:r w:rsidRPr="00C86382">
        <w:rPr>
          <w:rFonts w:ascii="Times New Roman" w:hAnsi="Times New Roman" w:cs="Times New Roman"/>
          <w:sz w:val="22"/>
          <w:szCs w:val="22"/>
        </w:rPr>
        <w:t>. Lorsque la cour fait droit à la requête, le fonctionnaire ayant la garde de l’acte d’accusation, s’il en est, et des écrits et pièces se rapportant à la poursuite, les transmet immédiatement au greffier de la cour devant laquelle l’ordonnance prescrit que le procès aura lieu (</w:t>
      </w:r>
      <w:r w:rsidRPr="000C5E53">
        <w:rPr>
          <w:rFonts w:ascii="Times New Roman" w:hAnsi="Times New Roman" w:cs="Times New Roman"/>
          <w:b/>
          <w:sz w:val="22"/>
          <w:szCs w:val="22"/>
        </w:rPr>
        <w:t>art. 599 (4) C.cr.).</w:t>
      </w:r>
    </w:p>
    <w:p w14:paraId="7605DA57" w14:textId="77777777" w:rsidR="000C5E53" w:rsidRPr="00C86382" w:rsidRDefault="000C5E53" w:rsidP="000C5E53">
      <w:pPr>
        <w:jc w:val="both"/>
        <w:rPr>
          <w:rFonts w:ascii="Times New Roman" w:hAnsi="Times New Roman" w:cs="Times New Roman"/>
          <w:sz w:val="22"/>
          <w:szCs w:val="22"/>
        </w:rPr>
      </w:pPr>
    </w:p>
    <w:p w14:paraId="17E3F767" w14:textId="59962B19" w:rsidR="000C5E53" w:rsidRDefault="000C5E53" w:rsidP="000C5E53">
      <w:pPr>
        <w:pStyle w:val="Paragraphedeliste"/>
        <w:numPr>
          <w:ilvl w:val="0"/>
          <w:numId w:val="144"/>
        </w:numPr>
        <w:jc w:val="both"/>
        <w:rPr>
          <w:rFonts w:ascii="Times New Roman" w:hAnsi="Times New Roman" w:cs="Times New Roman"/>
          <w:sz w:val="22"/>
          <w:szCs w:val="22"/>
        </w:rPr>
      </w:pPr>
      <w:r w:rsidRPr="000C5E53">
        <w:rPr>
          <w:rFonts w:ascii="Times New Roman" w:hAnsi="Times New Roman" w:cs="Times New Roman"/>
          <w:sz w:val="22"/>
          <w:szCs w:val="22"/>
        </w:rPr>
        <w:t>Toutes les procédures dans la cause sont intentées ou si elles sont déjà commencées, sont continuées, devant ce tribunal.</w:t>
      </w:r>
    </w:p>
    <w:p w14:paraId="34175ED1" w14:textId="77777777" w:rsidR="000C5E53" w:rsidRDefault="000C5E53" w:rsidP="000C5E53">
      <w:pPr>
        <w:jc w:val="both"/>
        <w:rPr>
          <w:rFonts w:ascii="Times New Roman" w:hAnsi="Times New Roman" w:cs="Times New Roman"/>
          <w:sz w:val="22"/>
          <w:szCs w:val="22"/>
        </w:rPr>
      </w:pPr>
    </w:p>
    <w:p w14:paraId="3EEFA93F" w14:textId="38B9C83A" w:rsidR="000C5E53" w:rsidRDefault="000C5E53" w:rsidP="000C5E53">
      <w:pPr>
        <w:jc w:val="both"/>
        <w:rPr>
          <w:rFonts w:ascii="Times New Roman" w:hAnsi="Times New Roman" w:cs="Times New Roman"/>
          <w:b/>
          <w:sz w:val="22"/>
          <w:szCs w:val="22"/>
        </w:rPr>
      </w:pPr>
      <w:r>
        <w:rPr>
          <w:rFonts w:ascii="Times New Roman" w:hAnsi="Times New Roman" w:cs="Times New Roman"/>
          <w:sz w:val="22"/>
          <w:szCs w:val="22"/>
        </w:rPr>
        <w:t xml:space="preserve">Dans la même veine d’idées, voir les articles </w:t>
      </w:r>
      <w:r>
        <w:rPr>
          <w:rFonts w:ascii="Times New Roman" w:hAnsi="Times New Roman" w:cs="Times New Roman"/>
          <w:b/>
          <w:sz w:val="22"/>
          <w:szCs w:val="22"/>
        </w:rPr>
        <w:t xml:space="preserve">176-177 C.p.p. </w:t>
      </w:r>
      <w:r>
        <w:rPr>
          <w:rFonts w:ascii="Times New Roman" w:hAnsi="Times New Roman" w:cs="Times New Roman"/>
          <w:sz w:val="22"/>
          <w:szCs w:val="22"/>
        </w:rPr>
        <w:t xml:space="preserve">ainsi que l’article </w:t>
      </w:r>
      <w:r>
        <w:rPr>
          <w:rFonts w:ascii="Times New Roman" w:hAnsi="Times New Roman" w:cs="Times New Roman"/>
          <w:b/>
          <w:sz w:val="22"/>
          <w:szCs w:val="22"/>
        </w:rPr>
        <w:t>531 C.cr.</w:t>
      </w:r>
    </w:p>
    <w:p w14:paraId="4A4337B4" w14:textId="6AAF53BF" w:rsidR="000C5E53" w:rsidRDefault="000C5E53" w:rsidP="000C5E53">
      <w:pPr>
        <w:pStyle w:val="Paragraphedeliste"/>
        <w:numPr>
          <w:ilvl w:val="0"/>
          <w:numId w:val="144"/>
        </w:numPr>
        <w:jc w:val="both"/>
        <w:rPr>
          <w:rFonts w:ascii="Times New Roman" w:hAnsi="Times New Roman" w:cs="Times New Roman"/>
          <w:b/>
          <w:sz w:val="22"/>
          <w:szCs w:val="22"/>
        </w:rPr>
      </w:pPr>
      <w:r>
        <w:rPr>
          <w:rFonts w:ascii="Times New Roman" w:hAnsi="Times New Roman" w:cs="Times New Roman"/>
          <w:sz w:val="22"/>
          <w:szCs w:val="22"/>
        </w:rPr>
        <w:t xml:space="preserve">Il y a aussi le cas de la </w:t>
      </w:r>
      <w:r w:rsidRPr="000C5E53">
        <w:rPr>
          <w:rFonts w:ascii="Times New Roman" w:hAnsi="Times New Roman" w:cs="Times New Roman"/>
          <w:b/>
          <w:sz w:val="22"/>
          <w:szCs w:val="22"/>
        </w:rPr>
        <w:t>langue de l’accusé</w:t>
      </w:r>
      <w:r>
        <w:rPr>
          <w:rFonts w:ascii="Times New Roman" w:hAnsi="Times New Roman" w:cs="Times New Roman"/>
          <w:sz w:val="22"/>
          <w:szCs w:val="22"/>
        </w:rPr>
        <w:t xml:space="preserve">. À cet effet, voir l’article </w:t>
      </w:r>
      <w:r>
        <w:rPr>
          <w:rFonts w:ascii="Times New Roman" w:hAnsi="Times New Roman" w:cs="Times New Roman"/>
          <w:b/>
          <w:sz w:val="22"/>
          <w:szCs w:val="22"/>
        </w:rPr>
        <w:t>530 C.cr.</w:t>
      </w:r>
    </w:p>
    <w:p w14:paraId="632CC29E" w14:textId="77777777" w:rsidR="000C5E53" w:rsidRDefault="000C5E53" w:rsidP="000C5E53">
      <w:pPr>
        <w:jc w:val="both"/>
        <w:rPr>
          <w:rFonts w:ascii="Times New Roman" w:hAnsi="Times New Roman" w:cs="Times New Roman"/>
          <w:b/>
          <w:sz w:val="22"/>
          <w:szCs w:val="22"/>
        </w:rPr>
      </w:pPr>
    </w:p>
    <w:p w14:paraId="41B454CF" w14:textId="77777777" w:rsidR="000C5E53" w:rsidRPr="000C5E53" w:rsidRDefault="000C5E53" w:rsidP="000C5E53">
      <w:pPr>
        <w:jc w:val="both"/>
        <w:rPr>
          <w:rFonts w:ascii="Times New Roman" w:hAnsi="Times New Roman" w:cs="Times New Roman"/>
          <w:b/>
          <w:sz w:val="22"/>
          <w:szCs w:val="22"/>
        </w:rPr>
      </w:pPr>
    </w:p>
    <w:p w14:paraId="6D5029D1" w14:textId="3E265ADF"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Section II. Les limites temporelles</w:t>
      </w:r>
      <w:r w:rsidR="000C5E53">
        <w:rPr>
          <w:rFonts w:ascii="Times New Roman" w:hAnsi="Times New Roman" w:cs="Times New Roman"/>
          <w:b/>
          <w:bCs/>
          <w:color w:val="3E3E3E"/>
          <w:sz w:val="22"/>
          <w:szCs w:val="22"/>
        </w:rPr>
        <w:t xml:space="preserve"> (p.17)</w:t>
      </w:r>
    </w:p>
    <w:p w14:paraId="252B5A27" w14:textId="1B919BA5"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§1. La prescription</w:t>
      </w:r>
    </w:p>
    <w:p w14:paraId="3C0CD4B2" w14:textId="1BB963A3" w:rsidR="000C5E53" w:rsidRDefault="000C5E53" w:rsidP="002D6010">
      <w:pPr>
        <w:widowControl w:val="0"/>
        <w:autoSpaceDE w:val="0"/>
        <w:autoSpaceDN w:val="0"/>
        <w:adjustRightInd w:val="0"/>
        <w:spacing w:after="300"/>
        <w:jc w:val="both"/>
        <w:rPr>
          <w:rFonts w:ascii="Times New Roman" w:hAnsi="Times New Roman" w:cs="Times New Roman"/>
          <w:bCs/>
          <w:color w:val="3E3E3E"/>
          <w:sz w:val="22"/>
          <w:szCs w:val="22"/>
        </w:rPr>
      </w:pPr>
      <w:r>
        <w:rPr>
          <w:rFonts w:ascii="Times New Roman" w:hAnsi="Times New Roman" w:cs="Times New Roman"/>
          <w:bCs/>
          <w:color w:val="3E3E3E"/>
          <w:sz w:val="22"/>
          <w:szCs w:val="22"/>
        </w:rPr>
        <w:t xml:space="preserve">Dans le cas des infractions sommaires, la Couronne à un délai de 6 mois selon l’article </w:t>
      </w:r>
      <w:r>
        <w:rPr>
          <w:rFonts w:ascii="Times New Roman" w:hAnsi="Times New Roman" w:cs="Times New Roman"/>
          <w:b/>
          <w:bCs/>
          <w:color w:val="3E3E3E"/>
          <w:sz w:val="22"/>
          <w:szCs w:val="22"/>
        </w:rPr>
        <w:t xml:space="preserve">786(2) C.cr., </w:t>
      </w:r>
      <w:r>
        <w:rPr>
          <w:rFonts w:ascii="Times New Roman" w:hAnsi="Times New Roman" w:cs="Times New Roman"/>
          <w:bCs/>
          <w:color w:val="3E3E3E"/>
          <w:sz w:val="22"/>
          <w:szCs w:val="22"/>
        </w:rPr>
        <w:t xml:space="preserve">sauf exception d’une </w:t>
      </w:r>
      <w:r>
        <w:rPr>
          <w:rFonts w:ascii="Times New Roman" w:hAnsi="Times New Roman" w:cs="Times New Roman"/>
          <w:b/>
          <w:bCs/>
          <w:color w:val="3E3E3E"/>
          <w:sz w:val="22"/>
          <w:szCs w:val="22"/>
        </w:rPr>
        <w:t>entente</w:t>
      </w:r>
      <w:r>
        <w:rPr>
          <w:rFonts w:ascii="Times New Roman" w:hAnsi="Times New Roman" w:cs="Times New Roman"/>
          <w:bCs/>
          <w:color w:val="3E3E3E"/>
          <w:sz w:val="22"/>
          <w:szCs w:val="22"/>
        </w:rPr>
        <w:t xml:space="preserve"> possible entre les</w:t>
      </w:r>
      <w:r>
        <w:rPr>
          <w:rFonts w:ascii="Times New Roman" w:hAnsi="Times New Roman" w:cs="Times New Roman"/>
          <w:b/>
          <w:bCs/>
          <w:color w:val="3E3E3E"/>
          <w:sz w:val="22"/>
          <w:szCs w:val="22"/>
        </w:rPr>
        <w:t xml:space="preserve"> parties</w:t>
      </w:r>
      <w:r>
        <w:rPr>
          <w:rFonts w:ascii="Times New Roman" w:hAnsi="Times New Roman" w:cs="Times New Roman"/>
          <w:bCs/>
          <w:color w:val="3E3E3E"/>
          <w:sz w:val="22"/>
          <w:szCs w:val="22"/>
        </w:rPr>
        <w:t>.</w:t>
      </w:r>
    </w:p>
    <w:p w14:paraId="6AECD2B3" w14:textId="66D138DD" w:rsidR="000C5E53" w:rsidRPr="000C5E53" w:rsidRDefault="000C5E53" w:rsidP="000C5E53">
      <w:pPr>
        <w:pStyle w:val="Paragraphedeliste"/>
        <w:numPr>
          <w:ilvl w:val="0"/>
          <w:numId w:val="144"/>
        </w:numPr>
        <w:jc w:val="both"/>
        <w:rPr>
          <w:rFonts w:ascii="Times New Roman" w:hAnsi="Times New Roman" w:cs="Times New Roman"/>
          <w:sz w:val="22"/>
          <w:szCs w:val="22"/>
        </w:rPr>
      </w:pPr>
      <w:r w:rsidRPr="000C5E53">
        <w:rPr>
          <w:rFonts w:ascii="Times New Roman" w:hAnsi="Times New Roman" w:cs="Times New Roman"/>
          <w:sz w:val="22"/>
          <w:szCs w:val="22"/>
        </w:rPr>
        <w:t>Les infractions sommaires sont peu nombreuses par rapport aux infractions hybrides et en plus elles sont vraiment mineures</w:t>
      </w:r>
      <w:r w:rsidRPr="00B44628">
        <w:rPr>
          <w:rFonts w:ascii="Times New Roman" w:hAnsi="Times New Roman" w:cs="Times New Roman"/>
          <w:b/>
          <w:sz w:val="22"/>
          <w:szCs w:val="22"/>
        </w:rPr>
        <w:t xml:space="preserve">. L’intérêt de cette article réside </w:t>
      </w:r>
      <w:r w:rsidR="00B44628" w:rsidRPr="00B44628">
        <w:rPr>
          <w:rFonts w:ascii="Times New Roman" w:hAnsi="Times New Roman" w:cs="Times New Roman"/>
          <w:b/>
          <w:sz w:val="22"/>
          <w:szCs w:val="22"/>
        </w:rPr>
        <w:t>dans</w:t>
      </w:r>
      <w:r w:rsidRPr="00B44628">
        <w:rPr>
          <w:rFonts w:ascii="Times New Roman" w:hAnsi="Times New Roman" w:cs="Times New Roman"/>
          <w:b/>
          <w:sz w:val="22"/>
          <w:szCs w:val="22"/>
        </w:rPr>
        <w:t xml:space="preserve"> le faite est qu’il empêche la Couronne de procéder par procédure sommaire pour les infractions hybrides une fois le délai de 6 mois passé</w:t>
      </w:r>
      <w:r w:rsidRPr="000C5E53">
        <w:rPr>
          <w:rFonts w:ascii="Times New Roman" w:hAnsi="Times New Roman" w:cs="Times New Roman"/>
          <w:sz w:val="22"/>
          <w:szCs w:val="22"/>
        </w:rPr>
        <w:t>.</w:t>
      </w:r>
    </w:p>
    <w:p w14:paraId="1A5C0E19" w14:textId="77777777" w:rsidR="000C5E53" w:rsidRPr="00C86382" w:rsidRDefault="000C5E53" w:rsidP="000C5E53">
      <w:pPr>
        <w:jc w:val="both"/>
        <w:rPr>
          <w:rFonts w:ascii="Times New Roman" w:hAnsi="Times New Roman" w:cs="Times New Roman"/>
          <w:sz w:val="22"/>
          <w:szCs w:val="22"/>
        </w:rPr>
      </w:pPr>
    </w:p>
    <w:p w14:paraId="58958C4E" w14:textId="77777777" w:rsidR="000C5E53" w:rsidRPr="00C86382" w:rsidRDefault="000C5E53" w:rsidP="000C5E53">
      <w:pPr>
        <w:jc w:val="both"/>
        <w:rPr>
          <w:rFonts w:ascii="Times New Roman" w:hAnsi="Times New Roman" w:cs="Times New Roman"/>
          <w:sz w:val="22"/>
          <w:szCs w:val="22"/>
        </w:rPr>
      </w:pPr>
      <w:r w:rsidRPr="00B44628">
        <w:rPr>
          <w:rFonts w:ascii="Times New Roman" w:hAnsi="Times New Roman" w:cs="Times New Roman"/>
          <w:b/>
          <w:sz w:val="22"/>
          <w:szCs w:val="22"/>
        </w:rPr>
        <w:t>Pour une infraction sommaire, il est rare que le prévenu consente au procès après l’expiration du délai de 6 mois. Pour, une infraction hybride, il est parfois plus intéressant de passer par la procédure sommaire</w:t>
      </w:r>
      <w:r w:rsidRPr="00C86382">
        <w:rPr>
          <w:rFonts w:ascii="Times New Roman" w:hAnsi="Times New Roman" w:cs="Times New Roman"/>
          <w:sz w:val="22"/>
          <w:szCs w:val="22"/>
        </w:rPr>
        <w:t>.</w:t>
      </w:r>
    </w:p>
    <w:p w14:paraId="7C346127" w14:textId="77777777" w:rsidR="000C5E53" w:rsidRPr="00C86382" w:rsidRDefault="000C5E53" w:rsidP="000C5E53">
      <w:pPr>
        <w:jc w:val="both"/>
        <w:rPr>
          <w:rFonts w:ascii="Times New Roman" w:hAnsi="Times New Roman" w:cs="Times New Roman"/>
          <w:sz w:val="22"/>
          <w:szCs w:val="22"/>
        </w:rPr>
      </w:pPr>
    </w:p>
    <w:p w14:paraId="008006B0" w14:textId="77777777" w:rsidR="000C5E53" w:rsidRDefault="000C5E53" w:rsidP="00B44628">
      <w:pPr>
        <w:pStyle w:val="Paragraphedeliste"/>
        <w:numPr>
          <w:ilvl w:val="0"/>
          <w:numId w:val="144"/>
        </w:numPr>
        <w:jc w:val="both"/>
        <w:rPr>
          <w:rFonts w:ascii="Times New Roman" w:hAnsi="Times New Roman" w:cs="Times New Roman"/>
          <w:sz w:val="22"/>
          <w:szCs w:val="22"/>
        </w:rPr>
      </w:pPr>
      <w:r w:rsidRPr="00B44628">
        <w:rPr>
          <w:rFonts w:ascii="Times New Roman" w:hAnsi="Times New Roman" w:cs="Times New Roman"/>
          <w:sz w:val="22"/>
          <w:szCs w:val="22"/>
        </w:rPr>
        <w:t>En effet, la Couronne évitera une enquête préliminaire, une procédure longue et l’éventualité d’un procès par jury. Le prévenu évitera le risque d’une sentence trop sévère, mais aussi une procédure trop couteuse.</w:t>
      </w:r>
    </w:p>
    <w:p w14:paraId="6660680B" w14:textId="4F5ED7A8" w:rsidR="00B44628" w:rsidRDefault="00B44628" w:rsidP="00B44628">
      <w:pPr>
        <w:jc w:val="both"/>
        <w:rPr>
          <w:rFonts w:ascii="Times New Roman" w:hAnsi="Times New Roman" w:cs="Times New Roman"/>
          <w:sz w:val="22"/>
          <w:szCs w:val="22"/>
        </w:rPr>
      </w:pPr>
    </w:p>
    <w:p w14:paraId="04841B95" w14:textId="00C65BBD" w:rsidR="00B44628" w:rsidRDefault="00B44628" w:rsidP="00B44628">
      <w:pPr>
        <w:jc w:val="both"/>
        <w:rPr>
          <w:rFonts w:ascii="Times New Roman" w:hAnsi="Times New Roman" w:cs="Times New Roman"/>
          <w:b/>
          <w:sz w:val="22"/>
          <w:szCs w:val="22"/>
        </w:rPr>
      </w:pPr>
      <w:r>
        <w:rPr>
          <w:rFonts w:ascii="Times New Roman" w:hAnsi="Times New Roman" w:cs="Times New Roman"/>
          <w:sz w:val="22"/>
          <w:szCs w:val="22"/>
        </w:rPr>
        <w:t xml:space="preserve">L’on doit se rappeler que si en cas d’infraction hybride, la Couronne se voit opposé le délai de prescription de 6 mois, elle pourra toujours procéder par voie d’accusation. Il faut quand même faire attention au cas de </w:t>
      </w:r>
      <w:r>
        <w:rPr>
          <w:rFonts w:ascii="Times New Roman" w:hAnsi="Times New Roman" w:cs="Times New Roman"/>
          <w:b/>
          <w:sz w:val="22"/>
          <w:szCs w:val="22"/>
        </w:rPr>
        <w:t>Dudley 2009 (p.18) :</w:t>
      </w:r>
    </w:p>
    <w:p w14:paraId="54BA1429" w14:textId="3C06DC0C" w:rsidR="00B44628" w:rsidRPr="00B44628" w:rsidRDefault="00B44628" w:rsidP="00B44628">
      <w:pPr>
        <w:pStyle w:val="Paragraphedeliste"/>
        <w:numPr>
          <w:ilvl w:val="0"/>
          <w:numId w:val="144"/>
        </w:numPr>
        <w:jc w:val="both"/>
        <w:rPr>
          <w:rFonts w:ascii="Times New Roman" w:hAnsi="Times New Roman" w:cs="Times New Roman"/>
          <w:sz w:val="22"/>
          <w:szCs w:val="22"/>
        </w:rPr>
      </w:pPr>
      <w:r w:rsidRPr="003603B2">
        <w:rPr>
          <w:rFonts w:ascii="Times New Roman" w:hAnsi="Times New Roman" w:cs="Times New Roman"/>
          <w:sz w:val="20"/>
          <w:szCs w:val="20"/>
        </w:rPr>
        <w:t xml:space="preserve">La seule différence pertinente me semble être la suivante.  En l’absence de consentement, l’expiration du délai de prescription interdit de façon absolue le dépôt d’une poursuite à l’égard d’une infraction qui ne peut être poursuivie que par procédure sommaire.  Une infraction mixte qui ne peut plus être poursuivie par procédure sommaire sans le consentement du défendeur peut néanmoins, sauf s’il y a abus de procédure, être poursuivie par mise en accusation, que le ministère public ait ou non choisi à l’origine la procédure sommaire — </w:t>
      </w:r>
      <w:r w:rsidRPr="003603B2">
        <w:rPr>
          <w:rFonts w:ascii="Times New Roman" w:hAnsi="Times New Roman" w:cs="Times New Roman"/>
          <w:b/>
          <w:sz w:val="20"/>
          <w:szCs w:val="20"/>
        </w:rPr>
        <w:t>à moins, naturellement, que l’accusé ait été acquitté par un tribunal des poursuites sommaires à la suite du choix initial fait par le ministère public</w:t>
      </w:r>
      <w:r w:rsidRPr="003603B2">
        <w:rPr>
          <w:rFonts w:ascii="Times New Roman" w:hAnsi="Times New Roman" w:cs="Times New Roman"/>
          <w:sz w:val="20"/>
          <w:szCs w:val="20"/>
        </w:rPr>
        <w:t>.</w:t>
      </w:r>
      <w:r>
        <w:rPr>
          <w:rFonts w:ascii="Times New Roman" w:hAnsi="Times New Roman" w:cs="Times New Roman"/>
          <w:sz w:val="20"/>
          <w:szCs w:val="20"/>
        </w:rPr>
        <w:t xml:space="preserve"> [31]</w:t>
      </w:r>
    </w:p>
    <w:p w14:paraId="124D56C7" w14:textId="1151D909" w:rsidR="00B44628" w:rsidRPr="00B44628" w:rsidRDefault="00B44628" w:rsidP="00B44628">
      <w:pPr>
        <w:pStyle w:val="Paragraphedeliste"/>
        <w:numPr>
          <w:ilvl w:val="0"/>
          <w:numId w:val="144"/>
        </w:numPr>
        <w:jc w:val="both"/>
        <w:rPr>
          <w:rFonts w:ascii="Times New Roman" w:hAnsi="Times New Roman" w:cs="Times New Roman"/>
          <w:sz w:val="22"/>
          <w:szCs w:val="22"/>
        </w:rPr>
      </w:pPr>
      <w:r w:rsidRPr="003603B2">
        <w:rPr>
          <w:rFonts w:ascii="Times New Roman" w:hAnsi="Times New Roman" w:cs="Times New Roman"/>
          <w:sz w:val="20"/>
          <w:szCs w:val="20"/>
        </w:rPr>
        <w:t xml:space="preserve">Comme la Cour d’appel, j’estime qu’il n’est pas injuste envers l’accusé de permettre au ministère public de recourir à la mise en accusation, </w:t>
      </w:r>
      <w:r w:rsidRPr="003603B2">
        <w:rPr>
          <w:rFonts w:ascii="Times New Roman" w:hAnsi="Times New Roman" w:cs="Times New Roman"/>
          <w:b/>
          <w:sz w:val="20"/>
          <w:szCs w:val="20"/>
        </w:rPr>
        <w:t>à moins que [TRADUCTION] « la preuve révèle un abus de procédure découlant du caractère illégitime des motifs du ministère public ou que soit causé à l’accusé un préjudice suffisant pour porter atteinte au sens du franc</w:t>
      </w:r>
      <w:r w:rsidRPr="003603B2">
        <w:rPr>
          <w:rFonts w:ascii="Palatino" w:hAnsi="Palatino" w:cs="Palatino"/>
          <w:b/>
          <w:sz w:val="20"/>
          <w:szCs w:val="20"/>
        </w:rPr>
        <w:t>‑</w:t>
      </w:r>
      <w:r w:rsidRPr="003603B2">
        <w:rPr>
          <w:rFonts w:ascii="Times New Roman" w:hAnsi="Times New Roman" w:cs="Times New Roman"/>
          <w:b/>
          <w:sz w:val="20"/>
          <w:szCs w:val="20"/>
        </w:rPr>
        <w:t>jeu et de la décence qu’a la société »</w:t>
      </w:r>
      <w:r>
        <w:rPr>
          <w:rFonts w:ascii="Times New Roman" w:hAnsi="Times New Roman" w:cs="Times New Roman"/>
          <w:b/>
          <w:sz w:val="20"/>
          <w:szCs w:val="20"/>
        </w:rPr>
        <w:t xml:space="preserve"> [44].</w:t>
      </w:r>
    </w:p>
    <w:p w14:paraId="66306DAF" w14:textId="77777777" w:rsidR="000C5E53" w:rsidRPr="000C5E53" w:rsidRDefault="000C5E53" w:rsidP="002D6010">
      <w:pPr>
        <w:widowControl w:val="0"/>
        <w:autoSpaceDE w:val="0"/>
        <w:autoSpaceDN w:val="0"/>
        <w:adjustRightInd w:val="0"/>
        <w:spacing w:after="300"/>
        <w:jc w:val="both"/>
        <w:rPr>
          <w:rFonts w:ascii="Times New Roman" w:hAnsi="Times New Roman" w:cs="Times New Roman"/>
          <w:color w:val="3E3E3E"/>
          <w:sz w:val="22"/>
          <w:szCs w:val="22"/>
        </w:rPr>
      </w:pPr>
    </w:p>
    <w:p w14:paraId="0D6C1627" w14:textId="70BB229E" w:rsidR="002D6010" w:rsidRP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§2. L’article 11 b) de la Charte</w:t>
      </w:r>
      <w:r w:rsidRPr="002D6010">
        <w:rPr>
          <w:rFonts w:ascii="Times New Roman" w:hAnsi="Times New Roman" w:cs="Times New Roman"/>
          <w:color w:val="3E3E3E"/>
          <w:sz w:val="22"/>
          <w:szCs w:val="22"/>
        </w:rPr>
        <w:t> </w:t>
      </w:r>
      <w:r w:rsidR="00B44628">
        <w:rPr>
          <w:rFonts w:ascii="Times New Roman" w:hAnsi="Times New Roman" w:cs="Times New Roman"/>
          <w:color w:val="3E3E3E"/>
          <w:sz w:val="22"/>
          <w:szCs w:val="22"/>
        </w:rPr>
        <w:t>(p.19)</w:t>
      </w:r>
    </w:p>
    <w:p w14:paraId="7237A9C2" w14:textId="4E4E24EE"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A. Les facteurs applicables</w:t>
      </w:r>
      <w:r w:rsidRPr="002D6010">
        <w:rPr>
          <w:rFonts w:ascii="Times New Roman" w:hAnsi="Times New Roman" w:cs="Times New Roman"/>
          <w:color w:val="3E3E3E"/>
          <w:sz w:val="22"/>
          <w:szCs w:val="22"/>
        </w:rPr>
        <w:t> </w:t>
      </w:r>
    </w:p>
    <w:p w14:paraId="418F70B4" w14:textId="0C4EC6F0" w:rsidR="00B44628" w:rsidRDefault="00B44628" w:rsidP="002D6010">
      <w:pPr>
        <w:widowControl w:val="0"/>
        <w:autoSpaceDE w:val="0"/>
        <w:autoSpaceDN w:val="0"/>
        <w:adjustRightInd w:val="0"/>
        <w:spacing w:after="300"/>
        <w:jc w:val="both"/>
        <w:rPr>
          <w:rFonts w:ascii="Times New Roman" w:hAnsi="Times New Roman" w:cs="Times New Roman"/>
          <w:sz w:val="22"/>
          <w:szCs w:val="22"/>
        </w:rPr>
      </w:pPr>
      <w:r w:rsidRPr="00C86382">
        <w:rPr>
          <w:rFonts w:ascii="Times New Roman" w:hAnsi="Times New Roman" w:cs="Times New Roman"/>
          <w:sz w:val="22"/>
          <w:szCs w:val="22"/>
        </w:rPr>
        <w:t>Dans deux arrêts, la CSC a identifié les facteurs qui doivent être pris en considération dans le cadre de l’art. 11 b) de la Charte</w:t>
      </w:r>
      <w:r>
        <w:rPr>
          <w:rFonts w:ascii="Times New Roman" w:hAnsi="Times New Roman" w:cs="Times New Roman"/>
          <w:sz w:val="22"/>
          <w:szCs w:val="22"/>
        </w:rPr>
        <w:t xml:space="preserve">. On parle des affaires </w:t>
      </w:r>
      <w:r>
        <w:rPr>
          <w:rFonts w:ascii="Times New Roman" w:hAnsi="Times New Roman" w:cs="Times New Roman"/>
          <w:b/>
          <w:sz w:val="22"/>
          <w:szCs w:val="22"/>
        </w:rPr>
        <w:t>Askov 1990 et Morin 1992</w:t>
      </w:r>
      <w:r>
        <w:rPr>
          <w:rFonts w:ascii="Times New Roman" w:hAnsi="Times New Roman" w:cs="Times New Roman"/>
          <w:sz w:val="22"/>
          <w:szCs w:val="22"/>
        </w:rPr>
        <w:t>.</w:t>
      </w:r>
    </w:p>
    <w:p w14:paraId="3F752665" w14:textId="51BA6686" w:rsidR="00B44628" w:rsidRDefault="00B44628" w:rsidP="002D6010">
      <w:pPr>
        <w:widowControl w:val="0"/>
        <w:autoSpaceDE w:val="0"/>
        <w:autoSpaceDN w:val="0"/>
        <w:adjustRightInd w:val="0"/>
        <w:spacing w:after="300"/>
        <w:jc w:val="both"/>
        <w:rPr>
          <w:rFonts w:ascii="Times New Roman" w:hAnsi="Times New Roman" w:cs="Times New Roman"/>
          <w:b/>
          <w:i/>
          <w:sz w:val="22"/>
          <w:szCs w:val="22"/>
        </w:rPr>
      </w:pPr>
      <w:r>
        <w:rPr>
          <w:rFonts w:ascii="Times New Roman" w:hAnsi="Times New Roman" w:cs="Times New Roman"/>
          <w:b/>
          <w:i/>
          <w:sz w:val="22"/>
          <w:szCs w:val="22"/>
        </w:rPr>
        <w:t>R. c. Morin [1992] (p.19) :</w:t>
      </w:r>
    </w:p>
    <w:p w14:paraId="76FBFE04" w14:textId="0A396E17" w:rsidR="00B44628" w:rsidRDefault="00B44628" w:rsidP="002D6010">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La position à l’égard du délai déraisonnable – les facteurs</w:t>
      </w:r>
    </w:p>
    <w:p w14:paraId="5C0CAFD9" w14:textId="656434E3"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 xml:space="preserve">La méthode générale pour déterminer s'il y a eu violation du droit ne consiste pas dans l'application d'une formule mathématique ou administrative mais plutôt dans une décision judiciaire qui soupèse les intérêts que l'alinéa est destiné à protéger et les facteurs qui, inévitablement, entraînent un délai ou sont autrement la cause du délai.  Comme je l'ai souligné dans l'arrêt </w:t>
      </w:r>
      <w:r w:rsidRPr="00B44628">
        <w:rPr>
          <w:rFonts w:ascii="Times New Roman" w:hAnsi="Times New Roman" w:cs="Times New Roman"/>
          <w:i/>
          <w:iCs/>
          <w:sz w:val="22"/>
          <w:szCs w:val="22"/>
        </w:rPr>
        <w:t>Smith</w:t>
      </w:r>
      <w:r w:rsidRPr="00B44628">
        <w:rPr>
          <w:rFonts w:ascii="Times New Roman" w:hAnsi="Times New Roman" w:cs="Times New Roman"/>
          <w:sz w:val="22"/>
          <w:szCs w:val="22"/>
        </w:rPr>
        <w:t>, précité, "[i]l est évident qu'un certain délai est inévitable.  La question est de savoir à quel point le délai devient déraisonnable." (À la p. 1131).  Bien que la Cour ait à l'occasion dit autre chose, il est maintenant admis que les facteurs à prendre en considération pour analyser la longueur d'un délai déraisonnable sont les suivants: </w:t>
      </w:r>
    </w:p>
    <w:p w14:paraId="6DC30A18"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1.la longueur du délai;</w:t>
      </w:r>
    </w:p>
    <w:p w14:paraId="6E673AFE"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2.la renonciation à invoquer certaines périodes dans le calcul;</w:t>
      </w:r>
    </w:p>
    <w:p w14:paraId="094F2148"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3.les raisons du délai, notamment</w:t>
      </w:r>
    </w:p>
    <w:p w14:paraId="3BBC7623"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a)les délais inhérents à la nature de l'affaire,</w:t>
      </w:r>
    </w:p>
    <w:p w14:paraId="480CF248"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b)les actes de l'accusé,</w:t>
      </w:r>
    </w:p>
    <w:p w14:paraId="33B79EA1"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c)les actes du ministère public,</w:t>
      </w:r>
    </w:p>
    <w:p w14:paraId="264D649A"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d)les limites des ressources institutionnelles,</w:t>
      </w:r>
    </w:p>
    <w:p w14:paraId="021920D2"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e)les autres raisons du délai;</w:t>
      </w:r>
    </w:p>
    <w:p w14:paraId="190CC699" w14:textId="77777777" w:rsidR="00B44628" w:rsidRPr="00B44628" w:rsidRDefault="00B44628" w:rsidP="00B44628">
      <w:pPr>
        <w:pStyle w:val="Paragraphedeliste"/>
        <w:numPr>
          <w:ilvl w:val="0"/>
          <w:numId w:val="145"/>
        </w:numPr>
        <w:jc w:val="both"/>
        <w:rPr>
          <w:rFonts w:ascii="Times New Roman" w:hAnsi="Times New Roman" w:cs="Times New Roman"/>
          <w:sz w:val="22"/>
          <w:szCs w:val="22"/>
        </w:rPr>
      </w:pPr>
      <w:r w:rsidRPr="00B44628">
        <w:rPr>
          <w:rFonts w:ascii="Times New Roman" w:hAnsi="Times New Roman" w:cs="Times New Roman"/>
          <w:sz w:val="22"/>
          <w:szCs w:val="22"/>
        </w:rPr>
        <w:t>4.le préjudice subi par l'accusé.</w:t>
      </w:r>
    </w:p>
    <w:p w14:paraId="426A7C90" w14:textId="77777777" w:rsidR="00B44628" w:rsidRDefault="00B44628" w:rsidP="00B44628">
      <w:pPr>
        <w:widowControl w:val="0"/>
        <w:autoSpaceDE w:val="0"/>
        <w:autoSpaceDN w:val="0"/>
        <w:adjustRightInd w:val="0"/>
        <w:spacing w:after="300"/>
        <w:jc w:val="both"/>
        <w:rPr>
          <w:rFonts w:ascii="Times New Roman" w:hAnsi="Times New Roman" w:cs="Times New Roman"/>
          <w:color w:val="3E3E3E"/>
          <w:sz w:val="22"/>
          <w:szCs w:val="22"/>
        </w:rPr>
      </w:pPr>
    </w:p>
    <w:p w14:paraId="463ED388" w14:textId="28DB51D9" w:rsidR="00B44628" w:rsidRDefault="00B44628" w:rsidP="00B44628">
      <w:pPr>
        <w:widowControl w:val="0"/>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 xml:space="preserve">Ces facteurs sont essentiellement les mêmes que ceux que notre Cour a analysé dans l’arrêt </w:t>
      </w:r>
      <w:r>
        <w:rPr>
          <w:rFonts w:ascii="Times New Roman" w:hAnsi="Times New Roman" w:cs="Times New Roman"/>
          <w:b/>
          <w:color w:val="3E3E3E"/>
          <w:sz w:val="22"/>
          <w:szCs w:val="22"/>
        </w:rPr>
        <w:t>Smith</w:t>
      </w:r>
      <w:r>
        <w:rPr>
          <w:rFonts w:ascii="Times New Roman" w:hAnsi="Times New Roman" w:cs="Times New Roman"/>
          <w:color w:val="3E3E3E"/>
          <w:sz w:val="22"/>
          <w:szCs w:val="22"/>
        </w:rPr>
        <w:t xml:space="preserve">, précité à la p. 1131, et dans l’arrêt </w:t>
      </w:r>
      <w:r>
        <w:rPr>
          <w:rFonts w:ascii="Times New Roman" w:hAnsi="Times New Roman" w:cs="Times New Roman"/>
          <w:b/>
          <w:color w:val="3E3E3E"/>
          <w:sz w:val="22"/>
          <w:szCs w:val="22"/>
        </w:rPr>
        <w:t xml:space="preserve">Askov, </w:t>
      </w:r>
      <w:r>
        <w:rPr>
          <w:rFonts w:ascii="Times New Roman" w:hAnsi="Times New Roman" w:cs="Times New Roman"/>
          <w:color w:val="3E3E3E"/>
          <w:sz w:val="22"/>
          <w:szCs w:val="22"/>
        </w:rPr>
        <w:t>précité, aux pp. 1231 et 1232 :</w:t>
      </w:r>
    </w:p>
    <w:p w14:paraId="1A15A099" w14:textId="77777777" w:rsidR="00B44628" w:rsidRPr="00B44628" w:rsidRDefault="00B44628" w:rsidP="00B44628">
      <w:pPr>
        <w:pStyle w:val="Paragraphedeliste"/>
        <w:numPr>
          <w:ilvl w:val="0"/>
          <w:numId w:val="146"/>
        </w:numPr>
        <w:jc w:val="both"/>
        <w:rPr>
          <w:rFonts w:ascii="Times New Roman" w:hAnsi="Times New Roman" w:cs="Times New Roman"/>
          <w:sz w:val="20"/>
          <w:szCs w:val="20"/>
        </w:rPr>
      </w:pPr>
      <w:r w:rsidRPr="00B44628">
        <w:rPr>
          <w:rFonts w:ascii="Times New Roman" w:hAnsi="Times New Roman" w:cs="Times New Roman"/>
          <w:sz w:val="20"/>
          <w:szCs w:val="20"/>
        </w:rPr>
        <w:t>Je conviens que le fardeau ultime de la preuve incombe à l'accusé.  Une affaire ne sera tranchée en fonction du fardeau de la preuve que si la cour ne peut parvenir à une décision à partir des faits qui lui sont présentés.  Bien que le fardeau ultime de la preuve puisse incomber à l'accusé, il peut y avoir déplacement du fardeau secondaire de présentation d'éléments de preuve ou d'arguments selon les circonstances de chaque cas.  Par exemple, un long délai qui résulte d'une demande d'ajournement du ministère public exigerait normalement une explication de sa part quant à la nécessité de l'ajournement.  En l'absence d'une telle explication, la cour pourrait déduire que le délai est injustifié.  Il conviendrait de dire qu'un fardeau secondaire de présentation incombe au ministère public dans ces circonstances.  Dans tous les cas, la cour devrait se rappeler qu'il est rarement nécessaire ou souhaitable de trancher la question en fonction du fardeau de la preuve et qu'il est préférable d'apprécier le caractère raisonnable du délai global écoulé en tenant compte des facteurs susmentionnés.</w:t>
      </w:r>
    </w:p>
    <w:p w14:paraId="00DFBEB6" w14:textId="77777777" w:rsidR="00B44628" w:rsidRPr="00B44628" w:rsidRDefault="00B44628" w:rsidP="00B44628">
      <w:pPr>
        <w:pStyle w:val="Paragraphedeliste"/>
        <w:widowControl w:val="0"/>
        <w:autoSpaceDE w:val="0"/>
        <w:autoSpaceDN w:val="0"/>
        <w:adjustRightInd w:val="0"/>
        <w:spacing w:after="300"/>
        <w:jc w:val="both"/>
        <w:rPr>
          <w:rFonts w:ascii="Times New Roman" w:hAnsi="Times New Roman" w:cs="Times New Roman"/>
          <w:color w:val="3E3E3E"/>
          <w:sz w:val="22"/>
          <w:szCs w:val="22"/>
        </w:rPr>
      </w:pPr>
    </w:p>
    <w:p w14:paraId="10866EB9" w14:textId="5B3DCD06"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1.    La longueur du délai</w:t>
      </w:r>
      <w:r w:rsidRPr="002D6010">
        <w:rPr>
          <w:rFonts w:ascii="Times New Roman" w:hAnsi="Times New Roman" w:cs="Times New Roman"/>
          <w:color w:val="3E3E3E"/>
          <w:sz w:val="22"/>
          <w:szCs w:val="22"/>
        </w:rPr>
        <w:t> </w:t>
      </w:r>
      <w:r w:rsidR="00B44628">
        <w:rPr>
          <w:rFonts w:ascii="Times New Roman" w:hAnsi="Times New Roman" w:cs="Times New Roman"/>
          <w:color w:val="3E3E3E"/>
          <w:sz w:val="22"/>
          <w:szCs w:val="22"/>
        </w:rPr>
        <w:t xml:space="preserve"> (p.20)</w:t>
      </w:r>
    </w:p>
    <w:p w14:paraId="6CEF4F6B" w14:textId="77777777" w:rsidR="00B44628" w:rsidRPr="00B44628" w:rsidRDefault="00B44628" w:rsidP="00B44628">
      <w:pPr>
        <w:pStyle w:val="Paragraphedeliste"/>
        <w:numPr>
          <w:ilvl w:val="0"/>
          <w:numId w:val="146"/>
        </w:numPr>
        <w:jc w:val="both"/>
        <w:rPr>
          <w:rFonts w:ascii="Times New Roman" w:hAnsi="Times New Roman" w:cs="Times New Roman"/>
          <w:sz w:val="20"/>
          <w:szCs w:val="20"/>
        </w:rPr>
      </w:pPr>
      <w:r w:rsidRPr="00B44628">
        <w:rPr>
          <w:rFonts w:ascii="Times New Roman" w:hAnsi="Times New Roman" w:cs="Times New Roman"/>
          <w:sz w:val="20"/>
          <w:szCs w:val="20"/>
        </w:rPr>
        <w:t xml:space="preserve">Comme je l'ai indiqué, ce facteur oblige la cour à examiner la période qui court de l'accusation jusqu'à la fin du procès.  L'accusation désigne la date à laquelle une dénonciation est déposée ou celle à laquelle un acte d'accusation est présenté (voir </w:t>
      </w:r>
      <w:r w:rsidRPr="00B44628">
        <w:rPr>
          <w:rFonts w:ascii="Times New Roman" w:hAnsi="Times New Roman" w:cs="Times New Roman"/>
          <w:i/>
          <w:iCs/>
          <w:sz w:val="20"/>
          <w:szCs w:val="20"/>
        </w:rPr>
        <w:t>Kalanj,</w:t>
      </w:r>
      <w:r w:rsidRPr="00B44628">
        <w:rPr>
          <w:rFonts w:ascii="Times New Roman" w:hAnsi="Times New Roman" w:cs="Times New Roman"/>
          <w:sz w:val="20"/>
          <w:szCs w:val="20"/>
        </w:rPr>
        <w:t xml:space="preserve"> précité, à la p. 1607).  Le délai antérieur à l'accusation peut, dans certaines circonstances, avoir une influence sur la décision globale de savoir si le délai postérieur à l'accusation est déraisonnable, mais il n'entre pas comme tel dans le calcul de la longueur du délai.</w:t>
      </w:r>
    </w:p>
    <w:p w14:paraId="33C6BFD2" w14:textId="77777777" w:rsidR="00B44628" w:rsidRPr="005D203B" w:rsidRDefault="00B44628" w:rsidP="00B44628">
      <w:pPr>
        <w:ind w:left="567"/>
        <w:jc w:val="both"/>
        <w:rPr>
          <w:rFonts w:ascii="Times New Roman" w:hAnsi="Times New Roman" w:cs="Times New Roman"/>
          <w:sz w:val="20"/>
          <w:szCs w:val="20"/>
        </w:rPr>
      </w:pPr>
      <w:r w:rsidRPr="005D203B">
        <w:rPr>
          <w:rFonts w:ascii="Times New Roman" w:hAnsi="Times New Roman" w:cs="Times New Roman"/>
          <w:sz w:val="20"/>
          <w:szCs w:val="20"/>
        </w:rPr>
        <w:t> </w:t>
      </w:r>
    </w:p>
    <w:p w14:paraId="6AB9B02E" w14:textId="77777777" w:rsidR="00B44628" w:rsidRPr="00B44628" w:rsidRDefault="00B44628" w:rsidP="00B44628">
      <w:pPr>
        <w:pStyle w:val="Paragraphedeliste"/>
        <w:numPr>
          <w:ilvl w:val="0"/>
          <w:numId w:val="146"/>
        </w:numPr>
        <w:jc w:val="both"/>
        <w:rPr>
          <w:rFonts w:ascii="Times New Roman" w:hAnsi="Times New Roman" w:cs="Times New Roman"/>
          <w:sz w:val="20"/>
          <w:szCs w:val="20"/>
        </w:rPr>
      </w:pPr>
      <w:r w:rsidRPr="00B44628">
        <w:rPr>
          <w:rFonts w:ascii="Times New Roman" w:hAnsi="Times New Roman" w:cs="Times New Roman"/>
          <w:sz w:val="20"/>
          <w:szCs w:val="20"/>
        </w:rPr>
        <w:t xml:space="preserve">Un examen pour déterminer si un délai est déraisonnable est déclenché par une demande fondée sur le </w:t>
      </w:r>
      <w:hyperlink r:id="rId67" w:anchor="art24par1_smooth" w:history="1">
        <w:r w:rsidRPr="00B44628">
          <w:rPr>
            <w:rStyle w:val="Lienhypertexte"/>
            <w:rFonts w:ascii="Times New Roman" w:hAnsi="Times New Roman" w:cs="Times New Roman"/>
            <w:sz w:val="20"/>
            <w:szCs w:val="20"/>
          </w:rPr>
          <w:t>par. 24(1)</w:t>
        </w:r>
      </w:hyperlink>
      <w:r w:rsidRPr="00B44628">
        <w:rPr>
          <w:rFonts w:ascii="Times New Roman" w:hAnsi="Times New Roman" w:cs="Times New Roman"/>
          <w:sz w:val="20"/>
          <w:szCs w:val="20"/>
        </w:rPr>
        <w:t xml:space="preserve"> de la </w:t>
      </w:r>
      <w:hyperlink r:id="rId68" w:history="1">
        <w:r w:rsidRPr="00B44628">
          <w:rPr>
            <w:rStyle w:val="Lienhypertexte"/>
            <w:rFonts w:ascii="Times New Roman" w:hAnsi="Times New Roman" w:cs="Times New Roman"/>
            <w:i/>
            <w:iCs/>
            <w:sz w:val="20"/>
            <w:szCs w:val="20"/>
          </w:rPr>
          <w:t>Charte</w:t>
        </w:r>
      </w:hyperlink>
      <w:r w:rsidRPr="00B44628">
        <w:rPr>
          <w:rFonts w:ascii="Times New Roman" w:hAnsi="Times New Roman" w:cs="Times New Roman"/>
          <w:sz w:val="20"/>
          <w:szCs w:val="20"/>
        </w:rPr>
        <w:t xml:space="preserve">.  Le fardeau juridique d'établir qu'il y a eu une violation de la </w:t>
      </w:r>
      <w:hyperlink r:id="rId69" w:history="1">
        <w:r w:rsidRPr="00B44628">
          <w:rPr>
            <w:rStyle w:val="Lienhypertexte"/>
            <w:rFonts w:ascii="Times New Roman" w:hAnsi="Times New Roman" w:cs="Times New Roman"/>
            <w:i/>
            <w:iCs/>
            <w:sz w:val="20"/>
            <w:szCs w:val="20"/>
          </w:rPr>
          <w:t>Charte</w:t>
        </w:r>
      </w:hyperlink>
      <w:r w:rsidRPr="00B44628">
        <w:rPr>
          <w:rFonts w:ascii="Times New Roman" w:hAnsi="Times New Roman" w:cs="Times New Roman"/>
          <w:sz w:val="20"/>
          <w:szCs w:val="20"/>
        </w:rPr>
        <w:t xml:space="preserve"> incombe au requérant.  L'examen, qui peut être complexe (comme peuvent l'illustrer les procédures devant la Cour d'appel en l'espèce), ne devrait être entrepris que si la période est suffisamment longue pour soulever des doutes quant à son caractère raisonnable.  Si la longueur du délai n'est pas exceptionnelle, il n'est pas nécessaire de procéder à un examen et aucune explication du délai n'est demandée à moins que le requérant ne soit en mesure de soulever la question du caractère raisonnable de la période par renvoi à d'autres facteurs comme le préjudice.  Si, par exemple, le requérant est sous garde, un délai plus court soulèvera le problème.</w:t>
      </w:r>
    </w:p>
    <w:p w14:paraId="34EF4BDA" w14:textId="77777777" w:rsidR="00B44628" w:rsidRPr="002D6010" w:rsidRDefault="00B44628" w:rsidP="002D6010">
      <w:pPr>
        <w:widowControl w:val="0"/>
        <w:autoSpaceDE w:val="0"/>
        <w:autoSpaceDN w:val="0"/>
        <w:adjustRightInd w:val="0"/>
        <w:spacing w:after="300"/>
        <w:jc w:val="both"/>
        <w:rPr>
          <w:rFonts w:ascii="Times New Roman" w:hAnsi="Times New Roman" w:cs="Times New Roman"/>
          <w:color w:val="3E3E3E"/>
          <w:sz w:val="22"/>
          <w:szCs w:val="22"/>
        </w:rPr>
      </w:pPr>
    </w:p>
    <w:p w14:paraId="44613C95" w14:textId="21C550A3"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2.    La renonciation à invoquer certaines périodes dans le calcul</w:t>
      </w:r>
      <w:r w:rsidR="00B44628">
        <w:rPr>
          <w:rFonts w:ascii="Times New Roman" w:hAnsi="Times New Roman" w:cs="Times New Roman"/>
          <w:b/>
          <w:bCs/>
          <w:color w:val="3E3E3E"/>
          <w:sz w:val="22"/>
          <w:szCs w:val="22"/>
        </w:rPr>
        <w:t xml:space="preserve"> (p.20)</w:t>
      </w:r>
    </w:p>
    <w:p w14:paraId="7F740A8A" w14:textId="5E53B0BE" w:rsidR="00B44628" w:rsidRPr="00B44628" w:rsidRDefault="00B44628" w:rsidP="00B44628">
      <w:pPr>
        <w:pStyle w:val="Paragraphedeliste"/>
        <w:widowControl w:val="0"/>
        <w:numPr>
          <w:ilvl w:val="0"/>
          <w:numId w:val="147"/>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Si la longueur du délai justifie un examen des raisons du délai, il paraît logique de traiter de toute allégation de renonciation avant d'aller plus loin dans l'examen plus détaillé de ces raisons.  Si, par entente ou de toute autre façon, l'accusé a renoncé en tout ou en partie à ses droits de se plaindre du délai, la question sera réglée, ou la période à laquelle il a renoncé sera soustraite</w:t>
      </w:r>
      <w:r>
        <w:rPr>
          <w:rFonts w:ascii="Times New Roman" w:hAnsi="Times New Roman" w:cs="Times New Roman"/>
          <w:sz w:val="20"/>
          <w:szCs w:val="20"/>
        </w:rPr>
        <w:t>.</w:t>
      </w:r>
    </w:p>
    <w:p w14:paraId="10E28D4E" w14:textId="2BCECCAA" w:rsidR="00B44628" w:rsidRPr="00B44628" w:rsidRDefault="00B44628" w:rsidP="00B44628">
      <w:pPr>
        <w:pStyle w:val="Paragraphedeliste"/>
        <w:widowControl w:val="0"/>
        <w:numPr>
          <w:ilvl w:val="0"/>
          <w:numId w:val="147"/>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Notre Cour a clairement dit que pour qu'un accusé renonce aux droits que lui confère l'</w:t>
      </w:r>
      <w:hyperlink r:id="rId70" w:anchor="art11_smooth" w:history="1">
        <w:r w:rsidRPr="005D203B">
          <w:rPr>
            <w:rStyle w:val="Lienhypertexte"/>
            <w:rFonts w:ascii="Times New Roman" w:hAnsi="Times New Roman" w:cs="Times New Roman"/>
            <w:sz w:val="20"/>
            <w:szCs w:val="20"/>
          </w:rPr>
          <w:t>al. 11</w:t>
        </w:r>
        <w:r w:rsidRPr="005D203B">
          <w:rPr>
            <w:rStyle w:val="Lienhypertexte"/>
            <w:rFonts w:ascii="Times New Roman" w:hAnsi="Times New Roman" w:cs="Times New Roman"/>
            <w:i/>
            <w:iCs/>
            <w:sz w:val="20"/>
            <w:szCs w:val="20"/>
          </w:rPr>
          <w:t>b</w:t>
        </w:r>
        <w:r w:rsidRPr="005D203B">
          <w:rPr>
            <w:rStyle w:val="Lienhypertexte"/>
            <w:rFonts w:ascii="Times New Roman" w:hAnsi="Times New Roman" w:cs="Times New Roman"/>
            <w:sz w:val="20"/>
            <w:szCs w:val="20"/>
          </w:rPr>
          <w:t>)</w:t>
        </w:r>
      </w:hyperlink>
      <w:r w:rsidRPr="005D203B">
        <w:rPr>
          <w:rFonts w:ascii="Times New Roman" w:hAnsi="Times New Roman" w:cs="Times New Roman"/>
          <w:sz w:val="20"/>
          <w:szCs w:val="20"/>
        </w:rPr>
        <w:t>, la renonciation doit être claire et sans équivoque et faite en pleine connaissance des droits que la procédure était destinée à protéger et de l'effet de la renonciation sur ces droits</w:t>
      </w:r>
      <w:r>
        <w:rPr>
          <w:rFonts w:ascii="Times New Roman" w:hAnsi="Times New Roman" w:cs="Times New Roman"/>
          <w:sz w:val="20"/>
          <w:szCs w:val="20"/>
        </w:rPr>
        <w:t>.</w:t>
      </w:r>
    </w:p>
    <w:p w14:paraId="378E66C2" w14:textId="540393F0" w:rsidR="00B44628" w:rsidRPr="00B44628" w:rsidRDefault="00B44628" w:rsidP="00B44628">
      <w:pPr>
        <w:pStyle w:val="Paragraphedeliste"/>
        <w:widowControl w:val="0"/>
        <w:numPr>
          <w:ilvl w:val="0"/>
          <w:numId w:val="147"/>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 xml:space="preserve">La renonciation peut être explicite ou implicite.  Si la renonciation est censée être implicite, la conduite de l'accusé doit être conforme aux critères stricts de la renonciation énoncée précédemment, comme le juge Cory l'a décrit dans l'arrêt </w:t>
      </w:r>
      <w:r w:rsidRPr="005D203B">
        <w:rPr>
          <w:rFonts w:ascii="Times New Roman" w:hAnsi="Times New Roman" w:cs="Times New Roman"/>
          <w:i/>
          <w:iCs/>
          <w:sz w:val="20"/>
          <w:szCs w:val="20"/>
        </w:rPr>
        <w:t>Askov</w:t>
      </w:r>
      <w:r>
        <w:rPr>
          <w:rFonts w:ascii="Times New Roman" w:hAnsi="Times New Roman" w:cs="Times New Roman"/>
          <w:i/>
          <w:iCs/>
          <w:sz w:val="20"/>
          <w:szCs w:val="20"/>
        </w:rPr>
        <w:t>.</w:t>
      </w:r>
    </w:p>
    <w:p w14:paraId="17F6AE67" w14:textId="640535F0" w:rsidR="00B44628" w:rsidRPr="00B44628" w:rsidRDefault="00B44628" w:rsidP="00B44628">
      <w:pPr>
        <w:pStyle w:val="Paragraphedeliste"/>
        <w:widowControl w:val="0"/>
        <w:numPr>
          <w:ilvl w:val="0"/>
          <w:numId w:val="147"/>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Pour qu'il y ait renonciation, il doit y avoir un acte précis et non seulement un manque d'attention.  Si l'accusé ou son avocat ne pense pas expressément à la renonciation et qu'il n'est pas au courant de ce que signifie sa conduite, alors cette conduite ne constitue pas une renonciation.  On peut tenir compte d'une telle conduite sous le facteur "actes de l'accusé", mais il ne s'agit pas d'une renonciation</w:t>
      </w:r>
      <w:r>
        <w:rPr>
          <w:rFonts w:ascii="Times New Roman" w:hAnsi="Times New Roman" w:cs="Times New Roman"/>
          <w:sz w:val="20"/>
          <w:szCs w:val="20"/>
        </w:rPr>
        <w:t>.</w:t>
      </w:r>
    </w:p>
    <w:p w14:paraId="6C17DE9A" w14:textId="50443992" w:rsidR="002D6010" w:rsidRDefault="002D6010" w:rsidP="002D6010">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3.    Les raisons du délai</w:t>
      </w:r>
      <w:r w:rsidRPr="002D6010">
        <w:rPr>
          <w:rFonts w:ascii="Times New Roman" w:hAnsi="Times New Roman" w:cs="Times New Roman"/>
          <w:color w:val="3E3E3E"/>
          <w:sz w:val="22"/>
          <w:szCs w:val="22"/>
        </w:rPr>
        <w:t> </w:t>
      </w:r>
      <w:r w:rsidR="00B44628">
        <w:rPr>
          <w:rFonts w:ascii="Times New Roman" w:hAnsi="Times New Roman" w:cs="Times New Roman"/>
          <w:color w:val="3E3E3E"/>
          <w:sz w:val="22"/>
          <w:szCs w:val="22"/>
        </w:rPr>
        <w:t>(p.21)</w:t>
      </w:r>
    </w:p>
    <w:p w14:paraId="64617B6A" w14:textId="77777777" w:rsidR="00B44628" w:rsidRPr="00C86382" w:rsidRDefault="00B44628" w:rsidP="00B44628">
      <w:pPr>
        <w:jc w:val="both"/>
        <w:rPr>
          <w:rFonts w:ascii="Times New Roman" w:hAnsi="Times New Roman" w:cs="Times New Roman"/>
          <w:sz w:val="22"/>
          <w:szCs w:val="22"/>
        </w:rPr>
      </w:pPr>
      <w:r w:rsidRPr="00C86382">
        <w:rPr>
          <w:rFonts w:ascii="Times New Roman" w:hAnsi="Times New Roman" w:cs="Times New Roman"/>
          <w:sz w:val="22"/>
          <w:szCs w:val="22"/>
        </w:rPr>
        <w:t>Si la demande d'un accusé n'est pas réglée en raison des principes de la renonciation, la cour devra examiner les autres explications du délai.  Certains délais sont inévitables.  Les tribunaux ne siègent pas jour et nuit.  Il faut du temps pour traiter l'accusation, retenir les services d'un avocat, régler les demandes de cautionnement et les autres procédures préalables au procès.  Il faut du temps pour que l'avocat se prépare.  En plus de ces délais inhérents à la nature de l'affaire, la poursuite ou la défense peut avoir besoin de temps.  Toutefois, aucune partie ne peut invoquer ses propres délais à l'appui de sa position.  Lorsqu'une affaire est prête pour le procès, il est possible que le juge, la salle d'audiences ou le personnel essentiel de la cour ne soient pas disponibles et qu'ainsi l'affaire ne puisse être entendue.  Ce dernier genre de délai est appelé délai institutionnel ou systémique.  J'examinerai maintenant de manière plus approfondie chacune de ces raisons et le rôle qu'elle joue pour déterminer qu'un délai est déraisonnable.</w:t>
      </w:r>
    </w:p>
    <w:p w14:paraId="2014927B" w14:textId="77777777" w:rsidR="00B44628" w:rsidRDefault="00B44628" w:rsidP="002D6010">
      <w:pPr>
        <w:widowControl w:val="0"/>
        <w:autoSpaceDE w:val="0"/>
        <w:autoSpaceDN w:val="0"/>
        <w:adjustRightInd w:val="0"/>
        <w:spacing w:after="300"/>
        <w:jc w:val="both"/>
        <w:rPr>
          <w:rFonts w:ascii="Times New Roman" w:hAnsi="Times New Roman" w:cs="Times New Roman"/>
          <w:color w:val="3E3E3E"/>
          <w:sz w:val="22"/>
          <w:szCs w:val="22"/>
        </w:rPr>
      </w:pPr>
    </w:p>
    <w:p w14:paraId="0AC8887F" w14:textId="29D77239" w:rsidR="00B44628" w:rsidRDefault="00B44628" w:rsidP="002D6010">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a) Les délais inhérents :</w:t>
      </w:r>
    </w:p>
    <w:p w14:paraId="3DC568A5" w14:textId="69E8BE38" w:rsidR="009D6605" w:rsidRPr="009D6605" w:rsidRDefault="009D6605" w:rsidP="009D6605">
      <w:pPr>
        <w:pStyle w:val="Paragraphedeliste"/>
        <w:numPr>
          <w:ilvl w:val="0"/>
          <w:numId w:val="148"/>
        </w:numPr>
        <w:jc w:val="both"/>
        <w:rPr>
          <w:rFonts w:ascii="Times New Roman" w:hAnsi="Times New Roman" w:cs="Times New Roman"/>
          <w:sz w:val="20"/>
          <w:szCs w:val="20"/>
        </w:rPr>
      </w:pPr>
      <w:r w:rsidRPr="009D6605">
        <w:rPr>
          <w:rFonts w:ascii="Times New Roman" w:hAnsi="Times New Roman" w:cs="Times New Roman"/>
          <w:sz w:val="20"/>
          <w:szCs w:val="20"/>
        </w:rPr>
        <w:t>Les délais inhérents à la nature de ces affaires permettront d'excuser des délais plus longs que pour des affaires moins complexes.  Chaque affaire comporte ses propres faits qui doivent être évalués.  Il faut également tenir compte du fait qu'on ne peut s'attendre que l'avocat de la poursuite et celui de la défense consacrent leur temps exclusivement à une affaire.  Les juges de première instance ont toute la compétence voulue pour déterminer le temps qu'il convient d'accorder aux avocats.</w:t>
      </w:r>
    </w:p>
    <w:p w14:paraId="4945BB37" w14:textId="531AFD15" w:rsidR="00B44628" w:rsidRPr="009D6605" w:rsidRDefault="009D6605" w:rsidP="009D6605">
      <w:pPr>
        <w:pStyle w:val="Paragraphedeliste"/>
        <w:widowControl w:val="0"/>
        <w:numPr>
          <w:ilvl w:val="0"/>
          <w:numId w:val="148"/>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Si le nombre et la complexité de ces éléments augmentent, la longueur du délai raisonnable augmente également.  De même, moins il y a d'éléments nécessaires et plus chacun d'entre eux est simple, le délai devrait être court</w:t>
      </w:r>
      <w:r>
        <w:rPr>
          <w:rFonts w:ascii="Times New Roman" w:hAnsi="Times New Roman" w:cs="Times New Roman"/>
          <w:sz w:val="20"/>
          <w:szCs w:val="20"/>
        </w:rPr>
        <w:t>.</w:t>
      </w:r>
    </w:p>
    <w:p w14:paraId="20F1407A" w14:textId="0257467A" w:rsidR="009D6605" w:rsidRPr="009D6605" w:rsidRDefault="009D6605" w:rsidP="009D6605">
      <w:pPr>
        <w:pStyle w:val="Paragraphedeliste"/>
        <w:widowControl w:val="0"/>
        <w:numPr>
          <w:ilvl w:val="0"/>
          <w:numId w:val="148"/>
        </w:numPr>
        <w:autoSpaceDE w:val="0"/>
        <w:autoSpaceDN w:val="0"/>
        <w:adjustRightInd w:val="0"/>
        <w:spacing w:after="300"/>
        <w:jc w:val="both"/>
        <w:rPr>
          <w:rFonts w:ascii="Times New Roman" w:hAnsi="Times New Roman" w:cs="Times New Roman"/>
          <w:color w:val="3E3E3E"/>
          <w:sz w:val="22"/>
          <w:szCs w:val="22"/>
        </w:rPr>
      </w:pPr>
      <w:r w:rsidRPr="005D203B">
        <w:rPr>
          <w:rFonts w:ascii="Times New Roman" w:hAnsi="Times New Roman" w:cs="Times New Roman"/>
          <w:sz w:val="20"/>
          <w:szCs w:val="20"/>
        </w:rPr>
        <w:t>Un autre délai inhérent dont il faut tenir compte est de savoir s'il doit y avoir une enquête préliminaire.  De toute évidence, il faut accorder plus de temps aux affaires qui doivent comporter un processus à "deux volets" que pour les affaires qui n'exigent pas d'enquête prélimina</w:t>
      </w:r>
      <w:r>
        <w:rPr>
          <w:rFonts w:ascii="Times New Roman" w:hAnsi="Times New Roman" w:cs="Times New Roman"/>
          <w:sz w:val="20"/>
          <w:szCs w:val="20"/>
        </w:rPr>
        <w:t xml:space="preserve">ire [...] </w:t>
      </w:r>
      <w:r w:rsidRPr="005D203B">
        <w:rPr>
          <w:rFonts w:ascii="Times New Roman" w:hAnsi="Times New Roman" w:cs="Times New Roman"/>
          <w:sz w:val="20"/>
          <w:szCs w:val="20"/>
        </w:rPr>
        <w:t>Il convient d'accorder une période supplémentaire pour les délais inhérents à ce second volet.  Cette période sera plus courte que dans le cas d'un procès à volet unique parce qu'un grand nombre des procédures préparatoires n'auront pas à être reprises</w:t>
      </w:r>
      <w:r>
        <w:rPr>
          <w:rFonts w:ascii="Times New Roman" w:hAnsi="Times New Roman" w:cs="Times New Roman"/>
          <w:sz w:val="20"/>
          <w:szCs w:val="20"/>
        </w:rPr>
        <w:t>.</w:t>
      </w:r>
    </w:p>
    <w:p w14:paraId="154756DA" w14:textId="646FA3AC" w:rsidR="009D6605" w:rsidRDefault="009D6605" w:rsidP="009D6605">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b) Les actes de l’accusé :</w:t>
      </w:r>
    </w:p>
    <w:p w14:paraId="55A2914B" w14:textId="1ADFC359" w:rsidR="009D6605" w:rsidRPr="009D6605" w:rsidRDefault="009D6605" w:rsidP="009D6605">
      <w:pPr>
        <w:pStyle w:val="Paragraphedeliste"/>
        <w:numPr>
          <w:ilvl w:val="0"/>
          <w:numId w:val="149"/>
        </w:numPr>
        <w:jc w:val="both"/>
        <w:rPr>
          <w:rFonts w:ascii="Times New Roman" w:hAnsi="Times New Roman" w:cs="Times New Roman"/>
          <w:sz w:val="20"/>
          <w:szCs w:val="20"/>
        </w:rPr>
      </w:pPr>
      <w:r w:rsidRPr="009D6605">
        <w:rPr>
          <w:rFonts w:ascii="Times New Roman" w:hAnsi="Times New Roman" w:cs="Times New Roman"/>
          <w:sz w:val="20"/>
          <w:szCs w:val="20"/>
        </w:rPr>
        <w:t>Cette rubrique comprend toutes les mesures prises par l'accusé qui peuvent avoir entraîné un délai.  Sous cette rubrique, je me préoccupe des actes de l'accusé qui ont été entrepris volontairement.  Les actes de cette catégorie peuvent comprendre notamment les requêtes en renvoi devant une autre cour, les contestations en matière d'écoute électronique, les ajournements qui n'équivalent pas à une renonciation, les contestations de mandat de perquisition, etc.  Je ne voudrais pas que l'on croit que je préconise que les accusés sacrifient toutes les procédures préliminaires et leur stratégie, mais je souligne simplement que s'ils choisissent de prendre une telle mesure, il faudra en tenir compte pour déterminer le délai qui est raisonnable.</w:t>
      </w:r>
    </w:p>
    <w:p w14:paraId="29E6DA3F" w14:textId="1F16FBD2" w:rsidR="009D6605" w:rsidRDefault="009D6605" w:rsidP="009D6605">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c) Les actes du ministère public (p.22) :</w:t>
      </w:r>
    </w:p>
    <w:p w14:paraId="40ABC2C5" w14:textId="77777777" w:rsidR="009D6605" w:rsidRPr="009D6605" w:rsidRDefault="009D6605" w:rsidP="009D6605">
      <w:pPr>
        <w:pStyle w:val="Paragraphedeliste"/>
        <w:numPr>
          <w:ilvl w:val="0"/>
          <w:numId w:val="149"/>
        </w:numPr>
        <w:jc w:val="both"/>
        <w:rPr>
          <w:rFonts w:ascii="Times New Roman" w:hAnsi="Times New Roman" w:cs="Times New Roman"/>
          <w:sz w:val="20"/>
          <w:szCs w:val="20"/>
        </w:rPr>
      </w:pPr>
      <w:r w:rsidRPr="009D6605">
        <w:rPr>
          <w:rFonts w:ascii="Times New Roman" w:hAnsi="Times New Roman" w:cs="Times New Roman"/>
          <w:sz w:val="20"/>
          <w:szCs w:val="20"/>
        </w:rPr>
        <w:t>Comme pour la conduite de l'accusé, ce facteur ne sert pas à attribuer des reproches.  Il sert simplement à examiner les actes du ministère public qui retardent le procès.  Ces actes comprennent les demandes d'ajournement par le ministère public, le défaut ou le retard en matière de communication de la preuve, les requêtes en renvoi devant une autre cour, etc. [...]il n'y a rien de mal à ce que le ministère public cherche à obtenir de tels ajournements mais le ministère public ne peut se fonder sur ces délais pour expliquer un délai qui est par ailleurs déraisonnable.</w:t>
      </w:r>
    </w:p>
    <w:p w14:paraId="136E2A01" w14:textId="0526E855" w:rsidR="009D6605" w:rsidRDefault="009D6605" w:rsidP="009D6605">
      <w:pPr>
        <w:widowControl w:val="0"/>
        <w:autoSpaceDE w:val="0"/>
        <w:autoSpaceDN w:val="0"/>
        <w:adjustRightInd w:val="0"/>
        <w:spacing w:after="300"/>
        <w:jc w:val="both"/>
        <w:rPr>
          <w:rFonts w:ascii="Times New Roman" w:hAnsi="Times New Roman" w:cs="Times New Roman"/>
          <w:i/>
          <w:color w:val="3E3E3E"/>
          <w:sz w:val="22"/>
          <w:szCs w:val="22"/>
        </w:rPr>
      </w:pPr>
    </w:p>
    <w:p w14:paraId="4FC7616F" w14:textId="0A145509" w:rsidR="009D6605" w:rsidRDefault="009D6605" w:rsidP="009D6605">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d) Les limites des ressources institutionnelles :</w:t>
      </w:r>
    </w:p>
    <w:p w14:paraId="490F0379" w14:textId="033DE4D1" w:rsidR="009D6605"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5D203B">
        <w:rPr>
          <w:rFonts w:ascii="Times New Roman" w:hAnsi="Times New Roman" w:cs="Times New Roman"/>
          <w:sz w:val="20"/>
          <w:szCs w:val="20"/>
        </w:rPr>
        <w:t>Comment pouvons</w:t>
      </w:r>
      <w:r w:rsidRPr="005D203B">
        <w:rPr>
          <w:rFonts w:ascii="Palatino" w:hAnsi="Palatino" w:cs="Palatino"/>
          <w:sz w:val="20"/>
          <w:szCs w:val="20"/>
        </w:rPr>
        <w:t>‑</w:t>
      </w:r>
      <w:r w:rsidRPr="005D203B">
        <w:rPr>
          <w:rFonts w:ascii="Times New Roman" w:hAnsi="Times New Roman" w:cs="Times New Roman"/>
          <w:sz w:val="20"/>
          <w:szCs w:val="20"/>
        </w:rPr>
        <w:t>nous concilier la demande que des procès soient tenus dans un délai raisonnable dans un monde imparfait où les ressources sont rares?  Bien qu'il faille tenir compte du fait que les fonds de l'État ne sont pas illimités et que d'autres programmes gouvernementaux sont en concurrence pour obtenir les ressources disponibles, on ne peut utiliser cet argument pour enlever toute signification à l'</w:t>
      </w:r>
      <w:hyperlink r:id="rId71" w:anchor="art11_smooth" w:history="1">
        <w:r w:rsidRPr="005D203B">
          <w:rPr>
            <w:rStyle w:val="Lienhypertexte"/>
            <w:rFonts w:ascii="Times New Roman" w:hAnsi="Times New Roman" w:cs="Times New Roman"/>
            <w:sz w:val="20"/>
            <w:szCs w:val="20"/>
          </w:rPr>
          <w:t>al. 11</w:t>
        </w:r>
        <w:r w:rsidRPr="005D203B">
          <w:rPr>
            <w:rStyle w:val="Lienhypertexte"/>
            <w:rFonts w:ascii="Times New Roman" w:hAnsi="Times New Roman" w:cs="Times New Roman"/>
            <w:i/>
            <w:iCs/>
            <w:sz w:val="20"/>
            <w:szCs w:val="20"/>
          </w:rPr>
          <w:t>b</w:t>
        </w:r>
        <w:r w:rsidRPr="005D203B">
          <w:rPr>
            <w:rStyle w:val="Lienhypertexte"/>
            <w:rFonts w:ascii="Times New Roman" w:hAnsi="Times New Roman" w:cs="Times New Roman"/>
            <w:sz w:val="20"/>
            <w:szCs w:val="20"/>
          </w:rPr>
          <w:t>)</w:t>
        </w:r>
      </w:hyperlink>
      <w:r w:rsidRPr="005D203B">
        <w:rPr>
          <w:rFonts w:ascii="Times New Roman" w:hAnsi="Times New Roman" w:cs="Times New Roman"/>
          <w:sz w:val="20"/>
          <w:szCs w:val="20"/>
        </w:rPr>
        <w:t>. </w:t>
      </w:r>
    </w:p>
    <w:p w14:paraId="3615907B" w14:textId="6A135961" w:rsidR="00DD0B8B"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5D203B">
        <w:rPr>
          <w:rFonts w:ascii="Times New Roman" w:hAnsi="Times New Roman" w:cs="Times New Roman"/>
          <w:sz w:val="20"/>
          <w:szCs w:val="20"/>
        </w:rPr>
        <w:t>Il faut répondre en fonction des faits de chaque affaire.  Il ne peut y avoir de norme fixe de temps qui serait valable pour toutes les régions du pays</w:t>
      </w:r>
      <w:r>
        <w:rPr>
          <w:rFonts w:ascii="Times New Roman" w:hAnsi="Times New Roman" w:cs="Times New Roman"/>
          <w:sz w:val="20"/>
          <w:szCs w:val="20"/>
        </w:rPr>
        <w:t>.</w:t>
      </w:r>
    </w:p>
    <w:p w14:paraId="0B7953DF" w14:textId="5450D2CB" w:rsidR="00DD0B8B"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5D203B">
        <w:rPr>
          <w:rFonts w:ascii="Times New Roman" w:hAnsi="Times New Roman" w:cs="Times New Roman"/>
          <w:sz w:val="20"/>
          <w:szCs w:val="20"/>
        </w:rPr>
        <w:t>la comparaison entre les juridictions doit être appliquée avec prudence et uniquement à titre de guide sommaire</w:t>
      </w:r>
      <w:r>
        <w:rPr>
          <w:rFonts w:ascii="Times New Roman" w:hAnsi="Times New Roman" w:cs="Times New Roman"/>
          <w:sz w:val="20"/>
          <w:szCs w:val="20"/>
        </w:rPr>
        <w:t>.</w:t>
      </w:r>
    </w:p>
    <w:p w14:paraId="025450DE" w14:textId="078A71D6" w:rsidR="00DD0B8B"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5D203B">
        <w:rPr>
          <w:rFonts w:ascii="Times New Roman" w:hAnsi="Times New Roman" w:cs="Times New Roman"/>
          <w:sz w:val="20"/>
          <w:szCs w:val="20"/>
        </w:rPr>
        <w:t>L'application d'une ligne directrice sera également influencée par la présence ou l'absence de préjudice.  Si l'accusé est sous garde ou, bien que n'étant pas sous garde, s'il est assujetti à des conditions de cautionnement restrictives ou s'il subit quelque autre préjudice important, la longueur du délai institutionnel acceptable peut être réduite afin de répondre à la préoccupation du tribunal.  Par ailleurs, dans une affaire où il n'y a aucun préjudice ou si le préjudice n'est pas grave, la ligne directrice peut être appliquée en conséquence</w:t>
      </w:r>
      <w:r>
        <w:rPr>
          <w:rFonts w:ascii="Times New Roman" w:hAnsi="Times New Roman" w:cs="Times New Roman"/>
          <w:sz w:val="20"/>
          <w:szCs w:val="20"/>
        </w:rPr>
        <w:t>.</w:t>
      </w:r>
    </w:p>
    <w:p w14:paraId="12D16E8A" w14:textId="183C789E" w:rsidR="00DD0B8B"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DD0B8B">
        <w:rPr>
          <w:rFonts w:ascii="Times New Roman" w:hAnsi="Times New Roman" w:cs="Times New Roman"/>
          <w:b/>
          <w:sz w:val="20"/>
          <w:szCs w:val="20"/>
        </w:rPr>
        <w:t xml:space="preserve">D'après ce qui précède, il convient que notre Cour propose un délai institutionnel de 8 à 10 mois à titre de guide pour la cour provinciale.  Pour ce qui est du délai institutionnel après l'envoi à procès, je ne m'écarterai pas de la période de 6 à 8 mois proposée dans l'arrêt </w:t>
      </w:r>
      <w:r w:rsidRPr="00DD0B8B">
        <w:rPr>
          <w:rFonts w:ascii="Times New Roman" w:hAnsi="Times New Roman" w:cs="Times New Roman"/>
          <w:b/>
          <w:i/>
          <w:iCs/>
          <w:sz w:val="20"/>
          <w:szCs w:val="20"/>
        </w:rPr>
        <w:t>Askov</w:t>
      </w:r>
      <w:r w:rsidRPr="00DD0B8B">
        <w:rPr>
          <w:rFonts w:ascii="Times New Roman" w:hAnsi="Times New Roman" w:cs="Times New Roman"/>
          <w:b/>
          <w:sz w:val="20"/>
          <w:szCs w:val="20"/>
        </w:rPr>
        <w:t>.  Dans un tel cas, ce délai institutionnel s'ajouterait au délai écoulé avant l'envoi à procès, car, après l'envoi à procès, le système doit tenir compte d'un tribunal différent ayant ses propres problèmes en matière de ressources.  Il est, par conséquent, essentiel de tenir compte du caractère inévitable de ce délai institutionnel supplémentaire</w:t>
      </w:r>
      <w:r w:rsidRPr="005D203B">
        <w:rPr>
          <w:rFonts w:ascii="Times New Roman" w:hAnsi="Times New Roman" w:cs="Times New Roman"/>
          <w:sz w:val="20"/>
          <w:szCs w:val="20"/>
        </w:rPr>
        <w:t>.</w:t>
      </w:r>
    </w:p>
    <w:p w14:paraId="62EC0C34" w14:textId="0E35AAC7" w:rsidR="00DD0B8B" w:rsidRPr="00DD0B8B" w:rsidRDefault="00DD0B8B" w:rsidP="009D6605">
      <w:pPr>
        <w:pStyle w:val="Paragraphedeliste"/>
        <w:widowControl w:val="0"/>
        <w:numPr>
          <w:ilvl w:val="0"/>
          <w:numId w:val="149"/>
        </w:numPr>
        <w:autoSpaceDE w:val="0"/>
        <w:autoSpaceDN w:val="0"/>
        <w:adjustRightInd w:val="0"/>
        <w:spacing w:after="300"/>
        <w:jc w:val="both"/>
        <w:rPr>
          <w:rFonts w:ascii="Times New Roman" w:hAnsi="Times New Roman" w:cs="Times New Roman"/>
          <w:i/>
          <w:color w:val="3E3E3E"/>
          <w:sz w:val="22"/>
          <w:szCs w:val="22"/>
        </w:rPr>
      </w:pPr>
      <w:r w:rsidRPr="00DD0B8B">
        <w:rPr>
          <w:rFonts w:ascii="Times New Roman" w:hAnsi="Times New Roman" w:cs="Times New Roman"/>
          <w:b/>
          <w:sz w:val="20"/>
          <w:szCs w:val="20"/>
        </w:rPr>
        <w:t>Un délai institutionnel plus long pour les cours provinciales est justifié parce que non seulement ces cours traitent la grande majorité des affaires, mais elles prennent en moyenne plus de temps pour le faire en raison de leur lourde charge de travail</w:t>
      </w:r>
      <w:r>
        <w:rPr>
          <w:rFonts w:ascii="Times New Roman" w:hAnsi="Times New Roman" w:cs="Times New Roman"/>
          <w:sz w:val="20"/>
          <w:szCs w:val="20"/>
        </w:rPr>
        <w:t>.</w:t>
      </w:r>
    </w:p>
    <w:p w14:paraId="5368B24C" w14:textId="77777777" w:rsidR="00DD0B8B" w:rsidRPr="00DD0B8B" w:rsidRDefault="00DD0B8B" w:rsidP="00DD0B8B">
      <w:pPr>
        <w:jc w:val="both"/>
        <w:rPr>
          <w:rFonts w:ascii="Times New Roman" w:hAnsi="Times New Roman" w:cs="Times New Roman"/>
          <w:sz w:val="22"/>
          <w:szCs w:val="22"/>
        </w:rPr>
      </w:pPr>
      <w:r w:rsidRPr="00DD0B8B">
        <w:rPr>
          <w:rFonts w:ascii="Times New Roman" w:hAnsi="Times New Roman" w:cs="Times New Roman"/>
          <w:sz w:val="22"/>
          <w:szCs w:val="22"/>
        </w:rPr>
        <w:t>Ces délais proposés sont destinés à servir de guide pour les tribunaux de première instance d'une manière générale.  Les tribunaux de première instance devront sans doute ajuster ces délais dans les diverses régions du pays pour tenir compte des conditions locales, et ils devront le faire à l'occasion pour s'adapter à des circonstances différentes.  La cour d'appel dans chaque province jouera un rôle de surveillance pour viser à atteindre l'uniformité sous réserve de la nécessité de prendre en compte les conditions et les problèmes spéciaux des différentes régions dans la province.</w:t>
      </w:r>
    </w:p>
    <w:p w14:paraId="728CDFA7" w14:textId="77777777" w:rsidR="00DD0B8B" w:rsidRPr="00DD0B8B" w:rsidRDefault="00DD0B8B" w:rsidP="00DD0B8B">
      <w:pPr>
        <w:ind w:left="567"/>
        <w:jc w:val="both"/>
        <w:rPr>
          <w:rFonts w:ascii="Times New Roman" w:hAnsi="Times New Roman" w:cs="Times New Roman"/>
          <w:sz w:val="22"/>
          <w:szCs w:val="22"/>
        </w:rPr>
      </w:pPr>
      <w:r w:rsidRPr="00DD0B8B">
        <w:rPr>
          <w:rFonts w:ascii="Times New Roman" w:hAnsi="Times New Roman" w:cs="Times New Roman"/>
          <w:sz w:val="22"/>
          <w:szCs w:val="22"/>
        </w:rPr>
        <w:t> </w:t>
      </w:r>
    </w:p>
    <w:p w14:paraId="3BE54A3E" w14:textId="0916959F" w:rsidR="00DD0B8B" w:rsidRPr="00DD0B8B" w:rsidRDefault="00DD0B8B" w:rsidP="00DD0B8B">
      <w:pPr>
        <w:widowControl w:val="0"/>
        <w:autoSpaceDE w:val="0"/>
        <w:autoSpaceDN w:val="0"/>
        <w:adjustRightInd w:val="0"/>
        <w:spacing w:after="300"/>
        <w:jc w:val="both"/>
        <w:rPr>
          <w:rFonts w:ascii="Times New Roman" w:hAnsi="Times New Roman" w:cs="Times New Roman"/>
          <w:sz w:val="22"/>
          <w:szCs w:val="22"/>
        </w:rPr>
      </w:pPr>
      <w:r w:rsidRPr="00DD0B8B">
        <w:rPr>
          <w:rFonts w:ascii="Times New Roman" w:hAnsi="Times New Roman" w:cs="Times New Roman"/>
          <w:sz w:val="22"/>
          <w:szCs w:val="22"/>
        </w:rPr>
        <w:t>L'application de cette ligne directrice sous la surveillance de la cour d'appel est assujettie au contrôle de notre Cour afin de veiller à ce que le droit d'être jugé dans un délai raisonnable soit respecté.</w:t>
      </w:r>
    </w:p>
    <w:p w14:paraId="4F2CE9EA" w14:textId="7E229CB1" w:rsidR="00DD0B8B" w:rsidRDefault="00DD0B8B" w:rsidP="00DD0B8B">
      <w:pPr>
        <w:widowControl w:val="0"/>
        <w:autoSpaceDE w:val="0"/>
        <w:autoSpaceDN w:val="0"/>
        <w:adjustRightInd w:val="0"/>
        <w:spacing w:after="300"/>
        <w:jc w:val="both"/>
        <w:rPr>
          <w:rFonts w:ascii="Times New Roman" w:hAnsi="Times New Roman" w:cs="Times New Roman"/>
          <w:i/>
          <w:color w:val="3E3E3E"/>
          <w:sz w:val="22"/>
          <w:szCs w:val="22"/>
        </w:rPr>
      </w:pPr>
      <w:r>
        <w:rPr>
          <w:rFonts w:ascii="Times New Roman" w:hAnsi="Times New Roman" w:cs="Times New Roman"/>
          <w:i/>
          <w:color w:val="3E3E3E"/>
          <w:sz w:val="22"/>
          <w:szCs w:val="22"/>
        </w:rPr>
        <w:t>e) Les autres raisons du délai (p.25) :</w:t>
      </w:r>
    </w:p>
    <w:p w14:paraId="4D11E1F4" w14:textId="77777777" w:rsidR="00386DB4" w:rsidRPr="00386DB4" w:rsidRDefault="00386DB4" w:rsidP="00386DB4">
      <w:pPr>
        <w:pStyle w:val="Paragraphedeliste"/>
        <w:numPr>
          <w:ilvl w:val="0"/>
          <w:numId w:val="151"/>
        </w:numPr>
        <w:jc w:val="both"/>
        <w:rPr>
          <w:rFonts w:ascii="Times New Roman" w:hAnsi="Times New Roman" w:cs="Times New Roman"/>
          <w:sz w:val="20"/>
          <w:szCs w:val="20"/>
        </w:rPr>
      </w:pPr>
      <w:r w:rsidRPr="00386DB4">
        <w:rPr>
          <w:rFonts w:ascii="Times New Roman" w:hAnsi="Times New Roman" w:cs="Times New Roman"/>
          <w:sz w:val="20"/>
          <w:szCs w:val="20"/>
        </w:rPr>
        <w:t xml:space="preserve">Il peut y avoir d'autres raisons de délai que celles qui sont mentionnées précédemment et chacune d'entre elles doit être prise en considération.  Comme je l'ai souligné de manière détaillée, l'examen d'un délai déraisonnable doit tenir compte de </w:t>
      </w:r>
      <w:r w:rsidRPr="00386DB4">
        <w:rPr>
          <w:rFonts w:ascii="Times New Roman" w:hAnsi="Times New Roman" w:cs="Times New Roman"/>
          <w:sz w:val="20"/>
          <w:szCs w:val="20"/>
          <w:u w:val="single"/>
        </w:rPr>
        <w:t>toutes</w:t>
      </w:r>
      <w:r w:rsidRPr="00386DB4">
        <w:rPr>
          <w:rFonts w:ascii="Times New Roman" w:hAnsi="Times New Roman" w:cs="Times New Roman"/>
          <w:sz w:val="20"/>
          <w:szCs w:val="20"/>
        </w:rPr>
        <w:t xml:space="preserve"> les raisons du délai afin de tenter de délimiter ce qui est vraiment raisonnable relativement à l'affaire dont le tribunal est saisi.  Un de ces facteurs qui ne s'inscrit pas particulièrement bien dans une autre catégorie de délai est celui qui vise les actes des juges de première instance.  L'affaire </w:t>
      </w:r>
      <w:r w:rsidRPr="00386DB4">
        <w:rPr>
          <w:rFonts w:ascii="Times New Roman" w:hAnsi="Times New Roman" w:cs="Times New Roman"/>
          <w:i/>
          <w:iCs/>
          <w:sz w:val="20"/>
          <w:szCs w:val="20"/>
        </w:rPr>
        <w:t>Rahey,</w:t>
      </w:r>
      <w:r w:rsidRPr="00386DB4">
        <w:rPr>
          <w:rFonts w:ascii="Times New Roman" w:hAnsi="Times New Roman" w:cs="Times New Roman"/>
          <w:sz w:val="20"/>
          <w:szCs w:val="20"/>
        </w:rPr>
        <w:t xml:space="preserve"> précitée, en présente un exemple extrême.  Dans cette affaire, c'est le juge de première instance qui a été la cause d'une grande partie du délai.  Le juge a ajourné le procès 19 fois en 11 mois.  Un tel délai n'est pas institutionnel dans un sens strict.  Toutefois, le ministère public ne peut s'appuyer sur un délai de ce genre pour justifier la période en cause.</w:t>
      </w:r>
    </w:p>
    <w:p w14:paraId="4216253B" w14:textId="77777777" w:rsidR="00386DB4" w:rsidRPr="005D203B" w:rsidRDefault="00386DB4" w:rsidP="00386DB4">
      <w:pPr>
        <w:ind w:left="567"/>
        <w:jc w:val="both"/>
        <w:rPr>
          <w:rFonts w:ascii="Times New Roman" w:hAnsi="Times New Roman" w:cs="Times New Roman"/>
          <w:sz w:val="20"/>
          <w:szCs w:val="20"/>
        </w:rPr>
      </w:pPr>
      <w:r w:rsidRPr="005D203B">
        <w:rPr>
          <w:rFonts w:ascii="Times New Roman" w:hAnsi="Times New Roman" w:cs="Times New Roman"/>
          <w:sz w:val="20"/>
          <w:szCs w:val="20"/>
        </w:rPr>
        <w:t> </w:t>
      </w:r>
    </w:p>
    <w:p w14:paraId="669F2F3C" w14:textId="77777777" w:rsidR="00386DB4" w:rsidRDefault="00386DB4" w:rsidP="00386DB4">
      <w:pPr>
        <w:jc w:val="both"/>
        <w:rPr>
          <w:rFonts w:ascii="Times New Roman" w:hAnsi="Times New Roman" w:cs="Times New Roman"/>
          <w:sz w:val="20"/>
          <w:szCs w:val="20"/>
        </w:rPr>
      </w:pPr>
      <w:r w:rsidRPr="005D203B">
        <w:rPr>
          <w:rFonts w:ascii="Times New Roman" w:hAnsi="Times New Roman" w:cs="Times New Roman"/>
          <w:sz w:val="20"/>
          <w:szCs w:val="20"/>
        </w:rPr>
        <w:t>D'autres délais qui n'ont pas été mentionnés peuvent être reprochés à l'accusé, mais dans la plupart des cas, les délais seront opposés au ministère public pour la raison qui a été mentionnée dans l'exemple précédent.</w:t>
      </w:r>
    </w:p>
    <w:p w14:paraId="2C48CD5B" w14:textId="77777777" w:rsidR="00386DB4" w:rsidRDefault="00386DB4" w:rsidP="00386DB4">
      <w:pPr>
        <w:jc w:val="both"/>
        <w:rPr>
          <w:rFonts w:ascii="Times New Roman" w:hAnsi="Times New Roman" w:cs="Times New Roman"/>
          <w:sz w:val="20"/>
          <w:szCs w:val="20"/>
        </w:rPr>
      </w:pPr>
    </w:p>
    <w:p w14:paraId="76163591" w14:textId="25B0E90D" w:rsidR="00386DB4" w:rsidRPr="00386DB4" w:rsidRDefault="00386DB4" w:rsidP="00DD0B8B">
      <w:pPr>
        <w:widowControl w:val="0"/>
        <w:autoSpaceDE w:val="0"/>
        <w:autoSpaceDN w:val="0"/>
        <w:adjustRightInd w:val="0"/>
        <w:spacing w:after="300"/>
        <w:jc w:val="both"/>
        <w:rPr>
          <w:rFonts w:ascii="Times New Roman" w:hAnsi="Times New Roman" w:cs="Times New Roman"/>
          <w:color w:val="3E3E3E"/>
          <w:sz w:val="22"/>
          <w:szCs w:val="22"/>
        </w:rPr>
      </w:pPr>
      <w:r w:rsidRPr="002D6010">
        <w:rPr>
          <w:rFonts w:ascii="Times New Roman" w:hAnsi="Times New Roman" w:cs="Times New Roman"/>
          <w:b/>
          <w:bCs/>
          <w:color w:val="3E3E3E"/>
          <w:sz w:val="22"/>
          <w:szCs w:val="22"/>
        </w:rPr>
        <w:t>4.    Le préjudice subi par l'accusé</w:t>
      </w:r>
    </w:p>
    <w:p w14:paraId="10E23055" w14:textId="67279DED" w:rsidR="00DD0B8B" w:rsidRPr="00386DB4" w:rsidRDefault="00386DB4" w:rsidP="00DD0B8B">
      <w:pPr>
        <w:pStyle w:val="Paragraphedeliste"/>
        <w:widowControl w:val="0"/>
        <w:numPr>
          <w:ilvl w:val="0"/>
          <w:numId w:val="150"/>
        </w:numPr>
        <w:autoSpaceDE w:val="0"/>
        <w:autoSpaceDN w:val="0"/>
        <w:adjustRightInd w:val="0"/>
        <w:spacing w:after="300"/>
        <w:jc w:val="both"/>
        <w:rPr>
          <w:rFonts w:ascii="Times New Roman" w:hAnsi="Times New Roman" w:cs="Times New Roman"/>
          <w:i/>
          <w:color w:val="3E3E3E"/>
          <w:sz w:val="22"/>
          <w:szCs w:val="22"/>
        </w:rPr>
      </w:pPr>
      <w:r w:rsidRPr="00C245E9">
        <w:rPr>
          <w:rFonts w:ascii="Times New Roman" w:hAnsi="Times New Roman" w:cs="Times New Roman"/>
          <w:sz w:val="20"/>
          <w:szCs w:val="20"/>
        </w:rPr>
        <w:t xml:space="preserve">Nous avons décidé dans plusieurs arrêts, y compris l'arrêt unanime </w:t>
      </w:r>
      <w:r w:rsidRPr="00C245E9">
        <w:rPr>
          <w:rFonts w:ascii="Times New Roman" w:hAnsi="Times New Roman" w:cs="Times New Roman"/>
          <w:i/>
          <w:iCs/>
          <w:sz w:val="20"/>
          <w:szCs w:val="20"/>
        </w:rPr>
        <w:t>Smith,</w:t>
      </w:r>
      <w:r w:rsidRPr="00C245E9">
        <w:rPr>
          <w:rFonts w:ascii="Times New Roman" w:hAnsi="Times New Roman" w:cs="Times New Roman"/>
          <w:sz w:val="20"/>
          <w:szCs w:val="20"/>
        </w:rPr>
        <w:t xml:space="preserve"> précité, que le droit que protège l'</w:t>
      </w:r>
      <w:hyperlink r:id="rId72" w:anchor="art11_smooth" w:history="1">
        <w:r w:rsidRPr="00C245E9">
          <w:rPr>
            <w:rStyle w:val="Lienhypertexte"/>
            <w:rFonts w:ascii="Times New Roman" w:hAnsi="Times New Roman" w:cs="Times New Roman"/>
            <w:sz w:val="20"/>
            <w:szCs w:val="20"/>
          </w:rPr>
          <w:t>al. 11</w:t>
        </w:r>
        <w:r w:rsidRPr="00C245E9">
          <w:rPr>
            <w:rStyle w:val="Lienhypertexte"/>
            <w:rFonts w:ascii="Times New Roman" w:hAnsi="Times New Roman" w:cs="Times New Roman"/>
            <w:i/>
            <w:iCs/>
            <w:sz w:val="20"/>
            <w:szCs w:val="20"/>
          </w:rPr>
          <w:t>b</w:t>
        </w:r>
        <w:r w:rsidRPr="00C245E9">
          <w:rPr>
            <w:rStyle w:val="Lienhypertexte"/>
            <w:rFonts w:ascii="Times New Roman" w:hAnsi="Times New Roman" w:cs="Times New Roman"/>
            <w:sz w:val="20"/>
            <w:szCs w:val="20"/>
          </w:rPr>
          <w:t>)</w:t>
        </w:r>
      </w:hyperlink>
      <w:r w:rsidRPr="00C245E9">
        <w:rPr>
          <w:rFonts w:ascii="Times New Roman" w:hAnsi="Times New Roman" w:cs="Times New Roman"/>
          <w:sz w:val="20"/>
          <w:szCs w:val="20"/>
        </w:rPr>
        <w:t xml:space="preserve"> n'est pas limité à ceux qui démontrent qu'ils désirent un règlement rapide de leur affaire en faisant valoir le droit d'être jugés dans un délai raisonnable.  Il ressort implicitement de cette conclusion qu'on peut déduire qu'un délai prolongé peut causer un préjudice à l'accusé</w:t>
      </w:r>
      <w:r>
        <w:rPr>
          <w:rFonts w:ascii="Times New Roman" w:hAnsi="Times New Roman" w:cs="Times New Roman"/>
          <w:sz w:val="20"/>
          <w:szCs w:val="20"/>
        </w:rPr>
        <w:t>.</w:t>
      </w:r>
    </w:p>
    <w:p w14:paraId="558CE68B" w14:textId="4402851C" w:rsidR="00386DB4" w:rsidRPr="00386DB4" w:rsidRDefault="00386DB4" w:rsidP="00DD0B8B">
      <w:pPr>
        <w:pStyle w:val="Paragraphedeliste"/>
        <w:widowControl w:val="0"/>
        <w:numPr>
          <w:ilvl w:val="0"/>
          <w:numId w:val="150"/>
        </w:numPr>
        <w:autoSpaceDE w:val="0"/>
        <w:autoSpaceDN w:val="0"/>
        <w:adjustRightInd w:val="0"/>
        <w:spacing w:after="300"/>
        <w:jc w:val="both"/>
        <w:rPr>
          <w:rFonts w:ascii="Times New Roman" w:hAnsi="Times New Roman" w:cs="Times New Roman"/>
          <w:i/>
          <w:color w:val="3E3E3E"/>
          <w:sz w:val="22"/>
          <w:szCs w:val="22"/>
        </w:rPr>
      </w:pPr>
      <w:r w:rsidRPr="00C245E9">
        <w:rPr>
          <w:rFonts w:ascii="Times New Roman" w:hAnsi="Times New Roman" w:cs="Times New Roman"/>
          <w:sz w:val="20"/>
          <w:szCs w:val="20"/>
        </w:rPr>
        <w:t>En conséquence, dans une affaire donnée, on peut déduire qu'il y a eu préjudice en raison de la longueur du délai.  Plus le délai est long, plus il est vraisemblable qu'on pourra faire une telle déduction.  Dans des circonstances où on ne déduit pas qu'il y a eu préjudice et où celui</w:t>
      </w:r>
      <w:r w:rsidRPr="00C245E9">
        <w:rPr>
          <w:rFonts w:ascii="Palatino" w:hAnsi="Palatino" w:cs="Palatino"/>
          <w:sz w:val="20"/>
          <w:szCs w:val="20"/>
        </w:rPr>
        <w:t>‑</w:t>
      </w:r>
      <w:r w:rsidRPr="00C245E9">
        <w:rPr>
          <w:rFonts w:ascii="Times New Roman" w:hAnsi="Times New Roman" w:cs="Times New Roman"/>
          <w:sz w:val="20"/>
          <w:szCs w:val="20"/>
        </w:rPr>
        <w:t>ci n'est pas autrement prouvé, le fondement nécessaire à l'application du droit individuel est gravement ébranlé</w:t>
      </w:r>
      <w:r>
        <w:rPr>
          <w:rFonts w:ascii="Times New Roman" w:hAnsi="Times New Roman" w:cs="Times New Roman"/>
          <w:sz w:val="20"/>
          <w:szCs w:val="20"/>
        </w:rPr>
        <w:t>.</w:t>
      </w:r>
    </w:p>
    <w:p w14:paraId="6B260B3E" w14:textId="286CEDAC" w:rsidR="00386DB4" w:rsidRPr="00386DB4" w:rsidRDefault="00386DB4" w:rsidP="00DD0B8B">
      <w:pPr>
        <w:pStyle w:val="Paragraphedeliste"/>
        <w:widowControl w:val="0"/>
        <w:numPr>
          <w:ilvl w:val="0"/>
          <w:numId w:val="150"/>
        </w:numPr>
        <w:autoSpaceDE w:val="0"/>
        <w:autoSpaceDN w:val="0"/>
        <w:adjustRightInd w:val="0"/>
        <w:spacing w:after="300"/>
        <w:jc w:val="both"/>
        <w:rPr>
          <w:rFonts w:ascii="Times New Roman" w:hAnsi="Times New Roman" w:cs="Times New Roman"/>
          <w:i/>
          <w:color w:val="3E3E3E"/>
          <w:sz w:val="22"/>
          <w:szCs w:val="22"/>
        </w:rPr>
      </w:pPr>
      <w:r w:rsidRPr="00C245E9">
        <w:rPr>
          <w:rFonts w:ascii="Times New Roman" w:hAnsi="Times New Roman" w:cs="Times New Roman"/>
          <w:sz w:val="20"/>
          <w:szCs w:val="20"/>
        </w:rPr>
        <w:t>Il n'est pas nécessaire que l'accusé fasse valoir son droit d'être jugé dans un délai raisonnable, mais on a déjà affirmé avec conviction que, dans beaucoup de cas, l'accusé n'est pas intéressé à être jugé rapidement et le délai joue en sa faveur</w:t>
      </w:r>
      <w:r>
        <w:rPr>
          <w:rFonts w:ascii="Times New Roman" w:hAnsi="Times New Roman" w:cs="Times New Roman"/>
          <w:sz w:val="20"/>
          <w:szCs w:val="20"/>
        </w:rPr>
        <w:t>.</w:t>
      </w:r>
    </w:p>
    <w:p w14:paraId="648893E5" w14:textId="6FD8C619" w:rsidR="00386DB4" w:rsidRPr="00386DB4" w:rsidRDefault="00386DB4" w:rsidP="00DD0B8B">
      <w:pPr>
        <w:pStyle w:val="Paragraphedeliste"/>
        <w:widowControl w:val="0"/>
        <w:numPr>
          <w:ilvl w:val="0"/>
          <w:numId w:val="150"/>
        </w:numPr>
        <w:autoSpaceDE w:val="0"/>
        <w:autoSpaceDN w:val="0"/>
        <w:adjustRightInd w:val="0"/>
        <w:spacing w:after="300"/>
        <w:jc w:val="both"/>
        <w:rPr>
          <w:rFonts w:ascii="Times New Roman" w:hAnsi="Times New Roman" w:cs="Times New Roman"/>
          <w:i/>
          <w:color w:val="3E3E3E"/>
          <w:sz w:val="22"/>
          <w:szCs w:val="22"/>
        </w:rPr>
      </w:pPr>
      <w:r w:rsidRPr="00C245E9">
        <w:rPr>
          <w:rFonts w:ascii="Times New Roman" w:hAnsi="Times New Roman" w:cs="Times New Roman"/>
          <w:sz w:val="20"/>
          <w:szCs w:val="20"/>
        </w:rPr>
        <w:t>Le tribunal doit tenir compte de l'action ou de l'inaction de l'accusé qui ne correspond pas à un désir d'être jugé rapidement</w:t>
      </w:r>
      <w:r>
        <w:rPr>
          <w:rFonts w:ascii="Times New Roman" w:hAnsi="Times New Roman" w:cs="Times New Roman"/>
          <w:sz w:val="20"/>
          <w:szCs w:val="20"/>
        </w:rPr>
        <w:t>.</w:t>
      </w:r>
    </w:p>
    <w:p w14:paraId="7C6BA80E" w14:textId="77777777" w:rsidR="00386DB4" w:rsidRDefault="00386DB4" w:rsidP="00386DB4">
      <w:pPr>
        <w:pStyle w:val="Paragraphedeliste"/>
        <w:numPr>
          <w:ilvl w:val="0"/>
          <w:numId w:val="150"/>
        </w:numPr>
        <w:jc w:val="both"/>
        <w:rPr>
          <w:rFonts w:ascii="Times New Roman" w:hAnsi="Times New Roman" w:cs="Times New Roman"/>
          <w:sz w:val="20"/>
          <w:szCs w:val="20"/>
        </w:rPr>
      </w:pPr>
      <w:r w:rsidRPr="00386DB4">
        <w:rPr>
          <w:rFonts w:ascii="Times New Roman" w:hAnsi="Times New Roman" w:cs="Times New Roman"/>
          <w:sz w:val="20"/>
          <w:szCs w:val="20"/>
        </w:rPr>
        <w:t>Néanmoins, en tenant compte de l'inaction de l'accusé, la Cour doit prendre soin de ne pas renverser le principe selon lequel il n'y a aucune obligation juridique de la part de l'accusé de faire valoir le droit.  Toutefois, l'inaction peut être pertinente pour évaluer le degré du préjudice, le cas échéant, qu'un accusé a subi par suite du délai.</w:t>
      </w:r>
    </w:p>
    <w:p w14:paraId="6522B273" w14:textId="77777777" w:rsidR="00386DB4" w:rsidRPr="00386DB4" w:rsidRDefault="00386DB4" w:rsidP="00386DB4">
      <w:pPr>
        <w:pStyle w:val="Paragraphedeliste"/>
        <w:jc w:val="both"/>
        <w:rPr>
          <w:rFonts w:ascii="Times New Roman" w:hAnsi="Times New Roman" w:cs="Times New Roman"/>
          <w:sz w:val="20"/>
          <w:szCs w:val="20"/>
        </w:rPr>
      </w:pPr>
    </w:p>
    <w:p w14:paraId="5BA204A0" w14:textId="77777777" w:rsidR="00386DB4" w:rsidRDefault="00386DB4" w:rsidP="00386DB4">
      <w:pPr>
        <w:jc w:val="both"/>
        <w:rPr>
          <w:rFonts w:ascii="Times New Roman" w:hAnsi="Times New Roman" w:cs="Times New Roman"/>
          <w:sz w:val="22"/>
          <w:szCs w:val="22"/>
        </w:rPr>
      </w:pPr>
      <w:r w:rsidRPr="00386DB4">
        <w:rPr>
          <w:rFonts w:ascii="Times New Roman" w:hAnsi="Times New Roman" w:cs="Times New Roman"/>
          <w:sz w:val="22"/>
          <w:szCs w:val="22"/>
        </w:rPr>
        <w:t xml:space="preserve">Par exemple, l'accusé peut se fonder sur les éléments de preuve qui tendent à démontrer qu'il a subi un préjudice relativement à son droit à la liberté par suite d'un emprisonnement préalable au procès ou de conditions de cautionnement restrictives.  Le préjudice subi par l'accusé relativement au droit à sa sécurité peut être démontré par la preuve d'un stress permanent ou d'une atteinte à sa réputation par suite d'un assujettissement trop long "aux vexations et aux vicissitudes d'une accusation criminelle pendante", pour reprendre les termes adoptés par le juge Lamer dans l'arrêt </w:t>
      </w:r>
      <w:r w:rsidRPr="00386DB4">
        <w:rPr>
          <w:rFonts w:ascii="Times New Roman" w:hAnsi="Times New Roman" w:cs="Times New Roman"/>
          <w:i/>
          <w:iCs/>
          <w:sz w:val="22"/>
          <w:szCs w:val="22"/>
        </w:rPr>
        <w:t>Mills,</w:t>
      </w:r>
      <w:r w:rsidRPr="00386DB4">
        <w:rPr>
          <w:rFonts w:ascii="Times New Roman" w:hAnsi="Times New Roman" w:cs="Times New Roman"/>
          <w:sz w:val="22"/>
          <w:szCs w:val="22"/>
        </w:rPr>
        <w:t xml:space="preserve"> précité, à la p. 919.  Le fait que l'accusé a cherché à obtenir une date de procès rapprochée sera également pertinent.  On peut également présenter des éléments de preuve pour démontrer que le délai a nui à la possibilité pour l'accusé de présenter une défense pleine et entière.</w:t>
      </w:r>
    </w:p>
    <w:p w14:paraId="7F24CE86" w14:textId="77777777" w:rsidR="00386DB4" w:rsidRPr="00386DB4" w:rsidRDefault="00386DB4" w:rsidP="00386DB4">
      <w:pPr>
        <w:jc w:val="both"/>
        <w:rPr>
          <w:rFonts w:ascii="Times New Roman" w:hAnsi="Times New Roman" w:cs="Times New Roman"/>
          <w:sz w:val="22"/>
          <w:szCs w:val="22"/>
        </w:rPr>
      </w:pPr>
    </w:p>
    <w:p w14:paraId="10C4F640" w14:textId="5E7B2502" w:rsidR="00386DB4" w:rsidRPr="00386DB4" w:rsidRDefault="00386DB4" w:rsidP="00386DB4">
      <w:pPr>
        <w:jc w:val="both"/>
        <w:rPr>
          <w:rFonts w:ascii="Times New Roman" w:hAnsi="Times New Roman" w:cs="Times New Roman"/>
          <w:sz w:val="22"/>
          <w:szCs w:val="22"/>
        </w:rPr>
      </w:pPr>
      <w:r w:rsidRPr="00386DB4">
        <w:rPr>
          <w:rFonts w:ascii="Times New Roman" w:hAnsi="Times New Roman" w:cs="Times New Roman"/>
          <w:sz w:val="22"/>
          <w:szCs w:val="22"/>
        </w:rPr>
        <w:t>Inversement, la poursuite peut démontrer au moyen d'éléments de preuve que l'accusé fait partie de la majorité qui ne souhaite pas avoir un procès rapproché et que le délai lui a profité plutôt que de lui causer un préjudice.  La conduite de l'accusé qui ne correspond pas à une renonciation peut servir à démontrer qu'il n'y a pas eu préjudice.  Comme je l'ai mentionné précédemment, le degré du préjudice ou l'absence de celui</w:t>
      </w:r>
      <w:r w:rsidRPr="00386DB4">
        <w:rPr>
          <w:rFonts w:ascii="Palatino" w:hAnsi="Palatino" w:cs="Palatino"/>
          <w:sz w:val="22"/>
          <w:szCs w:val="22"/>
        </w:rPr>
        <w:t>‑</w:t>
      </w:r>
      <w:r w:rsidRPr="00386DB4">
        <w:rPr>
          <w:rFonts w:ascii="Times New Roman" w:hAnsi="Times New Roman" w:cs="Times New Roman"/>
          <w:sz w:val="22"/>
          <w:szCs w:val="22"/>
        </w:rPr>
        <w:t>ci constitue également un facteur important pour déterminer la longueur du délai institutionnel qui sera toléré.  Ce facteur influera sur l'application de toute ligne directrice</w:t>
      </w:r>
      <w:r>
        <w:rPr>
          <w:rFonts w:ascii="Times New Roman" w:hAnsi="Times New Roman" w:cs="Times New Roman"/>
          <w:sz w:val="22"/>
          <w:szCs w:val="22"/>
        </w:rPr>
        <w:t>.</w:t>
      </w:r>
    </w:p>
    <w:p w14:paraId="5437D177" w14:textId="77777777" w:rsidR="00386DB4" w:rsidRPr="00386DB4" w:rsidRDefault="00386DB4" w:rsidP="00386DB4">
      <w:pPr>
        <w:widowControl w:val="0"/>
        <w:autoSpaceDE w:val="0"/>
        <w:autoSpaceDN w:val="0"/>
        <w:adjustRightInd w:val="0"/>
        <w:spacing w:after="300"/>
        <w:jc w:val="both"/>
        <w:rPr>
          <w:rFonts w:ascii="Times New Roman" w:hAnsi="Times New Roman" w:cs="Times New Roman"/>
          <w:i/>
          <w:color w:val="3E3E3E"/>
          <w:sz w:val="22"/>
          <w:szCs w:val="22"/>
        </w:rPr>
      </w:pPr>
    </w:p>
    <w:p w14:paraId="5ED96486" w14:textId="77777777" w:rsidR="00386DB4" w:rsidRDefault="002D6010" w:rsidP="00386DB4">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Chapitre III. Les plaidoyers</w:t>
      </w:r>
      <w:r w:rsidR="00386DB4">
        <w:rPr>
          <w:rFonts w:ascii="Times New Roman" w:hAnsi="Times New Roman" w:cs="Times New Roman"/>
          <w:b/>
          <w:bCs/>
          <w:color w:val="3E3E3E"/>
          <w:sz w:val="22"/>
          <w:szCs w:val="22"/>
        </w:rPr>
        <w:t xml:space="preserve"> (p.26)</w:t>
      </w:r>
    </w:p>
    <w:p w14:paraId="0F4B5ED5" w14:textId="54F2442B" w:rsidR="00386DB4" w:rsidRPr="00386DB4" w:rsidRDefault="00386DB4" w:rsidP="00386DB4">
      <w:pPr>
        <w:widowControl w:val="0"/>
        <w:autoSpaceDE w:val="0"/>
        <w:autoSpaceDN w:val="0"/>
        <w:adjustRightInd w:val="0"/>
        <w:spacing w:after="300"/>
        <w:jc w:val="both"/>
        <w:rPr>
          <w:rFonts w:ascii="Times New Roman" w:hAnsi="Times New Roman" w:cs="Times New Roman"/>
          <w:b/>
          <w:bCs/>
          <w:color w:val="3E3E3E"/>
          <w:sz w:val="22"/>
          <w:szCs w:val="22"/>
        </w:rPr>
      </w:pPr>
      <w:r w:rsidRPr="00C86382">
        <w:rPr>
          <w:rFonts w:ascii="Times New Roman" w:hAnsi="Times New Roman" w:cs="Times New Roman"/>
          <w:sz w:val="22"/>
          <w:szCs w:val="22"/>
        </w:rPr>
        <w:t>À la lecture de l’acte d’accusation (ou de la dénonciation), la défense bénéficie de trois possibilités :</w:t>
      </w:r>
    </w:p>
    <w:p w14:paraId="5981CDD8" w14:textId="77777777" w:rsidR="00386DB4" w:rsidRPr="00C86382" w:rsidRDefault="00386DB4" w:rsidP="00386DB4">
      <w:pPr>
        <w:jc w:val="both"/>
        <w:rPr>
          <w:rFonts w:ascii="Times New Roman" w:hAnsi="Times New Roman" w:cs="Times New Roman"/>
          <w:sz w:val="22"/>
          <w:szCs w:val="22"/>
        </w:rPr>
      </w:pPr>
    </w:p>
    <w:p w14:paraId="63C2C7B6" w14:textId="77777777" w:rsidR="00386DB4" w:rsidRPr="00C86382" w:rsidRDefault="00386DB4" w:rsidP="00386DB4">
      <w:pPr>
        <w:jc w:val="both"/>
        <w:rPr>
          <w:rFonts w:ascii="Times New Roman" w:hAnsi="Times New Roman" w:cs="Times New Roman"/>
          <w:sz w:val="22"/>
          <w:szCs w:val="22"/>
        </w:rPr>
      </w:pPr>
      <w:r w:rsidRPr="00C86382">
        <w:rPr>
          <w:rFonts w:ascii="Times New Roman" w:hAnsi="Times New Roman" w:cs="Times New Roman"/>
          <w:sz w:val="22"/>
          <w:szCs w:val="22"/>
        </w:rPr>
        <w:t>- elle plaide coupable</w:t>
      </w:r>
    </w:p>
    <w:p w14:paraId="42746EB4" w14:textId="77777777" w:rsidR="00386DB4" w:rsidRPr="00C86382" w:rsidRDefault="00386DB4" w:rsidP="00386DB4">
      <w:pPr>
        <w:jc w:val="both"/>
        <w:rPr>
          <w:rFonts w:ascii="Times New Roman" w:hAnsi="Times New Roman" w:cs="Times New Roman"/>
          <w:sz w:val="22"/>
          <w:szCs w:val="22"/>
        </w:rPr>
      </w:pPr>
      <w:r w:rsidRPr="00C86382">
        <w:rPr>
          <w:rFonts w:ascii="Times New Roman" w:hAnsi="Times New Roman" w:cs="Times New Roman"/>
          <w:sz w:val="22"/>
          <w:szCs w:val="22"/>
        </w:rPr>
        <w:t>- elle plaide non-coupable</w:t>
      </w:r>
    </w:p>
    <w:p w14:paraId="0EE9644D" w14:textId="07C7C437" w:rsidR="00386DB4" w:rsidRDefault="00386DB4" w:rsidP="00386DB4">
      <w:pPr>
        <w:widowControl w:val="0"/>
        <w:autoSpaceDE w:val="0"/>
        <w:autoSpaceDN w:val="0"/>
        <w:adjustRightInd w:val="0"/>
        <w:spacing w:after="300"/>
        <w:jc w:val="both"/>
        <w:rPr>
          <w:rFonts w:ascii="Times New Roman" w:hAnsi="Times New Roman" w:cs="Times New Roman"/>
          <w:sz w:val="22"/>
          <w:szCs w:val="22"/>
        </w:rPr>
      </w:pPr>
      <w:r w:rsidRPr="00C86382">
        <w:rPr>
          <w:rFonts w:ascii="Times New Roman" w:hAnsi="Times New Roman" w:cs="Times New Roman"/>
          <w:sz w:val="22"/>
          <w:szCs w:val="22"/>
        </w:rPr>
        <w:t>- elle plaide selon les plaidoyers ou moyens de défense spéciaux</w:t>
      </w:r>
    </w:p>
    <w:p w14:paraId="5B98A2E7" w14:textId="77777777" w:rsidR="00386DB4" w:rsidRPr="00C86382" w:rsidRDefault="00386DB4" w:rsidP="00386DB4">
      <w:pPr>
        <w:jc w:val="both"/>
        <w:rPr>
          <w:rFonts w:ascii="Times New Roman" w:hAnsi="Times New Roman" w:cs="Times New Roman"/>
          <w:sz w:val="22"/>
          <w:szCs w:val="22"/>
        </w:rPr>
      </w:pPr>
      <w:r w:rsidRPr="00C86382">
        <w:rPr>
          <w:rFonts w:ascii="Times New Roman" w:hAnsi="Times New Roman" w:cs="Times New Roman"/>
          <w:sz w:val="22"/>
          <w:szCs w:val="22"/>
        </w:rPr>
        <w:t>Avec le consentement de la Couronne, l’accusé peut plaider non coupable sur l’infraction objet de l’accusation, mais coupable sur une autre infraction résultant de la même transaction criminelle (art. 606(4) C. cr.)</w:t>
      </w:r>
    </w:p>
    <w:p w14:paraId="09AE5EA6" w14:textId="77777777" w:rsidR="00386DB4" w:rsidRPr="00C86382" w:rsidRDefault="00386DB4" w:rsidP="00386DB4">
      <w:pPr>
        <w:jc w:val="both"/>
        <w:rPr>
          <w:rFonts w:ascii="Times New Roman" w:hAnsi="Times New Roman" w:cs="Times New Roman"/>
          <w:sz w:val="22"/>
          <w:szCs w:val="22"/>
        </w:rPr>
      </w:pPr>
    </w:p>
    <w:p w14:paraId="0171BAE9" w14:textId="77777777" w:rsidR="00386DB4" w:rsidRPr="00C86382" w:rsidRDefault="00386DB4" w:rsidP="00386DB4">
      <w:pPr>
        <w:jc w:val="both"/>
        <w:rPr>
          <w:rFonts w:ascii="Times New Roman" w:hAnsi="Times New Roman" w:cs="Times New Roman"/>
          <w:sz w:val="22"/>
          <w:szCs w:val="22"/>
        </w:rPr>
      </w:pPr>
      <w:r w:rsidRPr="00C86382">
        <w:rPr>
          <w:rFonts w:ascii="Times New Roman" w:hAnsi="Times New Roman" w:cs="Times New Roman"/>
          <w:sz w:val="22"/>
          <w:szCs w:val="22"/>
        </w:rPr>
        <w:t>Si la Couronne refuse de consentir, le plaidoyer culpabilité à l’infraction moindre sera nul, et la cour enregistrera le plaidoyer de non-culpabilité.</w:t>
      </w:r>
    </w:p>
    <w:p w14:paraId="031C1D64" w14:textId="77777777" w:rsidR="00386DB4" w:rsidRPr="00C86382" w:rsidRDefault="00386DB4" w:rsidP="00386DB4">
      <w:pPr>
        <w:jc w:val="both"/>
        <w:rPr>
          <w:rFonts w:ascii="Times New Roman" w:hAnsi="Times New Roman" w:cs="Times New Roman"/>
          <w:sz w:val="22"/>
          <w:szCs w:val="22"/>
        </w:rPr>
      </w:pPr>
    </w:p>
    <w:p w14:paraId="68A04744" w14:textId="77777777" w:rsidR="00386DB4" w:rsidRPr="00C86382" w:rsidRDefault="00386DB4" w:rsidP="00386DB4">
      <w:pPr>
        <w:jc w:val="both"/>
        <w:rPr>
          <w:rFonts w:ascii="Times New Roman" w:hAnsi="Times New Roman" w:cs="Times New Roman"/>
          <w:sz w:val="22"/>
          <w:szCs w:val="22"/>
        </w:rPr>
      </w:pPr>
      <w:r w:rsidRPr="00C86382">
        <w:rPr>
          <w:rFonts w:ascii="Times New Roman" w:hAnsi="Times New Roman" w:cs="Times New Roman"/>
          <w:sz w:val="22"/>
          <w:szCs w:val="22"/>
        </w:rPr>
        <w:t xml:space="preserve">Si l’acte d’accusation comporte plusieurs chefs d’accusation, l’accusé doit se prononcer sur chaque chef. </w:t>
      </w:r>
    </w:p>
    <w:p w14:paraId="67DADB0C" w14:textId="77777777" w:rsidR="00386DB4" w:rsidRPr="00C86382" w:rsidRDefault="00386DB4" w:rsidP="00386DB4">
      <w:pPr>
        <w:jc w:val="both"/>
        <w:rPr>
          <w:rFonts w:ascii="Times New Roman" w:hAnsi="Times New Roman" w:cs="Times New Roman"/>
          <w:sz w:val="22"/>
          <w:szCs w:val="22"/>
        </w:rPr>
      </w:pPr>
    </w:p>
    <w:p w14:paraId="521236B2" w14:textId="7AEFE358" w:rsidR="00386DB4" w:rsidRPr="00386DB4" w:rsidRDefault="00386DB4" w:rsidP="00386DB4">
      <w:pPr>
        <w:jc w:val="both"/>
        <w:rPr>
          <w:rFonts w:ascii="Times New Roman" w:hAnsi="Times New Roman" w:cs="Times New Roman"/>
          <w:b/>
          <w:sz w:val="22"/>
          <w:szCs w:val="22"/>
        </w:rPr>
      </w:pPr>
      <w:r w:rsidRPr="00C86382">
        <w:rPr>
          <w:rFonts w:ascii="Times New Roman" w:hAnsi="Times New Roman" w:cs="Times New Roman"/>
          <w:sz w:val="22"/>
          <w:szCs w:val="22"/>
        </w:rPr>
        <w:t>Si l’accusé refuse de se prononcer, le juge du procès doit enregistrer un plaidoyer de non culpabilité (</w:t>
      </w:r>
      <w:r w:rsidRPr="00386DB4">
        <w:rPr>
          <w:rFonts w:ascii="Times New Roman" w:hAnsi="Times New Roman" w:cs="Times New Roman"/>
          <w:b/>
          <w:sz w:val="22"/>
          <w:szCs w:val="22"/>
        </w:rPr>
        <w:t>art. 602(2) C. cr.).</w:t>
      </w:r>
    </w:p>
    <w:p w14:paraId="1FC9349D" w14:textId="77777777" w:rsidR="00386DB4" w:rsidRPr="00386DB4" w:rsidRDefault="00386DB4" w:rsidP="00386DB4">
      <w:pPr>
        <w:rPr>
          <w:rFonts w:ascii="Times New Roman" w:hAnsi="Times New Roman" w:cs="Times New Roman"/>
          <w:b/>
          <w:sz w:val="22"/>
          <w:szCs w:val="22"/>
        </w:rPr>
      </w:pPr>
    </w:p>
    <w:p w14:paraId="04F43EBC" w14:textId="7D1BC168" w:rsidR="00386DB4" w:rsidRDefault="00386DB4" w:rsidP="00386DB4">
      <w:pPr>
        <w:jc w:val="both"/>
        <w:rPr>
          <w:rFonts w:ascii="Times New Roman" w:hAnsi="Times New Roman" w:cs="Times New Roman"/>
          <w:sz w:val="22"/>
          <w:szCs w:val="22"/>
        </w:rPr>
      </w:pPr>
      <w:r>
        <w:rPr>
          <w:rFonts w:ascii="Times New Roman" w:hAnsi="Times New Roman" w:cs="Times New Roman"/>
          <w:sz w:val="22"/>
          <w:szCs w:val="22"/>
        </w:rPr>
        <w:t>Si l’accusé n’</w:t>
      </w:r>
      <w:r w:rsidRPr="00C86382">
        <w:rPr>
          <w:rFonts w:ascii="Times New Roman" w:hAnsi="Times New Roman" w:cs="Times New Roman"/>
          <w:sz w:val="22"/>
          <w:szCs w:val="22"/>
        </w:rPr>
        <w:t>a présenté aucun plaidoyer, toute condamnation ou tout acquittement seront annulés</w:t>
      </w:r>
      <w:r>
        <w:rPr>
          <w:rFonts w:ascii="Times New Roman" w:hAnsi="Times New Roman" w:cs="Times New Roman"/>
          <w:sz w:val="22"/>
          <w:szCs w:val="22"/>
        </w:rPr>
        <w:t>.</w:t>
      </w:r>
    </w:p>
    <w:p w14:paraId="2CD7AD24" w14:textId="7CF29498" w:rsidR="00386DB4" w:rsidRDefault="00386DB4" w:rsidP="00386DB4">
      <w:pPr>
        <w:jc w:val="both"/>
        <w:rPr>
          <w:rFonts w:ascii="Times New Roman" w:hAnsi="Times New Roman" w:cs="Times New Roman"/>
          <w:b/>
          <w:i/>
          <w:sz w:val="22"/>
          <w:szCs w:val="22"/>
        </w:rPr>
      </w:pPr>
      <w:r>
        <w:rPr>
          <w:rFonts w:ascii="Times New Roman" w:hAnsi="Times New Roman" w:cs="Times New Roman"/>
          <w:b/>
          <w:i/>
          <w:sz w:val="22"/>
          <w:szCs w:val="22"/>
        </w:rPr>
        <w:t>Atkinson c. R 1978 (p.27) :</w:t>
      </w:r>
    </w:p>
    <w:p w14:paraId="013B83DC" w14:textId="38758B9C" w:rsidR="00386DB4" w:rsidRPr="005A1351" w:rsidRDefault="005A1351" w:rsidP="00386DB4">
      <w:pPr>
        <w:pStyle w:val="Paragraphedeliste"/>
        <w:numPr>
          <w:ilvl w:val="0"/>
          <w:numId w:val="152"/>
        </w:numPr>
        <w:jc w:val="both"/>
        <w:rPr>
          <w:rFonts w:ascii="Times New Roman" w:hAnsi="Times New Roman" w:cs="Times New Roman"/>
          <w:b/>
          <w:i/>
          <w:sz w:val="22"/>
          <w:szCs w:val="22"/>
        </w:rPr>
      </w:pPr>
      <w:r w:rsidRPr="00BD0A32">
        <w:rPr>
          <w:rFonts w:ascii="Times New Roman" w:hAnsi="Times New Roman" w:cs="Times New Roman"/>
          <w:sz w:val="20"/>
          <w:szCs w:val="20"/>
        </w:rPr>
        <w:t>Cette Cour, le Juge en chef et les juges Pigeon, Beetz et Pratte étant dissidents, est d’avis que puisqu’aucun plaidoyer n’a été présenté après que le magistrat a autorisé un nouveau choix de juridiction, il n’y a pas légalement eu de procès. En conséquence, l’arrêt de la Cour d’appel du Manitoba et l’acquittement prononcé par le magistrat sont infirmés</w:t>
      </w:r>
      <w:r>
        <w:rPr>
          <w:rFonts w:ascii="Times New Roman" w:hAnsi="Times New Roman" w:cs="Times New Roman"/>
          <w:sz w:val="20"/>
          <w:szCs w:val="20"/>
        </w:rPr>
        <w:t>.</w:t>
      </w:r>
    </w:p>
    <w:p w14:paraId="1079B9E4" w14:textId="77777777" w:rsidR="005A1351" w:rsidRDefault="005A1351" w:rsidP="005A1351">
      <w:pPr>
        <w:jc w:val="both"/>
        <w:rPr>
          <w:rFonts w:ascii="Times New Roman" w:hAnsi="Times New Roman" w:cs="Times New Roman"/>
          <w:sz w:val="22"/>
          <w:szCs w:val="22"/>
        </w:rPr>
      </w:pPr>
    </w:p>
    <w:p w14:paraId="5AE756CF" w14:textId="67E5B9DF" w:rsidR="005A1351" w:rsidRPr="005A1351" w:rsidRDefault="005A1351" w:rsidP="005A1351">
      <w:pPr>
        <w:jc w:val="both"/>
        <w:rPr>
          <w:rFonts w:ascii="Times New Roman" w:hAnsi="Times New Roman" w:cs="Times New Roman"/>
          <w:sz w:val="22"/>
          <w:szCs w:val="22"/>
        </w:rPr>
      </w:pPr>
      <w:r>
        <w:rPr>
          <w:rFonts w:ascii="Times New Roman" w:hAnsi="Times New Roman" w:cs="Times New Roman"/>
          <w:sz w:val="22"/>
          <w:szCs w:val="22"/>
        </w:rPr>
        <w:t>Voir l’</w:t>
      </w:r>
      <w:r>
        <w:rPr>
          <w:rFonts w:ascii="Times New Roman" w:hAnsi="Times New Roman" w:cs="Times New Roman"/>
          <w:b/>
          <w:sz w:val="22"/>
          <w:szCs w:val="22"/>
        </w:rPr>
        <w:t xml:space="preserve">article 606 C.cr. </w:t>
      </w:r>
      <w:r>
        <w:rPr>
          <w:rFonts w:ascii="Times New Roman" w:hAnsi="Times New Roman" w:cs="Times New Roman"/>
          <w:sz w:val="22"/>
          <w:szCs w:val="22"/>
        </w:rPr>
        <w:t>concernant le plaidoyer.</w:t>
      </w:r>
    </w:p>
    <w:p w14:paraId="7273B2A0" w14:textId="77777777" w:rsidR="00386DB4" w:rsidRPr="002D6010" w:rsidRDefault="00386DB4" w:rsidP="00386DB4">
      <w:pPr>
        <w:widowControl w:val="0"/>
        <w:autoSpaceDE w:val="0"/>
        <w:autoSpaceDN w:val="0"/>
        <w:adjustRightInd w:val="0"/>
        <w:spacing w:after="300"/>
        <w:jc w:val="both"/>
        <w:rPr>
          <w:rFonts w:ascii="Times New Roman" w:hAnsi="Times New Roman" w:cs="Times New Roman"/>
          <w:color w:val="3E3E3E"/>
          <w:sz w:val="22"/>
          <w:szCs w:val="22"/>
        </w:rPr>
      </w:pPr>
    </w:p>
    <w:p w14:paraId="1BE40116" w14:textId="0DC52956" w:rsidR="002D6010" w:rsidRDefault="002D6010" w:rsidP="002D6010">
      <w:pPr>
        <w:widowControl w:val="0"/>
        <w:autoSpaceDE w:val="0"/>
        <w:autoSpaceDN w:val="0"/>
        <w:adjustRightInd w:val="0"/>
        <w:spacing w:after="300"/>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§1. Le plaidoyer de culpabilité</w:t>
      </w:r>
      <w:r w:rsidR="005A1351">
        <w:rPr>
          <w:rFonts w:ascii="Times New Roman" w:hAnsi="Times New Roman" w:cs="Times New Roman"/>
          <w:b/>
          <w:bCs/>
          <w:color w:val="3E3E3E"/>
          <w:sz w:val="22"/>
          <w:szCs w:val="22"/>
        </w:rPr>
        <w:t xml:space="preserve"> (p.27)</w:t>
      </w:r>
    </w:p>
    <w:p w14:paraId="73187ECB" w14:textId="09970738" w:rsidR="005A1351" w:rsidRDefault="005A1351" w:rsidP="002D6010">
      <w:pPr>
        <w:widowControl w:val="0"/>
        <w:autoSpaceDE w:val="0"/>
        <w:autoSpaceDN w:val="0"/>
        <w:adjustRightInd w:val="0"/>
        <w:spacing w:after="300"/>
        <w:rPr>
          <w:rFonts w:ascii="Times New Roman" w:hAnsi="Times New Roman" w:cs="Times New Roman"/>
          <w:b/>
          <w:sz w:val="22"/>
          <w:szCs w:val="22"/>
        </w:rPr>
      </w:pPr>
      <w:r w:rsidRPr="00C86382">
        <w:rPr>
          <w:rFonts w:ascii="Times New Roman" w:hAnsi="Times New Roman" w:cs="Times New Roman"/>
          <w:sz w:val="22"/>
          <w:szCs w:val="22"/>
        </w:rPr>
        <w:t>Si l’accusé plaide coupable, cela constitue l’admission que la poursuite peut faire la preuve de tous les éléments constitutifs de l’acte criminel reproché et des détails de l’infraction imputée</w:t>
      </w:r>
      <w:r>
        <w:rPr>
          <w:rFonts w:ascii="Times New Roman" w:hAnsi="Times New Roman" w:cs="Times New Roman"/>
          <w:sz w:val="22"/>
          <w:szCs w:val="22"/>
        </w:rPr>
        <w:t>. (</w:t>
      </w:r>
      <w:r>
        <w:rPr>
          <w:rFonts w:ascii="Times New Roman" w:hAnsi="Times New Roman" w:cs="Times New Roman"/>
          <w:b/>
          <w:sz w:val="22"/>
          <w:szCs w:val="22"/>
        </w:rPr>
        <w:t>Adgey c. R 1975)</w:t>
      </w:r>
    </w:p>
    <w:p w14:paraId="04A720E5" w14:textId="1AA5AD10" w:rsidR="005A1351"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Cependant, le plaidoyer de culpabilité ne constitue pas l’admission de circonstances non dévoilées par le chef d’accusation.</w:t>
      </w:r>
      <w:r>
        <w:rPr>
          <w:rFonts w:ascii="Times New Roman" w:hAnsi="Times New Roman" w:cs="Times New Roman"/>
          <w:sz w:val="22"/>
          <w:szCs w:val="22"/>
        </w:rPr>
        <w:t xml:space="preserve"> (</w:t>
      </w:r>
      <w:r w:rsidRPr="005A1351">
        <w:rPr>
          <w:rFonts w:ascii="Times New Roman" w:hAnsi="Times New Roman" w:cs="Times New Roman"/>
          <w:b/>
          <w:sz w:val="22"/>
          <w:szCs w:val="22"/>
        </w:rPr>
        <w:t>R. c. Gardiner 1982</w:t>
      </w:r>
      <w:r>
        <w:rPr>
          <w:rFonts w:ascii="Times New Roman" w:hAnsi="Times New Roman" w:cs="Times New Roman"/>
          <w:sz w:val="22"/>
          <w:szCs w:val="22"/>
        </w:rPr>
        <w:t>)</w:t>
      </w:r>
    </w:p>
    <w:p w14:paraId="0854747B" w14:textId="77777777" w:rsidR="005A1351" w:rsidRDefault="005A1351" w:rsidP="005A1351">
      <w:pPr>
        <w:jc w:val="both"/>
        <w:rPr>
          <w:rFonts w:ascii="Times New Roman" w:hAnsi="Times New Roman" w:cs="Times New Roman"/>
          <w:sz w:val="22"/>
          <w:szCs w:val="22"/>
        </w:rPr>
      </w:pPr>
    </w:p>
    <w:p w14:paraId="51AAAEAB" w14:textId="77777777" w:rsidR="005A1351" w:rsidRPr="005A1351" w:rsidRDefault="005A1351" w:rsidP="005A1351">
      <w:pPr>
        <w:pStyle w:val="Paragraphedeliste"/>
        <w:numPr>
          <w:ilvl w:val="0"/>
          <w:numId w:val="152"/>
        </w:numPr>
        <w:jc w:val="both"/>
        <w:rPr>
          <w:rFonts w:ascii="Times New Roman" w:hAnsi="Times New Roman" w:cs="Times New Roman"/>
          <w:sz w:val="22"/>
          <w:szCs w:val="22"/>
        </w:rPr>
      </w:pPr>
      <w:r w:rsidRPr="005A1351">
        <w:rPr>
          <w:rFonts w:ascii="Times New Roman" w:hAnsi="Times New Roman" w:cs="Times New Roman"/>
          <w:sz w:val="22"/>
          <w:szCs w:val="22"/>
        </w:rPr>
        <w:t>Le tribunal doit s’assurer que l’accusé comprend la nature de l’infraction et les conséquences de son plaidoyer.</w:t>
      </w:r>
    </w:p>
    <w:p w14:paraId="1BFBB9A1" w14:textId="77777777" w:rsidR="005A1351" w:rsidRPr="00C86382" w:rsidRDefault="005A1351" w:rsidP="005A1351">
      <w:pPr>
        <w:jc w:val="both"/>
        <w:rPr>
          <w:rFonts w:ascii="Times New Roman" w:hAnsi="Times New Roman" w:cs="Times New Roman"/>
          <w:sz w:val="22"/>
          <w:szCs w:val="22"/>
        </w:rPr>
      </w:pPr>
    </w:p>
    <w:p w14:paraId="230D1CD2" w14:textId="77777777" w:rsidR="005A1351" w:rsidRPr="005A1351" w:rsidRDefault="005A1351" w:rsidP="005A1351">
      <w:pPr>
        <w:pStyle w:val="Paragraphedeliste"/>
        <w:numPr>
          <w:ilvl w:val="0"/>
          <w:numId w:val="152"/>
        </w:numPr>
        <w:jc w:val="both"/>
        <w:rPr>
          <w:rFonts w:ascii="Times New Roman" w:hAnsi="Times New Roman" w:cs="Times New Roman"/>
          <w:sz w:val="22"/>
          <w:szCs w:val="22"/>
        </w:rPr>
      </w:pPr>
      <w:r w:rsidRPr="005A1351">
        <w:rPr>
          <w:rFonts w:ascii="Times New Roman" w:hAnsi="Times New Roman" w:cs="Times New Roman"/>
          <w:sz w:val="22"/>
          <w:szCs w:val="22"/>
        </w:rPr>
        <w:t>Le tribunal pourra permettre à l’accusé de retirer son plaidoyer s’il est convaincu que l’accusé n’a pas compris les conséquences ou les effets d’un tel plaidoyer, qu’on a exercé des pressions sur lui pour qu’il plaide coupable ou qu’il n’était pas en état d’inscrire un plaidoyer.</w:t>
      </w:r>
    </w:p>
    <w:p w14:paraId="49177B21" w14:textId="77777777" w:rsidR="005A1351" w:rsidRPr="00C86382" w:rsidRDefault="005A1351" w:rsidP="005A1351">
      <w:pPr>
        <w:jc w:val="both"/>
        <w:rPr>
          <w:rFonts w:ascii="Times New Roman" w:hAnsi="Times New Roman" w:cs="Times New Roman"/>
          <w:sz w:val="22"/>
          <w:szCs w:val="22"/>
        </w:rPr>
      </w:pPr>
    </w:p>
    <w:p w14:paraId="24DB8ED6" w14:textId="77777777" w:rsidR="005A1351" w:rsidRPr="005A1351" w:rsidRDefault="005A1351" w:rsidP="005A1351">
      <w:pPr>
        <w:pStyle w:val="Paragraphedeliste"/>
        <w:numPr>
          <w:ilvl w:val="0"/>
          <w:numId w:val="152"/>
        </w:numPr>
        <w:jc w:val="both"/>
        <w:rPr>
          <w:rFonts w:ascii="Times New Roman" w:hAnsi="Times New Roman" w:cs="Times New Roman"/>
          <w:b/>
          <w:bCs/>
          <w:sz w:val="22"/>
          <w:szCs w:val="22"/>
          <w:vertAlign w:val="superscript"/>
        </w:rPr>
      </w:pPr>
      <w:r w:rsidRPr="005A1351">
        <w:rPr>
          <w:rFonts w:ascii="Times New Roman" w:hAnsi="Times New Roman" w:cs="Times New Roman"/>
          <w:sz w:val="22"/>
          <w:szCs w:val="22"/>
        </w:rPr>
        <w:t>Ainsi, avant de recevoir un plaidoyer de culpabilité, le juge du procès doit s’assurer que l’accusé comprend la nature de l’accusation, qu’il plaide coupable volontairement et que les faits qu’on présente peuvent supporter l’accusation.</w:t>
      </w:r>
    </w:p>
    <w:p w14:paraId="16036629" w14:textId="77777777" w:rsidR="005A1351" w:rsidRPr="00C86382" w:rsidRDefault="005A1351" w:rsidP="005A1351">
      <w:pPr>
        <w:jc w:val="both"/>
        <w:rPr>
          <w:rFonts w:ascii="Times New Roman" w:hAnsi="Times New Roman" w:cs="Times New Roman"/>
          <w:sz w:val="22"/>
          <w:szCs w:val="22"/>
        </w:rPr>
      </w:pPr>
    </w:p>
    <w:p w14:paraId="1B72F223" w14:textId="77777777" w:rsidR="005A1351" w:rsidRPr="005A1351" w:rsidRDefault="005A1351" w:rsidP="005A1351">
      <w:pPr>
        <w:pStyle w:val="Paragraphedeliste"/>
        <w:numPr>
          <w:ilvl w:val="0"/>
          <w:numId w:val="152"/>
        </w:numPr>
        <w:jc w:val="both"/>
        <w:rPr>
          <w:rFonts w:ascii="Times New Roman" w:hAnsi="Times New Roman" w:cs="Times New Roman"/>
          <w:sz w:val="22"/>
          <w:szCs w:val="22"/>
        </w:rPr>
      </w:pPr>
      <w:r w:rsidRPr="005A1351">
        <w:rPr>
          <w:rFonts w:ascii="Times New Roman" w:hAnsi="Times New Roman" w:cs="Times New Roman"/>
          <w:sz w:val="22"/>
          <w:szCs w:val="22"/>
        </w:rPr>
        <w:t>Ainsi, l’article 606 (1.1) C.cr. prévoit que le tribunal ne peut accepter un plaidoyer de culpabilité que s’il est convaincu que le prévenu a fait volontairement le plaidoyer, qu’il a compris en le faisant qu’il admettait les éléments essentiels de l’infraction, qu’il en comprend la nature et qu’il comprend les conséquences de sa décision.</w:t>
      </w:r>
    </w:p>
    <w:p w14:paraId="23BFE7E2" w14:textId="77777777" w:rsidR="005A1351" w:rsidRPr="00C86382" w:rsidRDefault="005A1351" w:rsidP="005A1351">
      <w:pPr>
        <w:jc w:val="both"/>
        <w:rPr>
          <w:rFonts w:ascii="Times New Roman" w:hAnsi="Times New Roman" w:cs="Times New Roman"/>
          <w:sz w:val="22"/>
          <w:szCs w:val="22"/>
        </w:rPr>
      </w:pPr>
    </w:p>
    <w:p w14:paraId="142F814D" w14:textId="77777777" w:rsidR="005A1351" w:rsidRPr="005A1351" w:rsidRDefault="005A1351" w:rsidP="005A1351">
      <w:pPr>
        <w:pStyle w:val="Paragraphedeliste"/>
        <w:numPr>
          <w:ilvl w:val="0"/>
          <w:numId w:val="152"/>
        </w:numPr>
        <w:jc w:val="both"/>
        <w:rPr>
          <w:rFonts w:ascii="Times New Roman" w:hAnsi="Times New Roman" w:cs="Times New Roman"/>
          <w:sz w:val="22"/>
          <w:szCs w:val="22"/>
        </w:rPr>
      </w:pPr>
      <w:r w:rsidRPr="005A1351">
        <w:rPr>
          <w:rFonts w:ascii="Times New Roman" w:hAnsi="Times New Roman" w:cs="Times New Roman"/>
          <w:sz w:val="22"/>
          <w:szCs w:val="22"/>
        </w:rPr>
        <w:t>L’article 606 (1.1) C.cr. indique aussi que le tribunal doit être convaincu que le prévenu sait que le tribunal n’est lié par aucun accord entre lui et le poursuivant.</w:t>
      </w:r>
    </w:p>
    <w:p w14:paraId="7D802349" w14:textId="77777777" w:rsidR="005A1351" w:rsidRPr="00C86382" w:rsidRDefault="005A1351" w:rsidP="005A1351">
      <w:pPr>
        <w:jc w:val="both"/>
        <w:rPr>
          <w:rFonts w:ascii="Times New Roman" w:hAnsi="Times New Roman" w:cs="Times New Roman"/>
          <w:sz w:val="22"/>
          <w:szCs w:val="22"/>
        </w:rPr>
      </w:pPr>
    </w:p>
    <w:p w14:paraId="37D6B031" w14:textId="77777777" w:rsidR="005A1351" w:rsidRPr="005A1351" w:rsidRDefault="005A1351" w:rsidP="005A1351">
      <w:pPr>
        <w:pStyle w:val="Paragraphedeliste"/>
        <w:numPr>
          <w:ilvl w:val="0"/>
          <w:numId w:val="152"/>
        </w:numPr>
        <w:jc w:val="both"/>
        <w:rPr>
          <w:rFonts w:ascii="Times New Roman" w:hAnsi="Times New Roman" w:cs="Times New Roman"/>
          <w:sz w:val="22"/>
          <w:szCs w:val="22"/>
        </w:rPr>
      </w:pPr>
      <w:r w:rsidRPr="005A1351">
        <w:rPr>
          <w:rFonts w:ascii="Times New Roman" w:hAnsi="Times New Roman" w:cs="Times New Roman"/>
          <w:sz w:val="22"/>
          <w:szCs w:val="22"/>
        </w:rPr>
        <w:t xml:space="preserve">Lorsqu’un acte d’accusation comporte plus d’un chef d’accusation et que le plaidoyer de </w:t>
      </w:r>
      <w:r w:rsidRPr="005A1351">
        <w:rPr>
          <w:rFonts w:ascii="Times New Roman" w:hAnsi="Times New Roman" w:cs="Times New Roman"/>
          <w:i/>
          <w:iCs/>
          <w:sz w:val="22"/>
          <w:szCs w:val="22"/>
        </w:rPr>
        <w:t>res judicata</w:t>
      </w:r>
      <w:r w:rsidRPr="005A1351">
        <w:rPr>
          <w:rFonts w:ascii="Times New Roman" w:hAnsi="Times New Roman" w:cs="Times New Roman"/>
          <w:sz w:val="22"/>
          <w:szCs w:val="22"/>
        </w:rPr>
        <w:t xml:space="preserve"> peut s’appliquer relativement à deux de ces chefs, un plaidoyer de culpabilité à l’égard du chef d’accusation comportant une peine moindre ne peut être accepté qu’après qu’un verdict au fond a été rendu à l’égard du chef comportant une peine plus onéreuse.</w:t>
      </w:r>
    </w:p>
    <w:p w14:paraId="42320744" w14:textId="77777777" w:rsidR="005A1351" w:rsidRPr="00C86382" w:rsidRDefault="005A1351" w:rsidP="005A1351">
      <w:pPr>
        <w:jc w:val="both"/>
        <w:rPr>
          <w:rFonts w:ascii="Times New Roman" w:hAnsi="Times New Roman" w:cs="Times New Roman"/>
          <w:sz w:val="22"/>
          <w:szCs w:val="22"/>
        </w:rPr>
      </w:pPr>
    </w:p>
    <w:p w14:paraId="144D8FC7"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L’accusé peut aussi plaider coupable à une autre infraction ou à une infraction moindre et incluse à l’acte criminel reproché par l’acte d’accusation. En effet, en vertu de l’article 606 (4) C.cr., l’accusé peut plaider non coupable relativement à l’acte criminel, mais plaider coupable à une autre infraction ou à une infraction moindre et incluse. Le tribunal n’est pas tenu d’accepter le plaidoyer de culpabilité relatif à l’infraction moindre et incluse ou une autre infraction, mais il peut, à sa discrétion et avec le consentement du poursuivant, accepter un tel plaidoyer.</w:t>
      </w:r>
    </w:p>
    <w:p w14:paraId="7E91711F" w14:textId="77777777" w:rsidR="005A1351" w:rsidRPr="00C86382" w:rsidRDefault="005A1351" w:rsidP="005A1351">
      <w:pPr>
        <w:jc w:val="both"/>
        <w:rPr>
          <w:rFonts w:ascii="Times New Roman" w:hAnsi="Times New Roman" w:cs="Times New Roman"/>
          <w:sz w:val="22"/>
          <w:szCs w:val="22"/>
        </w:rPr>
      </w:pPr>
    </w:p>
    <w:p w14:paraId="2CADBC6E" w14:textId="77777777" w:rsidR="005A1351" w:rsidRPr="005A1351" w:rsidRDefault="005A1351" w:rsidP="005A1351">
      <w:pPr>
        <w:pStyle w:val="Paragraphedeliste"/>
        <w:numPr>
          <w:ilvl w:val="0"/>
          <w:numId w:val="153"/>
        </w:numPr>
        <w:jc w:val="both"/>
        <w:rPr>
          <w:rFonts w:ascii="Times New Roman" w:hAnsi="Times New Roman" w:cs="Times New Roman"/>
          <w:sz w:val="22"/>
          <w:szCs w:val="22"/>
        </w:rPr>
      </w:pPr>
      <w:r w:rsidRPr="005A1351">
        <w:rPr>
          <w:rFonts w:ascii="Times New Roman" w:hAnsi="Times New Roman" w:cs="Times New Roman"/>
          <w:sz w:val="22"/>
          <w:szCs w:val="22"/>
        </w:rPr>
        <w:t>Dans ce cas, il doit déclarer l’accusé non coupable de l’infraction comprise dans l’acte d’accusation et coupable de l’infraction à l’égard de laquelle il a inscrit un plaidoyer de culpabilité.</w:t>
      </w:r>
    </w:p>
    <w:p w14:paraId="20229FB4" w14:textId="77777777" w:rsidR="005A1351" w:rsidRPr="00C86382" w:rsidRDefault="005A1351" w:rsidP="005A1351">
      <w:pPr>
        <w:jc w:val="both"/>
        <w:rPr>
          <w:rFonts w:ascii="Times New Roman" w:hAnsi="Times New Roman" w:cs="Times New Roman"/>
          <w:sz w:val="22"/>
          <w:szCs w:val="22"/>
        </w:rPr>
      </w:pPr>
    </w:p>
    <w:p w14:paraId="6B558AC3"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Il peut arriver qu’après étude de leur dossier respectif les parties suggèrent au tribunal l’acceptation d’un plaidoyer sur une infraction moindre ou une autre infraction.</w:t>
      </w:r>
    </w:p>
    <w:p w14:paraId="4BB95AE4"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Le prévenu peut accepter de plaider coupable à une autre infraction compte tenu des informations qu’il a obtenues à la suite de la communication de la preuve.</w:t>
      </w:r>
    </w:p>
    <w:p w14:paraId="20E0C701" w14:textId="77777777" w:rsidR="005A1351" w:rsidRPr="00C86382" w:rsidRDefault="005A1351" w:rsidP="005A1351">
      <w:pPr>
        <w:jc w:val="both"/>
        <w:rPr>
          <w:rFonts w:ascii="Times New Roman" w:hAnsi="Times New Roman" w:cs="Times New Roman"/>
          <w:sz w:val="22"/>
          <w:szCs w:val="22"/>
        </w:rPr>
      </w:pPr>
    </w:p>
    <w:p w14:paraId="6A3F3399" w14:textId="77777777" w:rsidR="005A1351" w:rsidRPr="005A1351" w:rsidRDefault="005A1351" w:rsidP="005A1351">
      <w:pPr>
        <w:pStyle w:val="Paragraphedeliste"/>
        <w:numPr>
          <w:ilvl w:val="0"/>
          <w:numId w:val="153"/>
        </w:numPr>
        <w:jc w:val="both"/>
        <w:rPr>
          <w:rFonts w:ascii="Times New Roman" w:hAnsi="Times New Roman" w:cs="Times New Roman"/>
          <w:sz w:val="22"/>
          <w:szCs w:val="22"/>
        </w:rPr>
      </w:pPr>
      <w:r w:rsidRPr="005A1351">
        <w:rPr>
          <w:rFonts w:ascii="Times New Roman" w:hAnsi="Times New Roman" w:cs="Times New Roman"/>
          <w:sz w:val="22"/>
          <w:szCs w:val="22"/>
        </w:rPr>
        <w:t>C’est ce que l’on appelle négociation de plaidoyer (</w:t>
      </w:r>
      <w:r w:rsidRPr="005A1351">
        <w:rPr>
          <w:rFonts w:ascii="Times New Roman" w:hAnsi="Times New Roman" w:cs="Times New Roman"/>
          <w:i/>
          <w:iCs/>
          <w:sz w:val="22"/>
          <w:szCs w:val="22"/>
        </w:rPr>
        <w:t>plea bargaining</w:t>
      </w:r>
      <w:r w:rsidRPr="005A1351">
        <w:rPr>
          <w:rFonts w:ascii="Times New Roman" w:hAnsi="Times New Roman" w:cs="Times New Roman"/>
          <w:sz w:val="22"/>
          <w:szCs w:val="22"/>
        </w:rPr>
        <w:t>). Cette négociation prévoit souvent une suggestion commune quant à la peine.</w:t>
      </w:r>
    </w:p>
    <w:p w14:paraId="15AB644E" w14:textId="77777777" w:rsidR="005A1351" w:rsidRPr="00C86382" w:rsidRDefault="005A1351" w:rsidP="005A1351">
      <w:pPr>
        <w:jc w:val="both"/>
        <w:rPr>
          <w:rFonts w:ascii="Times New Roman" w:hAnsi="Times New Roman" w:cs="Times New Roman"/>
          <w:sz w:val="22"/>
          <w:szCs w:val="22"/>
        </w:rPr>
      </w:pPr>
    </w:p>
    <w:p w14:paraId="6B33B124"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Soulignons que le tribunal n’est jamais tenu d’accepter le plaidoyer en vertu de l’article 606 (4) C.cr., non plus que la suggestion faite par les parties sur la peine.</w:t>
      </w:r>
    </w:p>
    <w:p w14:paraId="391FA3BF" w14:textId="77777777" w:rsidR="005A1351" w:rsidRPr="00C86382" w:rsidRDefault="005A1351" w:rsidP="005A1351">
      <w:pPr>
        <w:jc w:val="both"/>
        <w:rPr>
          <w:rFonts w:ascii="Times New Roman" w:hAnsi="Times New Roman" w:cs="Times New Roman"/>
          <w:sz w:val="22"/>
          <w:szCs w:val="22"/>
        </w:rPr>
      </w:pPr>
    </w:p>
    <w:p w14:paraId="0DD99EFF"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Mentionnons que, généralement, le tribunal considère sérieusement les représentations des procureurs, et, s’il y consent, déclare l’accusé coupable sur le plaidoyer et lui impose la peine suggérée.</w:t>
      </w:r>
    </w:p>
    <w:p w14:paraId="70B5507C" w14:textId="77777777" w:rsidR="005A1351" w:rsidRPr="00C86382" w:rsidRDefault="005A1351" w:rsidP="005A1351">
      <w:pPr>
        <w:jc w:val="both"/>
        <w:rPr>
          <w:rFonts w:ascii="Times New Roman" w:hAnsi="Times New Roman" w:cs="Times New Roman"/>
          <w:sz w:val="22"/>
          <w:szCs w:val="22"/>
        </w:rPr>
      </w:pPr>
    </w:p>
    <w:p w14:paraId="76DD998F"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Le rejet par un juge de la suggestion commune, est assujetti à une procédure préalable dont les composantes essentielles ont été récemment reprises par la Cour d’appel du Québec.</w:t>
      </w:r>
    </w:p>
    <w:p w14:paraId="2E58EE2C"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D’abord, le juge avise les parties du rejet, à ce stade, de la suggestion commune.</w:t>
      </w:r>
    </w:p>
    <w:p w14:paraId="24B5E521" w14:textId="77777777" w:rsidR="005A1351" w:rsidRPr="00C86382" w:rsidRDefault="005A1351" w:rsidP="005A1351">
      <w:pPr>
        <w:jc w:val="both"/>
        <w:rPr>
          <w:rFonts w:ascii="Times New Roman" w:hAnsi="Times New Roman" w:cs="Times New Roman"/>
          <w:sz w:val="22"/>
          <w:szCs w:val="22"/>
        </w:rPr>
      </w:pPr>
    </w:p>
    <w:p w14:paraId="0DD398BB" w14:textId="2FB51C7D" w:rsidR="005A1351"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Puis le juge expose sommairement l’objet de ses préoccupations et doit donner l’occasion aux parties d’y réagir.</w:t>
      </w:r>
    </w:p>
    <w:p w14:paraId="5212AD05" w14:textId="77777777" w:rsidR="005A1351" w:rsidRPr="005A1351" w:rsidRDefault="005A1351" w:rsidP="005A1351">
      <w:pPr>
        <w:jc w:val="both"/>
        <w:rPr>
          <w:rFonts w:ascii="Times New Roman" w:hAnsi="Times New Roman" w:cs="Times New Roman"/>
          <w:sz w:val="22"/>
          <w:szCs w:val="22"/>
        </w:rPr>
      </w:pPr>
    </w:p>
    <w:p w14:paraId="582E2EBA" w14:textId="5C494C84" w:rsidR="002D6010" w:rsidRDefault="002D6010" w:rsidP="002D6010">
      <w:pPr>
        <w:widowControl w:val="0"/>
        <w:autoSpaceDE w:val="0"/>
        <w:autoSpaceDN w:val="0"/>
        <w:adjustRightInd w:val="0"/>
        <w:spacing w:after="300"/>
        <w:rPr>
          <w:rFonts w:ascii="Times New Roman" w:hAnsi="Times New Roman" w:cs="Times New Roman"/>
          <w:b/>
          <w:bCs/>
          <w:color w:val="3E3E3E"/>
          <w:sz w:val="22"/>
          <w:szCs w:val="22"/>
        </w:rPr>
      </w:pPr>
      <w:r w:rsidRPr="002D6010">
        <w:rPr>
          <w:rFonts w:ascii="Times New Roman" w:hAnsi="Times New Roman" w:cs="Times New Roman"/>
          <w:color w:val="3E3E3E"/>
          <w:sz w:val="22"/>
          <w:szCs w:val="22"/>
        </w:rPr>
        <w:t> </w:t>
      </w:r>
      <w:r w:rsidRPr="002D6010">
        <w:rPr>
          <w:rFonts w:ascii="Times New Roman" w:hAnsi="Times New Roman" w:cs="Times New Roman"/>
          <w:b/>
          <w:bCs/>
          <w:color w:val="3E3E3E"/>
          <w:sz w:val="22"/>
          <w:szCs w:val="22"/>
        </w:rPr>
        <w:t>§2. Les plaidoyers spéciaux</w:t>
      </w:r>
      <w:r w:rsidR="005A1351">
        <w:rPr>
          <w:rFonts w:ascii="Times New Roman" w:hAnsi="Times New Roman" w:cs="Times New Roman"/>
          <w:b/>
          <w:bCs/>
          <w:color w:val="3E3E3E"/>
          <w:sz w:val="22"/>
          <w:szCs w:val="22"/>
        </w:rPr>
        <w:t xml:space="preserve"> (p.28)</w:t>
      </w:r>
    </w:p>
    <w:p w14:paraId="77C1AE51" w14:textId="74798F42" w:rsidR="005A1351" w:rsidRDefault="005A1351" w:rsidP="002D6010">
      <w:pPr>
        <w:widowControl w:val="0"/>
        <w:autoSpaceDE w:val="0"/>
        <w:autoSpaceDN w:val="0"/>
        <w:adjustRightInd w:val="0"/>
        <w:spacing w:after="300"/>
        <w:rPr>
          <w:rFonts w:ascii="Times New Roman" w:hAnsi="Times New Roman" w:cs="Times New Roman"/>
          <w:bCs/>
          <w:color w:val="3E3E3E"/>
          <w:sz w:val="22"/>
          <w:szCs w:val="22"/>
        </w:rPr>
      </w:pPr>
      <w:r>
        <w:rPr>
          <w:rFonts w:ascii="Times New Roman" w:hAnsi="Times New Roman" w:cs="Times New Roman"/>
          <w:bCs/>
          <w:color w:val="3E3E3E"/>
          <w:sz w:val="22"/>
          <w:szCs w:val="22"/>
        </w:rPr>
        <w:t>Voir l’article 11 h) de la Charte ainsi que l’article 607 C.cr.</w:t>
      </w:r>
    </w:p>
    <w:p w14:paraId="0739CBDC" w14:textId="77777777" w:rsidR="005A1351" w:rsidRPr="005A1351" w:rsidRDefault="005A1351" w:rsidP="005A1351">
      <w:pPr>
        <w:pStyle w:val="Paragraphedeliste"/>
        <w:numPr>
          <w:ilvl w:val="0"/>
          <w:numId w:val="153"/>
        </w:numPr>
        <w:jc w:val="both"/>
        <w:rPr>
          <w:rFonts w:ascii="Times New Roman" w:hAnsi="Times New Roman" w:cs="Times New Roman"/>
          <w:sz w:val="22"/>
          <w:szCs w:val="22"/>
        </w:rPr>
      </w:pPr>
      <w:r w:rsidRPr="005A1351">
        <w:rPr>
          <w:rFonts w:ascii="Times New Roman" w:hAnsi="Times New Roman" w:cs="Times New Roman"/>
          <w:sz w:val="22"/>
          <w:szCs w:val="22"/>
        </w:rPr>
        <w:t>Le juge statue sans jury sur les défenses d’autrefois acquit, d’autrefois convict et de pardon, avant que l’accusé soit appelé à plaider davantage (art. 607(3) C. cr.).</w:t>
      </w:r>
    </w:p>
    <w:p w14:paraId="4F4E74F6" w14:textId="77777777" w:rsidR="005A1351" w:rsidRPr="00C86382" w:rsidRDefault="005A1351" w:rsidP="005A1351">
      <w:pPr>
        <w:jc w:val="both"/>
        <w:rPr>
          <w:rFonts w:ascii="Times New Roman" w:hAnsi="Times New Roman" w:cs="Times New Roman"/>
          <w:sz w:val="22"/>
          <w:szCs w:val="22"/>
        </w:rPr>
      </w:pPr>
    </w:p>
    <w:p w14:paraId="2C6A5B35" w14:textId="0FE9EA7F" w:rsidR="005A1351" w:rsidRPr="005A1351" w:rsidRDefault="005A1351" w:rsidP="005A1351">
      <w:pPr>
        <w:pStyle w:val="Paragraphedeliste"/>
        <w:widowControl w:val="0"/>
        <w:numPr>
          <w:ilvl w:val="0"/>
          <w:numId w:val="153"/>
        </w:numPr>
        <w:autoSpaceDE w:val="0"/>
        <w:autoSpaceDN w:val="0"/>
        <w:adjustRightInd w:val="0"/>
        <w:spacing w:after="300"/>
        <w:rPr>
          <w:rFonts w:ascii="Times New Roman" w:hAnsi="Times New Roman" w:cs="Times New Roman"/>
          <w:color w:val="3E3E3E"/>
          <w:sz w:val="22"/>
          <w:szCs w:val="22"/>
        </w:rPr>
      </w:pPr>
      <w:r w:rsidRPr="005A1351">
        <w:rPr>
          <w:rFonts w:ascii="Times New Roman" w:hAnsi="Times New Roman" w:cs="Times New Roman"/>
          <w:sz w:val="22"/>
          <w:szCs w:val="22"/>
        </w:rPr>
        <w:t>Si le plaidoyer est accepté, le défendeur le défendeur sera libéré de l’accusation concerné par ce plaidoyer</w:t>
      </w:r>
    </w:p>
    <w:p w14:paraId="3F619D3D" w14:textId="7523806F" w:rsidR="005A1351" w:rsidRDefault="005A1351" w:rsidP="005A1351">
      <w:pPr>
        <w:widowControl w:val="0"/>
        <w:autoSpaceDE w:val="0"/>
        <w:autoSpaceDN w:val="0"/>
        <w:adjustRightInd w:val="0"/>
        <w:spacing w:after="300"/>
        <w:rPr>
          <w:rFonts w:ascii="Times New Roman" w:hAnsi="Times New Roman" w:cs="Times New Roman"/>
          <w:color w:val="3E3E3E"/>
          <w:sz w:val="22"/>
          <w:szCs w:val="22"/>
        </w:rPr>
      </w:pPr>
      <w:r>
        <w:rPr>
          <w:rFonts w:ascii="Times New Roman" w:hAnsi="Times New Roman" w:cs="Times New Roman"/>
          <w:color w:val="3E3E3E"/>
          <w:sz w:val="22"/>
          <w:szCs w:val="22"/>
        </w:rPr>
        <w:t>Voir l’article 609 C.cr. concernant l’identité.</w:t>
      </w:r>
    </w:p>
    <w:p w14:paraId="112F5A6E"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L’accusé contre lequel il a été statué sur les défenses mentionnées au paragraphe (3) peut s’avouer coupable ou nier sa culpabilité (art. 607(4) C. cr.)</w:t>
      </w:r>
    </w:p>
    <w:p w14:paraId="60ACE10F" w14:textId="77777777" w:rsidR="005A1351" w:rsidRPr="00C86382" w:rsidRDefault="005A1351" w:rsidP="005A1351">
      <w:pPr>
        <w:jc w:val="both"/>
        <w:rPr>
          <w:rFonts w:ascii="Times New Roman" w:hAnsi="Times New Roman" w:cs="Times New Roman"/>
          <w:sz w:val="22"/>
          <w:szCs w:val="22"/>
        </w:rPr>
      </w:pPr>
    </w:p>
    <w:p w14:paraId="6342F801" w14:textId="77777777" w:rsidR="005A1351" w:rsidRPr="00C86382" w:rsidRDefault="005A1351" w:rsidP="005A1351">
      <w:pPr>
        <w:jc w:val="both"/>
        <w:rPr>
          <w:rFonts w:ascii="Times New Roman" w:hAnsi="Times New Roman" w:cs="Times New Roman"/>
          <w:sz w:val="22"/>
          <w:szCs w:val="22"/>
        </w:rPr>
      </w:pPr>
      <w:r w:rsidRPr="00C86382">
        <w:rPr>
          <w:rFonts w:ascii="Times New Roman" w:hAnsi="Times New Roman" w:cs="Times New Roman"/>
          <w:sz w:val="22"/>
          <w:szCs w:val="22"/>
        </w:rPr>
        <w:t>Le plaidoyer du pardon est rare. Le défendeur prouve qu’il a obtenu un pardon pour l’infraction pour laquelle il est poursuivi.</w:t>
      </w:r>
    </w:p>
    <w:p w14:paraId="1B312C5C" w14:textId="77777777" w:rsidR="005A1351" w:rsidRPr="00C86382" w:rsidRDefault="005A1351" w:rsidP="005A1351">
      <w:pPr>
        <w:jc w:val="both"/>
        <w:rPr>
          <w:rFonts w:ascii="Times New Roman" w:hAnsi="Times New Roman" w:cs="Times New Roman"/>
          <w:sz w:val="22"/>
          <w:szCs w:val="22"/>
        </w:rPr>
      </w:pPr>
    </w:p>
    <w:p w14:paraId="46E66EA4" w14:textId="13179B2A" w:rsidR="005A1351" w:rsidRDefault="005A1351" w:rsidP="005A1351">
      <w:pPr>
        <w:widowControl w:val="0"/>
        <w:autoSpaceDE w:val="0"/>
        <w:autoSpaceDN w:val="0"/>
        <w:adjustRightInd w:val="0"/>
        <w:spacing w:after="300"/>
        <w:rPr>
          <w:rFonts w:ascii="Times New Roman" w:hAnsi="Times New Roman" w:cs="Times New Roman"/>
          <w:b/>
          <w:sz w:val="22"/>
          <w:szCs w:val="22"/>
        </w:rPr>
      </w:pPr>
      <w:r w:rsidRPr="00C86382">
        <w:rPr>
          <w:rFonts w:ascii="Times New Roman" w:hAnsi="Times New Roman" w:cs="Times New Roman"/>
          <w:sz w:val="22"/>
          <w:szCs w:val="22"/>
        </w:rPr>
        <w:t xml:space="preserve">Les plaidoyers </w:t>
      </w:r>
      <w:r w:rsidRPr="00C86382">
        <w:rPr>
          <w:rFonts w:ascii="Times New Roman" w:hAnsi="Times New Roman" w:cs="Times New Roman"/>
          <w:i/>
          <w:sz w:val="22"/>
          <w:szCs w:val="22"/>
        </w:rPr>
        <w:t xml:space="preserve">autrefois acquis </w:t>
      </w:r>
      <w:r w:rsidRPr="00C86382">
        <w:rPr>
          <w:rFonts w:ascii="Times New Roman" w:hAnsi="Times New Roman" w:cs="Times New Roman"/>
          <w:sz w:val="22"/>
          <w:szCs w:val="22"/>
        </w:rPr>
        <w:t xml:space="preserve">et </w:t>
      </w:r>
      <w:r w:rsidRPr="00C86382">
        <w:rPr>
          <w:rFonts w:ascii="Times New Roman" w:hAnsi="Times New Roman" w:cs="Times New Roman"/>
          <w:i/>
          <w:sz w:val="22"/>
          <w:szCs w:val="22"/>
        </w:rPr>
        <w:t>autrefois convict</w:t>
      </w:r>
      <w:r w:rsidRPr="00C86382">
        <w:rPr>
          <w:rFonts w:ascii="Times New Roman" w:hAnsi="Times New Roman" w:cs="Times New Roman"/>
          <w:sz w:val="22"/>
          <w:szCs w:val="22"/>
        </w:rPr>
        <w:t xml:space="preserve"> peuvent être argués tant dans le cadre d’une procédure sommaire que dans une procédure par acte d’accusation.</w:t>
      </w:r>
      <w:r>
        <w:rPr>
          <w:rFonts w:ascii="Times New Roman" w:hAnsi="Times New Roman" w:cs="Times New Roman"/>
          <w:sz w:val="22"/>
          <w:szCs w:val="22"/>
        </w:rPr>
        <w:t xml:space="preserve"> (</w:t>
      </w:r>
      <w:r>
        <w:rPr>
          <w:rFonts w:ascii="Times New Roman" w:hAnsi="Times New Roman" w:cs="Times New Roman"/>
          <w:b/>
          <w:sz w:val="22"/>
          <w:szCs w:val="22"/>
        </w:rPr>
        <w:t>R v. Riddle 1980)</w:t>
      </w:r>
    </w:p>
    <w:p w14:paraId="0BA84B6A" w14:textId="1198B8E6" w:rsidR="005A1351" w:rsidRDefault="005A1351" w:rsidP="005A1351">
      <w:pPr>
        <w:widowControl w:val="0"/>
        <w:autoSpaceDE w:val="0"/>
        <w:autoSpaceDN w:val="0"/>
        <w:adjustRightInd w:val="0"/>
        <w:spacing w:after="300"/>
        <w:rPr>
          <w:rFonts w:ascii="Times New Roman" w:hAnsi="Times New Roman" w:cs="Times New Roman"/>
          <w:b/>
          <w:sz w:val="22"/>
          <w:szCs w:val="22"/>
        </w:rPr>
      </w:pPr>
      <w:r>
        <w:rPr>
          <w:rFonts w:ascii="Times New Roman" w:hAnsi="Times New Roman" w:cs="Times New Roman"/>
          <w:sz w:val="22"/>
          <w:szCs w:val="22"/>
        </w:rPr>
        <w:t>Ils ne peuvent pas être opposés lors de l’enquête préliminaire (</w:t>
      </w:r>
      <w:r>
        <w:rPr>
          <w:rFonts w:ascii="Times New Roman" w:hAnsi="Times New Roman" w:cs="Times New Roman"/>
          <w:b/>
          <w:sz w:val="22"/>
          <w:szCs w:val="22"/>
        </w:rPr>
        <w:t>Canada c. Schmidt 1987)</w:t>
      </w:r>
    </w:p>
    <w:p w14:paraId="747122DC" w14:textId="2A938360" w:rsidR="005A1351" w:rsidRDefault="005A1351" w:rsidP="005A1351">
      <w:pPr>
        <w:widowControl w:val="0"/>
        <w:autoSpaceDE w:val="0"/>
        <w:autoSpaceDN w:val="0"/>
        <w:adjustRightInd w:val="0"/>
        <w:spacing w:after="300"/>
        <w:rPr>
          <w:rFonts w:ascii="Times New Roman" w:hAnsi="Times New Roman" w:cs="Times New Roman"/>
          <w:sz w:val="22"/>
          <w:szCs w:val="22"/>
        </w:rPr>
      </w:pPr>
      <w:r>
        <w:rPr>
          <w:rFonts w:ascii="Times New Roman" w:hAnsi="Times New Roman" w:cs="Times New Roman"/>
          <w:sz w:val="22"/>
          <w:szCs w:val="22"/>
        </w:rPr>
        <w:t xml:space="preserve">Lorsque l’on plaide </w:t>
      </w:r>
      <w:r>
        <w:rPr>
          <w:rFonts w:ascii="Times New Roman" w:hAnsi="Times New Roman" w:cs="Times New Roman"/>
          <w:i/>
          <w:sz w:val="22"/>
          <w:szCs w:val="22"/>
        </w:rPr>
        <w:t xml:space="preserve">autrefois acquis </w:t>
      </w:r>
      <w:r>
        <w:rPr>
          <w:rFonts w:ascii="Times New Roman" w:hAnsi="Times New Roman" w:cs="Times New Roman"/>
          <w:sz w:val="22"/>
          <w:szCs w:val="22"/>
        </w:rPr>
        <w:t xml:space="preserve">ou </w:t>
      </w:r>
      <w:r>
        <w:rPr>
          <w:rFonts w:ascii="Times New Roman" w:hAnsi="Times New Roman" w:cs="Times New Roman"/>
          <w:i/>
          <w:sz w:val="22"/>
          <w:szCs w:val="22"/>
        </w:rPr>
        <w:t>autrefois convict</w:t>
      </w:r>
      <w:r w:rsidR="00C467FA">
        <w:rPr>
          <w:rFonts w:ascii="Times New Roman" w:hAnsi="Times New Roman" w:cs="Times New Roman"/>
          <w:i/>
          <w:sz w:val="22"/>
          <w:szCs w:val="22"/>
        </w:rPr>
        <w:t> </w:t>
      </w:r>
      <w:r w:rsidR="00C467FA">
        <w:rPr>
          <w:rFonts w:ascii="Times New Roman" w:hAnsi="Times New Roman" w:cs="Times New Roman"/>
          <w:sz w:val="22"/>
          <w:szCs w:val="22"/>
        </w:rPr>
        <w:t xml:space="preserve">: article </w:t>
      </w:r>
      <w:r w:rsidR="00C467FA">
        <w:rPr>
          <w:rFonts w:ascii="Times New Roman" w:hAnsi="Times New Roman" w:cs="Times New Roman"/>
          <w:b/>
          <w:sz w:val="22"/>
          <w:szCs w:val="22"/>
        </w:rPr>
        <w:t>607(5)</w:t>
      </w:r>
      <w:r w:rsidR="00C467FA">
        <w:rPr>
          <w:rFonts w:ascii="Times New Roman" w:hAnsi="Times New Roman" w:cs="Times New Roman"/>
          <w:sz w:val="22"/>
          <w:szCs w:val="22"/>
        </w:rPr>
        <w:t xml:space="preserve"> C.cr.</w:t>
      </w:r>
    </w:p>
    <w:p w14:paraId="2EC71CB5" w14:textId="033EA550" w:rsidR="00C467FA" w:rsidRDefault="00C467FA" w:rsidP="00C467FA">
      <w:pPr>
        <w:jc w:val="both"/>
        <w:rPr>
          <w:rFonts w:ascii="Times New Roman" w:hAnsi="Times New Roman" w:cs="Times New Roman"/>
          <w:sz w:val="22"/>
          <w:szCs w:val="22"/>
        </w:rPr>
      </w:pPr>
      <w:r w:rsidRPr="00C86382">
        <w:rPr>
          <w:rFonts w:ascii="Times New Roman" w:hAnsi="Times New Roman" w:cs="Times New Roman"/>
          <w:sz w:val="22"/>
          <w:szCs w:val="22"/>
        </w:rPr>
        <w:t>On doit montrer que la décision dont s’agit était définitive sur le fond et que le nouveau chef d'accusation doit être le même qu'au premier procès, ou être implicitement inclus dans celui du premier procès, soit en droit, soit en raison de la preuve faite s'il avait alors été légalement possible d'y apporter les modifications nécessaires</w:t>
      </w:r>
      <w:r>
        <w:rPr>
          <w:rFonts w:ascii="Times New Roman" w:hAnsi="Times New Roman" w:cs="Times New Roman"/>
          <w:sz w:val="22"/>
          <w:szCs w:val="22"/>
        </w:rPr>
        <w:t>.</w:t>
      </w:r>
    </w:p>
    <w:p w14:paraId="27A515B6" w14:textId="3215E492" w:rsidR="00C467FA" w:rsidRDefault="00C467FA" w:rsidP="00C467FA">
      <w:pPr>
        <w:jc w:val="both"/>
        <w:rPr>
          <w:rFonts w:ascii="Times New Roman" w:hAnsi="Times New Roman" w:cs="Times New Roman"/>
          <w:b/>
          <w:i/>
          <w:sz w:val="22"/>
          <w:szCs w:val="22"/>
        </w:rPr>
      </w:pPr>
      <w:r>
        <w:rPr>
          <w:rFonts w:ascii="Times New Roman" w:hAnsi="Times New Roman" w:cs="Times New Roman"/>
          <w:b/>
          <w:i/>
          <w:sz w:val="22"/>
          <w:szCs w:val="22"/>
        </w:rPr>
        <w:t>R. c. Van Rassel 1990 (p.29) :</w:t>
      </w:r>
    </w:p>
    <w:p w14:paraId="4497F4EB" w14:textId="77777777" w:rsidR="00C467FA" w:rsidRPr="00C467FA" w:rsidRDefault="00C467FA" w:rsidP="00C467FA">
      <w:pPr>
        <w:pStyle w:val="Paragraphedeliste"/>
        <w:numPr>
          <w:ilvl w:val="0"/>
          <w:numId w:val="154"/>
        </w:numPr>
        <w:jc w:val="both"/>
        <w:rPr>
          <w:rFonts w:ascii="Times New Roman" w:hAnsi="Times New Roman" w:cs="Times New Roman"/>
          <w:sz w:val="20"/>
          <w:szCs w:val="20"/>
        </w:rPr>
      </w:pPr>
      <w:r w:rsidRPr="00C467FA">
        <w:rPr>
          <w:rFonts w:ascii="Times New Roman" w:hAnsi="Times New Roman" w:cs="Times New Roman"/>
          <w:sz w:val="20"/>
          <w:szCs w:val="20"/>
        </w:rPr>
        <w:t>Pour établir la défense d'autrefois acquit, un accusé doit démontrer l'identité des deux accusations portées contre lui.  En particulier, il doit prouver que les deux conditions suivantes sont remplies:  (</w:t>
      </w:r>
      <w:r w:rsidRPr="00C467FA">
        <w:rPr>
          <w:rFonts w:ascii="Times New Roman" w:hAnsi="Times New Roman" w:cs="Times New Roman"/>
          <w:b/>
          <w:sz w:val="20"/>
          <w:szCs w:val="20"/>
        </w:rPr>
        <w:t>1) il doit s'agir de la même affaire, en totalité ou en partie; et (2) le nouveau chef d'accusation doit être le même qu'au premier procès, ou être implicitement inclus dans celui du premier procès, soit en droit, soit en raison de la preuve faite s'il avait alors été légalement possible d'y apporter les modifications nécessaires</w:t>
      </w:r>
      <w:r w:rsidRPr="00C467FA">
        <w:rPr>
          <w:rFonts w:ascii="Times New Roman" w:hAnsi="Times New Roman" w:cs="Times New Roman"/>
          <w:sz w:val="20"/>
          <w:szCs w:val="20"/>
        </w:rPr>
        <w:t>. En l'espèce, l'appelant n'aurait pas pu être condamné sur la base des accusations américaines pour les infractions dont on l'accuse au Canada même si les modifications nécessaires (ne changeant pas le caractère de l'infraction) avaient été faites. Les accusations canadiennes ont pour objet des événements canadiens, elles n'exigent aucune preuve de paiement en échange d'informations ou d'influence illégale, et elles sont fondées sur l'abus de confiance d'un fonctionnaire canadien envers le peuple canadien.  Elles se distinguent donc nettement des accusations américaines.</w:t>
      </w:r>
    </w:p>
    <w:p w14:paraId="0CEE72DC" w14:textId="77777777" w:rsidR="00C467FA" w:rsidRDefault="00C467FA" w:rsidP="00C467FA">
      <w:pPr>
        <w:jc w:val="both"/>
        <w:rPr>
          <w:rFonts w:ascii="Times New Roman" w:hAnsi="Times New Roman" w:cs="Times New Roman"/>
          <w:sz w:val="22"/>
          <w:szCs w:val="22"/>
        </w:rPr>
      </w:pPr>
    </w:p>
    <w:p w14:paraId="2628CA08" w14:textId="0A8F5491" w:rsidR="00C467FA" w:rsidRDefault="00C467FA" w:rsidP="00C467FA">
      <w:pPr>
        <w:jc w:val="both"/>
        <w:rPr>
          <w:rFonts w:ascii="Times New Roman" w:hAnsi="Times New Roman" w:cs="Times New Roman"/>
          <w:sz w:val="22"/>
          <w:szCs w:val="22"/>
        </w:rPr>
      </w:pPr>
      <w:r>
        <w:rPr>
          <w:rFonts w:ascii="Times New Roman" w:hAnsi="Times New Roman" w:cs="Times New Roman"/>
          <w:sz w:val="22"/>
          <w:szCs w:val="22"/>
        </w:rPr>
        <w:t>Les preuves pèsent sur l’accusé ;</w:t>
      </w:r>
    </w:p>
    <w:p w14:paraId="37ABE8A3" w14:textId="402695FE" w:rsidR="00C467FA" w:rsidRPr="00C467FA" w:rsidRDefault="00C467FA" w:rsidP="00C467FA">
      <w:pPr>
        <w:jc w:val="both"/>
        <w:rPr>
          <w:rFonts w:ascii="Times New Roman" w:hAnsi="Times New Roman" w:cs="Times New Roman"/>
          <w:sz w:val="22"/>
          <w:szCs w:val="22"/>
        </w:rPr>
      </w:pPr>
      <w:r>
        <w:rPr>
          <w:rFonts w:ascii="Times New Roman" w:hAnsi="Times New Roman" w:cs="Times New Roman"/>
          <w:sz w:val="22"/>
          <w:szCs w:val="22"/>
        </w:rPr>
        <w:t xml:space="preserve">Les plaidoyers spéciaux doivent intervenir dans des circonstances spécifique comme le dicte </w:t>
      </w:r>
      <w:r>
        <w:rPr>
          <w:rFonts w:ascii="Times New Roman" w:hAnsi="Times New Roman" w:cs="Times New Roman"/>
          <w:b/>
          <w:sz w:val="22"/>
          <w:szCs w:val="22"/>
        </w:rPr>
        <w:t>l’article 610 C.cr.</w:t>
      </w:r>
    </w:p>
    <w:p w14:paraId="4639B44F" w14:textId="77777777" w:rsidR="00C467FA" w:rsidRPr="00C467FA" w:rsidRDefault="00C467FA" w:rsidP="005A1351">
      <w:pPr>
        <w:widowControl w:val="0"/>
        <w:autoSpaceDE w:val="0"/>
        <w:autoSpaceDN w:val="0"/>
        <w:adjustRightInd w:val="0"/>
        <w:spacing w:after="300"/>
        <w:rPr>
          <w:rFonts w:ascii="Times New Roman" w:hAnsi="Times New Roman" w:cs="Times New Roman"/>
          <w:color w:val="3E3E3E"/>
          <w:sz w:val="22"/>
          <w:szCs w:val="22"/>
        </w:rPr>
      </w:pPr>
    </w:p>
    <w:p w14:paraId="2DF719E4" w14:textId="463E6085" w:rsidR="002D6010" w:rsidRDefault="002D6010" w:rsidP="002D6010">
      <w:pPr>
        <w:widowControl w:val="0"/>
        <w:autoSpaceDE w:val="0"/>
        <w:autoSpaceDN w:val="0"/>
        <w:adjustRightInd w:val="0"/>
        <w:spacing w:after="300"/>
        <w:jc w:val="both"/>
        <w:rPr>
          <w:rFonts w:ascii="Times New Roman" w:hAnsi="Times New Roman" w:cs="Times New Roman"/>
          <w:b/>
          <w:bCs/>
          <w:i/>
          <w:iCs/>
          <w:color w:val="3E3E3E"/>
          <w:sz w:val="22"/>
          <w:szCs w:val="22"/>
        </w:rPr>
      </w:pPr>
      <w:r w:rsidRPr="002D6010">
        <w:rPr>
          <w:rFonts w:ascii="Times New Roman" w:hAnsi="Times New Roman" w:cs="Times New Roman"/>
          <w:b/>
          <w:bCs/>
          <w:color w:val="3E3E3E"/>
          <w:sz w:val="22"/>
          <w:szCs w:val="22"/>
        </w:rPr>
        <w:t>§3. </w:t>
      </w:r>
      <w:r w:rsidRPr="002D6010">
        <w:rPr>
          <w:rFonts w:ascii="Times New Roman" w:hAnsi="Times New Roman" w:cs="Times New Roman"/>
          <w:b/>
          <w:bCs/>
          <w:i/>
          <w:iCs/>
          <w:color w:val="3E3E3E"/>
          <w:sz w:val="22"/>
          <w:szCs w:val="22"/>
        </w:rPr>
        <w:t>Res judicata</w:t>
      </w:r>
      <w:r w:rsidR="00C467FA">
        <w:rPr>
          <w:rFonts w:ascii="Times New Roman" w:hAnsi="Times New Roman" w:cs="Times New Roman"/>
          <w:b/>
          <w:bCs/>
          <w:i/>
          <w:iCs/>
          <w:color w:val="3E3E3E"/>
          <w:sz w:val="22"/>
          <w:szCs w:val="22"/>
        </w:rPr>
        <w:t xml:space="preserve"> (p.30)</w:t>
      </w:r>
    </w:p>
    <w:p w14:paraId="4534B1D4" w14:textId="16A073AB" w:rsidR="00C467FA" w:rsidRPr="00C86382" w:rsidRDefault="00C467FA" w:rsidP="00C467FA">
      <w:pPr>
        <w:jc w:val="both"/>
        <w:rPr>
          <w:rFonts w:ascii="Times New Roman" w:hAnsi="Times New Roman" w:cs="Times New Roman"/>
          <w:sz w:val="22"/>
          <w:szCs w:val="22"/>
        </w:rPr>
      </w:pPr>
      <w:r w:rsidRPr="00C86382">
        <w:rPr>
          <w:rFonts w:ascii="Times New Roman" w:hAnsi="Times New Roman" w:cs="Times New Roman"/>
          <w:sz w:val="22"/>
          <w:szCs w:val="22"/>
        </w:rPr>
        <w:t xml:space="preserve">La défense de </w:t>
      </w:r>
      <w:r w:rsidRPr="00C86382">
        <w:rPr>
          <w:rFonts w:ascii="Times New Roman" w:hAnsi="Times New Roman" w:cs="Times New Roman"/>
          <w:i/>
          <w:sz w:val="22"/>
          <w:szCs w:val="22"/>
        </w:rPr>
        <w:t>common law</w:t>
      </w:r>
      <w:r w:rsidRPr="00C86382">
        <w:rPr>
          <w:rFonts w:ascii="Times New Roman" w:hAnsi="Times New Roman" w:cs="Times New Roman"/>
          <w:sz w:val="22"/>
          <w:szCs w:val="22"/>
        </w:rPr>
        <w:t xml:space="preserve"> </w:t>
      </w:r>
      <w:r w:rsidRPr="00C86382">
        <w:rPr>
          <w:rFonts w:ascii="Times New Roman" w:hAnsi="Times New Roman" w:cs="Times New Roman"/>
          <w:i/>
          <w:iCs/>
          <w:sz w:val="22"/>
          <w:szCs w:val="22"/>
        </w:rPr>
        <w:t>res judicata</w:t>
      </w:r>
      <w:r w:rsidRPr="00C86382">
        <w:rPr>
          <w:rFonts w:ascii="Times New Roman" w:hAnsi="Times New Roman" w:cs="Times New Roman"/>
          <w:sz w:val="22"/>
          <w:szCs w:val="22"/>
        </w:rPr>
        <w:t xml:space="preserve"> interdit les condamnations multiples fondées sur un seul comportement.</w:t>
      </w:r>
      <w:r>
        <w:rPr>
          <w:rFonts w:ascii="Times New Roman" w:hAnsi="Times New Roman" w:cs="Times New Roman"/>
          <w:sz w:val="22"/>
          <w:szCs w:val="22"/>
        </w:rPr>
        <w:t xml:space="preserve"> </w:t>
      </w:r>
      <w:r w:rsidRPr="00C86382">
        <w:rPr>
          <w:rFonts w:ascii="Times New Roman" w:hAnsi="Times New Roman" w:cs="Times New Roman"/>
          <w:sz w:val="22"/>
          <w:szCs w:val="22"/>
        </w:rPr>
        <w:t>Il y a deux choses dans cette défense : l’issue estoppel et le principe nul ne peut être condamné deux fois pour la même infraction (double jeopardy).</w:t>
      </w:r>
      <w:r>
        <w:rPr>
          <w:rFonts w:ascii="Times New Roman" w:hAnsi="Times New Roman" w:cs="Times New Roman"/>
          <w:sz w:val="22"/>
          <w:szCs w:val="22"/>
        </w:rPr>
        <w:t xml:space="preserve"> </w:t>
      </w:r>
      <w:r w:rsidRPr="00C86382">
        <w:rPr>
          <w:rFonts w:ascii="Times New Roman" w:hAnsi="Times New Roman" w:cs="Times New Roman"/>
          <w:sz w:val="22"/>
          <w:szCs w:val="22"/>
        </w:rPr>
        <w:t>Le tribunal doit ordonner le rejet d’une accusation contre une personne si une décision antérieurement rendue par un tribunal compétent a conclu à l’inexistence d’un élément essentiel de l’acte criminel dont cette personne est présentement accusée.</w:t>
      </w:r>
      <w:r>
        <w:rPr>
          <w:rFonts w:ascii="Times New Roman" w:hAnsi="Times New Roman" w:cs="Times New Roman"/>
          <w:sz w:val="22"/>
          <w:szCs w:val="22"/>
        </w:rPr>
        <w:t xml:space="preserve"> </w:t>
      </w:r>
      <w:r w:rsidRPr="00C86382">
        <w:rPr>
          <w:rFonts w:ascii="Times New Roman" w:hAnsi="Times New Roman" w:cs="Times New Roman"/>
          <w:sz w:val="22"/>
          <w:szCs w:val="22"/>
        </w:rPr>
        <w:t>La recevabilité de l’</w:t>
      </w:r>
      <w:r w:rsidRPr="00C86382">
        <w:rPr>
          <w:rFonts w:ascii="Times New Roman" w:hAnsi="Times New Roman" w:cs="Times New Roman"/>
          <w:i/>
          <w:iCs/>
          <w:sz w:val="22"/>
          <w:szCs w:val="22"/>
        </w:rPr>
        <w:t>issue estoppel</w:t>
      </w:r>
      <w:r w:rsidRPr="00C86382">
        <w:rPr>
          <w:rFonts w:ascii="Times New Roman" w:hAnsi="Times New Roman" w:cs="Times New Roman"/>
          <w:sz w:val="22"/>
          <w:szCs w:val="22"/>
        </w:rPr>
        <w:t xml:space="preserve"> exige l’identité des parties, l’identité des faits et le verdict antérieur doit en avoir été un d’acquittement prononcé par une cour compétente</w:t>
      </w:r>
    </w:p>
    <w:p w14:paraId="10812A3F" w14:textId="77777777" w:rsidR="00C467FA" w:rsidRDefault="00C467FA" w:rsidP="002D6010">
      <w:pPr>
        <w:widowControl w:val="0"/>
        <w:autoSpaceDE w:val="0"/>
        <w:autoSpaceDN w:val="0"/>
        <w:adjustRightInd w:val="0"/>
        <w:spacing w:after="300"/>
        <w:jc w:val="both"/>
        <w:rPr>
          <w:rFonts w:ascii="Times New Roman" w:hAnsi="Times New Roman" w:cs="Times New Roman"/>
          <w:color w:val="3E3E3E"/>
          <w:sz w:val="22"/>
          <w:szCs w:val="22"/>
        </w:rPr>
      </w:pPr>
    </w:p>
    <w:p w14:paraId="2482204B" w14:textId="1FACD3B2" w:rsidR="00C467FA" w:rsidRDefault="00C467FA" w:rsidP="002D6010">
      <w:pPr>
        <w:widowControl w:val="0"/>
        <w:autoSpaceDE w:val="0"/>
        <w:autoSpaceDN w:val="0"/>
        <w:adjustRightInd w:val="0"/>
        <w:spacing w:after="300"/>
        <w:jc w:val="both"/>
        <w:rPr>
          <w:rFonts w:ascii="Times New Roman" w:hAnsi="Times New Roman" w:cs="Times New Roman"/>
          <w:b/>
          <w:i/>
          <w:color w:val="3E3E3E"/>
          <w:sz w:val="22"/>
          <w:szCs w:val="22"/>
        </w:rPr>
      </w:pPr>
      <w:r>
        <w:rPr>
          <w:rFonts w:ascii="Times New Roman" w:hAnsi="Times New Roman" w:cs="Times New Roman"/>
          <w:b/>
          <w:i/>
          <w:color w:val="3E3E3E"/>
          <w:sz w:val="22"/>
          <w:szCs w:val="22"/>
        </w:rPr>
        <w:t>R. c. Mahalingan 2008 CSC 63 :</w:t>
      </w:r>
    </w:p>
    <w:p w14:paraId="44421800" w14:textId="7C6A84A8" w:rsidR="00C467FA" w:rsidRPr="00C467FA" w:rsidRDefault="00C467FA" w:rsidP="00C467FA">
      <w:pPr>
        <w:pStyle w:val="Paragraphedeliste"/>
        <w:widowControl w:val="0"/>
        <w:numPr>
          <w:ilvl w:val="0"/>
          <w:numId w:val="154"/>
        </w:numPr>
        <w:autoSpaceDE w:val="0"/>
        <w:autoSpaceDN w:val="0"/>
        <w:adjustRightInd w:val="0"/>
        <w:spacing w:after="300"/>
        <w:jc w:val="both"/>
        <w:rPr>
          <w:rFonts w:ascii="Times New Roman" w:hAnsi="Times New Roman" w:cs="Times New Roman"/>
          <w:b/>
          <w:i/>
          <w:color w:val="3E3E3E"/>
          <w:sz w:val="22"/>
          <w:szCs w:val="22"/>
        </w:rPr>
      </w:pPr>
      <w:r w:rsidRPr="002211A0">
        <w:rPr>
          <w:rFonts w:ascii="Times New Roman" w:hAnsi="Times New Roman" w:cs="Times New Roman"/>
          <w:sz w:val="20"/>
          <w:szCs w:val="20"/>
        </w:rPr>
        <w:t>Le premier volet du principe de la chose jugée est parfois appelé préclusion fondée sur la cause d’action en contexte civil, ou protection contre le double péril en contexte criminel.  Lorsqu’on invoque cette préclusion dans une instance donnée, on fait valoir qu’une action donnée ne devrait pas aller de l’avant parce qu’elle repose sur une cause identique à celle d’une instance antérieure.  En droit pénal, le principe de protection contre le double péril prend la forme des plaidoyers d’autrefois acquit et d’autrefois convict</w:t>
      </w:r>
      <w:r>
        <w:rPr>
          <w:rFonts w:ascii="Times New Roman" w:hAnsi="Times New Roman" w:cs="Times New Roman"/>
          <w:sz w:val="20"/>
          <w:szCs w:val="20"/>
        </w:rPr>
        <w:t xml:space="preserve"> [15]</w:t>
      </w:r>
    </w:p>
    <w:p w14:paraId="6903FC02" w14:textId="43337A42" w:rsidR="00C467FA" w:rsidRPr="00C467FA" w:rsidRDefault="00C467FA" w:rsidP="00C467FA">
      <w:pPr>
        <w:pStyle w:val="Paragraphedeliste"/>
        <w:numPr>
          <w:ilvl w:val="0"/>
          <w:numId w:val="154"/>
        </w:numPr>
        <w:jc w:val="both"/>
        <w:rPr>
          <w:rFonts w:ascii="Times New Roman" w:hAnsi="Times New Roman" w:cs="Times New Roman"/>
          <w:sz w:val="20"/>
          <w:szCs w:val="20"/>
        </w:rPr>
      </w:pPr>
      <w:r w:rsidRPr="00C467FA">
        <w:rPr>
          <w:rFonts w:ascii="Times New Roman" w:hAnsi="Times New Roman" w:cs="Times New Roman"/>
          <w:sz w:val="20"/>
          <w:szCs w:val="20"/>
        </w:rPr>
        <w:t>Le second volet du principe de la chose jugée est la préclusion découlant d’une question déjà tranchée.  Dans ce cas, il ne s’agit pas de se demander si les deux instances ont la même cause d’action, mais si une question qui se pose dans une instance n’a pas déjà été tranchée dans une instance antérieure.  Les causes d’actions peuvent différer (et c’est généralement le cas). En droit canadien, cette préclusion s’est historiquement appliquée en matière civile et en matière criminelle.</w:t>
      </w:r>
      <w:r>
        <w:rPr>
          <w:rFonts w:ascii="Times New Roman" w:hAnsi="Times New Roman" w:cs="Times New Roman"/>
          <w:sz w:val="20"/>
          <w:szCs w:val="20"/>
        </w:rPr>
        <w:t xml:space="preserve"> [16]</w:t>
      </w:r>
    </w:p>
    <w:p w14:paraId="477E76FE" w14:textId="59A7C9C2" w:rsidR="00C467FA" w:rsidRPr="00C467FA" w:rsidRDefault="00C467FA" w:rsidP="00C467FA">
      <w:pPr>
        <w:widowControl w:val="0"/>
        <w:autoSpaceDE w:val="0"/>
        <w:autoSpaceDN w:val="0"/>
        <w:adjustRightInd w:val="0"/>
        <w:spacing w:after="300"/>
        <w:jc w:val="both"/>
        <w:rPr>
          <w:rFonts w:ascii="Times New Roman" w:hAnsi="Times New Roman" w:cs="Times New Roman"/>
          <w:b/>
          <w:i/>
          <w:color w:val="3E3E3E"/>
          <w:sz w:val="22"/>
          <w:szCs w:val="22"/>
        </w:rPr>
      </w:pPr>
      <w:r w:rsidRPr="002211A0">
        <w:rPr>
          <w:rFonts w:ascii="Times New Roman" w:hAnsi="Times New Roman" w:cs="Times New Roman"/>
          <w:b/>
          <w:sz w:val="22"/>
          <w:szCs w:val="22"/>
        </w:rPr>
        <w:t xml:space="preserve">Cette défense de </w:t>
      </w:r>
      <w:r w:rsidRPr="002211A0">
        <w:rPr>
          <w:rFonts w:ascii="Times New Roman" w:hAnsi="Times New Roman" w:cs="Times New Roman"/>
          <w:b/>
          <w:i/>
          <w:sz w:val="22"/>
          <w:szCs w:val="22"/>
        </w:rPr>
        <w:t>res judicata</w:t>
      </w:r>
      <w:r w:rsidRPr="002211A0">
        <w:rPr>
          <w:rFonts w:ascii="Times New Roman" w:hAnsi="Times New Roman" w:cs="Times New Roman"/>
          <w:b/>
          <w:sz w:val="22"/>
          <w:szCs w:val="22"/>
        </w:rPr>
        <w:t xml:space="preserve"> doit être soulevée dans le cadre d’un plaidoyer de non-culpabilité</w:t>
      </w:r>
    </w:p>
    <w:p w14:paraId="7BA90C7A" w14:textId="1AAD12E1"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b/>
          <w:bCs/>
          <w:color w:val="3E3E3E"/>
          <w:sz w:val="22"/>
          <w:szCs w:val="22"/>
        </w:rPr>
        <w:t>§4. Le principe Kienapple</w:t>
      </w:r>
      <w:r w:rsidR="00C467FA">
        <w:rPr>
          <w:rFonts w:ascii="Times New Roman" w:hAnsi="Times New Roman" w:cs="Times New Roman"/>
          <w:b/>
          <w:bCs/>
          <w:color w:val="3E3E3E"/>
          <w:sz w:val="22"/>
          <w:szCs w:val="22"/>
        </w:rPr>
        <w:t xml:space="preserve"> (p.30) </w:t>
      </w:r>
      <w:r w:rsidR="00C467FA">
        <w:rPr>
          <w:rFonts w:ascii="Times New Roman" w:hAnsi="Times New Roman" w:cs="Times New Roman"/>
          <w:bCs/>
          <w:color w:val="3E3E3E"/>
          <w:sz w:val="22"/>
          <w:szCs w:val="22"/>
        </w:rPr>
        <w:t xml:space="preserve">ou </w:t>
      </w:r>
      <w:r w:rsidR="00C467FA">
        <w:rPr>
          <w:rFonts w:ascii="Times New Roman" w:hAnsi="Times New Roman" w:cs="Times New Roman"/>
          <w:b/>
          <w:bCs/>
          <w:color w:val="3E3E3E"/>
          <w:sz w:val="22"/>
          <w:szCs w:val="22"/>
        </w:rPr>
        <w:t>le principe des condamnation multiple.</w:t>
      </w:r>
    </w:p>
    <w:p w14:paraId="2F66ED5F" w14:textId="7CBA1282" w:rsidR="00C467FA" w:rsidRDefault="00C467FA" w:rsidP="002D6010">
      <w:pPr>
        <w:widowControl w:val="0"/>
        <w:autoSpaceDE w:val="0"/>
        <w:autoSpaceDN w:val="0"/>
        <w:adjustRightInd w:val="0"/>
        <w:spacing w:after="300"/>
        <w:jc w:val="both"/>
        <w:rPr>
          <w:rFonts w:ascii="Times New Roman" w:hAnsi="Times New Roman" w:cs="Times New Roman"/>
          <w:b/>
          <w:bCs/>
          <w:i/>
          <w:color w:val="3E3E3E"/>
          <w:sz w:val="22"/>
          <w:szCs w:val="22"/>
        </w:rPr>
      </w:pPr>
      <w:r>
        <w:rPr>
          <w:rFonts w:ascii="Times New Roman" w:hAnsi="Times New Roman" w:cs="Times New Roman"/>
          <w:b/>
          <w:bCs/>
          <w:i/>
          <w:color w:val="3E3E3E"/>
          <w:sz w:val="22"/>
          <w:szCs w:val="22"/>
        </w:rPr>
        <w:t>Kienapple c. R 1975.</w:t>
      </w:r>
    </w:p>
    <w:p w14:paraId="7F1604BF" w14:textId="77777777" w:rsidR="00E1112C" w:rsidRPr="00E1112C" w:rsidRDefault="00E1112C" w:rsidP="00E1112C">
      <w:pPr>
        <w:pStyle w:val="Paragraphedeliste"/>
        <w:numPr>
          <w:ilvl w:val="0"/>
          <w:numId w:val="155"/>
        </w:numPr>
        <w:jc w:val="both"/>
        <w:rPr>
          <w:rFonts w:ascii="Times New Roman" w:hAnsi="Times New Roman" w:cs="Times New Roman"/>
          <w:sz w:val="20"/>
          <w:szCs w:val="20"/>
        </w:rPr>
      </w:pPr>
      <w:r w:rsidRPr="00E1112C">
        <w:rPr>
          <w:rFonts w:ascii="Times New Roman" w:hAnsi="Times New Roman" w:cs="Times New Roman"/>
          <w:sz w:val="20"/>
          <w:szCs w:val="20"/>
        </w:rPr>
        <w:t xml:space="preserve">il relève plutôt d’une règle consacrée en </w:t>
      </w:r>
      <w:r w:rsidRPr="00E1112C">
        <w:rPr>
          <w:rFonts w:ascii="Times New Roman" w:hAnsi="Times New Roman" w:cs="Times New Roman"/>
          <w:i/>
          <w:iCs/>
          <w:sz w:val="20"/>
          <w:szCs w:val="20"/>
        </w:rPr>
        <w:t xml:space="preserve">common law </w:t>
      </w:r>
      <w:r w:rsidRPr="00E1112C">
        <w:rPr>
          <w:rFonts w:ascii="Times New Roman" w:hAnsi="Times New Roman" w:cs="Times New Roman"/>
          <w:sz w:val="20"/>
          <w:szCs w:val="20"/>
        </w:rPr>
        <w:t xml:space="preserve">suivant laquelle lorsqu’une personne a été trouvée coupable d’une infraction et punie, par une cour compétente, alors </w:t>
      </w:r>
      <w:r w:rsidRPr="00E1112C">
        <w:rPr>
          <w:rFonts w:ascii="Times New Roman" w:hAnsi="Times New Roman" w:cs="Times New Roman"/>
          <w:i/>
          <w:iCs/>
          <w:sz w:val="20"/>
          <w:szCs w:val="20"/>
        </w:rPr>
        <w:t xml:space="preserve">transit in rem judicatam, </w:t>
      </w:r>
      <w:r w:rsidRPr="00E1112C">
        <w:rPr>
          <w:rFonts w:ascii="Times New Roman" w:hAnsi="Times New Roman" w:cs="Times New Roman"/>
          <w:sz w:val="20"/>
          <w:szCs w:val="20"/>
        </w:rPr>
        <w:t>c’est-à-dire: la condamnation empêche toute procédure subséquente intentée pour la même infraction et la personne ne peut être punie de nouveau pour la même chose; autrement, il y aurait possibilité de deux punitions différentes pour la même infraction.</w:t>
      </w:r>
    </w:p>
    <w:p w14:paraId="0964FE17" w14:textId="120C565C" w:rsidR="00C467FA" w:rsidRPr="00E1112C" w:rsidRDefault="00E1112C" w:rsidP="00C467FA">
      <w:pPr>
        <w:pStyle w:val="Paragraphedeliste"/>
        <w:widowControl w:val="0"/>
        <w:numPr>
          <w:ilvl w:val="0"/>
          <w:numId w:val="155"/>
        </w:numPr>
        <w:autoSpaceDE w:val="0"/>
        <w:autoSpaceDN w:val="0"/>
        <w:adjustRightInd w:val="0"/>
        <w:spacing w:after="300"/>
        <w:jc w:val="both"/>
        <w:rPr>
          <w:rFonts w:ascii="Times New Roman" w:hAnsi="Times New Roman" w:cs="Times New Roman"/>
          <w:b/>
          <w:bCs/>
          <w:i/>
          <w:color w:val="3E3E3E"/>
          <w:sz w:val="22"/>
          <w:szCs w:val="22"/>
        </w:rPr>
      </w:pPr>
      <w:r w:rsidRPr="002211A0">
        <w:rPr>
          <w:rFonts w:ascii="Times New Roman" w:hAnsi="Times New Roman" w:cs="Times New Roman"/>
          <w:sz w:val="20"/>
          <w:szCs w:val="20"/>
        </w:rPr>
        <w:t>A mon avis, l’expression «chose jugée» est celle qui exprime le mieux la théorie qui empêche des condamnations multiples pour le même délit, même si la chose ou affaire sert de fondement à deux infractions distinctes</w:t>
      </w:r>
      <w:r>
        <w:rPr>
          <w:rFonts w:ascii="Times New Roman" w:hAnsi="Times New Roman" w:cs="Times New Roman"/>
          <w:sz w:val="20"/>
          <w:szCs w:val="20"/>
        </w:rPr>
        <w:t>.</w:t>
      </w:r>
    </w:p>
    <w:p w14:paraId="40FF0269" w14:textId="1940E91A" w:rsidR="00E1112C" w:rsidRPr="00E1112C" w:rsidRDefault="00E1112C" w:rsidP="00E1112C">
      <w:pPr>
        <w:widowControl w:val="0"/>
        <w:autoSpaceDE w:val="0"/>
        <w:autoSpaceDN w:val="0"/>
        <w:adjustRightInd w:val="0"/>
        <w:spacing w:after="300"/>
        <w:jc w:val="both"/>
        <w:rPr>
          <w:rFonts w:ascii="Times New Roman" w:hAnsi="Times New Roman" w:cs="Times New Roman"/>
          <w:bCs/>
          <w:color w:val="3E3E3E"/>
          <w:sz w:val="22"/>
          <w:szCs w:val="22"/>
        </w:rPr>
      </w:pPr>
      <w:r>
        <w:rPr>
          <w:rFonts w:ascii="Times New Roman" w:hAnsi="Times New Roman" w:cs="Times New Roman"/>
          <w:bCs/>
          <w:color w:val="3E3E3E"/>
          <w:sz w:val="22"/>
          <w:szCs w:val="22"/>
        </w:rPr>
        <w:t>En bref, le principe est à l’effet que «nul ne peut être condamné pour la même infraction.</w:t>
      </w:r>
    </w:p>
    <w:p w14:paraId="28E60780" w14:textId="77777777" w:rsidR="00C467FA" w:rsidRPr="00C467FA" w:rsidRDefault="00C467FA" w:rsidP="002D6010">
      <w:pPr>
        <w:widowControl w:val="0"/>
        <w:autoSpaceDE w:val="0"/>
        <w:autoSpaceDN w:val="0"/>
        <w:adjustRightInd w:val="0"/>
        <w:spacing w:after="300"/>
        <w:jc w:val="both"/>
        <w:rPr>
          <w:rFonts w:ascii="Times New Roman" w:hAnsi="Times New Roman" w:cs="Times New Roman"/>
          <w:color w:val="3E3E3E"/>
          <w:sz w:val="22"/>
          <w:szCs w:val="22"/>
        </w:rPr>
      </w:pPr>
    </w:p>
    <w:p w14:paraId="2D254485" w14:textId="7FE85FB4" w:rsidR="002D6010" w:rsidRDefault="002D6010" w:rsidP="002D6010">
      <w:pPr>
        <w:widowControl w:val="0"/>
        <w:autoSpaceDE w:val="0"/>
        <w:autoSpaceDN w:val="0"/>
        <w:adjustRightInd w:val="0"/>
        <w:spacing w:after="300"/>
        <w:jc w:val="both"/>
        <w:rPr>
          <w:rFonts w:ascii="Times New Roman" w:hAnsi="Times New Roman" w:cs="Times New Roman"/>
          <w:b/>
          <w:bCs/>
          <w:color w:val="3E3E3E"/>
          <w:sz w:val="22"/>
          <w:szCs w:val="22"/>
        </w:rPr>
      </w:pPr>
      <w:r w:rsidRPr="002D6010">
        <w:rPr>
          <w:rFonts w:ascii="Times New Roman" w:hAnsi="Times New Roman" w:cs="Times New Roman"/>
          <w:color w:val="3E3E3E"/>
          <w:sz w:val="22"/>
          <w:szCs w:val="22"/>
        </w:rPr>
        <w:t> </w:t>
      </w:r>
      <w:r w:rsidRPr="002D6010">
        <w:rPr>
          <w:rFonts w:ascii="Times New Roman" w:hAnsi="Times New Roman" w:cs="Times New Roman"/>
          <w:b/>
          <w:bCs/>
          <w:color w:val="3E3E3E"/>
          <w:sz w:val="22"/>
          <w:szCs w:val="22"/>
        </w:rPr>
        <w:t>Chapitre IV. La constitution du Jury (pas à l’examen)</w:t>
      </w:r>
      <w:r w:rsidR="00E1112C">
        <w:rPr>
          <w:rFonts w:ascii="Times New Roman" w:hAnsi="Times New Roman" w:cs="Times New Roman"/>
          <w:b/>
          <w:bCs/>
          <w:color w:val="3E3E3E"/>
          <w:sz w:val="22"/>
          <w:szCs w:val="22"/>
        </w:rPr>
        <w:t xml:space="preserve"> (p.31)</w:t>
      </w:r>
    </w:p>
    <w:p w14:paraId="6A3B4C3B" w14:textId="6F268106" w:rsidR="00E1112C" w:rsidRDefault="00E1112C" w:rsidP="00E1112C">
      <w:pPr>
        <w:pStyle w:val="Paragraphedeliste"/>
        <w:widowControl w:val="0"/>
        <w:numPr>
          <w:ilvl w:val="0"/>
          <w:numId w:val="156"/>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Art. 631 à 644C.cr.</w:t>
      </w:r>
    </w:p>
    <w:p w14:paraId="3330BEBD" w14:textId="7012205D" w:rsidR="00E1112C" w:rsidRPr="00E1112C" w:rsidRDefault="00E1112C" w:rsidP="00E1112C">
      <w:pPr>
        <w:pStyle w:val="Paragraphedeliste"/>
        <w:widowControl w:val="0"/>
        <w:numPr>
          <w:ilvl w:val="0"/>
          <w:numId w:val="156"/>
        </w:numPr>
        <w:autoSpaceDE w:val="0"/>
        <w:autoSpaceDN w:val="0"/>
        <w:adjustRightInd w:val="0"/>
        <w:spacing w:after="300"/>
        <w:jc w:val="both"/>
        <w:rPr>
          <w:rFonts w:ascii="Times New Roman" w:hAnsi="Times New Roman" w:cs="Times New Roman"/>
          <w:color w:val="3E3E3E"/>
          <w:sz w:val="22"/>
          <w:szCs w:val="22"/>
        </w:rPr>
      </w:pPr>
      <w:r>
        <w:rPr>
          <w:rFonts w:ascii="Times New Roman" w:hAnsi="Times New Roman" w:cs="Times New Roman"/>
          <w:color w:val="3E3E3E"/>
          <w:sz w:val="22"/>
          <w:szCs w:val="22"/>
        </w:rPr>
        <w:t>Résumé de cette partie par Béliveau-Leclair (p.33 et s.).</w:t>
      </w:r>
    </w:p>
    <w:sectPr w:rsidR="00E1112C" w:rsidRPr="00E1112C" w:rsidSect="00B76612">
      <w:footerReference w:type="even" r:id="rId73"/>
      <w:footerReference w:type="default" r:id="rId74"/>
      <w:pgSz w:w="12240" w:h="15840"/>
      <w:pgMar w:top="1417" w:right="1417" w:bottom="1417" w:left="1417"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84F0D" w14:textId="77777777" w:rsidR="00336EB4" w:rsidRDefault="00336EB4" w:rsidP="00BF6408">
      <w:r>
        <w:separator/>
      </w:r>
    </w:p>
  </w:endnote>
  <w:endnote w:type="continuationSeparator" w:id="0">
    <w:p w14:paraId="4965A1C2" w14:textId="77777777" w:rsidR="00336EB4" w:rsidRDefault="00336EB4" w:rsidP="00BF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merican Typewriter">
    <w:panose1 w:val="02090604020004020304"/>
    <w:charset w:val="00"/>
    <w:family w:val="auto"/>
    <w:pitch w:val="variable"/>
    <w:sig w:usb0="A000006F" w:usb1="00000019" w:usb2="00000000" w:usb3="00000000" w:csb0="000001FB" w:csb1="00000000"/>
  </w:font>
  <w:font w:name="Palatino">
    <w:panose1 w:val="02000500000000000000"/>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B065" w14:textId="77777777" w:rsidR="00336EB4" w:rsidRDefault="00336EB4" w:rsidP="00BF640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0B1045" w14:textId="77777777" w:rsidR="00336EB4" w:rsidRDefault="00336EB4" w:rsidP="00BF640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3F980" w14:textId="77777777" w:rsidR="00336EB4" w:rsidRDefault="00336EB4" w:rsidP="00BF640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96759">
      <w:rPr>
        <w:rStyle w:val="Numrodepage"/>
        <w:noProof/>
      </w:rPr>
      <w:t>1</w:t>
    </w:r>
    <w:r>
      <w:rPr>
        <w:rStyle w:val="Numrodepage"/>
      </w:rPr>
      <w:fldChar w:fldCharType="end"/>
    </w:r>
  </w:p>
  <w:p w14:paraId="15778AFB" w14:textId="77777777" w:rsidR="00336EB4" w:rsidRDefault="00336EB4" w:rsidP="00BF640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DE5F3" w14:textId="77777777" w:rsidR="00336EB4" w:rsidRDefault="00336EB4" w:rsidP="00BF6408">
      <w:r>
        <w:separator/>
      </w:r>
    </w:p>
  </w:footnote>
  <w:footnote w:type="continuationSeparator" w:id="0">
    <w:p w14:paraId="1249541A" w14:textId="77777777" w:rsidR="00336EB4" w:rsidRDefault="00336EB4" w:rsidP="00BF6408">
      <w:r>
        <w:continuationSeparator/>
      </w:r>
    </w:p>
  </w:footnote>
  <w:footnote w:id="1">
    <w:p w14:paraId="4FF84FD5" w14:textId="504841DF" w:rsidR="00336EB4" w:rsidRPr="000E19E5" w:rsidRDefault="00336EB4">
      <w:pPr>
        <w:pStyle w:val="Notedebasdepage"/>
        <w:rPr>
          <w:rFonts w:ascii="Times New Roman" w:hAnsi="Times New Roman" w:cs="Times New Roman"/>
          <w:sz w:val="20"/>
          <w:szCs w:val="20"/>
        </w:rPr>
      </w:pPr>
      <w:r w:rsidRPr="000E19E5">
        <w:rPr>
          <w:rStyle w:val="Marquenotebasdepage"/>
          <w:rFonts w:ascii="Times New Roman" w:hAnsi="Times New Roman" w:cs="Times New Roman"/>
          <w:sz w:val="20"/>
          <w:szCs w:val="20"/>
        </w:rPr>
        <w:footnoteRef/>
      </w:r>
      <w:r w:rsidRPr="000E19E5">
        <w:rPr>
          <w:rFonts w:ascii="Times New Roman" w:hAnsi="Times New Roman" w:cs="Times New Roman"/>
          <w:sz w:val="20"/>
          <w:szCs w:val="20"/>
        </w:rPr>
        <w:t xml:space="preserve"> Dedman c. La Reine, [para 69] in fine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73714"/>
    <w:multiLevelType w:val="hybridMultilevel"/>
    <w:tmpl w:val="90023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744747"/>
    <w:multiLevelType w:val="hybridMultilevel"/>
    <w:tmpl w:val="7C3A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E35AE2"/>
    <w:multiLevelType w:val="hybridMultilevel"/>
    <w:tmpl w:val="D8A4C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09783A"/>
    <w:multiLevelType w:val="hybridMultilevel"/>
    <w:tmpl w:val="3AF2D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5726FE"/>
    <w:multiLevelType w:val="hybridMultilevel"/>
    <w:tmpl w:val="1908A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765E7F"/>
    <w:multiLevelType w:val="hybridMultilevel"/>
    <w:tmpl w:val="0EF04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54E1F8A"/>
    <w:multiLevelType w:val="hybridMultilevel"/>
    <w:tmpl w:val="35DA5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5F4B10"/>
    <w:multiLevelType w:val="hybridMultilevel"/>
    <w:tmpl w:val="6502724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9">
    <w:nsid w:val="05E54FA7"/>
    <w:multiLevelType w:val="hybridMultilevel"/>
    <w:tmpl w:val="EFCAB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094559"/>
    <w:multiLevelType w:val="hybridMultilevel"/>
    <w:tmpl w:val="CA98C0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6CA1539"/>
    <w:multiLevelType w:val="hybridMultilevel"/>
    <w:tmpl w:val="B55AC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6E23A77"/>
    <w:multiLevelType w:val="hybridMultilevel"/>
    <w:tmpl w:val="2A0A3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7A169B8"/>
    <w:multiLevelType w:val="hybridMultilevel"/>
    <w:tmpl w:val="15D86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8351274"/>
    <w:multiLevelType w:val="hybridMultilevel"/>
    <w:tmpl w:val="535EB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87D52AE"/>
    <w:multiLevelType w:val="hybridMultilevel"/>
    <w:tmpl w:val="B4B65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89F5A47"/>
    <w:multiLevelType w:val="hybridMultilevel"/>
    <w:tmpl w:val="B6E4C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93F64D4"/>
    <w:multiLevelType w:val="hybridMultilevel"/>
    <w:tmpl w:val="82B49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99C5A11"/>
    <w:multiLevelType w:val="hybridMultilevel"/>
    <w:tmpl w:val="15D04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B3766FA"/>
    <w:multiLevelType w:val="hybridMultilevel"/>
    <w:tmpl w:val="A4A02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B4E4E19"/>
    <w:multiLevelType w:val="hybridMultilevel"/>
    <w:tmpl w:val="D1FEB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BBB3A2B"/>
    <w:multiLevelType w:val="hybridMultilevel"/>
    <w:tmpl w:val="F03E0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BF26B7E"/>
    <w:multiLevelType w:val="hybridMultilevel"/>
    <w:tmpl w:val="410A9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C321593"/>
    <w:multiLevelType w:val="hybridMultilevel"/>
    <w:tmpl w:val="5C6CF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DEF4D57"/>
    <w:multiLevelType w:val="hybridMultilevel"/>
    <w:tmpl w:val="AF608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0E1C7287"/>
    <w:multiLevelType w:val="hybridMultilevel"/>
    <w:tmpl w:val="75FC9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FA259D7"/>
    <w:multiLevelType w:val="hybridMultilevel"/>
    <w:tmpl w:val="8A6CB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02F0AA4"/>
    <w:multiLevelType w:val="hybridMultilevel"/>
    <w:tmpl w:val="BE2E9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0AC4129"/>
    <w:multiLevelType w:val="hybridMultilevel"/>
    <w:tmpl w:val="EC367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1522B52"/>
    <w:multiLevelType w:val="hybridMultilevel"/>
    <w:tmpl w:val="F6A49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115478E0"/>
    <w:multiLevelType w:val="hybridMultilevel"/>
    <w:tmpl w:val="ECF63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1B17546"/>
    <w:multiLevelType w:val="hybridMultilevel"/>
    <w:tmpl w:val="5ACCD008"/>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2">
    <w:nsid w:val="12E33491"/>
    <w:multiLevelType w:val="hybridMultilevel"/>
    <w:tmpl w:val="5628BA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134A2107"/>
    <w:multiLevelType w:val="hybridMultilevel"/>
    <w:tmpl w:val="E542A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39C6EB5"/>
    <w:multiLevelType w:val="hybridMultilevel"/>
    <w:tmpl w:val="A7061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14151CA5"/>
    <w:multiLevelType w:val="hybridMultilevel"/>
    <w:tmpl w:val="589C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14262DE1"/>
    <w:multiLevelType w:val="hybridMultilevel"/>
    <w:tmpl w:val="7EF4B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143C7699"/>
    <w:multiLevelType w:val="hybridMultilevel"/>
    <w:tmpl w:val="167C1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6742191"/>
    <w:multiLevelType w:val="hybridMultilevel"/>
    <w:tmpl w:val="63D8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7B1071F"/>
    <w:multiLevelType w:val="hybridMultilevel"/>
    <w:tmpl w:val="D83E7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17C80C2B"/>
    <w:multiLevelType w:val="hybridMultilevel"/>
    <w:tmpl w:val="2E7CA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184F3BB2"/>
    <w:multiLevelType w:val="hybridMultilevel"/>
    <w:tmpl w:val="C0088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99B1003"/>
    <w:multiLevelType w:val="hybridMultilevel"/>
    <w:tmpl w:val="22381B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1AE62119"/>
    <w:multiLevelType w:val="hybridMultilevel"/>
    <w:tmpl w:val="73C24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1BF300D0"/>
    <w:multiLevelType w:val="hybridMultilevel"/>
    <w:tmpl w:val="ACB4E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1D601B67"/>
    <w:multiLevelType w:val="hybridMultilevel"/>
    <w:tmpl w:val="E24E5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1E165B1D"/>
    <w:multiLevelType w:val="hybridMultilevel"/>
    <w:tmpl w:val="78FAA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F8B5D7D"/>
    <w:multiLevelType w:val="hybridMultilevel"/>
    <w:tmpl w:val="98905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FF5238A"/>
    <w:multiLevelType w:val="hybridMultilevel"/>
    <w:tmpl w:val="47482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21C5388B"/>
    <w:multiLevelType w:val="hybridMultilevel"/>
    <w:tmpl w:val="1A00F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21EF01AB"/>
    <w:multiLevelType w:val="hybridMultilevel"/>
    <w:tmpl w:val="21180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22A30AA7"/>
    <w:multiLevelType w:val="hybridMultilevel"/>
    <w:tmpl w:val="785AA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22A71833"/>
    <w:multiLevelType w:val="hybridMultilevel"/>
    <w:tmpl w:val="4A64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2356512A"/>
    <w:multiLevelType w:val="hybridMultilevel"/>
    <w:tmpl w:val="78245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25501A34"/>
    <w:multiLevelType w:val="hybridMultilevel"/>
    <w:tmpl w:val="EB8AD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25AC5EFE"/>
    <w:multiLevelType w:val="hybridMultilevel"/>
    <w:tmpl w:val="F4FE4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26250534"/>
    <w:multiLevelType w:val="hybridMultilevel"/>
    <w:tmpl w:val="7BC60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281D2AA5"/>
    <w:multiLevelType w:val="hybridMultilevel"/>
    <w:tmpl w:val="D8F83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28BA1D02"/>
    <w:multiLevelType w:val="hybridMultilevel"/>
    <w:tmpl w:val="36443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92F3844"/>
    <w:multiLevelType w:val="hybridMultilevel"/>
    <w:tmpl w:val="3880E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299C7BCE"/>
    <w:multiLevelType w:val="hybridMultilevel"/>
    <w:tmpl w:val="AFD2B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A180C1C"/>
    <w:multiLevelType w:val="hybridMultilevel"/>
    <w:tmpl w:val="1660C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2AEE2897"/>
    <w:multiLevelType w:val="hybridMultilevel"/>
    <w:tmpl w:val="40F43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B5477F4"/>
    <w:multiLevelType w:val="hybridMultilevel"/>
    <w:tmpl w:val="32821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2B7856BE"/>
    <w:multiLevelType w:val="hybridMultilevel"/>
    <w:tmpl w:val="01963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BDE2A4B"/>
    <w:multiLevelType w:val="hybridMultilevel"/>
    <w:tmpl w:val="079C4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2BE078C8"/>
    <w:multiLevelType w:val="hybridMultilevel"/>
    <w:tmpl w:val="C9708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2C0E611B"/>
    <w:multiLevelType w:val="hybridMultilevel"/>
    <w:tmpl w:val="33D61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2C2D7DCD"/>
    <w:multiLevelType w:val="hybridMultilevel"/>
    <w:tmpl w:val="6C66E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2C36538F"/>
    <w:multiLevelType w:val="hybridMultilevel"/>
    <w:tmpl w:val="92A8A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2C67197D"/>
    <w:multiLevelType w:val="hybridMultilevel"/>
    <w:tmpl w:val="7B4C6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2D7762C2"/>
    <w:multiLevelType w:val="hybridMultilevel"/>
    <w:tmpl w:val="CB226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2D9978CD"/>
    <w:multiLevelType w:val="hybridMultilevel"/>
    <w:tmpl w:val="C0308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F0917C3"/>
    <w:multiLevelType w:val="hybridMultilevel"/>
    <w:tmpl w:val="745C7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318338F3"/>
    <w:multiLevelType w:val="hybridMultilevel"/>
    <w:tmpl w:val="395A9F98"/>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75">
    <w:nsid w:val="32011AC2"/>
    <w:multiLevelType w:val="hybridMultilevel"/>
    <w:tmpl w:val="667E702E"/>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76">
    <w:nsid w:val="32B80411"/>
    <w:multiLevelType w:val="hybridMultilevel"/>
    <w:tmpl w:val="6D3E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38824F5"/>
    <w:multiLevelType w:val="hybridMultilevel"/>
    <w:tmpl w:val="0204A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33AD235A"/>
    <w:multiLevelType w:val="hybridMultilevel"/>
    <w:tmpl w:val="6B7E6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3BB4B4C"/>
    <w:multiLevelType w:val="hybridMultilevel"/>
    <w:tmpl w:val="C82E2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3500113F"/>
    <w:multiLevelType w:val="hybridMultilevel"/>
    <w:tmpl w:val="BB148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35874A3D"/>
    <w:multiLevelType w:val="hybridMultilevel"/>
    <w:tmpl w:val="2C3ED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369D64BB"/>
    <w:multiLevelType w:val="hybridMultilevel"/>
    <w:tmpl w:val="EF24E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36AC1D77"/>
    <w:multiLevelType w:val="hybridMultilevel"/>
    <w:tmpl w:val="03483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370C0133"/>
    <w:multiLevelType w:val="hybridMultilevel"/>
    <w:tmpl w:val="78141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397E68D6"/>
    <w:multiLevelType w:val="hybridMultilevel"/>
    <w:tmpl w:val="5D98F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3A3117C1"/>
    <w:multiLevelType w:val="hybridMultilevel"/>
    <w:tmpl w:val="09BA7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3EE87FB4"/>
    <w:multiLevelType w:val="hybridMultilevel"/>
    <w:tmpl w:val="666480EC"/>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88">
    <w:nsid w:val="3FEA3D89"/>
    <w:multiLevelType w:val="hybridMultilevel"/>
    <w:tmpl w:val="8174C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40541E1B"/>
    <w:multiLevelType w:val="hybridMultilevel"/>
    <w:tmpl w:val="6ED09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41576913"/>
    <w:multiLevelType w:val="hybridMultilevel"/>
    <w:tmpl w:val="58C03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416B71ED"/>
    <w:multiLevelType w:val="hybridMultilevel"/>
    <w:tmpl w:val="D7BA8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41A81487"/>
    <w:multiLevelType w:val="hybridMultilevel"/>
    <w:tmpl w:val="420E8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42B30B3A"/>
    <w:multiLevelType w:val="hybridMultilevel"/>
    <w:tmpl w:val="C7D6E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3487596"/>
    <w:multiLevelType w:val="hybridMultilevel"/>
    <w:tmpl w:val="A010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44B87832"/>
    <w:multiLevelType w:val="hybridMultilevel"/>
    <w:tmpl w:val="D630A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456C7DFF"/>
    <w:multiLevelType w:val="hybridMultilevel"/>
    <w:tmpl w:val="D0DAE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4609189A"/>
    <w:multiLevelType w:val="hybridMultilevel"/>
    <w:tmpl w:val="EB524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65A2EAB"/>
    <w:multiLevelType w:val="hybridMultilevel"/>
    <w:tmpl w:val="1856F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474F5A60"/>
    <w:multiLevelType w:val="hybridMultilevel"/>
    <w:tmpl w:val="502A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8105CE0"/>
    <w:multiLevelType w:val="hybridMultilevel"/>
    <w:tmpl w:val="325A2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48121EC2"/>
    <w:multiLevelType w:val="hybridMultilevel"/>
    <w:tmpl w:val="2A5E9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48FF1A01"/>
    <w:multiLevelType w:val="hybridMultilevel"/>
    <w:tmpl w:val="A4DE7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4B5A0C61"/>
    <w:multiLevelType w:val="hybridMultilevel"/>
    <w:tmpl w:val="4F7CB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4C5A5F30"/>
    <w:multiLevelType w:val="hybridMultilevel"/>
    <w:tmpl w:val="77F20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4D0F0431"/>
    <w:multiLevelType w:val="hybridMultilevel"/>
    <w:tmpl w:val="E4A8B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4FE435D9"/>
    <w:multiLevelType w:val="hybridMultilevel"/>
    <w:tmpl w:val="07DAA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50644C01"/>
    <w:multiLevelType w:val="hybridMultilevel"/>
    <w:tmpl w:val="168EB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529732CF"/>
    <w:multiLevelType w:val="hybridMultilevel"/>
    <w:tmpl w:val="AA760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532A3AF0"/>
    <w:multiLevelType w:val="hybridMultilevel"/>
    <w:tmpl w:val="C2245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54283EE8"/>
    <w:multiLevelType w:val="multilevel"/>
    <w:tmpl w:val="461CEFC6"/>
    <w:lvl w:ilvl="0">
      <w:start w:val="1"/>
      <w:numFmt w:val="decimal"/>
      <w:pStyle w:val="ParaNoNdepar-AltN"/>
      <w:lvlText w:val="[%1]"/>
      <w:lvlJc w:val="left"/>
      <w:pPr>
        <w:tabs>
          <w:tab w:val="num" w:pos="1152"/>
        </w:tabs>
      </w:pPr>
      <w:rPr>
        <w:rFonts w:ascii="Times New Roman" w:hAnsi="Times New Roman" w:cs="Times New Roman" w:hint="default"/>
        <w:sz w:val="24"/>
        <w:szCs w:val="24"/>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1">
    <w:nsid w:val="54F50DB8"/>
    <w:multiLevelType w:val="hybridMultilevel"/>
    <w:tmpl w:val="1E9A5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54F80246"/>
    <w:multiLevelType w:val="hybridMultilevel"/>
    <w:tmpl w:val="43D24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552251BD"/>
    <w:multiLevelType w:val="hybridMultilevel"/>
    <w:tmpl w:val="2318A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5635092C"/>
    <w:multiLevelType w:val="hybridMultilevel"/>
    <w:tmpl w:val="6F5A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6FA72C8"/>
    <w:multiLevelType w:val="hybridMultilevel"/>
    <w:tmpl w:val="58A8A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584057F3"/>
    <w:multiLevelType w:val="hybridMultilevel"/>
    <w:tmpl w:val="BFC0D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58CA0A51"/>
    <w:multiLevelType w:val="hybridMultilevel"/>
    <w:tmpl w:val="261C5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5AC57393"/>
    <w:multiLevelType w:val="hybridMultilevel"/>
    <w:tmpl w:val="3BA21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5BF20B7F"/>
    <w:multiLevelType w:val="hybridMultilevel"/>
    <w:tmpl w:val="AD9EF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5D9D0AEA"/>
    <w:multiLevelType w:val="hybridMultilevel"/>
    <w:tmpl w:val="B91E440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1">
    <w:nsid w:val="5FD400AF"/>
    <w:multiLevelType w:val="hybridMultilevel"/>
    <w:tmpl w:val="8800F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6023794C"/>
    <w:multiLevelType w:val="hybridMultilevel"/>
    <w:tmpl w:val="41688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607C3688"/>
    <w:multiLevelType w:val="hybridMultilevel"/>
    <w:tmpl w:val="2626E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60C70D9E"/>
    <w:multiLevelType w:val="hybridMultilevel"/>
    <w:tmpl w:val="0C825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615B2B45"/>
    <w:multiLevelType w:val="hybridMultilevel"/>
    <w:tmpl w:val="72440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61AD6A5B"/>
    <w:multiLevelType w:val="hybridMultilevel"/>
    <w:tmpl w:val="CD363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62261BDB"/>
    <w:multiLevelType w:val="hybridMultilevel"/>
    <w:tmpl w:val="A6A6D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62E376E6"/>
    <w:multiLevelType w:val="hybridMultilevel"/>
    <w:tmpl w:val="3F1A1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633D6354"/>
    <w:multiLevelType w:val="hybridMultilevel"/>
    <w:tmpl w:val="0486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640F5C58"/>
    <w:multiLevelType w:val="hybridMultilevel"/>
    <w:tmpl w:val="E7F6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647B134F"/>
    <w:multiLevelType w:val="hybridMultilevel"/>
    <w:tmpl w:val="A2A07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64BD040A"/>
    <w:multiLevelType w:val="hybridMultilevel"/>
    <w:tmpl w:val="62B40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650B2C40"/>
    <w:multiLevelType w:val="hybridMultilevel"/>
    <w:tmpl w:val="19A04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65443E64"/>
    <w:multiLevelType w:val="hybridMultilevel"/>
    <w:tmpl w:val="E9805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66743572"/>
    <w:multiLevelType w:val="hybridMultilevel"/>
    <w:tmpl w:val="18A27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668B1F8A"/>
    <w:multiLevelType w:val="hybridMultilevel"/>
    <w:tmpl w:val="3880C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67D51CC0"/>
    <w:multiLevelType w:val="hybridMultilevel"/>
    <w:tmpl w:val="6140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687B09D4"/>
    <w:multiLevelType w:val="hybridMultilevel"/>
    <w:tmpl w:val="9B047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68832538"/>
    <w:multiLevelType w:val="hybridMultilevel"/>
    <w:tmpl w:val="2F564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A080919"/>
    <w:multiLevelType w:val="hybridMultilevel"/>
    <w:tmpl w:val="0B6A6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nsid w:val="6A243A27"/>
    <w:multiLevelType w:val="hybridMultilevel"/>
    <w:tmpl w:val="2E04B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6B2C4218"/>
    <w:multiLevelType w:val="hybridMultilevel"/>
    <w:tmpl w:val="7098E184"/>
    <w:lvl w:ilvl="0" w:tplc="63064502">
      <w:start w:val="1"/>
      <w:numFmt w:val="bullet"/>
      <w:lvlText w:val="-"/>
      <w:lvlJc w:val="left"/>
      <w:pPr>
        <w:ind w:left="1020" w:hanging="360"/>
      </w:pPr>
      <w:rPr>
        <w:rFonts w:ascii="Times New Roman" w:eastAsiaTheme="minorEastAsia" w:hAnsi="Times New Roman" w:cs="Times New Roman" w:hint="default"/>
      </w:rPr>
    </w:lvl>
    <w:lvl w:ilvl="1" w:tplc="040C0003" w:tentative="1">
      <w:start w:val="1"/>
      <w:numFmt w:val="bullet"/>
      <w:lvlText w:val="o"/>
      <w:lvlJc w:val="left"/>
      <w:pPr>
        <w:ind w:left="1740" w:hanging="360"/>
      </w:pPr>
      <w:rPr>
        <w:rFonts w:ascii="Courier New" w:hAnsi="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43">
    <w:nsid w:val="6B7D730D"/>
    <w:multiLevelType w:val="hybridMultilevel"/>
    <w:tmpl w:val="F320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6CCB7685"/>
    <w:multiLevelType w:val="hybridMultilevel"/>
    <w:tmpl w:val="2A42B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6D4D71A3"/>
    <w:multiLevelType w:val="hybridMultilevel"/>
    <w:tmpl w:val="692E6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0FF320B"/>
    <w:multiLevelType w:val="hybridMultilevel"/>
    <w:tmpl w:val="6A3AC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nsid w:val="7159397D"/>
    <w:multiLevelType w:val="hybridMultilevel"/>
    <w:tmpl w:val="E34C7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719E137A"/>
    <w:multiLevelType w:val="hybridMultilevel"/>
    <w:tmpl w:val="0A547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72EC1BBB"/>
    <w:multiLevelType w:val="hybridMultilevel"/>
    <w:tmpl w:val="CE985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742F7B0F"/>
    <w:multiLevelType w:val="hybridMultilevel"/>
    <w:tmpl w:val="0E345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nsid w:val="75673276"/>
    <w:multiLevelType w:val="hybridMultilevel"/>
    <w:tmpl w:val="6CE032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60D2388"/>
    <w:multiLevelType w:val="hybridMultilevel"/>
    <w:tmpl w:val="967A4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nsid w:val="76172CB9"/>
    <w:multiLevelType w:val="hybridMultilevel"/>
    <w:tmpl w:val="21341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769C2388"/>
    <w:multiLevelType w:val="hybridMultilevel"/>
    <w:tmpl w:val="49FE2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nsid w:val="76B97910"/>
    <w:multiLevelType w:val="hybridMultilevel"/>
    <w:tmpl w:val="71507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772A468B"/>
    <w:multiLevelType w:val="hybridMultilevel"/>
    <w:tmpl w:val="2A927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79393F47"/>
    <w:multiLevelType w:val="hybridMultilevel"/>
    <w:tmpl w:val="B1A0F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79934FEB"/>
    <w:multiLevelType w:val="hybridMultilevel"/>
    <w:tmpl w:val="ED463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79C42730"/>
    <w:multiLevelType w:val="hybridMultilevel"/>
    <w:tmpl w:val="9920D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nsid w:val="7A3A6456"/>
    <w:multiLevelType w:val="hybridMultilevel"/>
    <w:tmpl w:val="262E3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nsid w:val="7D1A2E41"/>
    <w:multiLevelType w:val="hybridMultilevel"/>
    <w:tmpl w:val="BA9A4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7E056330"/>
    <w:multiLevelType w:val="hybridMultilevel"/>
    <w:tmpl w:val="DE504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7EE60BC2"/>
    <w:multiLevelType w:val="hybridMultilevel"/>
    <w:tmpl w:val="8D7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40"/>
  </w:num>
  <w:num w:numId="4">
    <w:abstractNumId w:val="34"/>
  </w:num>
  <w:num w:numId="5">
    <w:abstractNumId w:val="75"/>
  </w:num>
  <w:num w:numId="6">
    <w:abstractNumId w:val="134"/>
  </w:num>
  <w:num w:numId="7">
    <w:abstractNumId w:val="31"/>
  </w:num>
  <w:num w:numId="8">
    <w:abstractNumId w:val="43"/>
  </w:num>
  <w:num w:numId="9">
    <w:abstractNumId w:val="13"/>
  </w:num>
  <w:num w:numId="10">
    <w:abstractNumId w:val="133"/>
  </w:num>
  <w:num w:numId="11">
    <w:abstractNumId w:val="85"/>
  </w:num>
  <w:num w:numId="12">
    <w:abstractNumId w:val="69"/>
  </w:num>
  <w:num w:numId="13">
    <w:abstractNumId w:val="154"/>
  </w:num>
  <w:num w:numId="14">
    <w:abstractNumId w:val="162"/>
  </w:num>
  <w:num w:numId="15">
    <w:abstractNumId w:val="6"/>
  </w:num>
  <w:num w:numId="16">
    <w:abstractNumId w:val="120"/>
  </w:num>
  <w:num w:numId="17">
    <w:abstractNumId w:val="63"/>
  </w:num>
  <w:num w:numId="18">
    <w:abstractNumId w:val="16"/>
  </w:num>
  <w:num w:numId="19">
    <w:abstractNumId w:val="37"/>
  </w:num>
  <w:num w:numId="20">
    <w:abstractNumId w:val="124"/>
  </w:num>
  <w:num w:numId="21">
    <w:abstractNumId w:val="20"/>
  </w:num>
  <w:num w:numId="22">
    <w:abstractNumId w:val="113"/>
  </w:num>
  <w:num w:numId="23">
    <w:abstractNumId w:val="29"/>
  </w:num>
  <w:num w:numId="24">
    <w:abstractNumId w:val="87"/>
  </w:num>
  <w:num w:numId="25">
    <w:abstractNumId w:val="161"/>
  </w:num>
  <w:num w:numId="26">
    <w:abstractNumId w:val="123"/>
  </w:num>
  <w:num w:numId="27">
    <w:abstractNumId w:val="27"/>
  </w:num>
  <w:num w:numId="28">
    <w:abstractNumId w:val="32"/>
  </w:num>
  <w:num w:numId="29">
    <w:abstractNumId w:val="78"/>
  </w:num>
  <w:num w:numId="30">
    <w:abstractNumId w:val="104"/>
  </w:num>
  <w:num w:numId="31">
    <w:abstractNumId w:val="136"/>
  </w:num>
  <w:num w:numId="32">
    <w:abstractNumId w:val="90"/>
  </w:num>
  <w:num w:numId="33">
    <w:abstractNumId w:val="132"/>
  </w:num>
  <w:num w:numId="34">
    <w:abstractNumId w:val="147"/>
  </w:num>
  <w:num w:numId="35">
    <w:abstractNumId w:val="59"/>
  </w:num>
  <w:num w:numId="36">
    <w:abstractNumId w:val="74"/>
  </w:num>
  <w:num w:numId="37">
    <w:abstractNumId w:val="149"/>
  </w:num>
  <w:num w:numId="38">
    <w:abstractNumId w:val="46"/>
  </w:num>
  <w:num w:numId="39">
    <w:abstractNumId w:val="112"/>
  </w:num>
  <w:num w:numId="40">
    <w:abstractNumId w:val="130"/>
  </w:num>
  <w:num w:numId="41">
    <w:abstractNumId w:val="77"/>
  </w:num>
  <w:num w:numId="42">
    <w:abstractNumId w:val="11"/>
  </w:num>
  <w:num w:numId="43">
    <w:abstractNumId w:val="38"/>
  </w:num>
  <w:num w:numId="44">
    <w:abstractNumId w:val="153"/>
  </w:num>
  <w:num w:numId="45">
    <w:abstractNumId w:val="108"/>
  </w:num>
  <w:num w:numId="46">
    <w:abstractNumId w:val="163"/>
  </w:num>
  <w:num w:numId="47">
    <w:abstractNumId w:val="7"/>
  </w:num>
  <w:num w:numId="48">
    <w:abstractNumId w:val="14"/>
  </w:num>
  <w:num w:numId="49">
    <w:abstractNumId w:val="54"/>
  </w:num>
  <w:num w:numId="50">
    <w:abstractNumId w:val="70"/>
  </w:num>
  <w:num w:numId="51">
    <w:abstractNumId w:val="1"/>
  </w:num>
  <w:num w:numId="52">
    <w:abstractNumId w:val="159"/>
  </w:num>
  <w:num w:numId="53">
    <w:abstractNumId w:val="42"/>
  </w:num>
  <w:num w:numId="54">
    <w:abstractNumId w:val="95"/>
  </w:num>
  <w:num w:numId="55">
    <w:abstractNumId w:val="48"/>
  </w:num>
  <w:num w:numId="56">
    <w:abstractNumId w:val="94"/>
  </w:num>
  <w:num w:numId="57">
    <w:abstractNumId w:val="119"/>
  </w:num>
  <w:num w:numId="58">
    <w:abstractNumId w:val="86"/>
  </w:num>
  <w:num w:numId="59">
    <w:abstractNumId w:val="22"/>
  </w:num>
  <w:num w:numId="60">
    <w:abstractNumId w:val="148"/>
  </w:num>
  <w:num w:numId="61">
    <w:abstractNumId w:val="127"/>
  </w:num>
  <w:num w:numId="62">
    <w:abstractNumId w:val="98"/>
  </w:num>
  <w:num w:numId="63">
    <w:abstractNumId w:val="80"/>
  </w:num>
  <w:num w:numId="64">
    <w:abstractNumId w:val="73"/>
  </w:num>
  <w:num w:numId="65">
    <w:abstractNumId w:val="101"/>
  </w:num>
  <w:num w:numId="66">
    <w:abstractNumId w:val="65"/>
  </w:num>
  <w:num w:numId="67">
    <w:abstractNumId w:val="145"/>
  </w:num>
  <w:num w:numId="68">
    <w:abstractNumId w:val="24"/>
  </w:num>
  <w:num w:numId="69">
    <w:abstractNumId w:val="135"/>
  </w:num>
  <w:num w:numId="70">
    <w:abstractNumId w:val="66"/>
  </w:num>
  <w:num w:numId="71">
    <w:abstractNumId w:val="23"/>
  </w:num>
  <w:num w:numId="72">
    <w:abstractNumId w:val="93"/>
  </w:num>
  <w:num w:numId="73">
    <w:abstractNumId w:val="39"/>
  </w:num>
  <w:num w:numId="74">
    <w:abstractNumId w:val="67"/>
  </w:num>
  <w:num w:numId="75">
    <w:abstractNumId w:val="115"/>
  </w:num>
  <w:num w:numId="76">
    <w:abstractNumId w:val="105"/>
  </w:num>
  <w:num w:numId="77">
    <w:abstractNumId w:val="125"/>
  </w:num>
  <w:num w:numId="78">
    <w:abstractNumId w:val="97"/>
  </w:num>
  <w:num w:numId="79">
    <w:abstractNumId w:val="100"/>
  </w:num>
  <w:num w:numId="80">
    <w:abstractNumId w:val="91"/>
  </w:num>
  <w:num w:numId="81">
    <w:abstractNumId w:val="109"/>
  </w:num>
  <w:num w:numId="82">
    <w:abstractNumId w:val="106"/>
  </w:num>
  <w:num w:numId="83">
    <w:abstractNumId w:val="58"/>
  </w:num>
  <w:num w:numId="84">
    <w:abstractNumId w:val="144"/>
  </w:num>
  <w:num w:numId="85">
    <w:abstractNumId w:val="56"/>
  </w:num>
  <w:num w:numId="86">
    <w:abstractNumId w:val="158"/>
  </w:num>
  <w:num w:numId="87">
    <w:abstractNumId w:val="96"/>
  </w:num>
  <w:num w:numId="88">
    <w:abstractNumId w:val="84"/>
  </w:num>
  <w:num w:numId="89">
    <w:abstractNumId w:val="19"/>
  </w:num>
  <w:num w:numId="90">
    <w:abstractNumId w:val="89"/>
  </w:num>
  <w:num w:numId="91">
    <w:abstractNumId w:val="157"/>
  </w:num>
  <w:num w:numId="92">
    <w:abstractNumId w:val="131"/>
  </w:num>
  <w:num w:numId="93">
    <w:abstractNumId w:val="142"/>
  </w:num>
  <w:num w:numId="94">
    <w:abstractNumId w:val="150"/>
  </w:num>
  <w:num w:numId="95">
    <w:abstractNumId w:val="0"/>
  </w:num>
  <w:num w:numId="96">
    <w:abstractNumId w:val="152"/>
  </w:num>
  <w:num w:numId="97">
    <w:abstractNumId w:val="151"/>
  </w:num>
  <w:num w:numId="98">
    <w:abstractNumId w:val="160"/>
  </w:num>
  <w:num w:numId="99">
    <w:abstractNumId w:val="140"/>
  </w:num>
  <w:num w:numId="100">
    <w:abstractNumId w:val="103"/>
  </w:num>
  <w:num w:numId="101">
    <w:abstractNumId w:val="4"/>
  </w:num>
  <w:num w:numId="102">
    <w:abstractNumId w:val="57"/>
  </w:num>
  <w:num w:numId="103">
    <w:abstractNumId w:val="81"/>
  </w:num>
  <w:num w:numId="104">
    <w:abstractNumId w:val="18"/>
  </w:num>
  <w:num w:numId="105">
    <w:abstractNumId w:val="50"/>
  </w:num>
  <w:num w:numId="106">
    <w:abstractNumId w:val="35"/>
  </w:num>
  <w:num w:numId="107">
    <w:abstractNumId w:val="36"/>
  </w:num>
  <w:num w:numId="108">
    <w:abstractNumId w:val="118"/>
  </w:num>
  <w:num w:numId="109">
    <w:abstractNumId w:val="71"/>
  </w:num>
  <w:num w:numId="110">
    <w:abstractNumId w:val="72"/>
  </w:num>
  <w:num w:numId="111">
    <w:abstractNumId w:val="45"/>
  </w:num>
  <w:num w:numId="112">
    <w:abstractNumId w:val="47"/>
  </w:num>
  <w:num w:numId="113">
    <w:abstractNumId w:val="79"/>
  </w:num>
  <w:num w:numId="114">
    <w:abstractNumId w:val="53"/>
  </w:num>
  <w:num w:numId="115">
    <w:abstractNumId w:val="138"/>
  </w:num>
  <w:num w:numId="116">
    <w:abstractNumId w:val="5"/>
  </w:num>
  <w:num w:numId="117">
    <w:abstractNumId w:val="21"/>
  </w:num>
  <w:num w:numId="118">
    <w:abstractNumId w:val="126"/>
  </w:num>
  <w:num w:numId="119">
    <w:abstractNumId w:val="82"/>
  </w:num>
  <w:num w:numId="120">
    <w:abstractNumId w:val="9"/>
  </w:num>
  <w:num w:numId="121">
    <w:abstractNumId w:val="88"/>
  </w:num>
  <w:num w:numId="122">
    <w:abstractNumId w:val="49"/>
  </w:num>
  <w:num w:numId="123">
    <w:abstractNumId w:val="155"/>
  </w:num>
  <w:num w:numId="124">
    <w:abstractNumId w:val="52"/>
  </w:num>
  <w:num w:numId="125">
    <w:abstractNumId w:val="111"/>
  </w:num>
  <w:num w:numId="126">
    <w:abstractNumId w:val="128"/>
  </w:num>
  <w:num w:numId="127">
    <w:abstractNumId w:val="156"/>
  </w:num>
  <w:num w:numId="128">
    <w:abstractNumId w:val="33"/>
  </w:num>
  <w:num w:numId="129">
    <w:abstractNumId w:val="137"/>
  </w:num>
  <w:num w:numId="130">
    <w:abstractNumId w:val="15"/>
  </w:num>
  <w:num w:numId="131">
    <w:abstractNumId w:val="61"/>
  </w:num>
  <w:num w:numId="132">
    <w:abstractNumId w:val="102"/>
  </w:num>
  <w:num w:numId="133">
    <w:abstractNumId w:val="114"/>
  </w:num>
  <w:num w:numId="134">
    <w:abstractNumId w:val="25"/>
  </w:num>
  <w:num w:numId="135">
    <w:abstractNumId w:val="117"/>
  </w:num>
  <w:num w:numId="136">
    <w:abstractNumId w:val="17"/>
  </w:num>
  <w:num w:numId="137">
    <w:abstractNumId w:val="60"/>
  </w:num>
  <w:num w:numId="138">
    <w:abstractNumId w:val="143"/>
  </w:num>
  <w:num w:numId="139">
    <w:abstractNumId w:val="10"/>
  </w:num>
  <w:num w:numId="140">
    <w:abstractNumId w:val="62"/>
  </w:num>
  <w:num w:numId="141">
    <w:abstractNumId w:val="12"/>
  </w:num>
  <w:num w:numId="142">
    <w:abstractNumId w:val="68"/>
  </w:num>
  <w:num w:numId="143">
    <w:abstractNumId w:val="146"/>
  </w:num>
  <w:num w:numId="144">
    <w:abstractNumId w:val="83"/>
  </w:num>
  <w:num w:numId="145">
    <w:abstractNumId w:val="116"/>
  </w:num>
  <w:num w:numId="146">
    <w:abstractNumId w:val="51"/>
  </w:num>
  <w:num w:numId="147">
    <w:abstractNumId w:val="122"/>
  </w:num>
  <w:num w:numId="148">
    <w:abstractNumId w:val="26"/>
  </w:num>
  <w:num w:numId="149">
    <w:abstractNumId w:val="41"/>
  </w:num>
  <w:num w:numId="150">
    <w:abstractNumId w:val="107"/>
  </w:num>
  <w:num w:numId="151">
    <w:abstractNumId w:val="3"/>
  </w:num>
  <w:num w:numId="152">
    <w:abstractNumId w:val="129"/>
  </w:num>
  <w:num w:numId="153">
    <w:abstractNumId w:val="99"/>
  </w:num>
  <w:num w:numId="154">
    <w:abstractNumId w:val="76"/>
  </w:num>
  <w:num w:numId="155">
    <w:abstractNumId w:val="2"/>
  </w:num>
  <w:num w:numId="156">
    <w:abstractNumId w:val="28"/>
  </w:num>
  <w:num w:numId="157">
    <w:abstractNumId w:val="139"/>
  </w:num>
  <w:num w:numId="158">
    <w:abstractNumId w:val="30"/>
  </w:num>
  <w:num w:numId="159">
    <w:abstractNumId w:val="92"/>
  </w:num>
  <w:num w:numId="160">
    <w:abstractNumId w:val="110"/>
  </w:num>
  <w:num w:numId="161">
    <w:abstractNumId w:val="55"/>
  </w:num>
  <w:num w:numId="162">
    <w:abstractNumId w:val="141"/>
  </w:num>
  <w:num w:numId="163">
    <w:abstractNumId w:val="121"/>
  </w:num>
  <w:num w:numId="164">
    <w:abstractNumId w:val="6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08"/>
    <w:rsid w:val="00005DA9"/>
    <w:rsid w:val="00012D71"/>
    <w:rsid w:val="00017B84"/>
    <w:rsid w:val="00022AB8"/>
    <w:rsid w:val="000261A3"/>
    <w:rsid w:val="00040F9B"/>
    <w:rsid w:val="0005301E"/>
    <w:rsid w:val="000705FD"/>
    <w:rsid w:val="000822B9"/>
    <w:rsid w:val="00083B0E"/>
    <w:rsid w:val="00096759"/>
    <w:rsid w:val="00097CFF"/>
    <w:rsid w:val="000B1B0B"/>
    <w:rsid w:val="000B6C51"/>
    <w:rsid w:val="000C5E53"/>
    <w:rsid w:val="000D37C6"/>
    <w:rsid w:val="000E19E5"/>
    <w:rsid w:val="000F0044"/>
    <w:rsid w:val="000F2E3C"/>
    <w:rsid w:val="000F38AE"/>
    <w:rsid w:val="000F5E1B"/>
    <w:rsid w:val="00102387"/>
    <w:rsid w:val="00102A46"/>
    <w:rsid w:val="00103FE4"/>
    <w:rsid w:val="00105E61"/>
    <w:rsid w:val="00107007"/>
    <w:rsid w:val="0011362B"/>
    <w:rsid w:val="001158B4"/>
    <w:rsid w:val="00130B02"/>
    <w:rsid w:val="00132D16"/>
    <w:rsid w:val="00134D1E"/>
    <w:rsid w:val="00147312"/>
    <w:rsid w:val="00147FDC"/>
    <w:rsid w:val="00151386"/>
    <w:rsid w:val="00156B39"/>
    <w:rsid w:val="00172CB4"/>
    <w:rsid w:val="001B2B79"/>
    <w:rsid w:val="001C61EC"/>
    <w:rsid w:val="001C62FC"/>
    <w:rsid w:val="001E32B1"/>
    <w:rsid w:val="00202804"/>
    <w:rsid w:val="002158A6"/>
    <w:rsid w:val="00253D9B"/>
    <w:rsid w:val="00256AFA"/>
    <w:rsid w:val="00267544"/>
    <w:rsid w:val="00267FC0"/>
    <w:rsid w:val="0027768A"/>
    <w:rsid w:val="002922E2"/>
    <w:rsid w:val="00296226"/>
    <w:rsid w:val="002A6136"/>
    <w:rsid w:val="002D46F9"/>
    <w:rsid w:val="002D6010"/>
    <w:rsid w:val="002F2E14"/>
    <w:rsid w:val="00305ED6"/>
    <w:rsid w:val="0033070F"/>
    <w:rsid w:val="00336EB4"/>
    <w:rsid w:val="00353C35"/>
    <w:rsid w:val="00362FAA"/>
    <w:rsid w:val="003636CA"/>
    <w:rsid w:val="0037672B"/>
    <w:rsid w:val="00386DB4"/>
    <w:rsid w:val="00392523"/>
    <w:rsid w:val="003B7EB9"/>
    <w:rsid w:val="003C33B6"/>
    <w:rsid w:val="003F4221"/>
    <w:rsid w:val="004177D8"/>
    <w:rsid w:val="004309B3"/>
    <w:rsid w:val="00431F41"/>
    <w:rsid w:val="004475EC"/>
    <w:rsid w:val="00474729"/>
    <w:rsid w:val="004C5DCD"/>
    <w:rsid w:val="004D3BC6"/>
    <w:rsid w:val="004D443C"/>
    <w:rsid w:val="004D44A0"/>
    <w:rsid w:val="004D4E29"/>
    <w:rsid w:val="004E634F"/>
    <w:rsid w:val="004F4C86"/>
    <w:rsid w:val="005065AA"/>
    <w:rsid w:val="005167DB"/>
    <w:rsid w:val="00555F53"/>
    <w:rsid w:val="00574E11"/>
    <w:rsid w:val="0058475B"/>
    <w:rsid w:val="005A1351"/>
    <w:rsid w:val="005A143B"/>
    <w:rsid w:val="005A4EAE"/>
    <w:rsid w:val="005B1770"/>
    <w:rsid w:val="005D5CDB"/>
    <w:rsid w:val="005E0955"/>
    <w:rsid w:val="005E3E3A"/>
    <w:rsid w:val="005F2D98"/>
    <w:rsid w:val="00611CB5"/>
    <w:rsid w:val="00617526"/>
    <w:rsid w:val="006211D3"/>
    <w:rsid w:val="00642D64"/>
    <w:rsid w:val="00650646"/>
    <w:rsid w:val="00663A9C"/>
    <w:rsid w:val="00682A67"/>
    <w:rsid w:val="006861BC"/>
    <w:rsid w:val="006942CA"/>
    <w:rsid w:val="006B1FA8"/>
    <w:rsid w:val="006D106E"/>
    <w:rsid w:val="006D493E"/>
    <w:rsid w:val="006E2495"/>
    <w:rsid w:val="006E799C"/>
    <w:rsid w:val="006F04A8"/>
    <w:rsid w:val="006F4BBC"/>
    <w:rsid w:val="00702F60"/>
    <w:rsid w:val="007302AA"/>
    <w:rsid w:val="00743687"/>
    <w:rsid w:val="0074531C"/>
    <w:rsid w:val="007604BB"/>
    <w:rsid w:val="007661D1"/>
    <w:rsid w:val="00770298"/>
    <w:rsid w:val="00770B39"/>
    <w:rsid w:val="007916A0"/>
    <w:rsid w:val="007A0253"/>
    <w:rsid w:val="007D4C44"/>
    <w:rsid w:val="00805543"/>
    <w:rsid w:val="008122E1"/>
    <w:rsid w:val="00820215"/>
    <w:rsid w:val="0083062F"/>
    <w:rsid w:val="00850921"/>
    <w:rsid w:val="00863A35"/>
    <w:rsid w:val="00880034"/>
    <w:rsid w:val="00882807"/>
    <w:rsid w:val="00885804"/>
    <w:rsid w:val="00893BC0"/>
    <w:rsid w:val="00897359"/>
    <w:rsid w:val="008B3AAF"/>
    <w:rsid w:val="008B4BE1"/>
    <w:rsid w:val="008D1E3E"/>
    <w:rsid w:val="008D4526"/>
    <w:rsid w:val="008E5FA4"/>
    <w:rsid w:val="008E60F8"/>
    <w:rsid w:val="00924185"/>
    <w:rsid w:val="00926D7E"/>
    <w:rsid w:val="00933435"/>
    <w:rsid w:val="00964D8F"/>
    <w:rsid w:val="009671F2"/>
    <w:rsid w:val="00967F5A"/>
    <w:rsid w:val="009773A3"/>
    <w:rsid w:val="009A59DD"/>
    <w:rsid w:val="009A685C"/>
    <w:rsid w:val="009D6605"/>
    <w:rsid w:val="009E0557"/>
    <w:rsid w:val="009E32FA"/>
    <w:rsid w:val="009E3E4F"/>
    <w:rsid w:val="009F39BF"/>
    <w:rsid w:val="009F4734"/>
    <w:rsid w:val="009F4D04"/>
    <w:rsid w:val="009F601F"/>
    <w:rsid w:val="00A0576B"/>
    <w:rsid w:val="00A23B74"/>
    <w:rsid w:val="00A24C21"/>
    <w:rsid w:val="00A24FC2"/>
    <w:rsid w:val="00A42DE9"/>
    <w:rsid w:val="00A47748"/>
    <w:rsid w:val="00A66888"/>
    <w:rsid w:val="00A80E44"/>
    <w:rsid w:val="00A8262E"/>
    <w:rsid w:val="00A84685"/>
    <w:rsid w:val="00AA5F35"/>
    <w:rsid w:val="00AC4DB3"/>
    <w:rsid w:val="00AD58F0"/>
    <w:rsid w:val="00AE6750"/>
    <w:rsid w:val="00B16662"/>
    <w:rsid w:val="00B1780F"/>
    <w:rsid w:val="00B271F4"/>
    <w:rsid w:val="00B36A68"/>
    <w:rsid w:val="00B44495"/>
    <w:rsid w:val="00B44628"/>
    <w:rsid w:val="00B51325"/>
    <w:rsid w:val="00B635A4"/>
    <w:rsid w:val="00B76612"/>
    <w:rsid w:val="00BA7B94"/>
    <w:rsid w:val="00BC295D"/>
    <w:rsid w:val="00BC50CF"/>
    <w:rsid w:val="00BE2F2C"/>
    <w:rsid w:val="00BE3B90"/>
    <w:rsid w:val="00BF5E74"/>
    <w:rsid w:val="00BF6408"/>
    <w:rsid w:val="00C10D9F"/>
    <w:rsid w:val="00C12A7B"/>
    <w:rsid w:val="00C2218A"/>
    <w:rsid w:val="00C24102"/>
    <w:rsid w:val="00C25B8E"/>
    <w:rsid w:val="00C315AA"/>
    <w:rsid w:val="00C467FA"/>
    <w:rsid w:val="00C53A9D"/>
    <w:rsid w:val="00C567E5"/>
    <w:rsid w:val="00C66363"/>
    <w:rsid w:val="00C67E0A"/>
    <w:rsid w:val="00C703EE"/>
    <w:rsid w:val="00C759CA"/>
    <w:rsid w:val="00C97E32"/>
    <w:rsid w:val="00CA795E"/>
    <w:rsid w:val="00CB3F9D"/>
    <w:rsid w:val="00CC1802"/>
    <w:rsid w:val="00D03E08"/>
    <w:rsid w:val="00D206D7"/>
    <w:rsid w:val="00D30CD3"/>
    <w:rsid w:val="00D37CD5"/>
    <w:rsid w:val="00D47E63"/>
    <w:rsid w:val="00D50D15"/>
    <w:rsid w:val="00D50D89"/>
    <w:rsid w:val="00D51CBD"/>
    <w:rsid w:val="00D5257B"/>
    <w:rsid w:val="00D8031A"/>
    <w:rsid w:val="00D80682"/>
    <w:rsid w:val="00D87CED"/>
    <w:rsid w:val="00D93B69"/>
    <w:rsid w:val="00D94D28"/>
    <w:rsid w:val="00D97A92"/>
    <w:rsid w:val="00DC6EC5"/>
    <w:rsid w:val="00DD0B8B"/>
    <w:rsid w:val="00DE34B8"/>
    <w:rsid w:val="00DE4830"/>
    <w:rsid w:val="00DF420D"/>
    <w:rsid w:val="00DF4578"/>
    <w:rsid w:val="00DF6354"/>
    <w:rsid w:val="00E1112C"/>
    <w:rsid w:val="00E137A7"/>
    <w:rsid w:val="00E15D85"/>
    <w:rsid w:val="00E21DB7"/>
    <w:rsid w:val="00E23648"/>
    <w:rsid w:val="00E252DC"/>
    <w:rsid w:val="00E46B40"/>
    <w:rsid w:val="00E52EB4"/>
    <w:rsid w:val="00E85FEE"/>
    <w:rsid w:val="00E87819"/>
    <w:rsid w:val="00EB2AA6"/>
    <w:rsid w:val="00EB469B"/>
    <w:rsid w:val="00EC2CA6"/>
    <w:rsid w:val="00EE6141"/>
    <w:rsid w:val="00EE6A45"/>
    <w:rsid w:val="00EF736C"/>
    <w:rsid w:val="00F05DBE"/>
    <w:rsid w:val="00F27E4B"/>
    <w:rsid w:val="00F551D3"/>
    <w:rsid w:val="00F57302"/>
    <w:rsid w:val="00F74F91"/>
    <w:rsid w:val="00F9136C"/>
    <w:rsid w:val="00FC3870"/>
    <w:rsid w:val="00FC4B6F"/>
    <w:rsid w:val="00FD4637"/>
    <w:rsid w:val="00FD4B8A"/>
    <w:rsid w:val="00FF19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08C0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F6408"/>
    <w:pPr>
      <w:tabs>
        <w:tab w:val="center" w:pos="4703"/>
        <w:tab w:val="right" w:pos="9406"/>
      </w:tabs>
    </w:pPr>
  </w:style>
  <w:style w:type="character" w:customStyle="1" w:styleId="PieddepageCar">
    <w:name w:val="Pied de page Car"/>
    <w:basedOn w:val="Policepardfaut"/>
    <w:link w:val="Pieddepage"/>
    <w:uiPriority w:val="99"/>
    <w:rsid w:val="00BF6408"/>
  </w:style>
  <w:style w:type="character" w:styleId="Numrodepage">
    <w:name w:val="page number"/>
    <w:basedOn w:val="Policepardfaut"/>
    <w:uiPriority w:val="99"/>
    <w:semiHidden/>
    <w:unhideWhenUsed/>
    <w:rsid w:val="00BF6408"/>
  </w:style>
  <w:style w:type="paragraph" w:styleId="Paragraphedeliste">
    <w:name w:val="List Paragraph"/>
    <w:basedOn w:val="Normal"/>
    <w:uiPriority w:val="34"/>
    <w:qFormat/>
    <w:rsid w:val="006E799C"/>
    <w:pPr>
      <w:ind w:left="720"/>
      <w:contextualSpacing/>
    </w:pPr>
  </w:style>
  <w:style w:type="paragraph" w:styleId="Notedebasdepage">
    <w:name w:val="footnote text"/>
    <w:basedOn w:val="Normal"/>
    <w:link w:val="NotedebasdepageCar"/>
    <w:uiPriority w:val="99"/>
    <w:unhideWhenUsed/>
    <w:rsid w:val="000E19E5"/>
  </w:style>
  <w:style w:type="character" w:customStyle="1" w:styleId="NotedebasdepageCar">
    <w:name w:val="Note de bas de page Car"/>
    <w:basedOn w:val="Policepardfaut"/>
    <w:link w:val="Notedebasdepage"/>
    <w:uiPriority w:val="99"/>
    <w:rsid w:val="000E19E5"/>
  </w:style>
  <w:style w:type="character" w:styleId="Marquenotebasdepage">
    <w:name w:val="footnote reference"/>
    <w:basedOn w:val="Policepardfaut"/>
    <w:uiPriority w:val="99"/>
    <w:unhideWhenUsed/>
    <w:rsid w:val="000E19E5"/>
    <w:rPr>
      <w:vertAlign w:val="superscript"/>
    </w:rPr>
  </w:style>
  <w:style w:type="character" w:styleId="Lienhypertexte">
    <w:name w:val="Hyperlink"/>
    <w:basedOn w:val="Policepardfaut"/>
    <w:uiPriority w:val="99"/>
    <w:unhideWhenUsed/>
    <w:rsid w:val="004E634F"/>
    <w:rPr>
      <w:color w:val="0000FF" w:themeColor="hyperlink"/>
      <w:u w:val="single"/>
    </w:rPr>
  </w:style>
  <w:style w:type="paragraph" w:styleId="En-tte">
    <w:name w:val="header"/>
    <w:basedOn w:val="Normal"/>
    <w:link w:val="En-tteCar"/>
    <w:uiPriority w:val="99"/>
    <w:unhideWhenUsed/>
    <w:rsid w:val="00A24FC2"/>
    <w:pPr>
      <w:tabs>
        <w:tab w:val="center" w:pos="4536"/>
        <w:tab w:val="right" w:pos="9072"/>
      </w:tabs>
    </w:pPr>
  </w:style>
  <w:style w:type="character" w:customStyle="1" w:styleId="En-tteCar">
    <w:name w:val="En-tête Car"/>
    <w:basedOn w:val="Policepardfaut"/>
    <w:link w:val="En-tte"/>
    <w:uiPriority w:val="99"/>
    <w:rsid w:val="00A24FC2"/>
  </w:style>
  <w:style w:type="paragraph" w:styleId="Textedebulles">
    <w:name w:val="Balloon Text"/>
    <w:basedOn w:val="Normal"/>
    <w:link w:val="TextedebullesCar"/>
    <w:uiPriority w:val="99"/>
    <w:semiHidden/>
    <w:unhideWhenUsed/>
    <w:rsid w:val="00E85F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5FEE"/>
    <w:rPr>
      <w:rFonts w:ascii="Lucida Grande" w:hAnsi="Lucida Grande" w:cs="Lucida Grande"/>
      <w:sz w:val="18"/>
      <w:szCs w:val="18"/>
    </w:rPr>
  </w:style>
  <w:style w:type="paragraph" w:customStyle="1" w:styleId="SCCNormalDoubleSpacing">
    <w:name w:val="SCC.Normal.DoubleSpacing"/>
    <w:basedOn w:val="Normal"/>
    <w:link w:val="SCCNormalDoubleSpacingChar"/>
    <w:rsid w:val="00474729"/>
    <w:pPr>
      <w:tabs>
        <w:tab w:val="left" w:pos="1168"/>
      </w:tabs>
      <w:spacing w:line="480" w:lineRule="auto"/>
      <w:jc w:val="both"/>
    </w:pPr>
    <w:rPr>
      <w:rFonts w:ascii="Times New Roman" w:eastAsia="Times New Roman" w:hAnsi="Times New Roman" w:cs="Times New Roman"/>
      <w:szCs w:val="20"/>
      <w:lang w:val="en-CA" w:eastAsia="en-CA"/>
    </w:rPr>
  </w:style>
  <w:style w:type="character" w:customStyle="1" w:styleId="SCCNormalDoubleSpacingChar">
    <w:name w:val="SCC.Normal.DoubleSpacing Char"/>
    <w:basedOn w:val="Policepardfaut"/>
    <w:link w:val="SCCNormalDoubleSpacing"/>
    <w:rsid w:val="00474729"/>
    <w:rPr>
      <w:rFonts w:ascii="Times New Roman" w:eastAsia="Times New Roman" w:hAnsi="Times New Roman" w:cs="Times New Roman"/>
      <w:szCs w:val="20"/>
      <w:lang w:val="en-CA" w:eastAsia="en-CA"/>
    </w:rPr>
  </w:style>
  <w:style w:type="paragraph" w:customStyle="1" w:styleId="TitleTitre-AltT">
    <w:name w:val="Title / Titre - Alt T"/>
    <w:next w:val="Normal"/>
    <w:uiPriority w:val="99"/>
    <w:qFormat/>
    <w:rsid w:val="00882807"/>
    <w:pPr>
      <w:tabs>
        <w:tab w:val="left" w:pos="360"/>
      </w:tabs>
      <w:spacing w:before="480" w:after="720"/>
      <w:ind w:left="360" w:hanging="360"/>
      <w:jc w:val="both"/>
    </w:pPr>
    <w:rPr>
      <w:rFonts w:ascii="Times New Roman" w:hAnsi="Times New Roman"/>
      <w:lang w:val="en-CA" w:eastAsia="en-US"/>
    </w:rPr>
  </w:style>
  <w:style w:type="paragraph" w:customStyle="1" w:styleId="ParaNoNdepar-AltN">
    <w:name w:val="Para. No. / Nº de par. - Alt N"/>
    <w:uiPriority w:val="99"/>
    <w:qFormat/>
    <w:rsid w:val="00882807"/>
    <w:pPr>
      <w:numPr>
        <w:numId w:val="160"/>
      </w:numPr>
      <w:spacing w:before="480" w:after="480" w:line="480" w:lineRule="auto"/>
      <w:jc w:val="both"/>
    </w:pPr>
    <w:rPr>
      <w:rFonts w:ascii="Times New Roman" w:hAnsi="Times New Roman"/>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F6408"/>
    <w:pPr>
      <w:tabs>
        <w:tab w:val="center" w:pos="4703"/>
        <w:tab w:val="right" w:pos="9406"/>
      </w:tabs>
    </w:pPr>
  </w:style>
  <w:style w:type="character" w:customStyle="1" w:styleId="PieddepageCar">
    <w:name w:val="Pied de page Car"/>
    <w:basedOn w:val="Policepardfaut"/>
    <w:link w:val="Pieddepage"/>
    <w:uiPriority w:val="99"/>
    <w:rsid w:val="00BF6408"/>
  </w:style>
  <w:style w:type="character" w:styleId="Numrodepage">
    <w:name w:val="page number"/>
    <w:basedOn w:val="Policepardfaut"/>
    <w:uiPriority w:val="99"/>
    <w:semiHidden/>
    <w:unhideWhenUsed/>
    <w:rsid w:val="00BF6408"/>
  </w:style>
  <w:style w:type="paragraph" w:styleId="Paragraphedeliste">
    <w:name w:val="List Paragraph"/>
    <w:basedOn w:val="Normal"/>
    <w:uiPriority w:val="34"/>
    <w:qFormat/>
    <w:rsid w:val="006E799C"/>
    <w:pPr>
      <w:ind w:left="720"/>
      <w:contextualSpacing/>
    </w:pPr>
  </w:style>
  <w:style w:type="paragraph" w:styleId="Notedebasdepage">
    <w:name w:val="footnote text"/>
    <w:basedOn w:val="Normal"/>
    <w:link w:val="NotedebasdepageCar"/>
    <w:uiPriority w:val="99"/>
    <w:unhideWhenUsed/>
    <w:rsid w:val="000E19E5"/>
  </w:style>
  <w:style w:type="character" w:customStyle="1" w:styleId="NotedebasdepageCar">
    <w:name w:val="Note de bas de page Car"/>
    <w:basedOn w:val="Policepardfaut"/>
    <w:link w:val="Notedebasdepage"/>
    <w:uiPriority w:val="99"/>
    <w:rsid w:val="000E19E5"/>
  </w:style>
  <w:style w:type="character" w:styleId="Marquenotebasdepage">
    <w:name w:val="footnote reference"/>
    <w:basedOn w:val="Policepardfaut"/>
    <w:uiPriority w:val="99"/>
    <w:unhideWhenUsed/>
    <w:rsid w:val="000E19E5"/>
    <w:rPr>
      <w:vertAlign w:val="superscript"/>
    </w:rPr>
  </w:style>
  <w:style w:type="character" w:styleId="Lienhypertexte">
    <w:name w:val="Hyperlink"/>
    <w:basedOn w:val="Policepardfaut"/>
    <w:uiPriority w:val="99"/>
    <w:unhideWhenUsed/>
    <w:rsid w:val="004E634F"/>
    <w:rPr>
      <w:color w:val="0000FF" w:themeColor="hyperlink"/>
      <w:u w:val="single"/>
    </w:rPr>
  </w:style>
  <w:style w:type="paragraph" w:styleId="En-tte">
    <w:name w:val="header"/>
    <w:basedOn w:val="Normal"/>
    <w:link w:val="En-tteCar"/>
    <w:uiPriority w:val="99"/>
    <w:unhideWhenUsed/>
    <w:rsid w:val="00A24FC2"/>
    <w:pPr>
      <w:tabs>
        <w:tab w:val="center" w:pos="4536"/>
        <w:tab w:val="right" w:pos="9072"/>
      </w:tabs>
    </w:pPr>
  </w:style>
  <w:style w:type="character" w:customStyle="1" w:styleId="En-tteCar">
    <w:name w:val="En-tête Car"/>
    <w:basedOn w:val="Policepardfaut"/>
    <w:link w:val="En-tte"/>
    <w:uiPriority w:val="99"/>
    <w:rsid w:val="00A24FC2"/>
  </w:style>
  <w:style w:type="paragraph" w:styleId="Textedebulles">
    <w:name w:val="Balloon Text"/>
    <w:basedOn w:val="Normal"/>
    <w:link w:val="TextedebullesCar"/>
    <w:uiPriority w:val="99"/>
    <w:semiHidden/>
    <w:unhideWhenUsed/>
    <w:rsid w:val="00E85F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5FEE"/>
    <w:rPr>
      <w:rFonts w:ascii="Lucida Grande" w:hAnsi="Lucida Grande" w:cs="Lucida Grande"/>
      <w:sz w:val="18"/>
      <w:szCs w:val="18"/>
    </w:rPr>
  </w:style>
  <w:style w:type="paragraph" w:customStyle="1" w:styleId="SCCNormalDoubleSpacing">
    <w:name w:val="SCC.Normal.DoubleSpacing"/>
    <w:basedOn w:val="Normal"/>
    <w:link w:val="SCCNormalDoubleSpacingChar"/>
    <w:rsid w:val="00474729"/>
    <w:pPr>
      <w:tabs>
        <w:tab w:val="left" w:pos="1168"/>
      </w:tabs>
      <w:spacing w:line="480" w:lineRule="auto"/>
      <w:jc w:val="both"/>
    </w:pPr>
    <w:rPr>
      <w:rFonts w:ascii="Times New Roman" w:eastAsia="Times New Roman" w:hAnsi="Times New Roman" w:cs="Times New Roman"/>
      <w:szCs w:val="20"/>
      <w:lang w:val="en-CA" w:eastAsia="en-CA"/>
    </w:rPr>
  </w:style>
  <w:style w:type="character" w:customStyle="1" w:styleId="SCCNormalDoubleSpacingChar">
    <w:name w:val="SCC.Normal.DoubleSpacing Char"/>
    <w:basedOn w:val="Policepardfaut"/>
    <w:link w:val="SCCNormalDoubleSpacing"/>
    <w:rsid w:val="00474729"/>
    <w:rPr>
      <w:rFonts w:ascii="Times New Roman" w:eastAsia="Times New Roman" w:hAnsi="Times New Roman" w:cs="Times New Roman"/>
      <w:szCs w:val="20"/>
      <w:lang w:val="en-CA" w:eastAsia="en-CA"/>
    </w:rPr>
  </w:style>
  <w:style w:type="paragraph" w:customStyle="1" w:styleId="TitleTitre-AltT">
    <w:name w:val="Title / Titre - Alt T"/>
    <w:next w:val="Normal"/>
    <w:uiPriority w:val="99"/>
    <w:qFormat/>
    <w:rsid w:val="00882807"/>
    <w:pPr>
      <w:tabs>
        <w:tab w:val="left" w:pos="360"/>
      </w:tabs>
      <w:spacing w:before="480" w:after="720"/>
      <w:ind w:left="360" w:hanging="360"/>
      <w:jc w:val="both"/>
    </w:pPr>
    <w:rPr>
      <w:rFonts w:ascii="Times New Roman" w:hAnsi="Times New Roman"/>
      <w:lang w:val="en-CA" w:eastAsia="en-US"/>
    </w:rPr>
  </w:style>
  <w:style w:type="paragraph" w:customStyle="1" w:styleId="ParaNoNdepar-AltN">
    <w:name w:val="Para. No. / Nº de par. - Alt N"/>
    <w:uiPriority w:val="99"/>
    <w:qFormat/>
    <w:rsid w:val="00882807"/>
    <w:pPr>
      <w:numPr>
        <w:numId w:val="160"/>
      </w:numPr>
      <w:spacing w:before="480" w:after="480" w:line="480" w:lineRule="auto"/>
      <w:jc w:val="both"/>
    </w:pPr>
    <w:rPr>
      <w:rFonts w:ascii="Times New Roman" w:hAnsi="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anlii.org/fr/ca/legis/lois/lrc-1985-c-c-46/derniere/lrc-1985-c-c-46.html" TargetMode="External"/><Relationship Id="rId14" Type="http://schemas.openxmlformats.org/officeDocument/2006/relationships/hyperlink" Target="http://www.canlii.org/fr/ca/legis/lois/lrc-1985-c-c-46/derniere/lrc-1985-c-c-46.html" TargetMode="External"/><Relationship Id="rId15" Type="http://schemas.openxmlformats.org/officeDocument/2006/relationships/hyperlink" Target="http://www.canlii.org/fr/ca/commentaires_charte/index.html" TargetMode="External"/><Relationship Id="rId16" Type="http://schemas.openxmlformats.org/officeDocument/2006/relationships/hyperlink" Target="http://www.canlii.org/fr/ca/legis/lois/lrc-1985-c-c-46/derniere/lrc-1985-c-c-46.html" TargetMode="External"/><Relationship Id="rId17" Type="http://schemas.openxmlformats.org/officeDocument/2006/relationships/hyperlink" Target="http://www.canlii.org/fr/ca/commentaires_charte/index.html" TargetMode="External"/><Relationship Id="rId18" Type="http://schemas.openxmlformats.org/officeDocument/2006/relationships/hyperlink" Target="http://www.canlii.org/fr/ca/legis/lois/lrc-1985-c-c-46/derniere/lrc-1985-c-c-46.html" TargetMode="External"/><Relationship Id="rId19" Type="http://schemas.openxmlformats.org/officeDocument/2006/relationships/hyperlink" Target="http://www.canlii.org/fr/ca/legis/lois/lrc-1985-c-c-46/derniere/lrc-1985-c-c-46.html" TargetMode="External"/><Relationship Id="rId63" Type="http://schemas.openxmlformats.org/officeDocument/2006/relationships/hyperlink" Target="http://www.canlii.org/fr/ca/legis/lois/lrc-1985-c-c-46/derniere/lrc-1985-c-c-46.html" TargetMode="External"/><Relationship Id="rId64" Type="http://schemas.openxmlformats.org/officeDocument/2006/relationships/hyperlink" Target="http://www.canlii.org/fr/ca/legis/lois/lrc-1985-c-c-46/derniere/lrc-1985-c-c-46.html" TargetMode="External"/><Relationship Id="rId65" Type="http://schemas.openxmlformats.org/officeDocument/2006/relationships/hyperlink" Target="http://www.canlii.org/fr/ca/legis/lois/lrc-1985-c-c-46/derniere/lrc-1985-c-c-46.html" TargetMode="External"/><Relationship Id="rId66" Type="http://schemas.openxmlformats.org/officeDocument/2006/relationships/hyperlink" Target="http://www.canlii.org/fr/ca/legis/lois/lrc-1985-c-c-46/derniere/lrc-1985-c-c-46.html" TargetMode="External"/><Relationship Id="rId67" Type="http://schemas.openxmlformats.org/officeDocument/2006/relationships/hyperlink" Target="http://www.canlii.org/fr/ca/legis/lois/annexe-b-de-la-loi-de-1982-sur-le-canada-r-u-1982-c-11/derniere/annexe-b-de-la-loi-de-1982-sur-le-canada-r-u-1982-c-11.html" TargetMode="External"/><Relationship Id="rId68" Type="http://schemas.openxmlformats.org/officeDocument/2006/relationships/hyperlink" Target="http://www.canlii.org/fr/ca/legis/lois/annexe-b-de-la-loi-de-1982-sur-le-canada-r-u-1982-c-11/derniere/annexe-b-de-la-loi-de-1982-sur-le-canada-r-u-1982-c-11.html" TargetMode="External"/><Relationship Id="rId69" Type="http://schemas.openxmlformats.org/officeDocument/2006/relationships/hyperlink" Target="http://www.canlii.org/fr/ca/legis/lois/annexe-b-de-la-loi-de-1982-sur-le-canada-r-u-1982-c-11/derniere/annexe-b-de-la-loi-de-1982-sur-le-canada-r-u-1982-c-11.html" TargetMode="External"/><Relationship Id="rId50" Type="http://schemas.openxmlformats.org/officeDocument/2006/relationships/hyperlink" Target="http://www.canlii.org/fr/ca/csc/doc/2003/2003csc70/2003csc70.html" TargetMode="External"/><Relationship Id="rId51" Type="http://schemas.openxmlformats.org/officeDocument/2006/relationships/hyperlink" Target="http://www.canlii.org/fr/ca/csc/doc/1995/1995canlii46/1995canlii46.html" TargetMode="External"/><Relationship Id="rId52" Type="http://schemas.openxmlformats.org/officeDocument/2006/relationships/hyperlink" Target="http://www.canlii.org/fr/ca/legis/lois/lrc-1985-c-c-46/derniere/lrc-1985-c-c-46.html" TargetMode="External"/><Relationship Id="rId53" Type="http://schemas.openxmlformats.org/officeDocument/2006/relationships/hyperlink" Target="http://www.canlii.org/fr/ca/legis/lois/lrc-1985-c-c-46/derniere/lrc-1985-c-c-46.html" TargetMode="External"/><Relationship Id="rId54" Type="http://schemas.openxmlformats.org/officeDocument/2006/relationships/hyperlink" Target="http://www.canlii.org/fr/ca/legis/lois/lrc-1985-c-c-46/derniere/lrc-1985-c-c-46.html" TargetMode="External"/><Relationship Id="rId55" Type="http://schemas.openxmlformats.org/officeDocument/2006/relationships/hyperlink" Target="http://www.canlii.org/fr/ca/legis/lois/lrc-1985-c-c-46/derniere/lrc-1985-c-c-46.html" TargetMode="External"/><Relationship Id="rId56" Type="http://schemas.openxmlformats.org/officeDocument/2006/relationships/hyperlink" Target="http://www.canlii.org/fr/ca/legis/lois/lrc-1985-c-c-46/derniere/lrc-1985-c-c-46.html" TargetMode="External"/><Relationship Id="rId57" Type="http://schemas.openxmlformats.org/officeDocument/2006/relationships/hyperlink" Target="http://www.canlii.org/fr/ca/legis/lois/lrc-1985-c-c-46/derniere/lrc-1985-c-c-46.html" TargetMode="External"/><Relationship Id="rId58" Type="http://schemas.openxmlformats.org/officeDocument/2006/relationships/hyperlink" Target="http://www.canlii.org/fr/ca/legis/lois/lrc-1985-c-c-46/derniere/lrc-1985-c-c-46.html" TargetMode="External"/><Relationship Id="rId59" Type="http://schemas.openxmlformats.org/officeDocument/2006/relationships/hyperlink" Target="http://www.canlii.org/fr/ca/legis/lois/lrc-1985-c-c-46/derniere/lrc-1985-c-c-46.html" TargetMode="External"/><Relationship Id="rId40" Type="http://schemas.openxmlformats.org/officeDocument/2006/relationships/hyperlink" Target="http://www.canlii.org/fr/reflex/211187.html" TargetMode="External"/><Relationship Id="rId41" Type="http://schemas.openxmlformats.org/officeDocument/2006/relationships/hyperlink" Target="http://www.canlii.org/fr/ca/legis/lois/lrc-1985-c-c-46/derniere/lrc-1985-c-c-46.html" TargetMode="External"/><Relationship Id="rId42" Type="http://schemas.openxmlformats.org/officeDocument/2006/relationships/hyperlink" Target="http://www.canlii.org/fr/ca/csc/doc/2001/2001csc53/2001csc53.html" TargetMode="External"/><Relationship Id="rId43" Type="http://schemas.openxmlformats.org/officeDocument/2006/relationships/hyperlink" Target="http://www.canlii.org/fr/ca/commentaires_charte/index.html" TargetMode="External"/><Relationship Id="rId44" Type="http://schemas.openxmlformats.org/officeDocument/2006/relationships/hyperlink" Target="http://www.canlii.org/fr/ca/legis/lois/lrc-1985-c-c-46/derniere/lrc-1985-c-c-46.html" TargetMode="External"/><Relationship Id="rId45" Type="http://schemas.openxmlformats.org/officeDocument/2006/relationships/hyperlink" Target="http://www.canlii.org/fr/ca/csc/doc/1991/1991canlii45/1991canlii45.html" TargetMode="External"/><Relationship Id="rId46" Type="http://schemas.openxmlformats.org/officeDocument/2006/relationships/hyperlink" Target="http://www.canlii.org/fr/ca/csc/doc/1993/1993canlii98/1993canlii98.html" TargetMode="External"/><Relationship Id="rId47" Type="http://schemas.openxmlformats.org/officeDocument/2006/relationships/hyperlink" Target="http://www.canlii.org/fr/ca/csc/doc/1995/1995canlii51/1995canlii51.html" TargetMode="External"/><Relationship Id="rId48" Type="http://schemas.openxmlformats.org/officeDocument/2006/relationships/hyperlink" Target="http://www.canlii.org/fr/ca/csc/doc/1997/1997canlii309/1997canlii309.html" TargetMode="External"/><Relationship Id="rId49" Type="http://schemas.openxmlformats.org/officeDocument/2006/relationships/hyperlink" Target="http://www.canlii.org/fr/ca/csc/doc/1998/1998canlii805/1998canlii805.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anlii.org/fr/ca/const/const1982.html" TargetMode="External"/><Relationship Id="rId30" Type="http://schemas.openxmlformats.org/officeDocument/2006/relationships/hyperlink" Target="http://www.canlii.org/fr/ca/commentaires_charte/index.html" TargetMode="External"/><Relationship Id="rId31" Type="http://schemas.openxmlformats.org/officeDocument/2006/relationships/hyperlink" Target="http://www.canlii.org/fr/reflex/40261.html" TargetMode="External"/><Relationship Id="rId32" Type="http://schemas.openxmlformats.org/officeDocument/2006/relationships/hyperlink" Target="http://www.canlii.org/fr/ca/legis/lois/lrc-1985-c-c-46/derniere/lrc-1985-c-c-46.html" TargetMode="External"/><Relationship Id="rId33" Type="http://schemas.openxmlformats.org/officeDocument/2006/relationships/hyperlink" Target="http://www.canlii.org/fr/ca/legis/lois/lrc-1985-c-c-46/derniere/lrc-1985-c-c-46.html" TargetMode="External"/><Relationship Id="rId34" Type="http://schemas.openxmlformats.org/officeDocument/2006/relationships/hyperlink" Target="http://www.canlii.org/fr/ca/legis/lois/lrc-1985-c-c-46/derniere/lrc-1985-c-c-46.html" TargetMode="External"/><Relationship Id="rId35" Type="http://schemas.openxmlformats.org/officeDocument/2006/relationships/hyperlink" Target="http://www.canlii.org/en/ca/laws/stat/rsc-1985-c-c-46/latest/rsc-1985-c-c-46.html" TargetMode="External"/><Relationship Id="rId36" Type="http://schemas.openxmlformats.org/officeDocument/2006/relationships/hyperlink" Target="http://www.canlii.org/fr/ca/csc/doc/1986/1986canlii16/1986canlii16.html" TargetMode="External"/><Relationship Id="rId37" Type="http://schemas.openxmlformats.org/officeDocument/2006/relationships/hyperlink" Target="http://www.canlii.org/fr/ca/csc/doc/1984/1984canlii22/1984canlii22.html" TargetMode="External"/><Relationship Id="rId38" Type="http://schemas.openxmlformats.org/officeDocument/2006/relationships/hyperlink" Target="http://www.canlii.org/fr/ca/csc/doc/1980/1980canlii15/1980canlii15.html" TargetMode="External"/><Relationship Id="rId39" Type="http://schemas.openxmlformats.org/officeDocument/2006/relationships/hyperlink" Target="http://www.canlii.org/fr/reflex/211312.html" TargetMode="External"/><Relationship Id="rId70" Type="http://schemas.openxmlformats.org/officeDocument/2006/relationships/hyperlink" Target="http://www.canlii.org/fr/ca/legis/lois/annexe-b-de-la-loi-de-1982-sur-le-canada-r-u-1982-c-11/derniere/annexe-b-de-la-loi-de-1982-sur-le-canada-r-u-1982-c-11.html" TargetMode="External"/><Relationship Id="rId71" Type="http://schemas.openxmlformats.org/officeDocument/2006/relationships/hyperlink" Target="http://www.canlii.org/fr/ca/legis/lois/annexe-b-de-la-loi-de-1982-sur-le-canada-r-u-1982-c-11/derniere/annexe-b-de-la-loi-de-1982-sur-le-canada-r-u-1982-c-11.html" TargetMode="External"/><Relationship Id="rId72" Type="http://schemas.openxmlformats.org/officeDocument/2006/relationships/hyperlink" Target="http://www.canlii.org/fr/ca/legis/lois/annexe-b-de-la-loi-de-1982-sur-le-canada-r-u-1982-c-11/derniere/annexe-b-de-la-loi-de-1982-sur-le-canada-r-u-1982-c-11.html" TargetMode="External"/><Relationship Id="rId20" Type="http://schemas.openxmlformats.org/officeDocument/2006/relationships/hyperlink" Target="http://www.canlii.org/fr/ca/csc/doc/1984/1984canlii33/1984canlii33.html" TargetMode="External"/><Relationship Id="rId21" Type="http://schemas.openxmlformats.org/officeDocument/2006/relationships/hyperlink" Target="http://www.canlii.org/fr/ca/legis/lois/lrc-1985-c-c-46/derniere/lrc-1985-c-c-46.html" TargetMode="External"/><Relationship Id="rId22" Type="http://schemas.openxmlformats.org/officeDocument/2006/relationships/hyperlink" Target="http://www.canlii.org/fr/ca/const/const1982.html" TargetMode="External"/><Relationship Id="rId23" Type="http://schemas.openxmlformats.org/officeDocument/2006/relationships/hyperlink" Target="http://www.canlii.org/fr/ca/csc/doc/1984/1984canlii33/1984canlii33.html" TargetMode="External"/><Relationship Id="rId24" Type="http://schemas.openxmlformats.org/officeDocument/2006/relationships/hyperlink" Target="http://www.canlii.org/fr/ca/csc/doc/1996/1996canlii174/1996canlii174.html" TargetMode="External"/><Relationship Id="rId25" Type="http://schemas.openxmlformats.org/officeDocument/2006/relationships/hyperlink" Target="http://www.canlii.org/fr/ca/commentaires_charte/index.html" TargetMode="External"/><Relationship Id="rId26" Type="http://schemas.openxmlformats.org/officeDocument/2006/relationships/image" Target="media/image1.png"/><Relationship Id="rId27" Type="http://schemas.openxmlformats.org/officeDocument/2006/relationships/hyperlink" Target="http://www.canlii.org/fr/ca/legis/lois/lrc-1985-c-c-46/derniere/lrc-1985-c-c-46.html" TargetMode="External"/><Relationship Id="rId28" Type="http://schemas.openxmlformats.org/officeDocument/2006/relationships/hyperlink" Target="http://www.canlii.org/fr/ca/csc/doc/2007/2007csc9/2007csc9.html" TargetMode="External"/><Relationship Id="rId29" Type="http://schemas.openxmlformats.org/officeDocument/2006/relationships/hyperlink" Target="http://www.canlii.org/fr/ca/csc/doc/1993/1993canlii98/1993canlii98.html" TargetMode="External"/><Relationship Id="rId73" Type="http://schemas.openxmlformats.org/officeDocument/2006/relationships/footer" Target="footer1.xml"/><Relationship Id="rId74" Type="http://schemas.openxmlformats.org/officeDocument/2006/relationships/footer" Target="footer2.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www.canlii.org/fr/ca/legis/lois/lrc-1985-c-c-46/derniere/lrc-1985-c-c-46.html" TargetMode="External"/><Relationship Id="rId61" Type="http://schemas.openxmlformats.org/officeDocument/2006/relationships/hyperlink" Target="http://www.canlii.org/fr/ca/legis/lois/lrc-1985-c-c-46/derniere/lrc-1985-c-c-46.html" TargetMode="External"/><Relationship Id="rId62" Type="http://schemas.openxmlformats.org/officeDocument/2006/relationships/hyperlink" Target="http://www.canlii.org/fr/ca/legis/lois/lrc-1985-c-c-46/derniere/lrc-1985-c-c-46.html" TargetMode="External"/><Relationship Id="rId10" Type="http://schemas.openxmlformats.org/officeDocument/2006/relationships/hyperlink" Target="http://www.canlii.org/fr/ca/const/const1982.html" TargetMode="External"/><Relationship Id="rId11" Type="http://schemas.openxmlformats.org/officeDocument/2006/relationships/hyperlink" Target="http://www.canlii.org/fr/ca/csc/doc/1992/1992canlii50/1992canlii50.html" TargetMode="External"/><Relationship Id="rId12" Type="http://schemas.openxmlformats.org/officeDocument/2006/relationships/hyperlink" Target="http://www.canlii.org/fr/ca/legis/lois/lrc-1985-c-c-46/derniere/lrc-1985-c-c-46.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235A2-18EC-EA42-A4E3-F416FA00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124</Pages>
  <Words>62399</Words>
  <Characters>343196</Characters>
  <Application>Microsoft Macintosh Word</Application>
  <DocSecurity>0</DocSecurity>
  <Lines>2859</Lines>
  <Paragraphs>809</Paragraphs>
  <ScaleCrop>false</ScaleCrop>
  <Company>Université Laval</Company>
  <LinksUpToDate>false</LinksUpToDate>
  <CharactersWithSpaces>404786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Lavoie</dc:creator>
  <cp:keywords/>
  <dc:description/>
  <cp:lastModifiedBy>Jonathan Lavoie</cp:lastModifiedBy>
  <cp:revision>79</cp:revision>
  <dcterms:created xsi:type="dcterms:W3CDTF">2013-02-26T15:57:00Z</dcterms:created>
  <dcterms:modified xsi:type="dcterms:W3CDTF">2013-09-30T17:52:00Z</dcterms:modified>
</cp:coreProperties>
</file>