
<file path=[Content_Types].xml><?xml version="1.0" encoding="utf-8"?>
<Types xmlns="http://schemas.openxmlformats.org/package/2006/content-types">
  <Default Extension="bmp" ContentType="image/bmp"/>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59B" w:rsidRDefault="00762388" w:rsidP="00124F32">
      <w:pPr>
        <w:jc w:val="both"/>
      </w:pPr>
      <w:r>
        <w:t>Les patenôtres</w:t>
      </w:r>
      <w:r w:rsidR="00A67B11">
        <w:t xml:space="preserve"> sont l’</w:t>
      </w:r>
      <w:r>
        <w:t>équivalent médiéval de nos chapelets</w:t>
      </w:r>
      <w:r w:rsidR="00A67B11">
        <w:t xml:space="preserve"> Ce </w:t>
      </w:r>
      <w:r>
        <w:t>son</w:t>
      </w:r>
      <w:r w:rsidR="009D259B">
        <w:t>t</w:t>
      </w:r>
      <w:r>
        <w:t xml:space="preserve"> sans conteste l’élément d’ornement, voir même de joaillerie, le plus présent dans toutes les couches de la population</w:t>
      </w:r>
      <w:r w:rsidR="00A67B11">
        <w:t>, d</w:t>
      </w:r>
      <w:r>
        <w:t xml:space="preserve">es clercs </w:t>
      </w:r>
      <w:r w:rsidR="00A67B11">
        <w:t>aux</w:t>
      </w:r>
      <w:r>
        <w:t xml:space="preserve"> laïcs. Bien entendu, </w:t>
      </w:r>
      <w:r w:rsidR="008260A7">
        <w:t xml:space="preserve">dans le choix d’un tel objet, </w:t>
      </w:r>
      <w:r>
        <w:t xml:space="preserve">l’aspect esthétique ne vient qu’après la symbolique et l’usage religieux.  </w:t>
      </w:r>
    </w:p>
    <w:p w:rsidR="009D259B" w:rsidRDefault="0038041E" w:rsidP="00124F32">
      <w:pPr>
        <w:jc w:val="both"/>
      </w:pPr>
      <w:r>
        <w:t>La</w:t>
      </w:r>
      <w:r w:rsidR="009D259B">
        <w:t xml:space="preserve"> pratique </w:t>
      </w:r>
      <w:r>
        <w:t>d’utiliser des perles comme moyen mnémotechnique po</w:t>
      </w:r>
      <w:r w:rsidR="008260A7">
        <w:t xml:space="preserve">ur compter le nombre de prières </w:t>
      </w:r>
      <w:r w:rsidR="009D259B">
        <w:t xml:space="preserve">prend naissance dans les monastères, où </w:t>
      </w:r>
      <w:r w:rsidR="009D259B" w:rsidRPr="009D259B">
        <w:t>certains membres illettrés (convers, frères lais), étaient incapables d’apprendre par cœur le Psautier</w:t>
      </w:r>
      <w:r w:rsidR="009D259B">
        <w:t xml:space="preserve"> en latin (contenant 150 Psaumes). On  leur impose donc la récitation d’un certain nombre de Pater Noster.   Vers 1150, la récitation de l’Ave Maria en </w:t>
      </w:r>
      <w:r w:rsidR="00E438C7">
        <w:t>lieu et place</w:t>
      </w:r>
      <w:r w:rsidR="009D259B">
        <w:t xml:space="preserve"> du Pater Noster devient de plus en plus répandue et l’idée d’adresser </w:t>
      </w:r>
      <w:r w:rsidR="009D259B" w:rsidRPr="009D259B">
        <w:t xml:space="preserve">150 ou 50 Ave à </w:t>
      </w:r>
      <w:r w:rsidR="009D259B">
        <w:t>la Vierge Marie s’impose rapidement</w:t>
      </w:r>
      <w:r w:rsidR="00E438C7">
        <w:t xml:space="preserve">. </w:t>
      </w:r>
    </w:p>
    <w:p w:rsidR="009D259B" w:rsidRDefault="009D259B" w:rsidP="00124F32">
      <w:pPr>
        <w:jc w:val="both"/>
      </w:pPr>
      <w:r w:rsidRPr="009D259B">
        <w:t xml:space="preserve">La structure </w:t>
      </w:r>
      <w:r>
        <w:t xml:space="preserve">même du Paternoster découle de cet usage : on adopta donc très communément un procédé pour </w:t>
      </w:r>
      <w:r w:rsidRPr="009D259B">
        <w:t>compter en multiples de cinquante</w:t>
      </w:r>
      <w:r>
        <w:t>. On trouve ainsi des patenôtres à  50, à  100 ou à 150</w:t>
      </w:r>
      <w:r w:rsidR="009E1027" w:rsidRPr="009E1027">
        <w:t xml:space="preserve"> </w:t>
      </w:r>
      <w:r w:rsidR="009E1027">
        <w:t>perles</w:t>
      </w:r>
      <w:r>
        <w:t xml:space="preserve">. </w:t>
      </w:r>
    </w:p>
    <w:p w:rsidR="00E438C7" w:rsidRDefault="009D259B" w:rsidP="00124F32">
      <w:pPr>
        <w:jc w:val="both"/>
      </w:pPr>
      <w:r>
        <w:t xml:space="preserve">Les matériaux utilisés pour la réalisation de ces objets sont très variables, en fonction du souhait du propriétaire et de sa richesse.  Ainsi, les plus pauvres pouvaient avoir des </w:t>
      </w:r>
      <w:r w:rsidR="00E438C7">
        <w:t xml:space="preserve">cordelettes de chanvre ou de lin nouées, tandis que les plus riches pouvaient arborer de véritables œuvres d’orfèvres, en matériaux précieux (argent, or, rubis, émeraude, saphir, diamant, perle, jaspe, cristal de roche, ivoire, nacre, etc.). Les chapelets d’ambre et de verre étaient plus communs, et la grande majorité était en os ou en bois. </w:t>
      </w:r>
      <w:r w:rsidR="0038041E">
        <w:t>On trouve d’énormes quantités de déchets dus à la fabrication de perles dans les métacarpes de bœufs ou dans du bois. D</w:t>
      </w:r>
      <w:r w:rsidR="00E438C7">
        <w:t xml:space="preserve">es perles de verre servaient à imiter des </w:t>
      </w:r>
      <w:r w:rsidR="00E438C7" w:rsidRPr="00E438C7">
        <w:t>matériaux nobles</w:t>
      </w:r>
      <w:r w:rsidR="00E438C7">
        <w:t xml:space="preserve"> comme le corail ou la nacre</w:t>
      </w:r>
      <w:r w:rsidR="0038041E">
        <w:t>, mais avec une certaine fragilité et un poids accru</w:t>
      </w:r>
      <w:r w:rsidR="00E438C7">
        <w:t xml:space="preserve">. </w:t>
      </w:r>
    </w:p>
    <w:p w:rsidR="009D259B" w:rsidRDefault="00E438C7" w:rsidP="00124F32">
      <w:pPr>
        <w:jc w:val="both"/>
      </w:pPr>
      <w:r>
        <w:t xml:space="preserve">Très souvent, les matériaux étaient très variés sur un même patenôtre et les perles n’était pas toutes de la même forme (on retrouve  ainsi sur un même objet des perles en forme de </w:t>
      </w:r>
      <w:r w:rsidRPr="00E438C7">
        <w:t>losange,</w:t>
      </w:r>
      <w:r>
        <w:t xml:space="preserve"> de</w:t>
      </w:r>
      <w:r w:rsidRPr="00E438C7">
        <w:t xml:space="preserve"> carré, </w:t>
      </w:r>
      <w:r>
        <w:t xml:space="preserve">de </w:t>
      </w:r>
      <w:r w:rsidRPr="00E438C7">
        <w:t xml:space="preserve">cylindre, </w:t>
      </w:r>
      <w:r>
        <w:t xml:space="preserve">de </w:t>
      </w:r>
      <w:r w:rsidRPr="00E438C7">
        <w:t>disque</w:t>
      </w:r>
      <w:r>
        <w:t xml:space="preserve"> ou </w:t>
      </w:r>
      <w:r w:rsidR="0038041E">
        <w:t>d’</w:t>
      </w:r>
      <w:r w:rsidR="0038041E" w:rsidRPr="00E438C7">
        <w:t>anneau</w:t>
      </w:r>
      <w:r>
        <w:t>)</w:t>
      </w:r>
      <w:r w:rsidRPr="00E438C7">
        <w:t>.</w:t>
      </w:r>
      <w:r w:rsidR="005714C5">
        <w:t xml:space="preserve"> Quant à la forme du chapelet en lui-même, deux formes coexistent : la patenôtre linéaire et celle en forme de boucle. Suivant le modèle, les extrémités sont ornées d’un ou plusieurs </w:t>
      </w:r>
      <w:r w:rsidR="0038041E">
        <w:t xml:space="preserve">pompons de lin, de laine ou de soie. </w:t>
      </w:r>
    </w:p>
    <w:p w:rsidR="00E438C7" w:rsidRDefault="0038041E" w:rsidP="00124F32">
      <w:pPr>
        <w:jc w:val="both"/>
      </w:pPr>
      <w:r>
        <w:t>Les propriétés mystiques et les superstitions liées aux matières naturelles entraient également en considération pour les plus aisés. Certains lapidaires, à l’exemple de celui de Marbode écrit au X</w:t>
      </w:r>
      <w:r w:rsidR="009E1027">
        <w:t>I</w:t>
      </w:r>
      <w:bookmarkStart w:id="0" w:name="_GoBack"/>
      <w:bookmarkEnd w:id="0"/>
      <w:r>
        <w:t>e siècle, attribue aux différentes pierres des effets. Ainsi l’a</w:t>
      </w:r>
      <w:r w:rsidR="00E438C7">
        <w:t xml:space="preserve">méthyste </w:t>
      </w:r>
      <w:r>
        <w:t>préviendrait</w:t>
      </w:r>
      <w:r w:rsidR="00E438C7">
        <w:t xml:space="preserve"> de l’ivresse</w:t>
      </w:r>
      <w:r>
        <w:t xml:space="preserve">, le corail fortifierait </w:t>
      </w:r>
      <w:r w:rsidR="00E438C7">
        <w:t>le cœur</w:t>
      </w:r>
      <w:r>
        <w:t xml:space="preserve"> et l’émeraude aiderait à combattre l’épilepsie. </w:t>
      </w:r>
    </w:p>
    <w:p w:rsidR="00124F32" w:rsidRDefault="00124F32" w:rsidP="00124F32">
      <w:pPr>
        <w:jc w:val="both"/>
      </w:pPr>
    </w:p>
    <w:p w:rsidR="00124F32" w:rsidRDefault="00124F32" w:rsidP="00124F32">
      <w:pPr>
        <w:jc w:val="both"/>
      </w:pPr>
    </w:p>
    <w:p w:rsidR="00124F32" w:rsidRDefault="0038041E" w:rsidP="00124F32">
      <w:pPr>
        <w:jc w:val="both"/>
      </w:pPr>
      <w:r>
        <w:t xml:space="preserve">A Metz, l’usage de patenôtres pour la piété personnelle est </w:t>
      </w:r>
      <w:r w:rsidR="00124F32">
        <w:t>attesté</w:t>
      </w:r>
      <w:r>
        <w:t xml:space="preserve"> au moins depuis le début du XIVe siècle puisque l’on trouve plusieurs figures de femmes priants à l’aide de cet objet dans un Livre d’Heures</w:t>
      </w:r>
      <w:r w:rsidR="00124F32">
        <w:t xml:space="preserve"> réalisé vers 1305.</w:t>
      </w:r>
    </w:p>
    <w:p w:rsidR="00124F32" w:rsidRDefault="00124F32" w:rsidP="00124F32">
      <w:pPr>
        <w:jc w:val="both"/>
      </w:pPr>
    </w:p>
    <w:p w:rsidR="00124F32" w:rsidRDefault="00124F32" w:rsidP="00124F32">
      <w:pPr>
        <w:jc w:val="both"/>
        <w:rPr>
          <w:noProof/>
          <w:lang w:eastAsia="fr-FR"/>
        </w:rPr>
      </w:pPr>
    </w:p>
    <w:p w:rsidR="00124F32" w:rsidRDefault="00124F32" w:rsidP="00124F32">
      <w:pPr>
        <w:jc w:val="center"/>
        <w:rPr>
          <w:noProof/>
          <w:lang w:eastAsia="fr-FR"/>
        </w:rPr>
      </w:pPr>
      <w:r>
        <w:rPr>
          <w:noProof/>
          <w:lang w:eastAsia="fr-FR"/>
        </w:rPr>
        <w:lastRenderedPageBreak/>
        <w:drawing>
          <wp:inline distT="0" distB="0" distL="0" distR="0" wp14:anchorId="2C0C9463" wp14:editId="79A5615E">
            <wp:extent cx="3138791" cy="2885872"/>
            <wp:effectExtent l="0" t="0" r="508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peletmss.JPG"/>
                    <pic:cNvPicPr/>
                  </pic:nvPicPr>
                  <pic:blipFill rotWithShape="1">
                    <a:blip r:embed="rId5">
                      <a:extLst>
                        <a:ext uri="{28A0092B-C50C-407E-A947-70E740481C1C}">
                          <a14:useLocalDpi xmlns:a14="http://schemas.microsoft.com/office/drawing/2010/main" val="0"/>
                        </a:ext>
                      </a:extLst>
                    </a:blip>
                    <a:srcRect l="6757" t="5775" r="38739" b="26593"/>
                    <a:stretch/>
                  </pic:blipFill>
                  <pic:spPr bwMode="auto">
                    <a:xfrm>
                      <a:off x="0" y="0"/>
                      <a:ext cx="3139853" cy="288684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fr-FR"/>
        </w:rPr>
        <w:drawing>
          <wp:inline distT="0" distB="0" distL="0" distR="0" wp14:anchorId="58955752" wp14:editId="7443CE83">
            <wp:extent cx="1932561" cy="2885872"/>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peletms1588.bmp"/>
                    <pic:cNvPicPr/>
                  </pic:nvPicPr>
                  <pic:blipFill rotWithShape="1">
                    <a:blip r:embed="rId6">
                      <a:extLst>
                        <a:ext uri="{28A0092B-C50C-407E-A947-70E740481C1C}">
                          <a14:useLocalDpi xmlns:a14="http://schemas.microsoft.com/office/drawing/2010/main" val="0"/>
                        </a:ext>
                      </a:extLst>
                    </a:blip>
                    <a:srcRect l="30078" t="23771" r="36351" b="3279"/>
                    <a:stretch/>
                  </pic:blipFill>
                  <pic:spPr bwMode="auto">
                    <a:xfrm>
                      <a:off x="0" y="0"/>
                      <a:ext cx="1933868" cy="2887824"/>
                    </a:xfrm>
                    <a:prstGeom prst="rect">
                      <a:avLst/>
                    </a:prstGeom>
                    <a:ln>
                      <a:noFill/>
                    </a:ln>
                    <a:extLst>
                      <a:ext uri="{53640926-AAD7-44D8-BBD7-CCE9431645EC}">
                        <a14:shadowObscured xmlns:a14="http://schemas.microsoft.com/office/drawing/2010/main"/>
                      </a:ext>
                    </a:extLst>
                  </pic:spPr>
                </pic:pic>
              </a:graphicData>
            </a:graphic>
          </wp:inline>
        </w:drawing>
      </w:r>
    </w:p>
    <w:p w:rsidR="00124F32" w:rsidRDefault="00124F32" w:rsidP="00124F32">
      <w:pPr>
        <w:jc w:val="both"/>
      </w:pPr>
      <w:r>
        <w:t xml:space="preserve">Un bas-relief représentant des donateurs, datant de la fin du XIVe siècle et provenant également de la cité messine montre plusieurs personnages possédants des chapelets. </w:t>
      </w:r>
    </w:p>
    <w:p w:rsidR="00124F32" w:rsidRDefault="00124F32" w:rsidP="00124F32">
      <w:pPr>
        <w:jc w:val="center"/>
      </w:pPr>
      <w:r>
        <w:rPr>
          <w:noProof/>
          <w:lang w:eastAsia="fr-FR"/>
        </w:rPr>
        <w:drawing>
          <wp:inline distT="0" distB="0" distL="0" distR="0" wp14:anchorId="5E7EDF91" wp14:editId="5B0459C8">
            <wp:extent cx="5143500" cy="34194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143500" cy="3419475"/>
                    </a:xfrm>
                    <a:prstGeom prst="rect">
                      <a:avLst/>
                    </a:prstGeom>
                  </pic:spPr>
                </pic:pic>
              </a:graphicData>
            </a:graphic>
          </wp:inline>
        </w:drawing>
      </w:r>
    </w:p>
    <w:p w:rsidR="009D259B" w:rsidRPr="009D259B" w:rsidRDefault="009D259B" w:rsidP="00124F32">
      <w:pPr>
        <w:jc w:val="both"/>
      </w:pPr>
    </w:p>
    <w:p w:rsidR="009D259B" w:rsidRDefault="009D259B" w:rsidP="00124F32">
      <w:pPr>
        <w:jc w:val="both"/>
      </w:pPr>
    </w:p>
    <w:p w:rsidR="009D259B" w:rsidRDefault="009D259B" w:rsidP="00124F32">
      <w:pPr>
        <w:jc w:val="both"/>
      </w:pPr>
    </w:p>
    <w:sectPr w:rsidR="009D25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388"/>
    <w:rsid w:val="0000658B"/>
    <w:rsid w:val="00095F94"/>
    <w:rsid w:val="00095FC8"/>
    <w:rsid w:val="000A4482"/>
    <w:rsid w:val="000C384D"/>
    <w:rsid w:val="0012088E"/>
    <w:rsid w:val="00124F32"/>
    <w:rsid w:val="001A6D0C"/>
    <w:rsid w:val="0027280C"/>
    <w:rsid w:val="002F449A"/>
    <w:rsid w:val="003101E5"/>
    <w:rsid w:val="0033225A"/>
    <w:rsid w:val="0038041E"/>
    <w:rsid w:val="004F7D1E"/>
    <w:rsid w:val="00520728"/>
    <w:rsid w:val="005714C5"/>
    <w:rsid w:val="00727D49"/>
    <w:rsid w:val="00762388"/>
    <w:rsid w:val="008260A7"/>
    <w:rsid w:val="0097653A"/>
    <w:rsid w:val="009D1198"/>
    <w:rsid w:val="009D259B"/>
    <w:rsid w:val="009E1027"/>
    <w:rsid w:val="00A0497D"/>
    <w:rsid w:val="00A17D9C"/>
    <w:rsid w:val="00A67B11"/>
    <w:rsid w:val="00A81D6B"/>
    <w:rsid w:val="00A9600C"/>
    <w:rsid w:val="00AD5C3F"/>
    <w:rsid w:val="00B42366"/>
    <w:rsid w:val="00B93D70"/>
    <w:rsid w:val="00C9591F"/>
    <w:rsid w:val="00D873D0"/>
    <w:rsid w:val="00DA7153"/>
    <w:rsid w:val="00DC3D4D"/>
    <w:rsid w:val="00E438C7"/>
    <w:rsid w:val="00E54E34"/>
    <w:rsid w:val="00EF32EA"/>
    <w:rsid w:val="00F63763"/>
    <w:rsid w:val="00F91A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9D259B"/>
    <w:pPr>
      <w:spacing w:after="0" w:line="240" w:lineRule="auto"/>
    </w:pPr>
    <w:rPr>
      <w:rFonts w:ascii="Times New Roman" w:eastAsia="Times New Roman" w:hAnsi="Times New Roman" w:cs="Times New Roman"/>
      <w:b/>
      <w:bCs/>
      <w:sz w:val="24"/>
      <w:szCs w:val="24"/>
      <w:lang w:eastAsia="fr-FR"/>
    </w:rPr>
  </w:style>
  <w:style w:type="character" w:customStyle="1" w:styleId="CorpsdetexteCar">
    <w:name w:val="Corps de texte Car"/>
    <w:basedOn w:val="Policepardfaut"/>
    <w:link w:val="Corpsdetexte"/>
    <w:semiHidden/>
    <w:rsid w:val="009D259B"/>
    <w:rPr>
      <w:rFonts w:ascii="Times New Roman" w:eastAsia="Times New Roman" w:hAnsi="Times New Roman" w:cs="Times New Roman"/>
      <w:b/>
      <w:bCs/>
      <w:sz w:val="24"/>
      <w:szCs w:val="24"/>
      <w:lang w:eastAsia="fr-FR"/>
    </w:rPr>
  </w:style>
  <w:style w:type="paragraph" w:styleId="Textedebulles">
    <w:name w:val="Balloon Text"/>
    <w:basedOn w:val="Normal"/>
    <w:link w:val="TextedebullesCar"/>
    <w:uiPriority w:val="99"/>
    <w:semiHidden/>
    <w:unhideWhenUsed/>
    <w:rsid w:val="00124F3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24F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9D259B"/>
    <w:pPr>
      <w:spacing w:after="0" w:line="240" w:lineRule="auto"/>
    </w:pPr>
    <w:rPr>
      <w:rFonts w:ascii="Times New Roman" w:eastAsia="Times New Roman" w:hAnsi="Times New Roman" w:cs="Times New Roman"/>
      <w:b/>
      <w:bCs/>
      <w:sz w:val="24"/>
      <w:szCs w:val="24"/>
      <w:lang w:eastAsia="fr-FR"/>
    </w:rPr>
  </w:style>
  <w:style w:type="character" w:customStyle="1" w:styleId="CorpsdetexteCar">
    <w:name w:val="Corps de texte Car"/>
    <w:basedOn w:val="Policepardfaut"/>
    <w:link w:val="Corpsdetexte"/>
    <w:semiHidden/>
    <w:rsid w:val="009D259B"/>
    <w:rPr>
      <w:rFonts w:ascii="Times New Roman" w:eastAsia="Times New Roman" w:hAnsi="Times New Roman" w:cs="Times New Roman"/>
      <w:b/>
      <w:bCs/>
      <w:sz w:val="24"/>
      <w:szCs w:val="24"/>
      <w:lang w:eastAsia="fr-FR"/>
    </w:rPr>
  </w:style>
  <w:style w:type="paragraph" w:styleId="Textedebulles">
    <w:name w:val="Balloon Text"/>
    <w:basedOn w:val="Normal"/>
    <w:link w:val="TextedebullesCar"/>
    <w:uiPriority w:val="99"/>
    <w:semiHidden/>
    <w:unhideWhenUsed/>
    <w:rsid w:val="00124F3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24F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bmp"/><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475</Words>
  <Characters>2614</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Aurore</dc:creator>
  <cp:lastModifiedBy>Aurore</cp:lastModifiedBy>
  <cp:revision>2</cp:revision>
  <dcterms:created xsi:type="dcterms:W3CDTF">2011-05-11T14:07:00Z</dcterms:created>
  <dcterms:modified xsi:type="dcterms:W3CDTF">2011-05-11T14:07:00Z</dcterms:modified>
</cp:coreProperties>
</file>